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340" w:right="700" w:hanging="8"/>
        <w:spacing w:after="0" w:line="280" w:lineRule="auto"/>
        <w:rPr>
          <w:sz w:val="20"/>
          <w:szCs w:val="20"/>
          <w:color w:val="auto"/>
        </w:rPr>
      </w:pPr>
      <w:r>
        <w:rPr>
          <w:rFonts w:ascii="Arial" w:cs="Arial" w:eastAsia="Arial" w:hAnsi="Arial"/>
          <w:sz w:val="21"/>
          <w:szCs w:val="21"/>
          <w:b w:val="1"/>
          <w:bCs w:val="1"/>
          <w:color w:val="auto"/>
        </w:rPr>
        <w:t>FOR ANNUAL REPORTS OF EMPLOYEE STOCK PURCHASE, SAVINGS AND SIMILAR PLANS PURSUANT TO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259715</wp:posOffset>
            </wp:positionV>
            <wp:extent cx="282130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ind w:right="3119"/>
        <w:spacing w:after="0" w:line="254" w:lineRule="auto"/>
        <w:rPr>
          <w:sz w:val="20"/>
          <w:szCs w:val="20"/>
          <w:color w:val="auto"/>
        </w:rPr>
      </w:pPr>
      <w:r>
        <w:rPr>
          <w:rFonts w:ascii="Arial" w:cs="Arial" w:eastAsia="Arial" w:hAnsi="Arial"/>
          <w:sz w:val="18"/>
          <w:szCs w:val="18"/>
          <w:color w:val="auto"/>
        </w:rPr>
        <w:t>Financial Statements as of December 31, 2009 and 2008 and for the Year Ended December 31, 2009; Supplemental Schedules as of December 31, 2009;</w:t>
      </w:r>
    </w:p>
    <w:p>
      <w:pPr>
        <w:spacing w:after="0"/>
        <w:rPr>
          <w:sz w:val="20"/>
          <w:szCs w:val="20"/>
          <w:color w:val="auto"/>
        </w:rPr>
      </w:pPr>
      <w:r>
        <w:rPr>
          <w:rFonts w:ascii="Arial" w:cs="Arial" w:eastAsia="Arial" w:hAnsi="Arial"/>
          <w:sz w:val="18"/>
          <w:szCs w:val="18"/>
          <w:color w:val="auto"/>
        </w:rPr>
        <w:t>and Reports of Independent Registered Public Accounting Firms</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3"/>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REPORTS OF INDEPENDENT REGISTERED PUBLIC ACCOUNTING FIRMS</w:t>
              </w:r>
            </w:hyperlink>
          </w:p>
        </w:tc>
        <w:tc>
          <w:tcPr>
            <w:tcW w:w="5080" w:type="dxa"/>
            <w:vAlign w:val="bottom"/>
            <w:gridSpan w:val="7"/>
            <w:vMerge w:val="restart"/>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0000EE"/>
            </w:tcBorders>
            <w:gridSpan w:val="3"/>
            <w:vMerge w:val="continue"/>
          </w:tcPr>
          <w:p>
            <w:pPr>
              <w:spacing w:after="0"/>
              <w:rPr>
                <w:sz w:val="14"/>
                <w:szCs w:val="14"/>
                <w:color w:val="auto"/>
              </w:rPr>
            </w:pPr>
          </w:p>
        </w:tc>
        <w:tc>
          <w:tcPr>
            <w:tcW w:w="5080" w:type="dxa"/>
            <w:vAlign w:val="bottom"/>
            <w:gridSpan w:val="7"/>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1094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2009 and 2008</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 of Changes in Net Assets Available for Benefits for the Year Ended December 31, 2009</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December 31, 2009 and 2008 and for the Year Ended December 31, 2009</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940" w:type="dxa"/>
            <w:vAlign w:val="bottom"/>
            <w:gridSpan w:val="10"/>
          </w:tcPr>
          <w:p>
            <w:pPr>
              <w:spacing w:after="0"/>
              <w:rPr>
                <w:sz w:val="20"/>
                <w:szCs w:val="20"/>
                <w:color w:val="auto"/>
              </w:rPr>
            </w:pPr>
            <w:r>
              <w:rPr>
                <w:rFonts w:ascii="Arial" w:cs="Arial" w:eastAsia="Arial" w:hAnsi="Arial"/>
                <w:sz w:val="18"/>
                <w:szCs w:val="18"/>
                <w:color w:val="auto"/>
              </w:rPr>
              <w:t>SUPPLEMENTAL SCHEDULE -</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Form 5500, Schedule H—Part IV, Line 4i—Schedule of Assets (Held at End of Year) as of December 31, 2009</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4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Form 5500, Schedule H—Part IV, Line 4a—Schedule of Delinquent Participant Contributions as of December 31, 2009</w:t>
              </w:r>
            </w:hyperlink>
          </w:p>
        </w:tc>
        <w:tc>
          <w:tcPr>
            <w:tcW w:w="20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94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CONSENTS OF INDEPENDENT REGISTERED PUBLIC ACCOUNTING FIRMS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12-13</w:t>
            </w:r>
          </w:p>
        </w:tc>
        <w:tc>
          <w:tcPr>
            <w:tcW w:w="0" w:type="dxa"/>
            <w:vAlign w:val="bottom"/>
          </w:tcPr>
          <w:p>
            <w:pPr>
              <w:spacing w:after="0"/>
              <w:rPr>
                <w:sz w:val="1"/>
                <w:szCs w:val="1"/>
                <w:color w:val="auto"/>
              </w:rPr>
            </w:pPr>
          </w:p>
        </w:tc>
      </w:tr>
      <w:tr>
        <w:trPr>
          <w:trHeight w:val="304"/>
        </w:trPr>
        <w:tc>
          <w:tcPr>
            <w:tcW w:w="600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w:t>
              </w:r>
            </w:hyperlink>
          </w:p>
        </w:tc>
        <w:tc>
          <w:tcPr>
            <w:tcW w:w="4940" w:type="dxa"/>
            <w:vAlign w:val="bottom"/>
            <w:gridSpan w:val="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99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0940" w:type="dxa"/>
            <w:vAlign w:val="bottom"/>
            <w:gridSpan w:val="10"/>
          </w:tcPr>
          <w:p>
            <w:pPr>
              <w:spacing w:after="0"/>
              <w:rPr>
                <w:sz w:val="20"/>
                <w:szCs w:val="20"/>
                <w:color w:val="auto"/>
              </w:rPr>
            </w:pPr>
            <w:r>
              <w:rPr>
                <w:rFonts w:ascii="Arial" w:cs="Arial" w:eastAsia="Arial" w:hAnsi="Arial"/>
                <w:sz w:val="18"/>
                <w:szCs w:val="18"/>
                <w:color w:val="auto"/>
                <w:w w:val="90"/>
              </w:rPr>
              <w:t>NOTE: All other schedules required by Section 2520.103-10 of the Department of Labor’s Rules and Regulations for Reporting and Disclosure under the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940" w:type="dxa"/>
            <w:vAlign w:val="bottom"/>
            <w:gridSpan w:val="10"/>
          </w:tcPr>
          <w:p>
            <w:pPr>
              <w:spacing w:after="0"/>
              <w:rPr>
                <w:sz w:val="20"/>
                <w:szCs w:val="20"/>
                <w:color w:val="auto"/>
              </w:rPr>
            </w:pPr>
            <w:r>
              <w:rPr>
                <w:rFonts w:ascii="Arial" w:cs="Arial" w:eastAsia="Arial" w:hAnsi="Arial"/>
                <w:sz w:val="18"/>
                <w:szCs w:val="18"/>
                <w:color w:val="auto"/>
              </w:rPr>
              <w:t>Employee Retirement Income Security Act of 1974 have been omitted because they are not applicable.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statement of net assets available for benefits of the Comcast Spectacor 401(k) Plan (the “Plan”) as of December 31, 2009, and the related statement of changes in net assets available for benefits for the year then ended. These financial statements are the responsibility of the Plan’s management. Our responsibility is to express an opinion on these financial statements based on our audit. The financial statements of the Plan for the year ended December 31, 2008 were audited by other auditors whose report, dated June 26, 2009, expressed an unqualified opinion on those statements.</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such 2009 financial statements present fairly, in all material respects, the net assets available for benefits of the Plan as of December 31, 2009, and the changes in net assets available for benefits for the year then ended in conformity with accounting principles generally accepted in the United States of America</w:t>
      </w:r>
      <w:r>
        <w:rPr>
          <w:rFonts w:ascii="Arial" w:cs="Arial" w:eastAsia="Arial" w:hAnsi="Arial"/>
          <w:sz w:val="18"/>
          <w:szCs w:val="18"/>
          <w:i w:val="1"/>
          <w:iCs w:val="1"/>
          <w:color w:val="auto"/>
        </w:rPr>
        <w: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audit was conducted for the purpose of forming an opinion on the basic financial statements taken as a whole. The supplemental schedules of (1) assets (held at year end) as of December 31, 2009 and (2) delinquent participant contributions for the year ended December 31, 2009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These schedules have been subjected to the auditing procedures applied in our audit of the basic 2009 financial statements and, in our opinion, are fairly stated in all material respects when considered in relation to the basic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Comcast Spectacor 401(k) Plan (the “Plan”) as of December 31, 2008, and the related statement of changes in net assets available for benefits for the year ended December 31, 2008. These financial statements are the responsibility of the Plan’s management. Our responsibility is to express an opinion on these financial statements based on our audit.</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our audit provides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2008, and the changes in net assets available for benefits for the year ended December 31, 2008 in conformity with accounting principles generally accepted in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Participant-directed investments, at fair value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$ 42,125,755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$ 30,786,754</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Contributions receivable from participants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142,551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Contributions receivable from employer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109,193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receivable from participants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917,857</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$ 43,295,356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$ 31,541,005</w:t>
            </w: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8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5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7,849,855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Participant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4,114,641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2,748,849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6,892,260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50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14,742,115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2,790,330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50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2,987,764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11,754,351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31,541,005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43,295,356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PLAN DESCRIPTION</w:t>
      </w:r>
    </w:p>
    <w:p>
      <w:pPr>
        <w:spacing w:after="0" w:line="96"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The following description of the Comcast Spectacor 401(k) Plan (the Plan) provides only general information. Participants should refer to the official Plan document for a complete description of the Plan’s provisions.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280"/>
        <w:spacing w:after="0" w:line="306" w:lineRule="auto"/>
        <w:rPr>
          <w:rFonts w:ascii="Arial" w:cs="Arial" w:eastAsia="Arial" w:hAnsi="Arial"/>
          <w:sz w:val="18"/>
          <w:szCs w:val="18"/>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25"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 or Plan Administrator)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9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Trustee for the Comcast stock held in the Plan is Benefit Trust Company. The Trustee for all other investment options is Reliance Trust Company (the Trustee). The Record-keeper for the Plan is ING Institutional Plan Services, LLC. Generally, all costs associated with administering the Plan are paid by the Plan administrator.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Contributions and Related Party Transactions</w:t>
      </w:r>
    </w:p>
    <w:p>
      <w:pPr>
        <w:spacing w:after="0" w:line="9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51"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 There were no such contributions for the 2009 Plan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Participant Accounts</w:t>
      </w:r>
    </w:p>
    <w:p>
      <w:pPr>
        <w:spacing w:after="0" w:line="9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Participants are immediately vested in their elective deferral contributions plus actual earnings thereon. Participants shall have a fully (100%) vested and non-forfeitable interest in Company matching contributions for Plan years beginning on or after January 1, 2005. Matching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In the event of whole or partial termination of the Plan, there will be full and immediate vesting of each affected employee’s account balance.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Loans to Participants</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Trustee may make loans from the Plan to participants in accordance with the Plan document. All loans to participants are considered investments of the participant’s account and accrue interest at the prime rate plus 2%. All loans are to be repaid within five years unless the loan is used to acquire a principal residence, in which case the term may be longer.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Plan received a determination letter from the IRS dated June 16, 2009, stating that the Plan is qualified under Section 401(a) of the IRS Code (the Code) subject to the adoption of an amendment which was adopted on August 14, 2009 and effective January 1, 2007. As a result, the Plan remains exempt from taxation. The Plan is required to operate in conformity with the Code to maintain its qualified status. The Plan Administrator believes the Plan is being operated in compliance with the applicable requirements of the Code and therefore believes the Plan is tax-exempt.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Forfeited Accounts</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Forfeitures applied to reduce Plan administrative expenses for the year ended December 31, 2009 amounted to $188,538. Forfeitures pending application as of December 31, 2009 were $35,577.</w:t>
      </w:r>
    </w:p>
    <w:p>
      <w:pPr>
        <w:spacing w:after="0" w:line="258" w:lineRule="exact"/>
        <w:rPr>
          <w:sz w:val="20"/>
          <w:szCs w:val="20"/>
          <w:color w:val="auto"/>
        </w:rPr>
      </w:pPr>
    </w:p>
    <w:p>
      <w:pPr>
        <w:ind w:left="460" w:right="6380" w:hanging="452"/>
        <w:spacing w:after="0" w:line="391"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u w:val="single" w:color="auto"/>
          <w:color w:val="auto"/>
        </w:rPr>
        <w:t>Valuation of Investments and Income Recognition</w:t>
      </w:r>
    </w:p>
    <w:p>
      <w:pPr>
        <w:jc w:val="both"/>
        <w:ind w:left="460" w:right="40"/>
        <w:spacing w:after="0" w:line="306" w:lineRule="auto"/>
        <w:rPr>
          <w:rFonts w:ascii="Arial" w:cs="Arial" w:eastAsia="Arial" w:hAnsi="Arial"/>
          <w:sz w:val="16"/>
          <w:szCs w:val="16"/>
          <w:color w:val="auto"/>
        </w:rPr>
      </w:pPr>
      <w:r>
        <w:rPr>
          <w:rFonts w:ascii="Arial" w:cs="Arial" w:eastAsia="Arial" w:hAnsi="Arial"/>
          <w:sz w:val="16"/>
          <w:szCs w:val="16"/>
          <w:color w:val="auto"/>
        </w:rPr>
        <w:t>Plan assets are stated at fair value.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w:t>
      </w:r>
    </w:p>
    <w:p>
      <w:pPr>
        <w:spacing w:after="0" w:line="25" w:lineRule="exact"/>
        <w:rPr>
          <w:rFonts w:ascii="Arial" w:cs="Arial" w:eastAsia="Arial" w:hAnsi="Arial"/>
          <w:sz w:val="16"/>
          <w:szCs w:val="16"/>
          <w:color w:val="auto"/>
        </w:rPr>
      </w:pPr>
    </w:p>
    <w:p>
      <w:pPr>
        <w:ind w:left="460" w:right="80"/>
        <w:spacing w:after="0" w:line="259" w:lineRule="auto"/>
        <w:rPr>
          <w:rFonts w:ascii="Arial" w:cs="Arial" w:eastAsia="Arial" w:hAnsi="Arial"/>
          <w:sz w:val="16"/>
          <w:szCs w:val="16"/>
          <w:color w:val="auto"/>
        </w:rPr>
      </w:pPr>
      <w:r>
        <w:rPr>
          <w:rFonts w:ascii="Arial" w:cs="Arial" w:eastAsia="Arial" w:hAnsi="Arial"/>
          <w:sz w:val="18"/>
          <w:szCs w:val="18"/>
          <w:color w:val="auto"/>
        </w:rPr>
        <w:t>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appreciation in fair value of investments.</w:t>
      </w:r>
    </w:p>
    <w:p>
      <w:pPr>
        <w:spacing w:after="0" w:line="59" w:lineRule="exact"/>
        <w:rPr>
          <w:rFonts w:ascii="Arial" w:cs="Arial" w:eastAsia="Arial" w:hAnsi="Arial"/>
          <w:sz w:val="16"/>
          <w:szCs w:val="16"/>
          <w:color w:val="auto"/>
        </w:rPr>
      </w:pPr>
    </w:p>
    <w:p>
      <w:pPr>
        <w:ind w:left="460" w:right="160"/>
        <w:spacing w:after="0" w:line="259" w:lineRule="auto"/>
        <w:rPr>
          <w:rFonts w:ascii="Arial" w:cs="Arial" w:eastAsia="Arial" w:hAnsi="Arial"/>
          <w:sz w:val="16"/>
          <w:szCs w:val="16"/>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Participant loans are valued at the outstanding loan balances which approximates fair value.</w:t>
      </w:r>
    </w:p>
    <w:p>
      <w:pPr>
        <w:spacing w:after="0" w:line="90" w:lineRule="exact"/>
        <w:rPr>
          <w:rFonts w:ascii="Arial" w:cs="Arial" w:eastAsia="Arial" w:hAnsi="Arial"/>
          <w:sz w:val="16"/>
          <w:szCs w:val="16"/>
          <w:color w:val="auto"/>
        </w:rPr>
      </w:pPr>
    </w:p>
    <w:p>
      <w:pPr>
        <w:ind w:left="460" w:right="380"/>
        <w:spacing w:after="0" w:line="268" w:lineRule="auto"/>
        <w:rPr>
          <w:rFonts w:ascii="Arial" w:cs="Arial" w:eastAsia="Arial" w:hAnsi="Arial"/>
          <w:sz w:val="16"/>
          <w:szCs w:val="16"/>
          <w:color w:val="auto"/>
        </w:rPr>
      </w:pPr>
      <w:r>
        <w:rPr>
          <w:rFonts w:ascii="Arial" w:cs="Arial" w:eastAsia="Arial" w:hAnsi="Arial"/>
          <w:sz w:val="18"/>
          <w:szCs w:val="18"/>
          <w:color w:val="auto"/>
        </w:rPr>
        <w:t>Purchases and sales of securities are recorded on a trade-date basis. Dividends are recorded on the ex-dividend date. Interest income is recorded on the accrual basis.</w:t>
      </w:r>
    </w:p>
    <w:p>
      <w:pPr>
        <w:spacing w:after="0" w:line="2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Use of Estimates</w:t>
      </w:r>
    </w:p>
    <w:p>
      <w:pPr>
        <w:spacing w:after="0" w:line="90" w:lineRule="exact"/>
        <w:rPr>
          <w:rFonts w:ascii="Arial" w:cs="Arial" w:eastAsia="Arial" w:hAnsi="Arial"/>
          <w:sz w:val="16"/>
          <w:szCs w:val="16"/>
          <w:color w:val="auto"/>
        </w:rPr>
      </w:pPr>
    </w:p>
    <w:p>
      <w:pPr>
        <w:ind w:left="460" w:right="360"/>
        <w:spacing w:after="0" w:line="335" w:lineRule="auto"/>
        <w:rPr>
          <w:rFonts w:ascii="Arial" w:cs="Arial" w:eastAsia="Arial" w:hAnsi="Arial"/>
          <w:sz w:val="16"/>
          <w:szCs w:val="16"/>
          <w:color w:val="auto"/>
        </w:rPr>
      </w:pPr>
      <w:r>
        <w:rPr>
          <w:rFonts w:ascii="Arial" w:cs="Arial" w:eastAsia="Arial" w:hAnsi="Arial"/>
          <w:sz w:val="15"/>
          <w:szCs w:val="15"/>
          <w:color w:val="auto"/>
        </w:rPr>
        <w:t>In preparing financial statements in conformity with accounting principles generally accepted in the United States, management is required to make estimates and assumptions that affect the reported amounts of assets and liabilities, the disclosure of contingent assets and liabilities at the date of the financial statements, and the reported amounts of additions and deductions during the reported period. Actual results could differ from those estimates.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Accounting Standards Codification</w:t>
      </w:r>
    </w:p>
    <w:p>
      <w:pPr>
        <w:spacing w:after="0" w:line="90"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The Financial Accounting Standards Board’s (FASB) Accounting Standards Codification (ASC) became effective on July 1, 2009. At that date, the ASC became FASB’s official source of authoritative U.S. generally accepted accounting principles (U.S. GAAP) applicable to all public and nonpublic nongovernmental entities, superseding existing guidance issued by the FASB, the American Institute of Certified Public Accountants (AICPA), the Emerging Issues Task Force (EITF) and other related literature. The FASB also issues Accounting Standards Updates (ASU). An ASU communicates amendments to the ASC. An ASU also provides information to help a user of U.S. GAAP understand how and why U.S. GAAP is changing and when the changes will be effective.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Fair Value Measurements and Disclosures</w:t>
      </w:r>
    </w:p>
    <w:p>
      <w:pPr>
        <w:spacing w:after="0" w:line="9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 xml:space="preserve">In April 2009, FASB Staff Position 157-4, </w:t>
      </w:r>
      <w:r>
        <w:rPr>
          <w:rFonts w:ascii="Arial" w:cs="Arial" w:eastAsia="Arial" w:hAnsi="Arial"/>
          <w:sz w:val="18"/>
          <w:szCs w:val="18"/>
          <w:i w:val="1"/>
          <w:iCs w:val="1"/>
          <w:color w:val="auto"/>
        </w:rPr>
        <w:t>Disclosures 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Significantly Decreased and Identifying Transactions That Are Not Orderly</w:t>
      </w:r>
      <w:r>
        <w:rPr>
          <w:rFonts w:ascii="Arial" w:cs="Arial" w:eastAsia="Arial" w:hAnsi="Arial"/>
          <w:sz w:val="18"/>
          <w:szCs w:val="18"/>
          <w:color w:val="auto"/>
        </w:rPr>
        <w:t>, was issued and later codified into ASC 820, which expanded disclosures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that major categories for debt and equity securities in the fair value hierarchy table be determined on the basis of the nature and risk of the investments. See Note 4.</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In May 2009, the FASB issued ASC 855 (originally issued as FASB Statement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to establish general standards of accounting for and disclosing events that occur after the balance sheet date, but prior to the issuance of financial statements. ASC 855 provides guidance on when financial statements should be adjusted for subsequent events and requires companies to disclose subsequent events and the date through which subsequent events have been evaluated. ASC 855 is effective for periods ending after June 15, 2009.</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2009, subsequent events were evaluated through the date the financial statements were issued.</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8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$ 3,486,716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$ 3,306,799</w:t>
            </w:r>
          </w:p>
        </w:tc>
        <w:tc>
          <w:tcPr>
            <w:tcW w:w="2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Mutual Funds: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EuroPacific Growth Fund—F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3,586,006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2,560,426</w:t>
            </w:r>
          </w:p>
        </w:tc>
        <w:tc>
          <w:tcPr>
            <w:tcW w:w="20" w:type="dxa"/>
            <w:vAlign w:val="bottom"/>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Washington Mutual Investors Fund—F Share</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5,397,883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4,105,145</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Dreyfus Premier Emerging Markets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4,459,224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1,991,987</w:t>
            </w:r>
          </w:p>
        </w:tc>
        <w:tc>
          <w:tcPr>
            <w:tcW w:w="20" w:type="dxa"/>
            <w:vAlign w:val="bottom"/>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The Growth Fund of America—F Share</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6,403,133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4,575,523</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Baron Growth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3,142,293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1,670,217</w:t>
            </w:r>
          </w:p>
        </w:tc>
        <w:tc>
          <w:tcPr>
            <w:tcW w:w="20" w:type="dxa"/>
            <w:vAlign w:val="bottom"/>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Janus Balanced Fund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3,638,887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2,681,200</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Wells Fargo Advantage Government Securities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2,627,904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2,008,894</w:t>
            </w:r>
          </w:p>
        </w:tc>
        <w:tc>
          <w:tcPr>
            <w:tcW w:w="20" w:type="dxa"/>
            <w:vAlign w:val="bottom"/>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Western Asset Government Money Market Exchange Class 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2,229,457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2,904,909</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Royce Total Return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2,674,517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During 2009, the Plan’s investments, including investments purchased and sold, as well as held during the year, appreciated/(depreciated) in fair value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100,472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Mutual Funds:</w:t>
            </w: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5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1,634,474</w:t>
            </w: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5,466,663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Fund</w:t>
            </w:r>
          </w:p>
        </w:tc>
        <w:tc>
          <w:tcPr>
            <w:tcW w:w="5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Pr>
          <w:p>
            <w:pPr>
              <w:spacing w:after="0"/>
              <w:rPr>
                <w:sz w:val="19"/>
                <w:szCs w:val="19"/>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7,172,015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900" w:type="dxa"/>
            <w:vAlign w:val="bottom"/>
            <w:vMerge w:val="restart"/>
          </w:tcPr>
          <w:p>
            <w:pPr>
              <w:jc w:val="right"/>
              <w:ind w:right="4212"/>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51" w:lineRule="exact"/>
        <w:rPr>
          <w:sz w:val="20"/>
          <w:szCs w:val="20"/>
          <w:color w:val="auto"/>
        </w:rPr>
      </w:pPr>
    </w:p>
    <w:p>
      <w:pPr>
        <w:ind w:left="1760" w:right="1260" w:hanging="836"/>
        <w:spacing w:after="0" w:line="268" w:lineRule="auto"/>
        <w:tabs>
          <w:tab w:leader="none" w:pos="17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Consists of financial instruments whose value is based on quoted market prices for identical financial instruments in an active market.</w:t>
      </w:r>
    </w:p>
    <w:p>
      <w:pPr>
        <w:spacing w:after="0" w:line="78" w:lineRule="exact"/>
        <w:rPr>
          <w:sz w:val="20"/>
          <w:szCs w:val="20"/>
          <w:color w:val="auto"/>
        </w:rPr>
      </w:pPr>
    </w:p>
    <w:p>
      <w:pPr>
        <w:ind w:left="1760" w:right="1100" w:hanging="836"/>
        <w:spacing w:after="0" w:line="268" w:lineRule="auto"/>
        <w:tabs>
          <w:tab w:leader="none" w:pos="17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78" w:lineRule="exact"/>
        <w:rPr>
          <w:sz w:val="20"/>
          <w:szCs w:val="20"/>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7" w:lineRule="exact"/>
        <w:rPr>
          <w:rFonts w:ascii="Arial" w:cs="Arial" w:eastAsia="Arial" w:hAnsi="Arial"/>
          <w:sz w:val="18"/>
          <w:szCs w:val="18"/>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117" w:lineRule="exact"/>
        <w:rPr>
          <w:rFonts w:ascii="Arial" w:cs="Arial" w:eastAsia="Arial" w:hAnsi="Arial"/>
          <w:sz w:val="18"/>
          <w:szCs w:val="18"/>
          <w:color w:val="auto"/>
        </w:rPr>
      </w:pPr>
    </w:p>
    <w:p>
      <w:pPr>
        <w:ind w:left="2420" w:right="1280" w:hanging="359"/>
        <w:spacing w:after="0" w:line="268" w:lineRule="auto"/>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78" w:lineRule="exact"/>
        <w:rPr>
          <w:sz w:val="20"/>
          <w:szCs w:val="20"/>
          <w:color w:val="auto"/>
        </w:rPr>
      </w:pPr>
    </w:p>
    <w:p>
      <w:pPr>
        <w:ind w:left="1760" w:right="1120" w:hanging="836"/>
        <w:spacing w:after="0" w:line="268" w:lineRule="auto"/>
        <w:tabs>
          <w:tab w:leader="none" w:pos="17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utilize significant inputs that are primarily unobservable and significant to the fair value measurement.</w:t>
      </w:r>
    </w:p>
    <w:p>
      <w:pPr>
        <w:spacing w:after="0" w:line="5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Mutual funds: Valued at the net asset value of shares held by the Plan at year end.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Common stock fund: Valued at the market value of the CMCSA stock and the market value of the short-term investments at year end.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loans: Valued at the outstanding loan balances which approximates fair value.</w:t>
      </w:r>
    </w:p>
    <w:p>
      <w:pPr>
        <w:spacing w:after="0" w:line="90"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820" w:type="dxa"/>
            <w:vAlign w:val="bottom"/>
          </w:tcPr>
          <w:p>
            <w:pPr>
              <w:jc w:val="right"/>
              <w:ind w:right="12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$ 31,551,911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3"/>
              </w:rPr>
              <w:t>$ 31,551,911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4,459,224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Bond Fund</w:t>
            </w:r>
          </w:p>
        </w:tc>
        <w:tc>
          <w:tcPr>
            <w:tcW w:w="920" w:type="dxa"/>
            <w:vAlign w:val="bottom"/>
          </w:tcPr>
          <w:p>
            <w:pPr>
              <w:jc w:val="right"/>
              <w:spacing w:after="0"/>
              <w:rPr>
                <w:sz w:val="20"/>
                <w:szCs w:val="20"/>
                <w:color w:val="auto"/>
              </w:rPr>
            </w:pPr>
            <w:r>
              <w:rPr>
                <w:rFonts w:ascii="Arial" w:cs="Arial" w:eastAsia="Arial" w:hAnsi="Arial"/>
                <w:sz w:val="18"/>
                <w:szCs w:val="18"/>
                <w:color w:val="auto"/>
              </w:rPr>
              <w:t>2,627,904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2,627,904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3,486,716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Participant Loans</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917,857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 at 12/31/09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$ 38,639,039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3,486,716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$ 917,857</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$ 43,043,612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4"/>
                <w:szCs w:val="24"/>
                <w:color w:val="auto"/>
              </w:rPr>
            </w:pPr>
          </w:p>
        </w:tc>
        <w:tc>
          <w:tcPr>
            <w:tcW w:w="820" w:type="dxa"/>
            <w:vAlign w:val="bottom"/>
          </w:tcPr>
          <w:p>
            <w:pPr>
              <w:jc w:val="right"/>
              <w:ind w:right="12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$ 23,479,074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3"/>
              </w:rPr>
              <w:t>$ 23,479,074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Bond Fund</w:t>
            </w:r>
          </w:p>
        </w:tc>
        <w:tc>
          <w:tcPr>
            <w:tcW w:w="920" w:type="dxa"/>
            <w:vAlign w:val="bottom"/>
          </w:tcPr>
          <w:p>
            <w:pPr>
              <w:jc w:val="right"/>
              <w:spacing w:after="0"/>
              <w:rPr>
                <w:sz w:val="20"/>
                <w:szCs w:val="20"/>
                <w:color w:val="auto"/>
              </w:rPr>
            </w:pPr>
            <w:r>
              <w:rPr>
                <w:rFonts w:ascii="Arial" w:cs="Arial" w:eastAsia="Arial" w:hAnsi="Arial"/>
                <w:sz w:val="18"/>
                <w:szCs w:val="18"/>
                <w:color w:val="auto"/>
              </w:rPr>
              <w:t>2,008,894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Participant Loans</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754,251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 at 12/31/08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$ 27,479,955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3,306,799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$ 754,251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$ 31,541,005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0400" w:type="dxa"/>
            <w:vAlign w:val="bottom"/>
            <w:gridSpan w:val="7"/>
          </w:tcPr>
          <w:p>
            <w:pPr>
              <w:ind w:left="440"/>
              <w:spacing w:after="0"/>
              <w:rPr>
                <w:sz w:val="20"/>
                <w:szCs w:val="20"/>
                <w:color w:val="auto"/>
              </w:rPr>
            </w:pPr>
            <w:r>
              <w:rPr>
                <w:rFonts w:ascii="Arial" w:cs="Arial" w:eastAsia="Arial" w:hAnsi="Arial"/>
                <w:sz w:val="18"/>
                <w:szCs w:val="18"/>
                <w:color w:val="auto"/>
                <w:w w:val="93"/>
              </w:rPr>
              <w:t>The table below sets forth a summary of changes in the fair value of the Plan’s Level 3 assets for the year ended December 31, 2009: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Level 3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Participant 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Realized gains/(losses)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Purchases, sales, issuances and settlements (net)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163,606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Although no participating employer has expressed any intent to do so, each participating employer has the right under the Plan to discontinue its contributions and to terminate the Plan subject to the provisions of ERISA. Additionally, Comcast Spectacor, L.P. has the right to terminate the Plan. In the event of Plan termination, participants will become 100% vested in their accounts.</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NON EXEMPT PARTY IN INTEREST TRANSACTIONS</w:t>
      </w:r>
    </w:p>
    <w:p>
      <w:pPr>
        <w:spacing w:after="0" w:line="177" w:lineRule="exact"/>
        <w:rPr>
          <w:rFonts w:ascii="Arial" w:cs="Arial" w:eastAsia="Arial" w:hAnsi="Arial"/>
          <w:sz w:val="18"/>
          <w:szCs w:val="18"/>
          <w:color w:val="auto"/>
        </w:rPr>
      </w:pPr>
    </w:p>
    <w:p>
      <w:pPr>
        <w:ind w:left="460" w:right="160"/>
        <w:spacing w:after="0" w:line="291" w:lineRule="auto"/>
        <w:rPr>
          <w:rFonts w:ascii="Arial" w:cs="Arial" w:eastAsia="Arial" w:hAnsi="Arial"/>
          <w:sz w:val="18"/>
          <w:szCs w:val="18"/>
          <w:color w:val="auto"/>
        </w:rPr>
      </w:pPr>
      <w:r>
        <w:rPr>
          <w:rFonts w:ascii="Arial" w:cs="Arial" w:eastAsia="Arial" w:hAnsi="Arial"/>
          <w:sz w:val="16"/>
          <w:szCs w:val="16"/>
          <w:color w:val="auto"/>
        </w:rPr>
        <w:t>For the Plan year, the Company has remitted certain participant contributions and loan repayments to the Trustee after the 15</w:t>
      </w:r>
      <w:r>
        <w:rPr>
          <w:rFonts w:ascii="Arial" w:cs="Arial" w:eastAsia="Arial" w:hAnsi="Arial"/>
          <w:sz w:val="10"/>
          <w:szCs w:val="10"/>
          <w:color w:val="auto"/>
        </w:rPr>
        <w:t>th</w:t>
      </w:r>
      <w:r>
        <w:rPr>
          <w:rFonts w:ascii="Arial" w:cs="Arial" w:eastAsia="Arial" w:hAnsi="Arial"/>
          <w:sz w:val="16"/>
          <w:szCs w:val="16"/>
          <w:color w:val="auto"/>
        </w:rPr>
        <w:t xml:space="preserve"> business day of the month following the month in which the participant contributions and loan repayments were withheld from participant paychecks. Therefore, these remittances were made after the date on which the remittances were required to be made under Department of Labor Regulation §2510.3-102. The Company is in the process of filing IRS Form 5330 to report and pay an excise tax with respect to the late remittances as required pursuant to Section 4975 of the Code. In addition, the Company will pay an additional amount to the Trustee to reflect foregone earnings that would have been credited to participants’ accounts if the late remittances had been made on a timely basis. Such amounts are not material to the Plan’s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H—PART IV—LINE 4i-SCHEDULE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EIN 23-2303756</w:t>
            </w:r>
          </w:p>
        </w:tc>
      </w:tr>
      <w:tr>
        <w:trPr>
          <w:trHeight w:val="228"/>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7"/>
              </w:rPr>
              <w:t>PLAN NO. 004</w:t>
            </w:r>
          </w:p>
        </w:tc>
      </w:tr>
      <w:tr>
        <w:trPr>
          <w:trHeight w:val="340"/>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(c) Description of Investment, Including Maturity Date,</w:t>
            </w:r>
          </w:p>
        </w:tc>
      </w:tr>
      <w:tr>
        <w:trPr>
          <w:trHeight w:val="175"/>
        </w:trPr>
        <w:tc>
          <w:tcPr>
            <w:tcW w:w="220" w:type="dxa"/>
            <w:vAlign w:val="bottom"/>
          </w:tcPr>
          <w:p>
            <w:pP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300" w:type="dxa"/>
            <w:vAlign w:val="bottom"/>
          </w:tcPr>
          <w:p>
            <w:pPr>
              <w:ind w:left="11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120" w:type="dxa"/>
            <w:vAlign w:val="bottom"/>
          </w:tcPr>
          <w:p>
            <w:pPr>
              <w:spacing w:after="0"/>
              <w:rPr>
                <w:sz w:val="15"/>
                <w:szCs w:val="15"/>
                <w:color w:val="auto"/>
              </w:rPr>
            </w:pPr>
          </w:p>
        </w:tc>
        <w:tc>
          <w:tcPr>
            <w:tcW w:w="3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Rate of Interest, Collateral, Par, or Maturity Value</w:t>
            </w:r>
          </w:p>
        </w:tc>
      </w:tr>
      <w:tr>
        <w:trPr>
          <w:trHeight w:val="130"/>
        </w:trPr>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4"/>
              <w:spacing w:after="0" w:line="130" w:lineRule="exact"/>
              <w:rPr>
                <w:sz w:val="20"/>
                <w:szCs w:val="20"/>
                <w:color w:val="auto"/>
              </w:rPr>
            </w:pPr>
            <w:r>
              <w:rPr>
                <w:rFonts w:ascii="Arial" w:cs="Arial" w:eastAsia="Arial" w:hAnsi="Arial"/>
                <w:sz w:val="14"/>
                <w:szCs w:val="14"/>
                <w:b w:val="1"/>
                <w:bCs w:val="1"/>
                <w:color w:val="auto"/>
                <w:w w:val="92"/>
              </w:rPr>
              <w:t>(e) Current</w:t>
            </w:r>
          </w:p>
        </w:tc>
        <w:tc>
          <w:tcPr>
            <w:tcW w:w="20" w:type="dxa"/>
            <w:vAlign w:val="bottom"/>
          </w:tcPr>
          <w:p>
            <w:pPr>
              <w:spacing w:after="0"/>
              <w:rPr>
                <w:sz w:val="11"/>
                <w:szCs w:val="11"/>
                <w:color w:val="auto"/>
              </w:rPr>
            </w:pPr>
          </w:p>
        </w:tc>
      </w:tr>
      <w:tr>
        <w:trPr>
          <w:trHeight w:val="161"/>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10"/>
        </w:trPr>
        <w:tc>
          <w:tcPr>
            <w:tcW w:w="220" w:type="dxa"/>
            <w:vAlign w:val="bottom"/>
            <w:shd w:val="clear" w:color="auto" w:fill="CCEEFF"/>
          </w:tcPr>
          <w:p>
            <w:pPr>
              <w:spacing w:after="0"/>
              <w:rPr>
                <w:sz w:val="18"/>
                <w:szCs w:val="18"/>
                <w:color w:val="auto"/>
              </w:rPr>
            </w:pPr>
          </w:p>
        </w:tc>
        <w:tc>
          <w:tcPr>
            <w:tcW w:w="7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Mutual Funds (at fair value)</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EuroPacific Growth Fund - F Share</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3,586,006</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Washington Mutual Investors Fund - F Share</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5,397,883</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The Growth Fund of America - F Share</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6,403,133</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Baron Growth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3,142,293</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Cohen and Steers Realty Shares</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870,923</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Dreyfus Appreciation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660,247</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ING GNMA Income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832,514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Dreyfus US Treasury Long Term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848,252</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Dreyfus Premier Emerging Markets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4,459,224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Janus Balanced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3,638,887</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Wells Fargo Advantage Government Securities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2,627,904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Royce Total Return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2,674,517</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Western Asset Government Money Market Exchange Class A</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2,229,457</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International Bond Advisor</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666,675</w:t>
            </w:r>
          </w:p>
        </w:tc>
        <w:tc>
          <w:tcPr>
            <w:tcW w:w="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American Century Vista Advisors</w:t>
            </w:r>
          </w:p>
        </w:tc>
        <w:tc>
          <w:tcPr>
            <w:tcW w:w="120" w:type="dxa"/>
            <w:vAlign w:val="bottom"/>
          </w:tcPr>
          <w:p>
            <w:pPr>
              <w:spacing w:after="0"/>
              <w:rPr>
                <w:sz w:val="19"/>
                <w:szCs w:val="19"/>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601,124</w:t>
            </w:r>
          </w:p>
        </w:tc>
        <w:tc>
          <w:tcPr>
            <w:tcW w:w="20" w:type="dxa"/>
            <w:vAlign w:val="bottom"/>
          </w:tcPr>
          <w:p>
            <w:pPr>
              <w:spacing w:after="0"/>
              <w:rPr>
                <w:sz w:val="19"/>
                <w:szCs w:val="19"/>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38,639,039</w:t>
            </w:r>
          </w:p>
        </w:tc>
        <w:tc>
          <w:tcPr>
            <w:tcW w:w="20" w:type="dxa"/>
            <w:vAlign w:val="bottom"/>
          </w:tcPr>
          <w:p>
            <w:pPr>
              <w:spacing w:after="0"/>
              <w:rPr>
                <w:sz w:val="18"/>
                <w:szCs w:val="18"/>
                <w:color w:val="auto"/>
              </w:rPr>
            </w:pPr>
          </w:p>
        </w:tc>
      </w:tr>
      <w:tr>
        <w:trPr>
          <w:trHeight w:val="3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100"/>
              <w:spacing w:after="0"/>
              <w:rPr>
                <w:sz w:val="20"/>
                <w:szCs w:val="20"/>
                <w:color w:val="auto"/>
              </w:rPr>
            </w:pPr>
            <w:r>
              <w:rPr>
                <w:rFonts w:ascii="Arial" w:cs="Arial" w:eastAsia="Arial" w:hAnsi="Arial"/>
                <w:sz w:val="18"/>
                <w:szCs w:val="18"/>
                <w:color w:val="auto"/>
              </w:rPr>
              <w:t>Comcast Stock Fund</w:t>
            </w:r>
          </w:p>
        </w:tc>
        <w:tc>
          <w:tcPr>
            <w:tcW w:w="120" w:type="dxa"/>
            <w:vAlign w:val="bottom"/>
          </w:tcPr>
          <w:p>
            <w:pPr>
              <w:spacing w:after="0"/>
              <w:rPr>
                <w:sz w:val="24"/>
                <w:szCs w:val="24"/>
                <w:color w:val="auto"/>
              </w:rPr>
            </w:pPr>
          </w:p>
        </w:tc>
        <w:tc>
          <w:tcPr>
            <w:tcW w:w="2640" w:type="dxa"/>
            <w:vAlign w:val="bottom"/>
          </w:tcPr>
          <w:p>
            <w:pPr>
              <w:jc w:val="center"/>
              <w:ind w:left="94"/>
              <w:spacing w:after="0"/>
              <w:rPr>
                <w:sz w:val="20"/>
                <w:szCs w:val="20"/>
                <w:color w:val="auto"/>
              </w:rPr>
            </w:pPr>
            <w:r>
              <w:rPr>
                <w:rFonts w:ascii="Arial" w:cs="Arial" w:eastAsia="Arial" w:hAnsi="Arial"/>
                <w:sz w:val="18"/>
                <w:szCs w:val="18"/>
                <w:color w:val="auto"/>
                <w:w w:val="90"/>
              </w:rPr>
              <w:t>Unitized stock fund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3,486,716</w:t>
            </w:r>
          </w:p>
        </w:tc>
        <w:tc>
          <w:tcPr>
            <w:tcW w:w="20" w:type="dxa"/>
            <w:vAlign w:val="bottom"/>
          </w:tcPr>
          <w:p>
            <w:pPr>
              <w:spacing w:after="0"/>
              <w:rPr>
                <w:sz w:val="24"/>
                <w:szCs w:val="24"/>
                <w:color w:val="auto"/>
              </w:rPr>
            </w:pPr>
          </w:p>
        </w:tc>
      </w:tr>
      <w:tr>
        <w:trPr>
          <w:trHeight w:val="110"/>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8"/>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8"/>
              </w:rPr>
              <w:t>Interest rates from 5.25%-10.25%;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20" w:type="dxa"/>
            <w:vAlign w:val="bottom"/>
            <w:shd w:val="clear" w:color="auto" w:fill="CCEEFF"/>
          </w:tcPr>
          <w:p>
            <w:pPr>
              <w:spacing w:after="0"/>
              <w:rPr>
                <w:sz w:val="20"/>
                <w:szCs w:val="20"/>
                <w:color w:val="auto"/>
              </w:rPr>
            </w:pPr>
          </w:p>
        </w:tc>
        <w:tc>
          <w:tcPr>
            <w:tcW w:w="7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Participant loans (outstanding balances which approximates fair value)</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0"/>
              </w:rPr>
              <w:t>maturities from 2010-2038</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917,857</w:t>
            </w:r>
          </w:p>
        </w:tc>
        <w:tc>
          <w:tcPr>
            <w:tcW w:w="20" w:type="dxa"/>
            <w:vAlign w:val="bottom"/>
          </w:tcPr>
          <w:p>
            <w:pPr>
              <w:spacing w:after="0"/>
              <w:rPr>
                <w:sz w:val="20"/>
                <w:szCs w:val="20"/>
                <w:color w:val="auto"/>
              </w:rPr>
            </w:pPr>
          </w:p>
        </w:tc>
      </w:tr>
      <w:tr>
        <w:trPr>
          <w:trHeight w:val="223"/>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43,043,612</w:t>
            </w:r>
          </w:p>
        </w:tc>
        <w:tc>
          <w:tcPr>
            <w:tcW w:w="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90"/>
        </w:trPr>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ind w:right="1120"/>
        <w:spacing w:after="0" w:line="275" w:lineRule="auto"/>
        <w:rPr>
          <w:sz w:val="20"/>
          <w:szCs w:val="20"/>
          <w:color w:val="auto"/>
        </w:rPr>
      </w:pPr>
      <w:r>
        <w:rPr>
          <w:rFonts w:ascii="Arial" w:cs="Arial" w:eastAsia="Arial" w:hAnsi="Arial"/>
          <w:sz w:val="18"/>
          <w:szCs w:val="18"/>
          <w:b w:val="1"/>
          <w:bCs w:val="1"/>
          <w:color w:val="auto"/>
        </w:rPr>
        <w:t>SCHEDULE H—PART IV—LINE 4a—SCHEDULE OF DELINQUENT PARTICIPANT CONTRIBUTIONS FOR THE YEAR ENDED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120" w:type="dxa"/>
            <w:vAlign w:val="bottom"/>
            <w:gridSpan w:val="7"/>
          </w:tcPr>
          <w:p>
            <w:pPr>
              <w:jc w:val="center"/>
              <w:spacing w:after="0"/>
              <w:rPr>
                <w:sz w:val="20"/>
                <w:szCs w:val="20"/>
                <w:color w:val="auto"/>
              </w:rPr>
            </w:pPr>
            <w:r>
              <w:rPr>
                <w:rFonts w:ascii="Arial" w:cs="Arial" w:eastAsia="Arial" w:hAnsi="Arial"/>
                <w:sz w:val="18"/>
                <w:szCs w:val="18"/>
                <w:color w:val="auto"/>
                <w:w w:val="88"/>
              </w:rPr>
              <w:t>Total that Constitute Nonexempt Prohibited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Transactions</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3"/>
        </w:trPr>
        <w:tc>
          <w:tcPr>
            <w:tcW w:w="5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0"/>
              </w:rPr>
              <w:t>Contributions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12"/>
              <w:spacing w:after="0" w:line="203" w:lineRule="exact"/>
              <w:rPr>
                <w:sz w:val="20"/>
                <w:szCs w:val="20"/>
                <w:color w:val="auto"/>
              </w:rPr>
            </w:pPr>
            <w:r>
              <w:rPr>
                <w:rFonts w:ascii="Arial" w:cs="Arial" w:eastAsia="Arial" w:hAnsi="Arial"/>
                <w:sz w:val="18"/>
                <w:szCs w:val="18"/>
                <w:color w:val="auto"/>
                <w:w w:val="93"/>
              </w:rPr>
              <w:t>Total Fully</w:t>
            </w:r>
          </w:p>
        </w:tc>
      </w:tr>
      <w:tr>
        <w:trPr>
          <w:trHeight w:val="216"/>
        </w:trPr>
        <w:tc>
          <w:tcPr>
            <w:tcW w:w="5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Contributions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Pending</w:t>
            </w:r>
          </w:p>
        </w:tc>
        <w:tc>
          <w:tcPr>
            <w:tcW w:w="172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Corrected Under</w:t>
            </w:r>
          </w:p>
        </w:tc>
      </w:tr>
      <w:tr>
        <w:trPr>
          <w:trHeight w:val="216"/>
        </w:trPr>
        <w:tc>
          <w:tcPr>
            <w:tcW w:w="5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Contributions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Corrected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2"/>
              <w:spacing w:after="0"/>
              <w:rPr>
                <w:sz w:val="20"/>
                <w:szCs w:val="20"/>
                <w:color w:val="auto"/>
              </w:rPr>
            </w:pPr>
            <w:r>
              <w:rPr>
                <w:rFonts w:ascii="Arial" w:cs="Arial" w:eastAsia="Arial" w:hAnsi="Arial"/>
                <w:sz w:val="18"/>
                <w:szCs w:val="18"/>
                <w:color w:val="auto"/>
                <w:w w:val="91"/>
              </w:rPr>
              <w:t>Correction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color w:val="auto"/>
                <w:w w:val="89"/>
              </w:rPr>
              <w:t>VFCP and</w:t>
            </w:r>
          </w:p>
        </w:tc>
      </w:tr>
      <w:tr>
        <w:trPr>
          <w:trHeight w:val="222"/>
        </w:trPr>
        <w:tc>
          <w:tcPr>
            <w:tcW w:w="55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Not Corrected</w:t>
            </w:r>
          </w:p>
        </w:tc>
        <w:tc>
          <w:tcPr>
            <w:tcW w:w="560" w:type="dxa"/>
            <w:vAlign w:val="bottom"/>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Outside VFCP</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in VFCP</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PTE 2002-51</w:t>
            </w:r>
          </w:p>
        </w:tc>
      </w:tr>
      <w:tr>
        <w:trPr>
          <w:trHeight w:val="311"/>
        </w:trPr>
        <w:tc>
          <w:tcPr>
            <w:tcW w:w="558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Transferred Late to Plan</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$22,137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28, 2010, relating to the statement of net assets available for benefits as of December 31, 2009, the related statement of changes in net assets available for benefits for the year then ended and the related supplemental Schedule H—Part IV, Line 4i—Schedule of Assets (Held at End of Year) as of December 31, 2009 and Schedule H —Line 4a—Schedule of Delinquent Participant Contributions, which report appears in the December 31, 2009 Annual Report on Form 11-K of the Comcast Spectacor 401(k)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consent to the incorporation by reference in the Registration Statement No. 333-101295 of Comcast Corporation on Form S-8 of our report dated June 26, 2009, relating to the statement of net assets available for benefits as of December 31, 2008 and the related statement of changes in net assets available for benefits for the year ended December 31, 2008, which report appears in the December 31, 2009 Annual Report on Form 11-K of the Comcast Spectacor 401(k) Plan.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6985</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2019-12-10T20:58:28Z</dcterms:created>
  <dcterms:modified xsi:type="dcterms:W3CDTF">2019-12-10T20:58:28Z</dcterms:modified>
</cp:coreProperties>
</file>