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333-232941</w:t>
      </w:r>
    </w:p>
    <w:p>
      <w:pPr>
        <w:spacing w:after="0" w:line="15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CALCULATION OF REGISTRATION FEE</w:t>
      </w:r>
    </w:p>
    <w:p>
      <w:pPr>
        <w:spacing w:after="0" w:line="71"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96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1080" w:type="dxa"/>
            <w:vAlign w:val="bottom"/>
            <w:tcBorders>
              <w:top w:val="single" w:sz="8" w:color="auto"/>
              <w:bottom w:val="single" w:sz="8" w:color="auto"/>
            </w:tcBorders>
          </w:tcPr>
          <w:p>
            <w:pPr>
              <w:spacing w:after="0"/>
              <w:rPr>
                <w:sz w:val="3"/>
                <w:szCs w:val="3"/>
                <w:color w:val="auto"/>
              </w:rPr>
            </w:pPr>
          </w:p>
        </w:tc>
      </w:tr>
      <w:tr>
        <w:trPr>
          <w:trHeight w:val="116"/>
        </w:trPr>
        <w:tc>
          <w:tcPr>
            <w:tcW w:w="796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9"/>
              </w:rPr>
              <w:t>Maximum</w:t>
            </w:r>
          </w:p>
        </w:tc>
        <w:tc>
          <w:tcPr>
            <w:tcW w:w="44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34"/>
        </w:trPr>
        <w:tc>
          <w:tcPr>
            <w:tcW w:w="796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2"/>
              </w:rPr>
              <w:t>Title of Each Class of</w:t>
            </w:r>
          </w:p>
        </w:tc>
        <w:tc>
          <w:tcPr>
            <w:tcW w:w="154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3"/>
              </w:rPr>
              <w:t>Aggregate</w:t>
            </w:r>
          </w:p>
        </w:tc>
        <w:tc>
          <w:tcPr>
            <w:tcW w:w="440" w:type="dxa"/>
            <w:vAlign w:val="bottom"/>
          </w:tcPr>
          <w:p>
            <w:pPr>
              <w:spacing w:after="0"/>
              <w:rPr>
                <w:sz w:val="11"/>
                <w:szCs w:val="11"/>
                <w:color w:val="auto"/>
              </w:rPr>
            </w:pPr>
          </w:p>
        </w:tc>
        <w:tc>
          <w:tcPr>
            <w:tcW w:w="1080" w:type="dxa"/>
            <w:vAlign w:val="bottom"/>
          </w:tcPr>
          <w:p>
            <w:pPr>
              <w:jc w:val="right"/>
              <w:ind w:right="337"/>
              <w:spacing w:after="0" w:line="134" w:lineRule="exact"/>
              <w:rPr>
                <w:sz w:val="20"/>
                <w:szCs w:val="20"/>
                <w:color w:val="auto"/>
              </w:rPr>
            </w:pPr>
            <w:r>
              <w:rPr>
                <w:rFonts w:ascii="Arial" w:cs="Arial" w:eastAsia="Arial" w:hAnsi="Arial"/>
                <w:sz w:val="13"/>
                <w:szCs w:val="13"/>
                <w:b w:val="1"/>
                <w:bCs w:val="1"/>
                <w:color w:val="auto"/>
                <w:w w:val="98"/>
              </w:rPr>
              <w:t>Amount of</w:t>
            </w:r>
          </w:p>
        </w:tc>
      </w:tr>
      <w:tr>
        <w:trPr>
          <w:trHeight w:val="175"/>
        </w:trPr>
        <w:tc>
          <w:tcPr>
            <w:tcW w:w="7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Securities to be Registered</w:t>
            </w:r>
          </w:p>
        </w:tc>
        <w:tc>
          <w:tcPr>
            <w:tcW w:w="154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2"/>
                <w:szCs w:val="12"/>
                <w:b w:val="1"/>
                <w:bCs w:val="1"/>
                <w:color w:val="auto"/>
              </w:rPr>
              <w:t>Offering Price</w:t>
            </w:r>
            <w:r>
              <w:rPr>
                <w:rFonts w:ascii="Arial" w:cs="Arial" w:eastAsia="Arial" w:hAnsi="Arial"/>
                <w:sz w:val="20"/>
                <w:szCs w:val="20"/>
                <w:b w:val="1"/>
                <w:bCs w:val="1"/>
                <w:color w:val="auto"/>
                <w:vertAlign w:val="superscript"/>
              </w:rPr>
              <w:t>(1)</w:t>
            </w:r>
          </w:p>
        </w:tc>
        <w:tc>
          <w:tcPr>
            <w:tcW w:w="1520" w:type="dxa"/>
            <w:vAlign w:val="bottom"/>
            <w:tcBorders>
              <w:bottom w:val="single" w:sz="8" w:color="auto"/>
            </w:tcBorders>
            <w:gridSpan w:val="2"/>
          </w:tcPr>
          <w:p>
            <w:pPr>
              <w:jc w:val="right"/>
              <w:ind w:right="97"/>
              <w:spacing w:after="0" w:line="176" w:lineRule="exact"/>
              <w:rPr>
                <w:sz w:val="20"/>
                <w:szCs w:val="20"/>
                <w:color w:val="auto"/>
              </w:rPr>
            </w:pPr>
            <w:r>
              <w:rPr>
                <w:rFonts w:ascii="Arial" w:cs="Arial" w:eastAsia="Arial" w:hAnsi="Arial"/>
                <w:sz w:val="12"/>
                <w:szCs w:val="12"/>
                <w:b w:val="1"/>
                <w:bCs w:val="1"/>
                <w:color w:val="auto"/>
              </w:rPr>
              <w:t>Registration Fee</w:t>
            </w:r>
            <w:r>
              <w:rPr>
                <w:rFonts w:ascii="Arial" w:cs="Arial" w:eastAsia="Arial" w:hAnsi="Arial"/>
                <w:sz w:val="20"/>
                <w:szCs w:val="20"/>
                <w:b w:val="1"/>
                <w:bCs w:val="1"/>
                <w:color w:val="auto"/>
                <w:vertAlign w:val="superscript"/>
              </w:rPr>
              <w:t>(2)</w:t>
            </w:r>
          </w:p>
        </w:tc>
      </w:tr>
      <w:tr>
        <w:trPr>
          <w:trHeight w:val="210"/>
        </w:trPr>
        <w:tc>
          <w:tcPr>
            <w:tcW w:w="7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0.000% Notes due 2026</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$1,480,000,000</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w w:val="86"/>
              </w:rPr>
              <w:t>161,468.00</w:t>
            </w:r>
          </w:p>
        </w:tc>
      </w:tr>
      <w:tr>
        <w:trPr>
          <w:trHeight w:val="209"/>
        </w:trPr>
        <w:tc>
          <w:tcPr>
            <w:tcW w:w="7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0.250% Notes due 2029</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$592,000,000</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w w:val="97"/>
              </w:rPr>
              <w:t>64,587.20</w:t>
            </w:r>
          </w:p>
        </w:tc>
      </w:tr>
      <w:tr>
        <w:trPr>
          <w:trHeight w:val="209"/>
        </w:trPr>
        <w:tc>
          <w:tcPr>
            <w:tcW w:w="7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$2,072,000,000</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w w:val="86"/>
              </w:rPr>
              <w:t>226,055.20</w:t>
            </w:r>
          </w:p>
        </w:tc>
      </w:tr>
      <w:tr>
        <w:trPr>
          <w:trHeight w:val="20"/>
        </w:trPr>
        <w:tc>
          <w:tcPr>
            <w:tcW w:w="79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540" w:right="120" w:hanging="424"/>
        <w:spacing w:after="0" w:line="252"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€1,750,000,000 aggregate principal amount of euro-denominated notes will be issued. The U.S. dollar equivalent of the maximum aggregate offering price, $2,072,000,000, has been calculated using a €/U.S.$ exchange rate of €1.00/U.S.$1.1840 as reported by Bloomberg, L.P. as of September 7, 2021.</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under the Securities Act of 1933, as amended.</w:t>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PROSPECTUS SUPPLEMENT</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 prospectus dated August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142875</wp:posOffset>
            </wp:positionV>
            <wp:extent cx="1397000" cy="4883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00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€1,250,000,000 0.000% Notes due 2026</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€500,000,000 0.250%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160020</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85"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The notes due 2026 will bear interest at a rate of 0.000% per year and will mature on September 14, 2026 (the “Notes due 2026”) and the notes due 2029 will bear interest at a rate of 0.250% per year and will mature on September 14, 2029 (the “Notes due 2029,” and together with the Notes due 2026, the “notes”). We will pay interest on the notes on September 14 of each year, beginning on September 14, 2022. We may redeem any of the notes at any time by paying the applicable Redemption Price described under the heading “Description of the Notes—Optional Redemption.” In addition, we may redeem the notes in whole but not in part, at any time at our option, in the event of certain developments affecting United States taxation as described under the heading “Description of the Notes—Redemption for Tax Reasons.”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notes will be issued in minimum denominations of €100,000 and integral multiples of €1,000 in excess thereof.</w:t>
      </w:r>
    </w:p>
    <w:p>
      <w:pPr>
        <w:spacing w:after="0" w:line="198"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color w:val="auto"/>
        </w:rPr>
        <w:t>The notes will be unsecured and will rank equally with all of our and our guarantors’ unsecured and unsubordinated indebtedness. The notes will be fully and unconditionally guaranteed by our wholly-owned subsidiaries named in this prospectus supplement and in the accompanying prospectus.</w:t>
      </w:r>
    </w:p>
    <w:p>
      <w:pPr>
        <w:spacing w:after="0" w:line="83"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Each series of the notes is a new issue of securities with no established trading market. We currently intend to apply to list the notes on the NASDAQ Global Market (“NASDAQ”). The listing applications will be subject to approval by NASDAQ. If such listings are obtained, we have no obligation to maintain such listings for any series of the notes and we may delist any series of the notes at any time. We currently expect trading in the notes on NASDAQ to begin within 30 days after the original issue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144780</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25" w:lineRule="exact"/>
        <w:rPr>
          <w:sz w:val="20"/>
          <w:szCs w:val="20"/>
          <w:color w:val="auto"/>
        </w:rPr>
      </w:pPr>
    </w:p>
    <w:p>
      <w:pPr>
        <w:ind w:left="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these securities involves certain risks. See “</w:t>
      </w:r>
      <w:hyperlink w:anchor="page11">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S-5 of this prospectus supplement.</w:t>
      </w:r>
    </w:p>
    <w:p>
      <w:pPr>
        <w:spacing w:after="0" w:line="20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restart"/>
          </w:tcPr>
          <w:p>
            <w:pPr>
              <w:jc w:val="right"/>
              <w:ind w:right="285"/>
              <w:spacing w:after="0"/>
              <w:rPr>
                <w:sz w:val="20"/>
                <w:szCs w:val="20"/>
                <w:color w:val="auto"/>
              </w:rPr>
            </w:pPr>
            <w:r>
              <w:rPr>
                <w:rFonts w:ascii="Arial" w:cs="Arial" w:eastAsia="Arial" w:hAnsi="Arial"/>
                <w:sz w:val="14"/>
                <w:szCs w:val="14"/>
                <w:b w:val="1"/>
                <w:bCs w:val="1"/>
                <w:color w:val="auto"/>
              </w:rPr>
              <w:t>Price to</w:t>
            </w:r>
          </w:p>
        </w:tc>
        <w:tc>
          <w:tcPr>
            <w:tcW w:w="2100" w:type="dxa"/>
            <w:vAlign w:val="bottom"/>
            <w:gridSpan w:val="3"/>
            <w:vMerge w:val="restart"/>
          </w:tcPr>
          <w:p>
            <w:pPr>
              <w:ind w:left="1000"/>
              <w:spacing w:after="0"/>
              <w:rPr>
                <w:sz w:val="20"/>
                <w:szCs w:val="20"/>
                <w:color w:val="auto"/>
              </w:rPr>
            </w:pPr>
            <w:r>
              <w:rPr>
                <w:rFonts w:ascii="Arial" w:cs="Arial" w:eastAsia="Arial" w:hAnsi="Arial"/>
                <w:sz w:val="14"/>
                <w:szCs w:val="14"/>
                <w:b w:val="1"/>
                <w:bCs w:val="1"/>
                <w:color w:val="auto"/>
              </w:rPr>
              <w:t>Underwriters’</w:t>
            </w:r>
          </w:p>
        </w:tc>
        <w:tc>
          <w:tcPr>
            <w:tcW w:w="2180" w:type="dxa"/>
            <w:vAlign w:val="bottom"/>
            <w:gridSpan w:val="4"/>
          </w:tcPr>
          <w:p>
            <w:pPr>
              <w:ind w:left="1000"/>
              <w:spacing w:after="0"/>
              <w:rPr>
                <w:sz w:val="20"/>
                <w:szCs w:val="20"/>
                <w:color w:val="auto"/>
              </w:rPr>
            </w:pPr>
            <w:r>
              <w:rPr>
                <w:rFonts w:ascii="Arial" w:cs="Arial" w:eastAsia="Arial" w:hAnsi="Arial"/>
                <w:sz w:val="14"/>
                <w:szCs w:val="14"/>
                <w:b w:val="1"/>
                <w:bCs w:val="1"/>
                <w:color w:val="auto"/>
              </w:rPr>
              <w:t>Proceeds to Us</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100" w:type="dxa"/>
            <w:vAlign w:val="bottom"/>
            <w:gridSpan w:val="3"/>
            <w:vMerge w:val="continue"/>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Before</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245"/>
              <w:spacing w:after="0"/>
              <w:rPr>
                <w:sz w:val="20"/>
                <w:szCs w:val="20"/>
                <w:color w:val="auto"/>
              </w:rPr>
            </w:pPr>
            <w:r>
              <w:rPr>
                <w:rFonts w:ascii="Arial" w:cs="Arial" w:eastAsia="Arial" w:hAnsi="Arial"/>
                <w:sz w:val="14"/>
                <w:szCs w:val="14"/>
                <w:b w:val="1"/>
                <w:bCs w:val="1"/>
                <w:color w:val="auto"/>
                <w:w w:val="89"/>
              </w:rPr>
              <w:t>Investors</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304"/>
              <w:spacing w:after="0"/>
              <w:rPr>
                <w:sz w:val="20"/>
                <w:szCs w:val="20"/>
                <w:color w:val="auto"/>
              </w:rPr>
            </w:pPr>
            <w:r>
              <w:rPr>
                <w:rFonts w:ascii="Arial" w:cs="Arial" w:eastAsia="Arial" w:hAnsi="Arial"/>
                <w:sz w:val="14"/>
                <w:szCs w:val="14"/>
                <w:b w:val="1"/>
                <w:bCs w:val="1"/>
                <w:color w:val="auto"/>
                <w:w w:val="96"/>
              </w:rPr>
              <w:t>Discount</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Expenses</w:t>
            </w:r>
          </w:p>
        </w:tc>
        <w:tc>
          <w:tcPr>
            <w:tcW w:w="0" w:type="dxa"/>
            <w:vAlign w:val="bottom"/>
          </w:tcPr>
          <w:p>
            <w:pPr>
              <w:spacing w:after="0"/>
              <w:rPr>
                <w:sz w:val="1"/>
                <w:szCs w:val="1"/>
                <w:color w:val="auto"/>
              </w:rPr>
            </w:pPr>
          </w:p>
        </w:tc>
      </w:tr>
      <w:tr>
        <w:trPr>
          <w:trHeight w:val="156"/>
        </w:trPr>
        <w:tc>
          <w:tcPr>
            <w:tcW w:w="262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Per note due 2026</w:t>
            </w:r>
            <w:r>
              <w:rPr>
                <w:rFonts w:ascii="Arial" w:cs="Arial" w:eastAsia="Arial" w:hAnsi="Arial"/>
                <w:sz w:val="13"/>
                <w:szCs w:val="13"/>
                <w:color w:val="auto"/>
              </w:rPr>
              <w:t>(1)</w:t>
            </w:r>
          </w:p>
        </w:tc>
        <w:tc>
          <w:tcPr>
            <w:tcW w:w="13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99.686%</w:t>
            </w:r>
          </w:p>
        </w:tc>
        <w:tc>
          <w:tcPr>
            <w:tcW w:w="10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0.225%</w:t>
            </w: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99.461%</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line="162" w:lineRule="exact"/>
              <w:rPr>
                <w:sz w:val="20"/>
                <w:szCs w:val="20"/>
                <w:color w:val="auto"/>
              </w:rPr>
            </w:pPr>
            <w:r>
              <w:rPr>
                <w:rFonts w:ascii="Arial" w:cs="Arial" w:eastAsia="Arial" w:hAnsi="Arial"/>
                <w:sz w:val="15"/>
                <w:szCs w:val="15"/>
                <w:color w:val="auto"/>
              </w:rPr>
              <w:t>Total</w:t>
            </w:r>
          </w:p>
        </w:tc>
        <w:tc>
          <w:tcPr>
            <w:tcW w:w="1460" w:type="dxa"/>
            <w:vAlign w:val="bottom"/>
            <w:gridSpan w:val="2"/>
          </w:tcPr>
          <w:p>
            <w:pPr>
              <w:ind w:left="1380"/>
              <w:spacing w:after="0" w:line="162" w:lineRule="exact"/>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w w:val="89"/>
              </w:rPr>
              <w:t>1,246,075,000</w:t>
            </w:r>
          </w:p>
        </w:tc>
        <w:tc>
          <w:tcPr>
            <w:tcW w:w="1120" w:type="dxa"/>
            <w:vAlign w:val="bottom"/>
            <w:gridSpan w:val="2"/>
          </w:tcPr>
          <w:p>
            <w:pPr>
              <w:ind w:left="1000"/>
              <w:spacing w:after="0" w:line="162" w:lineRule="exact"/>
              <w:rPr>
                <w:sz w:val="20"/>
                <w:szCs w:val="20"/>
                <w:color w:val="auto"/>
              </w:rPr>
            </w:pPr>
            <w:r>
              <w:rPr>
                <w:rFonts w:ascii="Arial" w:cs="Arial" w:eastAsia="Arial" w:hAnsi="Arial"/>
                <w:sz w:val="15"/>
                <w:szCs w:val="15"/>
                <w:color w:val="auto"/>
              </w:rPr>
              <w:t>€</w:t>
            </w: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2,812,500</w:t>
            </w:r>
          </w:p>
        </w:tc>
        <w:tc>
          <w:tcPr>
            <w:tcW w:w="1120" w:type="dxa"/>
            <w:vAlign w:val="bottom"/>
            <w:gridSpan w:val="2"/>
          </w:tcPr>
          <w:p>
            <w:pPr>
              <w:ind w:left="1000"/>
              <w:spacing w:after="0" w:line="162"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2" w:lineRule="exact"/>
              <w:rPr>
                <w:sz w:val="20"/>
                <w:szCs w:val="20"/>
                <w:color w:val="auto"/>
              </w:rPr>
            </w:pPr>
            <w:r>
              <w:rPr>
                <w:rFonts w:ascii="Arial" w:cs="Arial" w:eastAsia="Arial" w:hAnsi="Arial"/>
                <w:sz w:val="15"/>
                <w:szCs w:val="15"/>
                <w:color w:val="auto"/>
              </w:rPr>
              <w:t>1,243,262,500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Per note due 2029</w:t>
            </w:r>
            <w:r>
              <w:rPr>
                <w:rFonts w:ascii="Arial" w:cs="Arial" w:eastAsia="Arial" w:hAnsi="Arial"/>
                <w:sz w:val="13"/>
                <w:szCs w:val="13"/>
                <w:color w:val="auto"/>
              </w:rPr>
              <w:t>(1)</w:t>
            </w: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99.142%</w:t>
            </w: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0.350%</w:t>
            </w: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98.792%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20" w:type="dxa"/>
            <w:vAlign w:val="bottom"/>
          </w:tcPr>
          <w:p>
            <w:pPr>
              <w:spacing w:after="0"/>
              <w:rPr>
                <w:sz w:val="20"/>
                <w:szCs w:val="20"/>
                <w:color w:val="auto"/>
              </w:rPr>
            </w:pPr>
            <w:r>
              <w:rPr>
                <w:rFonts w:ascii="Arial" w:cs="Arial" w:eastAsia="Arial" w:hAnsi="Arial"/>
                <w:sz w:val="15"/>
                <w:szCs w:val="15"/>
                <w:color w:val="auto"/>
              </w:rPr>
              <w:t>Total</w:t>
            </w:r>
          </w:p>
        </w:tc>
        <w:tc>
          <w:tcPr>
            <w:tcW w:w="1460" w:type="dxa"/>
            <w:vAlign w:val="bottom"/>
            <w:gridSpan w:val="2"/>
          </w:tcPr>
          <w:p>
            <w:pPr>
              <w:ind w:left="13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495,710,000</w:t>
            </w:r>
          </w:p>
        </w:tc>
        <w:tc>
          <w:tcPr>
            <w:tcW w:w="1120" w:type="dxa"/>
            <w:vAlign w:val="bottom"/>
            <w:gridSpan w:val="2"/>
          </w:tcPr>
          <w:p>
            <w:pPr>
              <w:ind w:left="100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1,750,000</w:t>
            </w:r>
          </w:p>
        </w:tc>
        <w:tc>
          <w:tcPr>
            <w:tcW w:w="1120" w:type="dxa"/>
            <w:vAlign w:val="bottom"/>
            <w:gridSpan w:val="2"/>
          </w:tcPr>
          <w:p>
            <w:pPr>
              <w:ind w:left="100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493,960,000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7" w:lineRule="exact"/>
        <w:rPr>
          <w:sz w:val="20"/>
          <w:szCs w:val="20"/>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Plus accrued interest, if any, from September 14, 2021, if settlement occurs after that date.</w:t>
      </w:r>
    </w:p>
    <w:p>
      <w:pPr>
        <w:spacing w:after="0" w:line="113"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b w:val="1"/>
          <w:bCs w:val="1"/>
          <w:color w:val="auto"/>
        </w:rPr>
        <w:t>Neither the Securities and Exchange Commission (the “SEC” or the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notes will be ready for delivery only through the delivery system of Clearstream Banking, S.A. (“Clearstream”) and Euroclear Bank S.A./N.V. (“Euroclear”) in book-entry form on or about September 14, 2021, which is the business day following the date of this prospectus supplement. See “Underwriting.”</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Joint Book-Running Managers</w:t>
      </w:r>
    </w:p>
    <w:p>
      <w:pPr>
        <w:sectPr>
          <w:pgSz w:w="11900" w:h="16838" w:orient="portrait"/>
          <w:cols w:equalWidth="0" w:num="1">
            <w:col w:w="11140"/>
          </w:cols>
          <w:pgMar w:left="320" w:top="459" w:right="439" w:bottom="1440" w:gutter="0" w:footer="0" w:header="0"/>
        </w:sectPr>
      </w:pPr>
    </w:p>
    <w:p>
      <w:pPr>
        <w:spacing w:after="0" w:line="216" w:lineRule="exact"/>
        <w:rPr>
          <w:sz w:val="20"/>
          <w:szCs w:val="20"/>
          <w:color w:val="auto"/>
        </w:rPr>
      </w:pPr>
    </w:p>
    <w:p>
      <w:pPr>
        <w:ind w:left="2420"/>
        <w:spacing w:after="0"/>
        <w:rPr>
          <w:sz w:val="20"/>
          <w:szCs w:val="20"/>
          <w:color w:val="auto"/>
        </w:rPr>
      </w:pPr>
      <w:r>
        <w:rPr>
          <w:rFonts w:ascii="Arial" w:cs="Arial" w:eastAsia="Arial" w:hAnsi="Arial"/>
          <w:sz w:val="22"/>
          <w:szCs w:val="22"/>
          <w:b w:val="1"/>
          <w:bCs w:val="1"/>
          <w:color w:val="auto"/>
        </w:rPr>
        <w:t>Barclays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Deutsche Bank</w:t>
      </w:r>
    </w:p>
    <w:p>
      <w:pPr>
        <w:spacing w:after="0" w:line="148" w:lineRule="exact"/>
        <w:rPr>
          <w:sz w:val="20"/>
          <w:szCs w:val="20"/>
          <w:color w:val="auto"/>
        </w:rPr>
      </w:pPr>
    </w:p>
    <w:p>
      <w:pPr>
        <w:sectPr>
          <w:pgSz w:w="11900" w:h="16838" w:orient="portrait"/>
          <w:cols w:equalWidth="0" w:num="2">
            <w:col w:w="6920" w:space="720"/>
            <w:col w:w="3500"/>
          </w:cols>
          <w:pgMar w:left="320" w:top="459" w:right="439" w:bottom="1440" w:gutter="0" w:footer="0" w:header="0"/>
          <w:type w:val="continuous"/>
        </w:sectPr>
      </w:pPr>
    </w:p>
    <w:p>
      <w:pPr>
        <w:ind w:left="2180"/>
        <w:spacing w:after="0"/>
        <w:rPr>
          <w:sz w:val="20"/>
          <w:szCs w:val="20"/>
          <w:color w:val="auto"/>
        </w:rPr>
      </w:pPr>
      <w:r>
        <w:rPr>
          <w:rFonts w:ascii="Arial" w:cs="Arial" w:eastAsia="Arial" w:hAnsi="Arial"/>
          <w:sz w:val="19"/>
          <w:szCs w:val="19"/>
          <w:b w:val="1"/>
          <w:bCs w:val="1"/>
          <w:color w:val="auto"/>
        </w:rPr>
        <w:t>Commerzbank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Santander</w:t>
      </w:r>
    </w:p>
    <w:p>
      <w:pPr>
        <w:spacing w:after="0" w:line="200" w:lineRule="exact"/>
        <w:rPr>
          <w:sz w:val="20"/>
          <w:szCs w:val="20"/>
          <w:color w:val="auto"/>
        </w:rPr>
      </w:pPr>
    </w:p>
    <w:p>
      <w:pPr>
        <w:sectPr>
          <w:pgSz w:w="11900" w:h="16838" w:orient="portrait"/>
          <w:cols w:equalWidth="0" w:num="2">
            <w:col w:w="7240" w:space="720"/>
            <w:col w:w="3180"/>
          </w:cols>
          <w:pgMar w:left="320" w:top="459" w:right="439" w:bottom="1440" w:gutter="0" w:footer="0" w:header="0"/>
          <w:type w:val="continuous"/>
        </w:sectPr>
      </w:pP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The date of this prospectus supplement is September 7, 2021.</w:t>
      </w:r>
    </w:p>
    <w:p>
      <w:pPr>
        <w:sectPr>
          <w:pgSz w:w="11900" w:h="16838" w:orient="portrait"/>
          <w:cols w:equalWidth="0" w:num="1">
            <w:col w:w="11140"/>
          </w:cols>
          <w:pgMar w:left="320" w:top="459" w:right="4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4200" w:type="dxa"/>
            <w:vAlign w:val="bottom"/>
            <w:gridSpan w:val="1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6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900" w:type="dxa"/>
            <w:vAlign w:val="bottom"/>
            <w:gridSpan w:val="4"/>
          </w:tcPr>
          <w:p>
            <w:pPr>
              <w:jc w:val="center"/>
              <w:ind w:right="406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405"/>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900" w:type="dxa"/>
            <w:vAlign w:val="bottom"/>
            <w:gridSpan w:val="4"/>
          </w:tcPr>
          <w:p>
            <w:pPr>
              <w:jc w:val="center"/>
              <w:ind w:right="4060"/>
              <w:spacing w:after="0"/>
              <w:rPr>
                <w:sz w:val="20"/>
                <w:szCs w:val="20"/>
                <w:color w:val="auto"/>
              </w:rPr>
            </w:pPr>
            <w:r>
              <w:rPr>
                <w:rFonts w:ascii="Arial" w:cs="Arial" w:eastAsia="Arial" w:hAnsi="Arial"/>
                <w:sz w:val="18"/>
                <w:szCs w:val="18"/>
                <w:b w:val="1"/>
                <w:bCs w:val="1"/>
                <w:color w:val="auto"/>
                <w:w w:val="87"/>
              </w:rPr>
              <w:t>Prospectus Supplement</w:t>
            </w: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4080" w:type="dxa"/>
            <w:vAlign w:val="bottom"/>
            <w:gridSpan w:val="17"/>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Where You Can Find More Information</w:t>
              </w:r>
            </w:hyperlink>
          </w:p>
        </w:tc>
        <w:tc>
          <w:tcPr>
            <w:tcW w:w="6480" w:type="dxa"/>
            <w:vAlign w:val="bottom"/>
          </w:tcPr>
          <w:p>
            <w:pPr>
              <w:spacing w:after="0"/>
              <w:rPr>
                <w:sz w:val="24"/>
                <w:szCs w:val="24"/>
                <w:color w:val="auto"/>
              </w:rPr>
            </w:pPr>
          </w:p>
        </w:tc>
        <w:tc>
          <w:tcPr>
            <w:tcW w:w="420" w:type="dxa"/>
            <w:vAlign w:val="bottom"/>
            <w:gridSpan w:val="3"/>
          </w:tcPr>
          <w:p>
            <w:pPr>
              <w:ind w:left="20"/>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4080" w:type="dxa"/>
            <w:vAlign w:val="bottom"/>
            <w:gridSpan w:val="17"/>
            <w:vMerge w:val="continue"/>
          </w:tcPr>
          <w:p>
            <w:pPr>
              <w:spacing w:after="0"/>
              <w:rPr>
                <w:sz w:val="13"/>
                <w:szCs w:val="13"/>
                <w:color w:val="auto"/>
              </w:rPr>
            </w:pPr>
          </w:p>
        </w:tc>
        <w:tc>
          <w:tcPr>
            <w:tcW w:w="64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iv</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2860" w:type="dxa"/>
            <w:vAlign w:val="bottom"/>
            <w:tcBorders>
              <w:top w:val="single" w:sz="8" w:color="0000EE"/>
            </w:tcBorders>
            <w:gridSpan w:val="1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Prospectus Supplement Summary</w:t>
              </w:r>
            </w:hyperlink>
          </w:p>
        </w:tc>
        <w:tc>
          <w:tcPr>
            <w:tcW w:w="1220" w:type="dxa"/>
            <w:vAlign w:val="bottom"/>
            <w:gridSpan w:val="4"/>
          </w:tcPr>
          <w:p>
            <w:pPr>
              <w:spacing w:after="0"/>
              <w:rPr>
                <w:sz w:val="18"/>
                <w:szCs w:val="18"/>
                <w:color w:val="auto"/>
              </w:rPr>
            </w:pPr>
          </w:p>
        </w:tc>
        <w:tc>
          <w:tcPr>
            <w:tcW w:w="6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4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1660" w:type="dxa"/>
            <w:vAlign w:val="bottom"/>
            <w:gridSpan w:val="5"/>
          </w:tcPr>
          <w:p>
            <w:pPr>
              <w:spacing w:after="0"/>
              <w:rPr>
                <w:sz w:val="17"/>
                <w:szCs w:val="17"/>
                <w:color w:val="auto"/>
              </w:rPr>
            </w:pPr>
          </w:p>
        </w:tc>
        <w:tc>
          <w:tcPr>
            <w:tcW w:w="6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80" w:type="dxa"/>
            <w:vAlign w:val="bottom"/>
            <w:gridSpan w:val="17"/>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Use of Proceeds</w:t>
              </w:r>
            </w:hyperlink>
          </w:p>
        </w:tc>
        <w:tc>
          <w:tcPr>
            <w:tcW w:w="6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7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Description of the Notes</w:t>
              </w:r>
            </w:hyperlink>
          </w:p>
        </w:tc>
        <w:tc>
          <w:tcPr>
            <w:tcW w:w="2320" w:type="dxa"/>
            <w:vAlign w:val="bottom"/>
            <w:gridSpan w:val="7"/>
          </w:tcPr>
          <w:p>
            <w:pPr>
              <w:spacing w:after="0"/>
              <w:rPr>
                <w:sz w:val="17"/>
                <w:szCs w:val="17"/>
                <w:color w:val="auto"/>
              </w:rPr>
            </w:pPr>
          </w:p>
        </w:tc>
        <w:tc>
          <w:tcPr>
            <w:tcW w:w="6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080" w:type="dxa"/>
            <w:vAlign w:val="bottom"/>
            <w:gridSpan w:val="17"/>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Material U.S. Federal Income Tax Consequences</w:t>
              </w:r>
            </w:hyperlink>
          </w:p>
        </w:tc>
        <w:tc>
          <w:tcPr>
            <w:tcW w:w="6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5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900" w:type="dxa"/>
            <w:vAlign w:val="bottom"/>
            <w:gridSpan w:val="4"/>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4080" w:type="dxa"/>
            <w:vAlign w:val="bottom"/>
            <w:gridSpan w:val="17"/>
          </w:tcPr>
          <w:p>
            <w:pPr>
              <w:spacing w:after="0" w:line="190" w:lineRule="exact"/>
              <w:rPr>
                <w:rFonts w:ascii="Arial" w:cs="Arial" w:eastAsia="Arial" w:hAnsi="Arial"/>
                <w:sz w:val="18"/>
                <w:szCs w:val="18"/>
                <w:color w:val="0000EE"/>
              </w:rPr>
            </w:pPr>
            <w:hyperlink w:anchor="page28">
              <w:r>
                <w:rPr>
                  <w:rFonts w:ascii="Arial" w:cs="Arial" w:eastAsia="Arial" w:hAnsi="Arial"/>
                  <w:sz w:val="18"/>
                  <w:szCs w:val="18"/>
                  <w:color w:val="0000EE"/>
                </w:rPr>
                <w:t>Underwriting</w:t>
              </w:r>
            </w:hyperlink>
          </w:p>
        </w:tc>
        <w:tc>
          <w:tcPr>
            <w:tcW w:w="6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5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900" w:type="dxa"/>
            <w:vAlign w:val="bottom"/>
            <w:gridSpan w:val="4"/>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4080" w:type="dxa"/>
            <w:vAlign w:val="bottom"/>
            <w:gridSpan w:val="17"/>
          </w:tcPr>
          <w:p>
            <w:pPr>
              <w:spacing w:after="0" w:line="190" w:lineRule="exact"/>
              <w:rPr>
                <w:rFonts w:ascii="Arial" w:cs="Arial" w:eastAsia="Arial" w:hAnsi="Arial"/>
                <w:sz w:val="18"/>
                <w:szCs w:val="18"/>
                <w:color w:val="0000EE"/>
              </w:rPr>
            </w:pPr>
            <w:hyperlink w:anchor="page34">
              <w:r>
                <w:rPr>
                  <w:rFonts w:ascii="Arial" w:cs="Arial" w:eastAsia="Arial" w:hAnsi="Arial"/>
                  <w:sz w:val="18"/>
                  <w:szCs w:val="18"/>
                  <w:color w:val="0000EE"/>
                </w:rPr>
                <w:t>Legal Matters</w:t>
              </w:r>
            </w:hyperlink>
          </w:p>
        </w:tc>
        <w:tc>
          <w:tcPr>
            <w:tcW w:w="6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5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900" w:type="dxa"/>
            <w:vAlign w:val="bottom"/>
            <w:gridSpan w:val="4"/>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4080" w:type="dxa"/>
            <w:vAlign w:val="bottom"/>
            <w:gridSpan w:val="17"/>
          </w:tcPr>
          <w:p>
            <w:pPr>
              <w:spacing w:after="0" w:line="190" w:lineRule="exact"/>
              <w:rPr>
                <w:rFonts w:ascii="Arial" w:cs="Arial" w:eastAsia="Arial" w:hAnsi="Arial"/>
                <w:sz w:val="18"/>
                <w:szCs w:val="18"/>
                <w:color w:val="0000EE"/>
              </w:rPr>
            </w:pPr>
            <w:hyperlink w:anchor="page34">
              <w:r>
                <w:rPr>
                  <w:rFonts w:ascii="Arial" w:cs="Arial" w:eastAsia="Arial" w:hAnsi="Arial"/>
                  <w:sz w:val="18"/>
                  <w:szCs w:val="18"/>
                  <w:color w:val="0000EE"/>
                </w:rPr>
                <w:t>Experts</w:t>
              </w:r>
            </w:hyperlink>
          </w:p>
        </w:tc>
        <w:tc>
          <w:tcPr>
            <w:tcW w:w="6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900" w:type="dxa"/>
            <w:vAlign w:val="bottom"/>
            <w:gridSpan w:val="4"/>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567"/>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900" w:type="dxa"/>
            <w:vAlign w:val="bottom"/>
            <w:gridSpan w:val="4"/>
          </w:tcPr>
          <w:p>
            <w:pPr>
              <w:jc w:val="center"/>
              <w:ind w:right="4060"/>
              <w:spacing w:after="0"/>
              <w:rPr>
                <w:sz w:val="20"/>
                <w:szCs w:val="20"/>
                <w:color w:val="auto"/>
              </w:rPr>
            </w:pPr>
            <w:r>
              <w:rPr>
                <w:rFonts w:ascii="Arial" w:cs="Arial" w:eastAsia="Arial" w:hAnsi="Arial"/>
                <w:sz w:val="18"/>
                <w:szCs w:val="18"/>
                <w:b w:val="1"/>
                <w:bCs w:val="1"/>
                <w:color w:val="auto"/>
                <w:w w:val="85"/>
              </w:rPr>
              <w:t>Prospectus</w:t>
            </w: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1160" w:type="dxa"/>
            <w:vAlign w:val="bottom"/>
            <w:gridSpan w:val="5"/>
            <w:vMerge w:val="restart"/>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The Companies</w:t>
              </w:r>
            </w:hyperlink>
          </w:p>
        </w:tc>
        <w:tc>
          <w:tcPr>
            <w:tcW w:w="2920" w:type="dxa"/>
            <w:vAlign w:val="bottom"/>
            <w:gridSpan w:val="12"/>
            <w:vMerge w:val="restart"/>
          </w:tcPr>
          <w:p>
            <w:pPr>
              <w:spacing w:after="0"/>
              <w:rPr>
                <w:sz w:val="24"/>
                <w:szCs w:val="24"/>
                <w:color w:val="auto"/>
              </w:rPr>
            </w:pPr>
          </w:p>
        </w:tc>
        <w:tc>
          <w:tcPr>
            <w:tcW w:w="6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61"/>
        </w:trPr>
        <w:tc>
          <w:tcPr>
            <w:tcW w:w="120" w:type="dxa"/>
            <w:vAlign w:val="bottom"/>
          </w:tcPr>
          <w:p>
            <w:pPr>
              <w:spacing w:after="0"/>
              <w:rPr>
                <w:sz w:val="13"/>
                <w:szCs w:val="13"/>
                <w:color w:val="auto"/>
              </w:rPr>
            </w:pPr>
          </w:p>
        </w:tc>
        <w:tc>
          <w:tcPr>
            <w:tcW w:w="1160" w:type="dxa"/>
            <w:vAlign w:val="bottom"/>
            <w:tcBorders>
              <w:bottom w:val="single" w:sz="8" w:color="0000EE"/>
            </w:tcBorders>
            <w:gridSpan w:val="5"/>
            <w:vMerge w:val="continue"/>
          </w:tcPr>
          <w:p>
            <w:pPr>
              <w:spacing w:after="0"/>
              <w:rPr>
                <w:sz w:val="13"/>
                <w:szCs w:val="13"/>
                <w:color w:val="auto"/>
              </w:rPr>
            </w:pPr>
          </w:p>
        </w:tc>
        <w:tc>
          <w:tcPr>
            <w:tcW w:w="2920" w:type="dxa"/>
            <w:vAlign w:val="bottom"/>
            <w:gridSpan w:val="12"/>
            <w:vMerge w:val="continue"/>
          </w:tcPr>
          <w:p>
            <w:pPr>
              <w:spacing w:after="0"/>
              <w:rPr>
                <w:sz w:val="13"/>
                <w:szCs w:val="13"/>
                <w:color w:val="auto"/>
              </w:rPr>
            </w:pPr>
          </w:p>
        </w:tc>
        <w:tc>
          <w:tcPr>
            <w:tcW w:w="6500" w:type="dxa"/>
            <w:vAlign w:val="bottom"/>
            <w:gridSpan w:val="2"/>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4080" w:type="dxa"/>
            <w:vAlign w:val="bottom"/>
            <w:gridSpan w:val="1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Caution Concerning Forward-Looking Statements</w:t>
              </w:r>
            </w:hyperlink>
          </w:p>
        </w:tc>
        <w:tc>
          <w:tcPr>
            <w:tcW w:w="6900" w:type="dxa"/>
            <w:vAlign w:val="bottom"/>
            <w:gridSpan w:val="4"/>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6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Use of Proceeds</w:t>
              </w:r>
            </w:hyperlink>
          </w:p>
        </w:tc>
        <w:tc>
          <w:tcPr>
            <w:tcW w:w="480" w:type="dxa"/>
            <w:vAlign w:val="bottom"/>
          </w:tcPr>
          <w:p>
            <w:pPr>
              <w:spacing w:after="0"/>
              <w:rPr>
                <w:sz w:val="17"/>
                <w:szCs w:val="17"/>
                <w:color w:val="auto"/>
              </w:rPr>
            </w:pPr>
          </w:p>
        </w:tc>
        <w:tc>
          <w:tcPr>
            <w:tcW w:w="69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41">
              <w:r>
                <w:rPr>
                  <w:rFonts w:ascii="Arial" w:cs="Arial" w:eastAsia="Arial" w:hAnsi="Arial"/>
                  <w:sz w:val="18"/>
                  <w:szCs w:val="18"/>
                  <w:color w:val="0000EE"/>
                  <w:w w:val="94"/>
                </w:rPr>
                <w:t>Dividend Policy</w:t>
              </w:r>
            </w:hyperlink>
          </w:p>
        </w:tc>
        <w:tc>
          <w:tcPr>
            <w:tcW w:w="2900" w:type="dxa"/>
            <w:vAlign w:val="bottom"/>
            <w:gridSpan w:val="11"/>
          </w:tcPr>
          <w:p>
            <w:pPr>
              <w:spacing w:after="0"/>
              <w:rPr>
                <w:sz w:val="17"/>
                <w:szCs w:val="17"/>
                <w:color w:val="auto"/>
              </w:rPr>
            </w:pPr>
          </w:p>
        </w:tc>
        <w:tc>
          <w:tcPr>
            <w:tcW w:w="69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3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Description of Debt Securities and Guarantees</w:t>
              </w:r>
            </w:hyperlink>
          </w:p>
        </w:tc>
        <w:tc>
          <w:tcPr>
            <w:tcW w:w="740" w:type="dxa"/>
            <w:vAlign w:val="bottom"/>
            <w:gridSpan w:val="3"/>
          </w:tcPr>
          <w:p>
            <w:pPr>
              <w:spacing w:after="0"/>
              <w:rPr>
                <w:sz w:val="17"/>
                <w:szCs w:val="17"/>
                <w:color w:val="auto"/>
              </w:rPr>
            </w:pPr>
          </w:p>
        </w:tc>
        <w:tc>
          <w:tcPr>
            <w:tcW w:w="69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080" w:type="dxa"/>
            <w:vAlign w:val="bottom"/>
            <w:gridSpan w:val="17"/>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Global Securities</w:t>
              </w:r>
            </w:hyperlink>
          </w:p>
        </w:tc>
        <w:tc>
          <w:tcPr>
            <w:tcW w:w="69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80" w:type="dxa"/>
            <w:vAlign w:val="bottom"/>
            <w:gridSpan w:val="17"/>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Description of Capital Stock</w:t>
              </w:r>
            </w:hyperlink>
          </w:p>
        </w:tc>
        <w:tc>
          <w:tcPr>
            <w:tcW w:w="69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0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Plan of Distribution</w:t>
              </w:r>
            </w:hyperlink>
          </w:p>
        </w:tc>
        <w:tc>
          <w:tcPr>
            <w:tcW w:w="2040" w:type="dxa"/>
            <w:vAlign w:val="bottom"/>
            <w:gridSpan w:val="6"/>
          </w:tcPr>
          <w:p>
            <w:pPr>
              <w:spacing w:after="0"/>
              <w:rPr>
                <w:sz w:val="17"/>
                <w:szCs w:val="17"/>
                <w:color w:val="auto"/>
              </w:rPr>
            </w:pPr>
          </w:p>
        </w:tc>
        <w:tc>
          <w:tcPr>
            <w:tcW w:w="69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4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Legal Matters</w:t>
              </w:r>
            </w:hyperlink>
          </w:p>
        </w:tc>
        <w:tc>
          <w:tcPr>
            <w:tcW w:w="2660" w:type="dxa"/>
            <w:vAlign w:val="bottom"/>
            <w:gridSpan w:val="9"/>
          </w:tcPr>
          <w:p>
            <w:pPr>
              <w:spacing w:after="0"/>
              <w:rPr>
                <w:sz w:val="17"/>
                <w:szCs w:val="17"/>
                <w:color w:val="auto"/>
              </w:rPr>
            </w:pPr>
          </w:p>
        </w:tc>
        <w:tc>
          <w:tcPr>
            <w:tcW w:w="69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Experts</w:t>
              </w:r>
            </w:hyperlink>
          </w:p>
        </w:tc>
        <w:tc>
          <w:tcPr>
            <w:tcW w:w="3080" w:type="dxa"/>
            <w:vAlign w:val="bottom"/>
            <w:gridSpan w:val="13"/>
          </w:tcPr>
          <w:p>
            <w:pPr>
              <w:spacing w:after="0"/>
              <w:rPr>
                <w:sz w:val="17"/>
                <w:szCs w:val="17"/>
                <w:color w:val="auto"/>
              </w:rPr>
            </w:pPr>
          </w:p>
        </w:tc>
        <w:tc>
          <w:tcPr>
            <w:tcW w:w="69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80" w:type="dxa"/>
            <w:vAlign w:val="bottom"/>
            <w:gridSpan w:val="17"/>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Available Information</w:t>
              </w:r>
            </w:hyperlink>
          </w:p>
        </w:tc>
        <w:tc>
          <w:tcPr>
            <w:tcW w:w="69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580" w:type="dxa"/>
            <w:vAlign w:val="bottom"/>
            <w:gridSpan w:val="9"/>
            <w:shd w:val="clear" w:color="auto" w:fill="0000EE"/>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80" w:type="dxa"/>
            <w:vAlign w:val="bottom"/>
            <w:gridSpan w:val="17"/>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Incorporation of Certain Documents by Reference</w:t>
              </w:r>
            </w:hyperlink>
          </w:p>
        </w:tc>
        <w:tc>
          <w:tcPr>
            <w:tcW w:w="69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spacing w:after="0" w:line="272" w:lineRule="auto"/>
        <w:rPr>
          <w:sz w:val="20"/>
          <w:szCs w:val="20"/>
          <w:color w:val="auto"/>
        </w:rPr>
      </w:pPr>
      <w:r>
        <w:rPr>
          <w:rFonts w:ascii="Arial" w:cs="Arial" w:eastAsia="Arial" w:hAnsi="Arial"/>
          <w:sz w:val="17"/>
          <w:szCs w:val="17"/>
          <w:color w:val="auto"/>
        </w:rPr>
        <w:t>We have not, and the underwriters have not, authorized anyone to provide any information other than that contained or incorporated by reference in this prospectus supplement and the accompanying prospectus or the free writing prospectus prepared by or on behalf of us or to which we have referred you. We and the underwriters take no responsibility for, and can provide no assurance as to the reliability of, any other information that others may give you. We are not, and the underwriters are not, making an offer to sell these securities in any jurisdiction where the offer or sale is not permitted. You should assume that the information appearing in this prospectus supplement, the accompanying prospectus, any related free writing prospectus and the documents incorporated by reference herein or therein is accurate only as of their respective dates. Our business, financial condition, results of operations and prospects may have changed since those dates.</w:t>
      </w:r>
    </w:p>
    <w:p>
      <w:pPr>
        <w:spacing w:after="0" w:line="137"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 notes are being offered for sale only in jurisdictions where it is lawful to make such offers. The distribution of this prospectus supplement and the accompanying prospectus and the offering of the notes in certain jurisdictions may be restricted by law. Persons outside the United States who receive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authorized or in which the person making such offer or solicitation is not qualified to do so or to any person to whom it is unlawful to make such offer or solicitation. See “Underwriting.”</w:t>
      </w:r>
    </w:p>
    <w:p>
      <w:pPr>
        <w:spacing w:after="0" w:line="154"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We refer to Comcast Corporation in this prospectus supplement as “Comcast,” and Comcast and its consolidated subsidiaries as “we,” “us,” “our” or comparable terms and Sky Limited (formerly Sky plc) and its consolidated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00"/>
          </w:cols>
          <w:pgMar w:left="320" w:top="446"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subsidiaries as “Sky.” We refer to NBCUniversal Media, LLC and its consolidated subsidiaries as “NBCUniversal,” Comcast Cable Communications, LLC and its consolidated subsidiaries as “Comcast Cable,” and both of them collectively as the “guarantors.”</w:t>
      </w:r>
    </w:p>
    <w:p>
      <w:pPr>
        <w:spacing w:after="0" w:line="143" w:lineRule="exact"/>
        <w:rPr>
          <w:sz w:val="20"/>
          <w:szCs w:val="20"/>
          <w:color w:val="auto"/>
        </w:rPr>
      </w:pPr>
    </w:p>
    <w:p>
      <w:pPr>
        <w:jc w:val="both"/>
        <w:ind w:left="120" w:right="600"/>
        <w:spacing w:after="0" w:line="263" w:lineRule="auto"/>
        <w:rPr>
          <w:sz w:val="20"/>
          <w:szCs w:val="20"/>
          <w:color w:val="auto"/>
        </w:rPr>
      </w:pPr>
      <w:r>
        <w:rPr>
          <w:rFonts w:ascii="Arial" w:cs="Arial" w:eastAsia="Arial" w:hAnsi="Arial"/>
          <w:sz w:val="18"/>
          <w:szCs w:val="18"/>
          <w:color w:val="auto"/>
        </w:rPr>
        <w:t>References in this prospectus supplement to “$,” “dollars,” “USD” or “U.S. dollars” are to the lawful currency of the United States of America. References in this prospectus supplement to “€” or “euro” are to the single currency introduced at the third stage of the European Economic and Monetary Union pursuant to the Treaty establishing the European Community, as amended.</w:t>
      </w:r>
    </w:p>
    <w:p>
      <w:pPr>
        <w:spacing w:after="0" w:line="14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IN CONNECTION WITH THE ISSUE OF THE NOTES, BARCLAYS BANK PLC, IN ITS ROLE AS STABILIZING MANAGER (THE “STABILIZING MANAGER”) (OR PERSONS ACTING ON ITS BEHALF) MAY, TO THE EXTENT PERMITTED BY APPLICABLE LAWS AND DIRECTIVES, OVERALLOT THE NOTES OR EFFECT TRANSACTIONS WITH A VIEW TO SUPPORTING THE MARKET PRICE OF THE NOTES AT A LEVEL HIGHER THAN THAT WHICH MIGHT OTHERWISE PREVAIL. HOWEVER, THERE IS NO ASSURANCE THAT THE STABILIZING MANAGER (OR PERSONS ACTING ON BEHALF OF THE STABILIZING MANAGER) WILL UNDERTAKE ANY STABILIZATION ACTION. ANY STABILIZATION ACTION MAY BEGIN ON OR AFTER THE DATE ON WHICH ADEQUATE PUBLIC DISCLOSURE OF THE FINAL TERMS OF THE OFFER OF THE NOTES IS MADE, AND, IF BEGUN, MAY CEASE AT ANY TIME, BUT IT MUST END NO LATER THAN THE EARLIER OF 30 DAYS AFTER THE ISSUE OF THE NOTES AND 60 DAYS AFTER THE DATE OF THE ALLOTMENT OF THE NOTES. ANY STABILIZATION ACTION OR OVER-ALLOTMENT COMMENCED WILL BE CARRIED OUT IN ACCORDANCE WITH APPLICABLE LAWS AND REGULATIONS.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20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MIFID II product governance/Professional investors and ECPs only target market</w:t>
      </w:r>
    </w:p>
    <w:p>
      <w:pPr>
        <w:spacing w:after="0" w:line="189"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Solely for the purposes of each manufacturer’s product approval process, the target market assessment in respect of the notes has led to the conclusion that: (i) the target market for the notes is eligible counterparties and professional clients only, each as defined in MiFID II; and (ii) all channels for distribution of the notes to eligible counterparties and professional clients are appropriate. Any person subsequently offering, selling or recommending the notes (a “distributor”) should take into consideration the manufacturers’ target market assessment; however, a distributor subject to MiFID II is responsible for undertaking its own target market assessment in respect of the notes (by either adopting or refining the manufacturers’ target market assessment) and determining appropriate distribution channels.</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89"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The communication of this prospectus supplement and the accompanying prospectus and any other document or materials relating to the issue of the notes offered hereby is not being made, and such documents and/or materials have not been approved, by an authorized person for the purposes of section 21 of the United Kingdom’s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Financial Services and Markets Act 2000, as amended (the “FSMA”). Accordingly, such documents and/or materials are not being distributed to, and must not be passed on to, the general public in the United Kingdom. The communication of such documents and/or materials as a financial promotion is only being made to and directed at persons outside the United Kingdom and those persons in the United Kingdom who have professional experience in matters relating to investments and who fall within the definition of investment professionals (as defined in Article 19(5) of the Financial Services and Markets Act 2000 (Financial Promotion) Order 2005, as amended (the “Financial Promotion Order”)), or who fall within Article 49(2)(a) to (d) of the Financial Promotion Order, or who are any other persons to whom it may otherwise lawfully be made under the Financial Promotion Order (all such persons together being referred to as “relevant persons”). In the United Kingdom, the notes offered hereby are only available to, and any investment or investment activity to which this prospectus supplement and the accompanying prospectus relates will be engaged only with, relevant persons. Any person in the United Kingdom that is not a relevant person should not act or rely on this prospectus supplement and the accompanying prospectus or any of its contents. The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 (11) of Article 4(1) of MiFID II as it forms part of domestic law by virtue of the European Union (Withdrawal) Act 2018 (“EUWA”);</w:t>
      </w:r>
    </w:p>
    <w:p>
      <w:pPr>
        <w:spacing w:after="0" w:line="3" w:lineRule="exact"/>
        <w:rPr>
          <w:sz w:val="20"/>
          <w:szCs w:val="20"/>
          <w:color w:val="auto"/>
        </w:rPr>
      </w:pPr>
    </w:p>
    <w:p>
      <w:pPr>
        <w:ind w:left="120" w:right="20" w:hanging="4"/>
        <w:spacing w:after="0" w:line="269" w:lineRule="auto"/>
        <w:tabs>
          <w:tab w:leader="none" w:pos="385" w:val="left"/>
        </w:tabs>
        <w:numPr>
          <w:ilvl w:val="0"/>
          <w:numId w:val="3"/>
        </w:numPr>
        <w:rPr>
          <w:rFonts w:ascii="Arial" w:cs="Arial" w:eastAsia="Arial" w:hAnsi="Arial"/>
          <w:sz w:val="17"/>
          <w:szCs w:val="17"/>
          <w:color w:val="auto"/>
        </w:rPr>
      </w:pPr>
      <w:r>
        <w:rPr>
          <w:rFonts w:ascii="Arial" w:cs="Arial" w:eastAsia="Arial" w:hAnsi="Arial"/>
          <w:sz w:val="17"/>
          <w:szCs w:val="17"/>
          <w:color w:val="auto"/>
        </w:rPr>
        <w:t>a customer within the meaning of the provisions of the Financial Services and Markets Act 2000 (“FSMA”) and any rules or regulations made under the FSMA to implement the Insurance Distribution Directive,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UK MIFIR product governance/Professional investors and ECPs only target market</w:t>
      </w:r>
    </w:p>
    <w:p>
      <w:pPr>
        <w:spacing w:after="0" w:line="189"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Solely for the purposes of each manufacturer’s product approval process, the target market assessment in respect of the notes has led to the conclusion that: (i) the target market for the notes is only eligible counterparties, as defined in the FCA Handbook Conduct of Business Sourcebook (“COBS”) and professional clients, as defined in Regulation (EU) No 600/2014 as it forms part of domestic law by virtue of the European Union (Withdrawal) Act 2018 (“UK MiFIR”); and (ii) all channels for distribution of the notes to eligible counterparties and professional clients are appropriate. Any person subsequently offering, selling or recommending the notes (a “distributor”) should take into consideration the manufacturer’s target market assessment; however, a distributor subject to the FCA Handbook Product Intervention and Product Governance Sourcebook (the “UK MiFIR Product Governance Rules”) is responsible for undertaking its own target market assessment in respect of the notes (by either adopting or refining the manufacturer’s target market assessment) and determining appropriate distribution channels.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00"/>
          </w:cols>
          <w:pgMar w:left="32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02"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supplement. In addition, information we file with the SEC in the future will automatically update and supersede information contained in this prospectus supplement and the accompanying prospectus.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This prospectus supplement incorporates by reference the documents of Comcast set forth below that we have previously filed with the SEC:</w:t>
      </w:r>
    </w:p>
    <w:p>
      <w:pPr>
        <w:spacing w:after="0" w:line="237" w:lineRule="exact"/>
        <w:rPr>
          <w:sz w:val="20"/>
          <w:szCs w:val="20"/>
          <w:color w:val="auto"/>
        </w:rPr>
      </w:pPr>
    </w:p>
    <w:p>
      <w:pPr>
        <w:ind w:left="980" w:hanging="432"/>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Comcast’s Annual Report on </w:t>
      </w:r>
      <w:hyperlink r:id="rId1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 filed on February 4, 2021;</w:t>
      </w:r>
    </w:p>
    <w:p>
      <w:pPr>
        <w:spacing w:after="0" w:line="225" w:lineRule="exact"/>
        <w:rPr>
          <w:rFonts w:ascii="Arial" w:cs="Arial" w:eastAsia="Arial" w:hAnsi="Arial"/>
          <w:sz w:val="18"/>
          <w:szCs w:val="18"/>
          <w:color w:val="auto"/>
        </w:rPr>
      </w:pPr>
    </w:p>
    <w:p>
      <w:pPr>
        <w:ind w:left="980" w:right="60" w:hanging="432"/>
        <w:spacing w:after="0" w:line="277" w:lineRule="auto"/>
        <w:tabs>
          <w:tab w:leader="none" w:pos="980" w:val="left"/>
        </w:tabs>
        <w:numPr>
          <w:ilvl w:val="0"/>
          <w:numId w:val="4"/>
        </w:numPr>
        <w:rPr>
          <w:rFonts w:ascii="Arial" w:cs="Arial" w:eastAsia="Arial" w:hAnsi="Arial"/>
          <w:sz w:val="18"/>
          <w:szCs w:val="18"/>
          <w:color w:val="0000EE"/>
        </w:rPr>
      </w:pPr>
      <w:hyperlink r:id="rId18">
        <w:r>
          <w:rPr>
            <w:rFonts w:ascii="Arial" w:cs="Arial" w:eastAsia="Arial" w:hAnsi="Arial"/>
            <w:sz w:val="18"/>
            <w:szCs w:val="18"/>
            <w:color w:val="auto"/>
          </w:rPr>
          <w:t xml:space="preserve">Comcast’s Quarterly Reports on Form 10-Q for the quarters ended March 31, 2021 and June 30, 2021, filed on </w:t>
        </w:r>
        <w:r>
          <w:rPr>
            <w:rFonts w:ascii="Arial" w:cs="Arial" w:eastAsia="Arial" w:hAnsi="Arial"/>
            <w:sz w:val="18"/>
            <w:szCs w:val="18"/>
            <w:u w:val="single" w:color="auto"/>
            <w:color w:val="0000EE"/>
          </w:rPr>
          <w:t>April 29, 2021</w:t>
        </w:r>
        <w:r>
          <w:rPr>
            <w:rFonts w:ascii="Arial" w:cs="Arial" w:eastAsia="Arial" w:hAnsi="Arial"/>
            <w:sz w:val="18"/>
            <w:szCs w:val="18"/>
            <w:color w:val="auto"/>
          </w:rPr>
          <w:t xml:space="preserve"> and </w:t>
        </w:r>
        <w:r>
          <w:rPr>
            <w:rFonts w:ascii="Arial" w:cs="Arial" w:eastAsia="Arial" w:hAnsi="Arial"/>
            <w:sz w:val="18"/>
            <w:szCs w:val="18"/>
            <w:u w:val="single" w:color="auto"/>
            <w:color w:val="0000EE"/>
          </w:rPr>
          <w:t>July 29,</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EE"/>
          </w:rPr>
          <w:t>2021</w:t>
        </w:r>
        <w:r>
          <w:rPr>
            <w:rFonts w:ascii="Arial" w:cs="Arial" w:eastAsia="Arial" w:hAnsi="Arial"/>
            <w:sz w:val="18"/>
            <w:szCs w:val="18"/>
            <w:color w:val="000000"/>
          </w:rPr>
          <w:t>, respectively;</w:t>
        </w:r>
      </w:hyperlink>
    </w:p>
    <w:p>
      <w:pPr>
        <w:spacing w:after="0" w:line="170" w:lineRule="exact"/>
        <w:rPr>
          <w:rFonts w:ascii="Arial" w:cs="Arial" w:eastAsia="Arial" w:hAnsi="Arial"/>
          <w:sz w:val="18"/>
          <w:szCs w:val="18"/>
          <w:color w:val="0000EE"/>
        </w:rPr>
      </w:pPr>
    </w:p>
    <w:p>
      <w:pPr>
        <w:ind w:left="980" w:right="40" w:hanging="432"/>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Comcast’s Current Reports on Form 8-K and amendments thereto filed on </w:t>
      </w:r>
      <w:hyperlink r:id="rId19">
        <w:r>
          <w:rPr>
            <w:rFonts w:ascii="Arial" w:cs="Arial" w:eastAsia="Arial" w:hAnsi="Arial"/>
            <w:sz w:val="18"/>
            <w:szCs w:val="18"/>
            <w:u w:val="single" w:color="auto"/>
            <w:color w:val="0000EE"/>
          </w:rPr>
          <w:t>March 31, 2021</w:t>
        </w:r>
      </w:hyperlink>
      <w:r>
        <w:rPr>
          <w:rFonts w:ascii="Arial" w:cs="Arial" w:eastAsia="Arial" w:hAnsi="Arial"/>
          <w:sz w:val="18"/>
          <w:szCs w:val="18"/>
          <w:color w:val="auto"/>
        </w:rPr>
        <w:t xml:space="preserve">, </w:t>
      </w:r>
      <w:hyperlink r:id="rId20">
        <w:r>
          <w:rPr>
            <w:rFonts w:ascii="Arial" w:cs="Arial" w:eastAsia="Arial" w:hAnsi="Arial"/>
            <w:sz w:val="18"/>
            <w:szCs w:val="18"/>
            <w:u w:val="single" w:color="auto"/>
            <w:color w:val="0000EE"/>
          </w:rPr>
          <w:t>June 4, 2021</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EE"/>
          </w:rPr>
          <w:t>August 2, 2021</w:t>
        </w:r>
      </w:hyperlink>
      <w:r>
        <w:rPr>
          <w:rFonts w:ascii="Arial" w:cs="Arial" w:eastAsia="Arial" w:hAnsi="Arial"/>
          <w:sz w:val="18"/>
          <w:szCs w:val="18"/>
          <w:color w:val="auto"/>
        </w:rPr>
        <w:t xml:space="preserve">, </w:t>
      </w:r>
      <w:hyperlink r:id="rId22">
        <w:r>
          <w:rPr>
            <w:rFonts w:ascii="Arial" w:cs="Arial" w:eastAsia="Arial" w:hAnsi="Arial"/>
            <w:sz w:val="18"/>
            <w:szCs w:val="18"/>
            <w:u w:val="single" w:color="auto"/>
            <w:color w:val="0000EE"/>
          </w:rPr>
          <w:t>August 17, 2021</w:t>
        </w:r>
      </w:hyperlink>
      <w:r>
        <w:rPr>
          <w:rFonts w:ascii="Arial" w:cs="Arial" w:eastAsia="Arial" w:hAnsi="Arial"/>
          <w:sz w:val="18"/>
          <w:szCs w:val="18"/>
          <w:color w:val="auto"/>
        </w:rPr>
        <w:t xml:space="preserve"> and </w:t>
      </w:r>
      <w:hyperlink r:id="rId23">
        <w:r>
          <w:rPr>
            <w:rFonts w:ascii="Arial" w:cs="Arial" w:eastAsia="Arial" w:hAnsi="Arial"/>
            <w:sz w:val="18"/>
            <w:szCs w:val="18"/>
            <w:u w:val="single" w:color="auto"/>
            <w:color w:val="0000EE"/>
          </w:rPr>
          <w:t>August 19, 2021</w:t>
        </w:r>
      </w:hyperlink>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980" w:right="500" w:hanging="432"/>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sections of Comcast’s Definitive Proxy Statement on </w:t>
      </w:r>
      <w:hyperlink r:id="rId24">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2021 annual meeting of shareholders incorporated by reference in Comcast’s Annual Report on Form 10-K for the year ended December 31, 2020.</w:t>
      </w:r>
    </w:p>
    <w:p>
      <w:pPr>
        <w:spacing w:after="0" w:line="130" w:lineRule="exact"/>
        <w:rPr>
          <w:rFonts w:ascii="Arial" w:cs="Arial" w:eastAsia="Arial" w:hAnsi="Arial"/>
          <w:sz w:val="18"/>
          <w:szCs w:val="18"/>
          <w:color w:val="auto"/>
        </w:rPr>
      </w:pPr>
    </w:p>
    <w:p>
      <w:pPr>
        <w:ind w:left="120"/>
        <w:spacing w:after="0" w:line="293" w:lineRule="auto"/>
        <w:rPr>
          <w:sz w:val="20"/>
          <w:szCs w:val="20"/>
          <w:color w:val="auto"/>
        </w:rPr>
      </w:pPr>
      <w:r>
        <w:rPr>
          <w:rFonts w:ascii="Arial" w:cs="Arial" w:eastAsia="Arial" w:hAnsi="Arial"/>
          <w:sz w:val="16"/>
          <w:szCs w:val="16"/>
          <w:color w:val="auto"/>
        </w:rPr>
        <w:t>We also incorporate by reference into this prospectus supplement and the accompanying prospectus additional documents that we may file with the SEC under Sections 13(a), 13(c), 14 or 15(d) of the Securities Exchange Act of 1934, as amended (the “Exchange Act”), until we sell all of the securities we are offering. 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97"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80"/>
          </w:cols>
          <w:pgMar w:left="32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417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6998970" cy="61417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PROSPECTUS SUPPLEMENT SUMMARY</w:t>
      </w:r>
    </w:p>
    <w:p>
      <w:pPr>
        <w:spacing w:after="0" w:line="18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Companies</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Comcast Corporation</w:t>
      </w:r>
    </w:p>
    <w:p>
      <w:pPr>
        <w:spacing w:after="0" w:line="189" w:lineRule="exact"/>
        <w:rPr>
          <w:sz w:val="20"/>
          <w:szCs w:val="20"/>
          <w:color w:val="auto"/>
        </w:rPr>
      </w:pPr>
    </w:p>
    <w:p>
      <w:pPr>
        <w:ind w:left="300" w:right="40"/>
        <w:spacing w:after="0" w:line="311" w:lineRule="auto"/>
        <w:rPr>
          <w:sz w:val="20"/>
          <w:szCs w:val="20"/>
          <w:color w:val="auto"/>
        </w:rPr>
      </w:pPr>
      <w:r>
        <w:rPr>
          <w:rFonts w:ascii="Arial" w:cs="Arial" w:eastAsia="Arial" w:hAnsi="Arial"/>
          <w:sz w:val="16"/>
          <w:szCs w:val="16"/>
          <w:color w:val="auto"/>
        </w:rPr>
        <w:t>We are a global media and technology company with three primary businesses: Comcast Cable, NBCUniversal and Sky. We present our operations for (1) Comcast Cable in one reportable business segment, referred to as Cable Communications; (2) NBCUniversal in three reportable business segments: Media, Studios and Theme Parks (collectively, the “NBCUniversal segments”); and (3) Sky in one reportable business segment.</w:t>
      </w:r>
    </w:p>
    <w:p>
      <w:pPr>
        <w:spacing w:after="0" w:line="145" w:lineRule="exact"/>
        <w:rPr>
          <w:sz w:val="20"/>
          <w:szCs w:val="20"/>
          <w:color w:val="auto"/>
        </w:rPr>
      </w:pPr>
    </w:p>
    <w:p>
      <w:pPr>
        <w:jc w:val="both"/>
        <w:ind w:left="1120" w:right="600" w:hanging="403"/>
        <w:spacing w:after="0" w:line="266"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a leading provider of broadband, video, voice,</w:t>
      </w:r>
      <w:r>
        <w:rPr>
          <w:rFonts w:ascii="Arial" w:cs="Arial" w:eastAsia="Arial" w:hAnsi="Arial"/>
          <w:sz w:val="18"/>
          <w:szCs w:val="18"/>
          <w:b w:val="1"/>
          <w:bCs w:val="1"/>
          <w:color w:val="auto"/>
        </w:rPr>
        <w:t xml:space="preserve"> </w:t>
      </w:r>
      <w:r>
        <w:rPr>
          <w:rFonts w:ascii="Arial" w:cs="Arial" w:eastAsia="Arial" w:hAnsi="Arial"/>
          <w:sz w:val="18"/>
          <w:szCs w:val="18"/>
          <w:color w:val="auto"/>
        </w:rPr>
        <w:t>wireless, and security and automation services to residential customers under the Xfinity brand; we also provide these and other services to business customers and sell advertising.</w:t>
      </w:r>
    </w:p>
    <w:p>
      <w:pPr>
        <w:spacing w:after="0" w:line="175" w:lineRule="exact"/>
        <w:rPr>
          <w:rFonts w:ascii="Arial" w:cs="Arial" w:eastAsia="Arial" w:hAnsi="Arial"/>
          <w:sz w:val="18"/>
          <w:szCs w:val="18"/>
          <w:color w:val="auto"/>
        </w:rPr>
      </w:pPr>
    </w:p>
    <w:p>
      <w:pPr>
        <w:jc w:val="both"/>
        <w:ind w:left="1120" w:right="160" w:hanging="403"/>
        <w:spacing w:after="0" w:line="266"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Media: </w:t>
      </w:r>
      <w:r>
        <w:rPr>
          <w:rFonts w:ascii="Arial" w:cs="Arial" w:eastAsia="Arial" w:hAnsi="Arial"/>
          <w:sz w:val="18"/>
          <w:szCs w:val="18"/>
          <w:color w:val="auto"/>
        </w:rPr>
        <w:t>Consists primarily of NBCUniversal’s television and streaming platforms, including national, regional and international cable</w:t>
      </w:r>
      <w:r>
        <w:rPr>
          <w:rFonts w:ascii="Arial" w:cs="Arial" w:eastAsia="Arial" w:hAnsi="Arial"/>
          <w:sz w:val="18"/>
          <w:szCs w:val="18"/>
          <w:b w:val="1"/>
          <w:bCs w:val="1"/>
          <w:color w:val="auto"/>
        </w:rPr>
        <w:t xml:space="preserve"> </w:t>
      </w:r>
      <w:r>
        <w:rPr>
          <w:rFonts w:ascii="Arial" w:cs="Arial" w:eastAsia="Arial" w:hAnsi="Arial"/>
          <w:sz w:val="18"/>
          <w:szCs w:val="18"/>
          <w:color w:val="auto"/>
        </w:rPr>
        <w:t>networks; the NBC and Telemundo broadcast networks; NBC and Telemundo owned local broadcast television stations; Peacock, our direct-to-consumer streaming service; and various digital properties.</w:t>
      </w:r>
    </w:p>
    <w:p>
      <w:pPr>
        <w:spacing w:after="0" w:line="175" w:lineRule="exact"/>
        <w:rPr>
          <w:rFonts w:ascii="Arial" w:cs="Arial" w:eastAsia="Arial" w:hAnsi="Arial"/>
          <w:sz w:val="18"/>
          <w:szCs w:val="18"/>
          <w:color w:val="auto"/>
        </w:rPr>
      </w:pPr>
    </w:p>
    <w:p>
      <w:pPr>
        <w:ind w:left="1120" w:hanging="403"/>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Studios: </w:t>
      </w:r>
      <w:r>
        <w:rPr>
          <w:rFonts w:ascii="Arial" w:cs="Arial" w:eastAsia="Arial" w:hAnsi="Arial"/>
          <w:sz w:val="18"/>
          <w:szCs w:val="18"/>
          <w:color w:val="auto"/>
        </w:rPr>
        <w:t>Consists primarily of NBCUniversal’s film and television studio production and distribution operations.</w:t>
      </w:r>
    </w:p>
    <w:p>
      <w:pPr>
        <w:spacing w:after="0" w:line="225" w:lineRule="exact"/>
        <w:rPr>
          <w:rFonts w:ascii="Arial" w:cs="Arial" w:eastAsia="Arial" w:hAnsi="Arial"/>
          <w:sz w:val="18"/>
          <w:szCs w:val="18"/>
          <w:color w:val="auto"/>
        </w:rPr>
      </w:pPr>
    </w:p>
    <w:p>
      <w:pPr>
        <w:ind w:left="1120" w:right="460" w:hanging="403"/>
        <w:spacing w:after="0" w:line="266"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Florida; Hollywood, California; and Osaka, Japan.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we are developing a theme park in Beijing, China along with a consortium of Chinese state-owned companies, and an additional theme park in Orlando, Florida.</w:t>
      </w:r>
    </w:p>
    <w:p>
      <w:pPr>
        <w:spacing w:after="0" w:line="175" w:lineRule="exact"/>
        <w:rPr>
          <w:rFonts w:ascii="Arial" w:cs="Arial" w:eastAsia="Arial" w:hAnsi="Arial"/>
          <w:sz w:val="18"/>
          <w:szCs w:val="18"/>
          <w:color w:val="auto"/>
        </w:rPr>
      </w:pPr>
    </w:p>
    <w:p>
      <w:pPr>
        <w:jc w:val="both"/>
        <w:ind w:left="1120" w:right="440" w:hanging="403"/>
        <w:spacing w:after="0" w:line="266"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Sky: </w:t>
      </w:r>
      <w:r>
        <w:rPr>
          <w:rFonts w:ascii="Arial" w:cs="Arial" w:eastAsia="Arial" w:hAnsi="Arial"/>
          <w:sz w:val="18"/>
          <w:szCs w:val="18"/>
          <w:color w:val="auto"/>
        </w:rPr>
        <w:t>One of Europe’s leading entertainment companies, which primarily includes a direct-to-consumer business, providing video,</w:t>
      </w:r>
      <w:r>
        <w:rPr>
          <w:rFonts w:ascii="Arial" w:cs="Arial" w:eastAsia="Arial" w:hAnsi="Arial"/>
          <w:sz w:val="18"/>
          <w:szCs w:val="18"/>
          <w:b w:val="1"/>
          <w:bCs w:val="1"/>
          <w:color w:val="auto"/>
        </w:rPr>
        <w:t xml:space="preserve"> </w:t>
      </w:r>
      <w:r>
        <w:rPr>
          <w:rFonts w:ascii="Arial" w:cs="Arial" w:eastAsia="Arial" w:hAnsi="Arial"/>
          <w:sz w:val="18"/>
          <w:szCs w:val="18"/>
          <w:color w:val="auto"/>
        </w:rPr>
        <w:t>broadband, voice and wireless phone services, and a content business, operating entertainment networks, the Sky News broadcast network and Sky Sports networks.</w:t>
      </w:r>
    </w:p>
    <w:p>
      <w:pPr>
        <w:spacing w:after="0" w:line="139" w:lineRule="exact"/>
        <w:rPr>
          <w:sz w:val="20"/>
          <w:szCs w:val="20"/>
          <w:color w:val="auto"/>
        </w:rPr>
      </w:pPr>
    </w:p>
    <w:p>
      <w:pPr>
        <w:ind w:left="300" w:right="360"/>
        <w:spacing w:after="0" w:line="277"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 and other business initiatives.</w:t>
      </w:r>
    </w:p>
    <w:p>
      <w:pPr>
        <w:spacing w:after="0" w:line="143" w:lineRule="exact"/>
        <w:rPr>
          <w:sz w:val="20"/>
          <w:szCs w:val="20"/>
          <w:color w:val="auto"/>
        </w:rPr>
      </w:pPr>
    </w:p>
    <w:p>
      <w:pPr>
        <w:ind w:left="300" w:right="100"/>
        <w:spacing w:after="0" w:line="263"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this prospectus supplement. For instructions on how to find copies of these and our other filings incorporated by reference in this prospectus supplement, see “Available Information” in this prospectus supplement.</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Comcast’s principal executive offices are located at One Comcast Center, Philadelphia, Pennsylvania 19103-2838. Comcast’s telephone number is</w:t>
      </w:r>
    </w:p>
    <w:p>
      <w:pPr>
        <w:spacing w:after="0" w:line="46" w:lineRule="exact"/>
        <w:rPr>
          <w:sz w:val="20"/>
          <w:szCs w:val="20"/>
          <w:color w:val="auto"/>
        </w:rPr>
      </w:pPr>
    </w:p>
    <w:p>
      <w:pPr>
        <w:ind w:left="300" w:right="80" w:hanging="2"/>
        <w:spacing w:after="0" w:line="260" w:lineRule="auto"/>
        <w:tabs>
          <w:tab w:leader="none" w:pos="735" w:val="left"/>
        </w:tabs>
        <w:numPr>
          <w:ilvl w:val="0"/>
          <w:numId w:val="6"/>
        </w:numPr>
        <w:rPr>
          <w:rFonts w:ascii="Arial" w:cs="Arial" w:eastAsia="Arial" w:hAnsi="Arial"/>
          <w:sz w:val="18"/>
          <w:szCs w:val="18"/>
          <w:color w:val="auto"/>
        </w:rPr>
      </w:pPr>
      <w:r>
        <w:rPr>
          <w:rFonts w:ascii="Arial" w:cs="Arial" w:eastAsia="Arial" w:hAnsi="Arial"/>
          <w:sz w:val="18"/>
          <w:szCs w:val="18"/>
          <w:color w:val="auto"/>
        </w:rPr>
        <w:t>286-1700. The address of our website is www.comcastcorporation.com. The information on, or accessible through, our website is not part of this prospectus supplement or the accompanying prospectus.</w:t>
      </w:r>
    </w:p>
    <w:p>
      <w:pPr>
        <w:spacing w:after="0" w:line="14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Guarantors</w:t>
      </w:r>
    </w:p>
    <w:p>
      <w:pPr>
        <w:spacing w:after="0" w:line="189" w:lineRule="exact"/>
        <w:rPr>
          <w:sz w:val="20"/>
          <w:szCs w:val="20"/>
          <w:color w:val="auto"/>
        </w:rPr>
      </w:pPr>
    </w:p>
    <w:p>
      <w:pPr>
        <w:ind w:left="300"/>
        <w:spacing w:after="0" w:line="263" w:lineRule="auto"/>
        <w:rPr>
          <w:sz w:val="20"/>
          <w:szCs w:val="20"/>
          <w:color w:val="auto"/>
        </w:rPr>
      </w:pPr>
      <w:r>
        <w:rPr>
          <w:rFonts w:ascii="Arial" w:cs="Arial" w:eastAsia="Arial" w:hAnsi="Arial"/>
          <w:sz w:val="18"/>
          <w:szCs w:val="18"/>
          <w:color w:val="auto"/>
        </w:rPr>
        <w:t>Our obligations, including the payment of principal, premium, if any, and interest on the notes will be fully and unconditionally guaranteed by each of Comcast Cable Communications, LLC and NBCUniversal Media, LLC. In this prospectus supplement, we refer to these guarantors as the guarantors and to these guarantees as the guarantees.</w:t>
      </w:r>
    </w:p>
    <w:p>
      <w:pPr>
        <w:spacing w:after="0" w:line="3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20"/>
          </w:cols>
          <w:pgMar w:left="320" w:top="459" w:right="6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504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6998970" cy="15043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225" w:lineRule="exact"/>
        <w:rPr>
          <w:sz w:val="20"/>
          <w:szCs w:val="20"/>
          <w:color w:val="auto"/>
        </w:rPr>
      </w:pPr>
    </w:p>
    <w:p>
      <w:pPr>
        <w:ind w:left="1120" w:right="60" w:hanging="403"/>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170" w:lineRule="exact"/>
        <w:rPr>
          <w:rFonts w:ascii="Arial" w:cs="Arial" w:eastAsia="Arial" w:hAnsi="Arial"/>
          <w:sz w:val="18"/>
          <w:szCs w:val="18"/>
          <w:color w:val="auto"/>
        </w:rPr>
      </w:pPr>
    </w:p>
    <w:p>
      <w:pPr>
        <w:ind w:left="1120" w:hanging="403"/>
        <w:spacing w:after="0"/>
        <w:tabs>
          <w:tab w:leader="none" w:pos="1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208" w:lineRule="exact"/>
        <w:rPr>
          <w:sz w:val="20"/>
          <w:szCs w:val="20"/>
          <w:color w:val="auto"/>
        </w:rPr>
      </w:pPr>
    </w:p>
    <w:p>
      <w:pPr>
        <w:ind w:left="300"/>
        <w:spacing w:after="0" w:line="277" w:lineRule="auto"/>
        <w:rPr>
          <w:sz w:val="20"/>
          <w:szCs w:val="20"/>
          <w:color w:val="auto"/>
        </w:rPr>
      </w:pPr>
      <w:r>
        <w:rPr>
          <w:rFonts w:ascii="Arial" w:cs="Arial" w:eastAsia="Arial" w:hAnsi="Arial"/>
          <w:sz w:val="18"/>
          <w:szCs w:val="18"/>
          <w:color w:val="auto"/>
        </w:rPr>
        <w:t>Comcast Cable’s principal place of business is One Comcast Center, Philadelphia, Pennsylvania 19103-2838. NBCUniversal’s principal executive offices are located at 30 Rockefeller Plaza, New York, New York 10112-0015.</w:t>
      </w:r>
    </w:p>
    <w:p>
      <w:pPr>
        <w:spacing w:after="0" w:line="37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820"/>
          </w:cols>
          <w:pgMar w:left="320" w:top="459" w:right="7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3240" w:type="dxa"/>
            <w:vAlign w:val="bottom"/>
            <w:tcBorders>
              <w:top w:val="single" w:sz="8" w:color="auto"/>
              <w:left w:val="single" w:sz="8" w:color="auto"/>
            </w:tcBorders>
          </w:tcPr>
          <w:p>
            <w:pPr>
              <w:spacing w:after="0"/>
              <w:rPr>
                <w:sz w:val="24"/>
                <w:szCs w:val="24"/>
                <w:color w:val="auto"/>
              </w:rPr>
            </w:pPr>
          </w:p>
        </w:tc>
        <w:tc>
          <w:tcPr>
            <w:tcW w:w="7780" w:type="dxa"/>
            <w:vAlign w:val="bottom"/>
            <w:tcBorders>
              <w:top w:val="single" w:sz="8" w:color="auto"/>
              <w:right w:val="single" w:sz="8" w:color="auto"/>
            </w:tcBorders>
          </w:tcPr>
          <w:p>
            <w:pPr>
              <w:ind w:left="1760"/>
              <w:spacing w:after="0"/>
              <w:rPr>
                <w:sz w:val="20"/>
                <w:szCs w:val="20"/>
                <w:color w:val="auto"/>
              </w:rPr>
            </w:pPr>
            <w:r>
              <w:rPr>
                <w:rFonts w:ascii="Arial" w:cs="Arial" w:eastAsia="Arial" w:hAnsi="Arial"/>
                <w:sz w:val="18"/>
                <w:szCs w:val="18"/>
                <w:b w:val="1"/>
                <w:bCs w:val="1"/>
                <w:color w:val="auto"/>
              </w:rPr>
              <w:t>The Offering</w:t>
            </w:r>
          </w:p>
        </w:tc>
      </w:tr>
      <w:tr>
        <w:trPr>
          <w:trHeight w:val="432"/>
        </w:trPr>
        <w:tc>
          <w:tcPr>
            <w:tcW w:w="32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Issuer</w:t>
            </w: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Comcast Corporation.</w:t>
            </w:r>
          </w:p>
        </w:tc>
      </w:tr>
      <w:tr>
        <w:trPr>
          <w:trHeight w:val="445"/>
        </w:trPr>
        <w:tc>
          <w:tcPr>
            <w:tcW w:w="32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Securities Offered</w:t>
            </w: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€1,250,000,000 aggregate principal amount of 0.000% Notes due 2026.</w:t>
            </w:r>
          </w:p>
        </w:tc>
      </w:tr>
      <w:tr>
        <w:trPr>
          <w:trHeight w:val="446"/>
        </w:trPr>
        <w:tc>
          <w:tcPr>
            <w:tcW w:w="3240" w:type="dxa"/>
            <w:vAlign w:val="bottom"/>
            <w:tcBorders>
              <w:left w:val="single" w:sz="8" w:color="auto"/>
            </w:tcBorders>
          </w:tcPr>
          <w:p>
            <w:pPr>
              <w:spacing w:after="0"/>
              <w:rPr>
                <w:sz w:val="24"/>
                <w:szCs w:val="24"/>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€500,000,000 aggregate principal amount of 0.250% Notes due 2029.</w:t>
            </w:r>
          </w:p>
        </w:tc>
      </w:tr>
      <w:tr>
        <w:trPr>
          <w:trHeight w:val="432"/>
        </w:trPr>
        <w:tc>
          <w:tcPr>
            <w:tcW w:w="32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Maturity</w:t>
            </w: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The Notes due 2026 will mature on September 14, 2026.</w:t>
            </w:r>
          </w:p>
        </w:tc>
      </w:tr>
      <w:tr>
        <w:trPr>
          <w:trHeight w:val="446"/>
        </w:trPr>
        <w:tc>
          <w:tcPr>
            <w:tcW w:w="3240" w:type="dxa"/>
            <w:vAlign w:val="bottom"/>
            <w:tcBorders>
              <w:left w:val="single" w:sz="8" w:color="auto"/>
            </w:tcBorders>
          </w:tcPr>
          <w:p>
            <w:pPr>
              <w:spacing w:after="0"/>
              <w:rPr>
                <w:sz w:val="24"/>
                <w:szCs w:val="24"/>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The Notes due 2029 will mature on September 14, 2029.</w:t>
            </w:r>
          </w:p>
        </w:tc>
      </w:tr>
      <w:tr>
        <w:trPr>
          <w:trHeight w:val="418"/>
        </w:trPr>
        <w:tc>
          <w:tcPr>
            <w:tcW w:w="32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Interest</w:t>
            </w: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3"/>
              </w:rPr>
              <w:t>Interest on the Notes due 2026 will accrue at the rate of 0.000% per year, payable annually</w:t>
            </w:r>
          </w:p>
        </w:tc>
      </w:tr>
      <w:tr>
        <w:trPr>
          <w:trHeight w:val="230"/>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in cash in arrears on September 14, beginning September 14, 2022.</w:t>
            </w:r>
          </w:p>
        </w:tc>
      </w:tr>
      <w:tr>
        <w:trPr>
          <w:trHeight w:val="418"/>
        </w:trPr>
        <w:tc>
          <w:tcPr>
            <w:tcW w:w="3240" w:type="dxa"/>
            <w:vAlign w:val="bottom"/>
            <w:tcBorders>
              <w:left w:val="single" w:sz="8" w:color="auto"/>
            </w:tcBorders>
          </w:tcPr>
          <w:p>
            <w:pPr>
              <w:spacing w:after="0"/>
              <w:rPr>
                <w:sz w:val="24"/>
                <w:szCs w:val="24"/>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3"/>
              </w:rPr>
              <w:t>Interest on the Notes due 2029 will accrue at the rate of 0.250% per year, payable annually</w:t>
            </w:r>
          </w:p>
        </w:tc>
      </w:tr>
      <w:tr>
        <w:trPr>
          <w:trHeight w:val="230"/>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in cash in arrears on September 14, beginning September 14, 2022.</w:t>
            </w:r>
          </w:p>
        </w:tc>
      </w:tr>
      <w:tr>
        <w:trPr>
          <w:trHeight w:val="418"/>
        </w:trPr>
        <w:tc>
          <w:tcPr>
            <w:tcW w:w="32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Currency of Payments</w:t>
            </w: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5"/>
              </w:rPr>
              <w:t>All payments of principal of, and premium, if any, and interest on, the notes, including any</w:t>
            </w:r>
          </w:p>
        </w:tc>
      </w:tr>
      <w:tr>
        <w:trPr>
          <w:trHeight w:val="230"/>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7"/>
              </w:rPr>
              <w:t>payments made upon any redemption or repurchase of the notes, will be made in euro.</w:t>
            </w:r>
          </w:p>
        </w:tc>
      </w:tr>
      <w:tr>
        <w:trPr>
          <w:trHeight w:val="377"/>
        </w:trPr>
        <w:tc>
          <w:tcPr>
            <w:tcW w:w="3240" w:type="dxa"/>
            <w:vAlign w:val="bottom"/>
            <w:tcBorders>
              <w:left w:val="single" w:sz="8" w:color="auto"/>
            </w:tcBorders>
          </w:tcPr>
          <w:p>
            <w:pPr>
              <w:spacing w:after="0"/>
              <w:rPr>
                <w:sz w:val="24"/>
                <w:szCs w:val="24"/>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If euro is unavailable to us due to the imposition of exchange controls or other</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3"/>
              </w:rPr>
              <w:t>circumstances beyond our control or is no longer used for the settlement of transactions by</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4"/>
              </w:rPr>
              <w:t>public institutions within the international banking community or the euro is no longer used</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9"/>
              </w:rPr>
              <w:t>by the then member states of the European Economic and Monetary Union that have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4"/>
              </w:rPr>
              <w:t>adopted the euro as their currency, then all payments in respect of the applicable series of</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7"/>
              </w:rPr>
              <w:t>notes will be made in U.S. dollars until the euro is again available to us or so used. See</w:t>
            </w:r>
          </w:p>
        </w:tc>
      </w:tr>
      <w:tr>
        <w:trPr>
          <w:trHeight w:val="230"/>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“Description of the Notes—Issuance in Euro.”</w:t>
            </w:r>
          </w:p>
        </w:tc>
      </w:tr>
      <w:tr>
        <w:trPr>
          <w:trHeight w:val="418"/>
        </w:trPr>
        <w:tc>
          <w:tcPr>
            <w:tcW w:w="32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Ranking</w:t>
            </w: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The notes will be unsecured and will rank equally with all of our and the guarantors’</w:t>
            </w:r>
          </w:p>
        </w:tc>
      </w:tr>
      <w:tr>
        <w:trPr>
          <w:trHeight w:val="230"/>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unsecured and unsubordinated indebtedness.</w:t>
            </w:r>
          </w:p>
        </w:tc>
      </w:tr>
      <w:tr>
        <w:trPr>
          <w:trHeight w:val="432"/>
        </w:trPr>
        <w:tc>
          <w:tcPr>
            <w:tcW w:w="32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Guarantors</w:t>
            </w: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Comcast Cable and NBCUniversal.</w:t>
            </w:r>
          </w:p>
        </w:tc>
      </w:tr>
      <w:tr>
        <w:trPr>
          <w:trHeight w:val="431"/>
        </w:trPr>
        <w:tc>
          <w:tcPr>
            <w:tcW w:w="32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Guarantees</w:t>
            </w: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4"/>
              </w:rPr>
              <w:t>The guarantors will fully and unconditionally guarantee the notes, including the payment of</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9"/>
              </w:rPr>
              <w:t>principal, premium, if any, and interest. The guarantees will rank equally with all other</w:t>
            </w:r>
          </w:p>
        </w:tc>
      </w:tr>
      <w:tr>
        <w:trPr>
          <w:trHeight w:val="230"/>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general unsecured and unsubordinated obligations of the guarantors.</w:t>
            </w:r>
          </w:p>
        </w:tc>
      </w:tr>
      <w:tr>
        <w:trPr>
          <w:trHeight w:val="418"/>
        </w:trPr>
        <w:tc>
          <w:tcPr>
            <w:tcW w:w="32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6"/>
              </w:rPr>
              <w:t>We may, at our option, redeem any series of notes, in whole or in part, at any time at the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3"/>
              </w:rPr>
              <w:t>applicable Redemption Price determined as set forth under the heading “Description of the</w:t>
            </w:r>
          </w:p>
        </w:tc>
      </w:tr>
      <w:tr>
        <w:trPr>
          <w:trHeight w:val="230"/>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Notes—Optional Redemption.”</w:t>
            </w:r>
          </w:p>
        </w:tc>
      </w:tr>
      <w:tr>
        <w:trPr>
          <w:trHeight w:val="418"/>
        </w:trPr>
        <w:tc>
          <w:tcPr>
            <w:tcW w:w="32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Redemption for Tax Reasons</w:t>
            </w: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4"/>
              </w:rPr>
              <w:t>We may, at our option, redeem any series of notes, in whole but not in part, if the tax laws</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5"/>
              </w:rPr>
              <w:t>of the United States (or any taxing authority in the United States) change and we become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7"/>
              </w:rPr>
              <w:t>obligated to pay additional amounts on the notes as described under “Description of the</w:t>
            </w:r>
          </w:p>
        </w:tc>
      </w:tr>
      <w:tr>
        <w:trPr>
          <w:trHeight w:val="216"/>
        </w:trPr>
        <w:tc>
          <w:tcPr>
            <w:tcW w:w="324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Notes—Payment of Additional Amounts.” This redemption would be at 100% of the</w:t>
            </w:r>
          </w:p>
        </w:tc>
      </w:tr>
      <w:tr>
        <w:trPr>
          <w:trHeight w:val="230"/>
        </w:trPr>
        <w:tc>
          <w:tcPr>
            <w:tcW w:w="324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principal amount, together with accrued and unpaid interest on</w:t>
            </w:r>
          </w:p>
        </w:tc>
      </w:tr>
      <w:tr>
        <w:trPr>
          <w:trHeight w:val="253"/>
        </w:trPr>
        <w:tc>
          <w:tcPr>
            <w:tcW w:w="3240" w:type="dxa"/>
            <w:vAlign w:val="bottom"/>
            <w:tcBorders>
              <w:left w:val="single" w:sz="8" w:color="auto"/>
              <w:bottom w:val="single" w:sz="8" w:color="auto"/>
            </w:tcBorders>
          </w:tcPr>
          <w:p>
            <w:pPr>
              <w:spacing w:after="0"/>
              <w:rPr>
                <w:sz w:val="22"/>
                <w:szCs w:val="22"/>
                <w:color w:val="auto"/>
              </w:rPr>
            </w:pPr>
          </w:p>
        </w:tc>
        <w:tc>
          <w:tcPr>
            <w:tcW w:w="7780" w:type="dxa"/>
            <w:vAlign w:val="bottom"/>
            <w:tcBorders>
              <w:bottom w:val="single" w:sz="8" w:color="auto"/>
              <w:right w:val="single" w:sz="8" w:color="auto"/>
            </w:tcBorders>
          </w:tcPr>
          <w:p>
            <w:pPr>
              <w:spacing w:after="0"/>
              <w:rPr>
                <w:sz w:val="22"/>
                <w:szCs w:val="22"/>
                <w:color w:val="auto"/>
              </w:rPr>
            </w:pPr>
          </w:p>
        </w:tc>
      </w:tr>
      <w:tr>
        <w:trPr>
          <w:trHeight w:val="361"/>
        </w:trPr>
        <w:tc>
          <w:tcPr>
            <w:tcW w:w="3240" w:type="dxa"/>
            <w:vAlign w:val="bottom"/>
          </w:tcPr>
          <w:p>
            <w:pPr>
              <w:spacing w:after="0"/>
              <w:rPr>
                <w:sz w:val="24"/>
                <w:szCs w:val="24"/>
                <w:color w:val="auto"/>
              </w:rPr>
            </w:pPr>
          </w:p>
        </w:tc>
        <w:tc>
          <w:tcPr>
            <w:tcW w:w="7780" w:type="dxa"/>
            <w:vAlign w:val="bottom"/>
          </w:tcPr>
          <w:p>
            <w:pPr>
              <w:ind w:left="214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320" w:type="dxa"/>
            <w:vAlign w:val="bottom"/>
            <w:tcBorders>
              <w:top w:val="single" w:sz="8" w:color="auto"/>
              <w:left w:val="single" w:sz="8" w:color="auto"/>
            </w:tcBorders>
          </w:tcPr>
          <w:p>
            <w:pPr>
              <w:spacing w:after="0"/>
              <w:rPr>
                <w:sz w:val="24"/>
                <w:szCs w:val="24"/>
                <w:color w:val="auto"/>
              </w:rPr>
            </w:pPr>
          </w:p>
        </w:tc>
        <w:tc>
          <w:tcPr>
            <w:tcW w:w="7700" w:type="dxa"/>
            <w:vAlign w:val="bottom"/>
            <w:tcBorders>
              <w:top w:val="single" w:sz="8" w:color="auto"/>
              <w:right w:val="single" w:sz="8" w:color="auto"/>
            </w:tcBorders>
          </w:tcPr>
          <w:p>
            <w:pPr>
              <w:ind w:left="900"/>
              <w:spacing w:after="0"/>
              <w:rPr>
                <w:sz w:val="20"/>
                <w:szCs w:val="20"/>
                <w:color w:val="auto"/>
              </w:rPr>
            </w:pPr>
            <w:r>
              <w:rPr>
                <w:rFonts w:ascii="Arial" w:cs="Arial" w:eastAsia="Arial" w:hAnsi="Arial"/>
                <w:sz w:val="18"/>
                <w:szCs w:val="18"/>
                <w:color w:val="auto"/>
                <w:w w:val="94"/>
              </w:rPr>
              <w:t>the notes to the date fixed for redemption. See “Description of the Notes—Redemption for</w:t>
            </w:r>
          </w:p>
        </w:tc>
      </w:tr>
      <w:tr>
        <w:trPr>
          <w:trHeight w:val="230"/>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Tax Reasons.”</w:t>
            </w:r>
          </w:p>
        </w:tc>
      </w:tr>
      <w:tr>
        <w:trPr>
          <w:trHeight w:val="431"/>
        </w:trPr>
        <w:tc>
          <w:tcPr>
            <w:tcW w:w="33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Additional Amounts</w:t>
            </w: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We will, subject to certain exceptions and limitations set forth herein, pay additional</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3"/>
              </w:rPr>
              <w:t>amounts on the notes as are necessary in order that the net payment by us of the principal</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3"/>
              </w:rPr>
              <w:t>of and interest on the notes to a holder who is not a United States person, after withholding</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or deduction for any present or future tax, assessment or other governmental charge</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3"/>
              </w:rPr>
              <w:t>imposed by the United States or a taxing authority in the United States will not be less than</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2"/>
              </w:rPr>
              <w:t>the amount provided in the notes to be then due and payable. See “Description of the Notes</w:t>
            </w:r>
          </w:p>
        </w:tc>
      </w:tr>
      <w:tr>
        <w:trPr>
          <w:trHeight w:val="230"/>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—Payment of Additional Amounts.”</w:t>
            </w:r>
          </w:p>
        </w:tc>
      </w:tr>
      <w:tr>
        <w:trPr>
          <w:trHeight w:val="418"/>
        </w:trPr>
        <w:tc>
          <w:tcPr>
            <w:tcW w:w="33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3"/>
              </w:rPr>
              <w:t>We intend to use the net proceeds from the offering, after deducting underwriters’ discount</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6"/>
              </w:rPr>
              <w:t>and expenses, for the refinancing of Sky’s 1.500% guaranteed notes due September 15,</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9"/>
              </w:rPr>
              <w:t>2021 (€1.5 billion principal amount outstanding as of the date hereof) and any excess</w:t>
            </w:r>
          </w:p>
        </w:tc>
      </w:tr>
      <w:tr>
        <w:trPr>
          <w:trHeight w:val="230"/>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proceeds for the repayment of other debt.</w:t>
            </w:r>
          </w:p>
        </w:tc>
      </w:tr>
      <w:tr>
        <w:trPr>
          <w:trHeight w:val="418"/>
        </w:trPr>
        <w:tc>
          <w:tcPr>
            <w:tcW w:w="33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Denominations</w:t>
            </w: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6"/>
              </w:rPr>
              <w:t>We will issue the notes in minimum denominations of €100,000 and integral multiples of</w:t>
            </w:r>
          </w:p>
        </w:tc>
      </w:tr>
      <w:tr>
        <w:trPr>
          <w:trHeight w:val="230"/>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€1,000 in excess thereof.</w:t>
            </w:r>
          </w:p>
        </w:tc>
      </w:tr>
      <w:tr>
        <w:trPr>
          <w:trHeight w:val="432"/>
        </w:trPr>
        <w:tc>
          <w:tcPr>
            <w:tcW w:w="33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Book-Entry</w:t>
            </w: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The notes will be issued in book-entry form and will be represented</w:t>
            </w:r>
          </w:p>
        </w:tc>
      </w:tr>
      <w:tr>
        <w:trPr>
          <w:trHeight w:val="391"/>
        </w:trPr>
        <w:tc>
          <w:tcPr>
            <w:tcW w:w="3320" w:type="dxa"/>
            <w:vAlign w:val="bottom"/>
            <w:tcBorders>
              <w:left w:val="single" w:sz="8" w:color="auto"/>
            </w:tcBorders>
          </w:tcPr>
          <w:p>
            <w:pPr>
              <w:spacing w:after="0"/>
              <w:rPr>
                <w:sz w:val="24"/>
                <w:szCs w:val="24"/>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by global notes deposited with a common depositary on behalf of Euroclear and</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Clearstream and registered in the name of the common depositary or its nominee.</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4"/>
              </w:rPr>
              <w:t>Beneficial interests in any of the notes will be shown on, and transfers will be effected only</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2"/>
              </w:rPr>
              <w:t>through, records maintained by Euroclear and Clearstream and their participants, and these</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beneficial interests may not be exchanged for certificated notes, except in limited</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8"/>
              </w:rPr>
              <w:t>circumstances. See “Description of the Notes—Book-Entry System” in this prospectus</w:t>
            </w:r>
          </w:p>
        </w:tc>
      </w:tr>
      <w:tr>
        <w:trPr>
          <w:trHeight w:val="230"/>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supplement.</w:t>
            </w:r>
          </w:p>
        </w:tc>
      </w:tr>
      <w:tr>
        <w:trPr>
          <w:trHeight w:val="432"/>
        </w:trPr>
        <w:tc>
          <w:tcPr>
            <w:tcW w:w="33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Trustee and Registrar</w:t>
            </w: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The Bank of New York Mellon.</w:t>
            </w:r>
          </w:p>
        </w:tc>
      </w:tr>
      <w:tr>
        <w:trPr>
          <w:trHeight w:val="445"/>
        </w:trPr>
        <w:tc>
          <w:tcPr>
            <w:tcW w:w="33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Paying Agent</w:t>
            </w: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The Bank of New York Mellon, London Branch.</w:t>
            </w:r>
          </w:p>
        </w:tc>
      </w:tr>
      <w:tr>
        <w:trPr>
          <w:trHeight w:val="431"/>
        </w:trPr>
        <w:tc>
          <w:tcPr>
            <w:tcW w:w="33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Listing and Trading</w:t>
            </w: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7"/>
              </w:rPr>
              <w:t>We intend to apply to list each series of the notes on NASDAQ. The listing applications</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will be subject to approval by NASDAQ. If such listings are obtained, we have no</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3"/>
              </w:rPr>
              <w:t>obligation to maintain such listings for any series of the notes and we may delist any series</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8"/>
              </w:rPr>
              <w:t>of the notes at any time. We currently expect trading in the notes on NASDAQ to begin</w:t>
            </w:r>
          </w:p>
        </w:tc>
      </w:tr>
      <w:tr>
        <w:trPr>
          <w:trHeight w:val="230"/>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within 30 days after the original issue date.</w:t>
            </w:r>
          </w:p>
        </w:tc>
      </w:tr>
      <w:tr>
        <w:trPr>
          <w:trHeight w:val="432"/>
        </w:trPr>
        <w:tc>
          <w:tcPr>
            <w:tcW w:w="33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CUSIP / ISIN / Common Code</w:t>
            </w: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20030N DX6 / XS2385397901 / 238539790 for Notes due 2026</w:t>
            </w:r>
          </w:p>
        </w:tc>
      </w:tr>
      <w:tr>
        <w:trPr>
          <w:trHeight w:val="445"/>
        </w:trPr>
        <w:tc>
          <w:tcPr>
            <w:tcW w:w="3320" w:type="dxa"/>
            <w:vAlign w:val="bottom"/>
            <w:tcBorders>
              <w:left w:val="single" w:sz="8" w:color="auto"/>
            </w:tcBorders>
          </w:tcPr>
          <w:p>
            <w:pPr>
              <w:spacing w:after="0"/>
              <w:rPr>
                <w:sz w:val="24"/>
                <w:szCs w:val="24"/>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20030N DY4 / XS2385398206 / 238539820 for Notes due 2029</w:t>
            </w:r>
          </w:p>
        </w:tc>
      </w:tr>
      <w:tr>
        <w:trPr>
          <w:trHeight w:val="253"/>
        </w:trPr>
        <w:tc>
          <w:tcPr>
            <w:tcW w:w="3320" w:type="dxa"/>
            <w:vAlign w:val="bottom"/>
            <w:tcBorders>
              <w:left w:val="single" w:sz="8" w:color="auto"/>
              <w:bottom w:val="single" w:sz="8" w:color="auto"/>
            </w:tcBorders>
          </w:tcPr>
          <w:p>
            <w:pPr>
              <w:spacing w:after="0"/>
              <w:rPr>
                <w:sz w:val="22"/>
                <w:szCs w:val="22"/>
                <w:color w:val="auto"/>
              </w:rPr>
            </w:pPr>
          </w:p>
        </w:tc>
        <w:tc>
          <w:tcPr>
            <w:tcW w:w="7700" w:type="dxa"/>
            <w:vAlign w:val="bottom"/>
            <w:tcBorders>
              <w:bottom w:val="single" w:sz="8" w:color="auto"/>
              <w:right w:val="single" w:sz="8" w:color="auto"/>
            </w:tcBorders>
          </w:tcPr>
          <w:p>
            <w:pPr>
              <w:spacing w:after="0"/>
              <w:rPr>
                <w:sz w:val="22"/>
                <w:szCs w:val="22"/>
                <w:color w:val="auto"/>
              </w:rPr>
            </w:pPr>
          </w:p>
        </w:tc>
      </w:tr>
      <w:tr>
        <w:trPr>
          <w:trHeight w:val="361"/>
        </w:trPr>
        <w:tc>
          <w:tcPr>
            <w:tcW w:w="3320" w:type="dxa"/>
            <w:vAlign w:val="bottom"/>
          </w:tcPr>
          <w:p>
            <w:pPr>
              <w:spacing w:after="0"/>
              <w:rPr>
                <w:sz w:val="24"/>
                <w:szCs w:val="24"/>
                <w:color w:val="auto"/>
              </w:rPr>
            </w:pPr>
          </w:p>
        </w:tc>
        <w:tc>
          <w:tcPr>
            <w:tcW w:w="7700" w:type="dxa"/>
            <w:vAlign w:val="bottom"/>
          </w:tcPr>
          <w:p>
            <w:pPr>
              <w:ind w:left="206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 FACTORS</w:t>
      </w:r>
    </w:p>
    <w:p>
      <w:pPr>
        <w:spacing w:after="0" w:line="202"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i w:val="1"/>
          <w:iCs w:val="1"/>
          <w:color w:val="auto"/>
        </w:rPr>
        <w:t>An investment in the notes involves risks. Before deciding whether to purchase the notes, you should consider the risks discussed below or elsewhere in this prospectus supplement, including those set forth in our filings with the SEC that we have incorporated by reference in this prospectus supplement and the accompanying prospectus. Additional risks and uncertainties not presently known to us or that we currently believe to be immaterial may also impair our business operations.</w:t>
      </w:r>
    </w:p>
    <w:p>
      <w:pPr>
        <w:spacing w:after="0" w:line="146" w:lineRule="exact"/>
        <w:rPr>
          <w:sz w:val="20"/>
          <w:szCs w:val="20"/>
          <w:color w:val="auto"/>
        </w:rPr>
      </w:pPr>
    </w:p>
    <w:p>
      <w:pPr>
        <w:ind w:left="120" w:right="260"/>
        <w:spacing w:after="0" w:line="279" w:lineRule="auto"/>
        <w:rPr>
          <w:sz w:val="20"/>
          <w:szCs w:val="20"/>
          <w:color w:val="auto"/>
        </w:rPr>
      </w:pPr>
      <w:r>
        <w:rPr>
          <w:rFonts w:ascii="Arial" w:cs="Arial" w:eastAsia="Arial" w:hAnsi="Arial"/>
          <w:sz w:val="17"/>
          <w:szCs w:val="17"/>
          <w:i w:val="1"/>
          <w:iCs w:val="1"/>
          <w:color w:val="auto"/>
        </w:rPr>
        <w:t>Any of the risks discussed below or elsewhere in this prospectus supplement or in our SEC filings incorporated by reference in this prospectus supplement and the accompanying prospectus, and other risks we have not anticipated or discussed, could have a material impact on our business, prospects, financial condition or results of operations. In that case, our ability to pay interest on the notes when due or to repay the notes at maturity could be adversely affected, and the trading price of the notes could decline substantially.</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 investment in the notes by a holder whose home currency is not the euro entails significant risks.</w:t>
      </w:r>
    </w:p>
    <w:p>
      <w:pPr>
        <w:spacing w:after="0" w:line="202"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An investment in the notes by a holder whose home currency is not the euro entails significant risks. These risks include the possibility of significant changes in rates of exchange between the holder’s functional currency and the euro, the possibility of the imposition or subsequent modification of foreign exchange controls and tax consequences as a result of any foreign exchange gains resulting from an investment in the notes. These risks generally depend on factors over which we have no control, such as economic, financial and political events and the supply of and demand for the relevant currencies. In recent years, rates of exchange between the euro, on the one hand, and certain currencies, on the other, have been highly volatile, and each holder should be aware that volatility may be expected to continue in the future. Fluctuations in any particular rate of exchange that have occurred in the past, however, are not necessarily indicative of fluctuations in the rate that may occur during the term of the notes. Depreciation of the euro against the holder’s functional currency would result in a decrease in the effective yield of the notes below the coupon rate and, in certain circumstances, could result in a loss to the holder.</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notes permit us to make payments in U.S. dollars if we are unable to obtain euro.</w:t>
      </w:r>
    </w:p>
    <w:p>
      <w:pPr>
        <w:spacing w:after="0" w:line="189"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If the euro is unavailable to us due to the imposition of exchange controls or other circumstances beyond our control, or if the euro is no longer used by the member states of the European Economic and Monetary Union that have adopted the euro as their currency or for the settlement of transactions by public institutions within the international banking community, then all payments in respect of the notes will be made in U.S. dollars until the euro is again available to us or so used. The amount payable on any date in euro will be converted into U.S. dollars at the Market Exchange Rate (as defined below) or, if such Market Exchange Rate is not then available, on the basis of the then most recent U.S. dollar/euro exchange rate. Any payment in respect of the notes so made in U.S. dollars will not constitute an event of default under the indenture.</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 a lawsuit for payment on the notes, holders of the notes may bear currency exchange risk.</w:t>
      </w:r>
    </w:p>
    <w:p>
      <w:pPr>
        <w:spacing w:after="0" w:line="189"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The indenture is, and the notes will be, governed by the laws of the State of New York. A New York state statute presently in effect, but subject to amendment, would require a New York state court hearing such a lawsuit to render its decision or award in euro. The judgment entered on that award, however, will be denominated in U.S. dollars, and converted at the exchange rate prevailing on the date of entry of the judgment. Consequently, in a lawsuit for payment on the notes, holders of such notes would bear currency exchange risk until a New York state court judgment is entered, which could be a long time. A federal court sitting in New York with diversity jurisdiction over a dispute arising in connection with the notes would apply the foregoing New York law.</w:t>
      </w:r>
    </w:p>
    <w:p>
      <w:pPr>
        <w:spacing w:after="0" w:line="15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 courts outside of New York, investors may not be able to obtain a judgment in a currency other than U.S. dollars. For example, a judgment for money in an action based on the notes in many other U.S. federal or state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080"/>
          </w:cols>
          <w:pgMar w:left="320" w:top="459"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courts ordinarily would be enforced in the United States only in U.S. dollars. The date used to determine the rate of conversion of euro into U.S. dollars would depend upon various factors, including which court renders the judgment and when the judgment is rendered.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There may be no public trading market for the notes.</w:t>
      </w:r>
    </w:p>
    <w:p>
      <w:pPr>
        <w:spacing w:after="0" w:line="18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notes are new issues of securities for which there is currently no established trading market. A market for the notes may not develop or, if one does develop, it may not be maintained. If a market develops, the notes could trade at prices that may be higher or lower than the initial offering price or the price at which you purchased the notes, depending on many factors, including prevailing interest rates, our financial performance, the amount of indebtedness we have outstanding, the market for similar securities, the redemption and repayment features of the notes and the time remaining to maturity of the notes. Although we intend to apply for listing the notes for trading on the NASDAQ, no assurance can be given as to the liquidity of, or trading markets for, the notes. The listing applications will be subject to approval by NASDAQ. If such listings are obtained, we may delist any series of the notes at any time. If an active market for the notes fails to develop or be sustained, the trading price and liquidity of the notes could be adversely affected.</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Trading in the clearing systems is subject to minimum denomination requirements.</w:t>
      </w:r>
    </w:p>
    <w:p>
      <w:pPr>
        <w:spacing w:after="0" w:line="202"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The notes will be issued only in minimum denominations of €100,000 and integral multiples of €1,000 in excess thereof. It is possible that the clearing systems may process trades that could result in amounts being held in denominations smaller than the minimum denominations. If definitive notes are required to be issued in relation to such notes in accordance with the provisions of the relevant global notes, a beneficial owner who does not have the minimum denomination or any integral multiple of €1,000 in excess thereof in its account with the relevant clearing system at the relevant time may not receive all of its entitlement in the form of definitive notes unless and until such time as its holding satisfies the minimum denomination requirement.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Holders of the notes will receive payments in euro.</w:t>
      </w:r>
    </w:p>
    <w:p>
      <w:pPr>
        <w:spacing w:after="0" w:line="189" w:lineRule="exact"/>
        <w:rPr>
          <w:sz w:val="20"/>
          <w:szCs w:val="20"/>
          <w:color w:val="auto"/>
        </w:rPr>
      </w:pPr>
    </w:p>
    <w:p>
      <w:pPr>
        <w:jc w:val="both"/>
        <w:ind w:left="120" w:right="60"/>
        <w:spacing w:after="0" w:line="259" w:lineRule="auto"/>
        <w:rPr>
          <w:sz w:val="20"/>
          <w:szCs w:val="20"/>
          <w:color w:val="auto"/>
        </w:rPr>
      </w:pPr>
      <w:r>
        <w:rPr>
          <w:rFonts w:ascii="Arial" w:cs="Arial" w:eastAsia="Arial" w:hAnsi="Arial"/>
          <w:sz w:val="18"/>
          <w:szCs w:val="18"/>
          <w:color w:val="auto"/>
        </w:rPr>
        <w:t>All payments of principal, premium, if any, and interest in respect of the notes will be paid in euro, subject to certain limited exceptions, as described in this prospectus supplement. We, the underwriters, the trustee and the paying agent with respect to the notes will not be obligated to convert, or to assist any registered owner or beneficial owner of the notes in converting payments of interest, principal, premium or any redemption price in euro made with respect to such notes into U.S. dollars or any other currency.</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0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intend to use the net proceeds from the offering, after deducting underwriters’ discount and expenses, for the refinancing of Sky’s 1.500% guaranteed notes due September 15, 2021 (€1.5 billion principal amount outstanding as of the date hereof) and any excess proceeds for the repayment of other debt.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THE NOTES</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We are offering €1,250,000,000 aggregate principal amount of our 0.000% Notes due 2026 and €500,000,000 aggregate principal amount of our</w:t>
      </w:r>
    </w:p>
    <w:p>
      <w:pPr>
        <w:spacing w:after="0" w:line="35"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i w:val="1"/>
          <w:iCs w:val="1"/>
          <w:color w:val="auto"/>
        </w:rPr>
        <w:t>0.250% Notes due 2029. The Notes due 2026 and the Notes due 2029 will each be a separate series of securities issued under a senior indenture dated September 18, 2013, entered into among us, the guarantors and The Bank of New York Mellon, as trustee, as amended by the first supplemental indenture dated as of November 17, 2015, entered into among us, the guarantors, and The Bank of New York Mellon, as trustee (as amended, the “indenture”). The notes will be our direct unsecured and unsubordinated obligations and will be fully and unconditionally guaranteed by Comcast Cable and NBCUniversal, referred to as the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a series of these notes and issue additional notes of such series. Additional notes of such series will be consolidated with and form a single series with the notes then outstanding of such series; provided that if such additional notes are not fungible with the notes of the applicable series offered hereby for U.S. federal income tax purposes, such additional notes will have one or more separate Common Code, ISIN and CUSIP numbers. Copies of the indenture and the form of notes are available from us upon request.</w:t>
      </w:r>
    </w:p>
    <w:p>
      <w:pPr>
        <w:spacing w:after="0" w:line="12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i w:val="1"/>
          <w:iCs w:val="1"/>
          <w:color w:val="auto"/>
        </w:rPr>
        <w:t>The following, along with the additional information contained in the accompanying prospectus under “Description of Debt Securities and Guarantees,” is a summary of the material provisions of the indenture, the notes and the guarantees. Because this is a summary, it may not contain all the information that is important to you. For further information, you should read the notes and the indenture.</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Basic Terms of the Notes</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notes:</w:t>
      </w:r>
    </w:p>
    <w:p>
      <w:pPr>
        <w:spacing w:after="0" w:line="225" w:lineRule="exact"/>
        <w:rPr>
          <w:sz w:val="20"/>
          <w:szCs w:val="20"/>
          <w:color w:val="auto"/>
        </w:rPr>
      </w:pPr>
    </w:p>
    <w:p>
      <w:pPr>
        <w:ind w:left="980" w:right="320" w:hanging="432"/>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 rank equally with all of our other unsecured and unsubordinated debt and will be entitled to the benefits of the guarantees described below;</w:t>
      </w:r>
    </w:p>
    <w:p>
      <w:pPr>
        <w:spacing w:after="0" w:line="170" w:lineRule="exact"/>
        <w:rPr>
          <w:rFonts w:ascii="Arial" w:cs="Arial" w:eastAsia="Arial" w:hAnsi="Arial"/>
          <w:sz w:val="18"/>
          <w:szCs w:val="18"/>
          <w:color w:val="auto"/>
        </w:rPr>
      </w:pPr>
    </w:p>
    <w:p>
      <w:pPr>
        <w:ind w:left="980" w:hanging="432"/>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 be issued in initial aggregate principal amounts comprised as follows:</w:t>
      </w:r>
    </w:p>
    <w:p>
      <w:pPr>
        <w:spacing w:after="0" w:line="225" w:lineRule="exact"/>
        <w:rPr>
          <w:rFonts w:ascii="Arial" w:cs="Arial" w:eastAsia="Arial" w:hAnsi="Arial"/>
          <w:sz w:val="18"/>
          <w:szCs w:val="18"/>
          <w:color w:val="auto"/>
        </w:rPr>
      </w:pPr>
    </w:p>
    <w:p>
      <w:pPr>
        <w:ind w:left="1420" w:right="60" w:hanging="427"/>
        <w:spacing w:after="0" w:line="308" w:lineRule="auto"/>
        <w:tabs>
          <w:tab w:leader="none" w:pos="1420" w:val="left"/>
        </w:tabs>
        <w:numPr>
          <w:ilvl w:val="1"/>
          <w:numId w:val="8"/>
        </w:numPr>
        <w:rPr>
          <w:rFonts w:ascii="Arial" w:cs="Arial" w:eastAsia="Arial" w:hAnsi="Arial"/>
          <w:sz w:val="17"/>
          <w:szCs w:val="17"/>
          <w:color w:val="auto"/>
        </w:rPr>
      </w:pPr>
      <w:r>
        <w:rPr>
          <w:rFonts w:ascii="Arial" w:cs="Arial" w:eastAsia="Arial" w:hAnsi="Arial"/>
          <w:sz w:val="17"/>
          <w:szCs w:val="17"/>
          <w:color w:val="auto"/>
        </w:rPr>
        <w:t>€1,250,000,000 initial aggregate principal amount of 0.000% Notes due 2026, maturing on September 14, 2026, with interest payable annually on each September 14, beginning September 14, 2022, to holders of record on the preceding August 30; and</w:t>
      </w:r>
    </w:p>
    <w:p>
      <w:pPr>
        <w:spacing w:after="0" w:line="146" w:lineRule="exact"/>
        <w:rPr>
          <w:rFonts w:ascii="Arial" w:cs="Arial" w:eastAsia="Arial" w:hAnsi="Arial"/>
          <w:sz w:val="17"/>
          <w:szCs w:val="17"/>
          <w:color w:val="auto"/>
        </w:rPr>
      </w:pPr>
    </w:p>
    <w:p>
      <w:pPr>
        <w:ind w:left="1420" w:right="200" w:hanging="427"/>
        <w:spacing w:after="0" w:line="342" w:lineRule="auto"/>
        <w:tabs>
          <w:tab w:leader="none" w:pos="1420" w:val="left"/>
        </w:tabs>
        <w:numPr>
          <w:ilvl w:val="1"/>
          <w:numId w:val="8"/>
        </w:numPr>
        <w:rPr>
          <w:rFonts w:ascii="Arial" w:cs="Arial" w:eastAsia="Arial" w:hAnsi="Arial"/>
          <w:sz w:val="16"/>
          <w:szCs w:val="16"/>
          <w:color w:val="auto"/>
        </w:rPr>
      </w:pPr>
      <w:r>
        <w:rPr>
          <w:rFonts w:ascii="Arial" w:cs="Arial" w:eastAsia="Arial" w:hAnsi="Arial"/>
          <w:sz w:val="16"/>
          <w:szCs w:val="16"/>
          <w:color w:val="auto"/>
        </w:rPr>
        <w:t>€500,000,000 initial aggregate principal amount of 0.250% Notes due 2029, maturing on September 14, 2029, with interest payable annually on each September 14, beginning September 14, 2022, to holders of record on the preceding August 30; and</w:t>
      </w:r>
    </w:p>
    <w:p>
      <w:pPr>
        <w:spacing w:after="0" w:line="123" w:lineRule="exact"/>
        <w:rPr>
          <w:rFonts w:ascii="Arial" w:cs="Arial" w:eastAsia="Arial" w:hAnsi="Arial"/>
          <w:sz w:val="16"/>
          <w:szCs w:val="16"/>
          <w:color w:val="auto"/>
        </w:rPr>
      </w:pPr>
    </w:p>
    <w:p>
      <w:pPr>
        <w:ind w:left="980" w:hanging="432"/>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€100,000 and in multiples of €1,000 in excess thereof.</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Payments</w:t>
      </w:r>
    </w:p>
    <w:p>
      <w:pPr>
        <w:spacing w:after="0" w:line="18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Interest on the notes will be computed on the basis of the actual number of days in the period for which interest is being calculated and the actual number of days from and including the last date to which interest was paid on the notes (or September 14, 2021 if no interest has been paid on the notes), to but excluding the next scheduled interest payment date. This payment convention is referred to as ACTUAL/ACTUAL (ICMA) as defined in the rulebook of the International Capital Market Association.</w:t>
      </w:r>
    </w:p>
    <w:p>
      <w:pPr>
        <w:spacing w:after="0" w:line="160"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00"/>
          </w:cols>
          <w:pgMar w:left="32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The term “business day” means any day other than a Saturday or Sunday (i) which is not a day on which banking institutions in The City of New York or London are authorized or obligated by law, regulation or executive order to close and (ii) on which the Trans-European Automated Real-Time Gross Settlement Express Transfer System (the TARGET2 system) or any successor thereto is open.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more information on payment and transfer procedures for the notes, see “—Book-Entry System” below.</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in Euro</w:t>
      </w:r>
    </w:p>
    <w:p>
      <w:pPr>
        <w:spacing w:after="0" w:line="189"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Principal, premium, if any, and interest payments in respect of the notes will be payable in euro. If euro is unavailable to us due to the imposition of exchange controls or other circumstances beyond our control, then all payments in respect of the notes will be made in U.S. dollars until euro is again available to us. The amount payable on any date in euro will be converted into U.S. dollars at the Market Exchange Rate (as defined below) or, if such Market Exchange Rate is not then available, on the basis of the most recently available market exchange rate for euro. Any payment in respect of the notes so made in U.S. dollars will not constitute an event of default under the indenture.</w:t>
      </w:r>
    </w:p>
    <w:p>
      <w:pPr>
        <w:spacing w:after="0" w:line="14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amount payable on any date in euro will be converted into U.S. dollars at the Market Exchange Rate (as defined below) or, if such Market Exchange Rate is not then available, on the basis of the then most recent U.S. dollar/euro exchange rate. Any payment in respect of the notes so made in U.S. dollars will not constitute an event of default under the indenture. Neither the trustee nor the paying agent will be responsible for obtaining exchange rates, effecting currency conversions or otherwise handling re-denominations.</w:t>
      </w:r>
    </w:p>
    <w:p>
      <w:pPr>
        <w:spacing w:after="0" w:line="14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“Market Exchange Rate” means the noon buying rate in The City of New York for cable transfers of euro as certified for customs purposes (or, if not so certified, as otherwise determined) by the Federal Reserve Bank of New York.</w:t>
      </w:r>
    </w:p>
    <w:p>
      <w:pPr>
        <w:spacing w:after="0" w:line="130" w:lineRule="exact"/>
        <w:rPr>
          <w:sz w:val="20"/>
          <w:szCs w:val="20"/>
          <w:color w:val="auto"/>
        </w:rPr>
      </w:pPr>
    </w:p>
    <w:p>
      <w:pPr>
        <w:ind w:left="120" w:right="720"/>
        <w:spacing w:after="0" w:line="342" w:lineRule="auto"/>
        <w:rPr>
          <w:sz w:val="20"/>
          <w:szCs w:val="20"/>
          <w:color w:val="auto"/>
        </w:rPr>
      </w:pPr>
      <w:r>
        <w:rPr>
          <w:rFonts w:ascii="Arial" w:cs="Arial" w:eastAsia="Arial" w:hAnsi="Arial"/>
          <w:sz w:val="16"/>
          <w:szCs w:val="16"/>
          <w:color w:val="auto"/>
        </w:rPr>
        <w:t>Investors will be subject to foreign exchange risks as to payments of principal of, and premium, if any, and interest on, the notes that may have important economic and tax consequences to them. See “Risk Factors” and “Material U.S. Federal Income Tax Consequences.”</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September 7, 2021, the euro/USD rate of exchange was €1.18/U.S.$1.00, as reported by Bloomberg L.P.</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8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notes constitute new issues of securities for which there are no established trading markets. We intend to apply to list each series of the notes on NASDAQ. The listing applications will be subject to approval by NASDAQ. If such listings are obtained, we have no obligation to maintain such listings for any series of the notes, and we may delist any series of the notes at any time. We currently expect trading in the notes on NASDAQ to begin within 30 days after the original issue date.</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Guarantees</w:t>
      </w:r>
    </w:p>
    <w:p>
      <w:pPr>
        <w:spacing w:after="0" w:line="18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guarantors as described in the accompanying prospectus.</w:t>
      </w:r>
    </w:p>
    <w:p>
      <w:pPr>
        <w:spacing w:after="0" w:line="130"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89"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We will have the right at our option to redeem any of the notes of each series in whole or in part, at any time or from time to time prior to their maturity, on at least 15 days, but not more than 30 days, prior notice delivered electronically or mailed to the registered address of each holder of notes, at the applicable Redemption Price. We will calculate the Redemption Price in connection with any redemption hereunder.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“Redemption Price” means:</w:t>
      </w:r>
    </w:p>
    <w:p>
      <w:pPr>
        <w:spacing w:after="0" w:line="225" w:lineRule="exact"/>
        <w:rPr>
          <w:sz w:val="20"/>
          <w:szCs w:val="20"/>
          <w:color w:val="auto"/>
        </w:rPr>
      </w:pPr>
    </w:p>
    <w:p>
      <w:pPr>
        <w:ind w:left="980" w:right="60" w:hanging="432"/>
        <w:spacing w:after="0" w:line="293"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with respect to the Notes due 2026, at any time prior to August 14, 2026 (one month prior to the maturity of the Notes due 2026) (the “2026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2026 Par Call Date, in each case discounted to the redemption date on an actual (ACTUAL/ACTUAL (ICMA)) basis at a rate equal to the applicable comparable government bond rate plus 10 basis points; provided that, if the Notes due 2026 are redeemed on or after the 2026 Par Call Date, the Redemption Price will equal 100% of the principal amount of such notes; and</w:t>
      </w:r>
    </w:p>
    <w:p>
      <w:pPr>
        <w:spacing w:after="0" w:line="164" w:lineRule="exact"/>
        <w:rPr>
          <w:rFonts w:ascii="Arial" w:cs="Arial" w:eastAsia="Arial" w:hAnsi="Arial"/>
          <w:sz w:val="16"/>
          <w:szCs w:val="16"/>
          <w:color w:val="auto"/>
        </w:rPr>
      </w:pPr>
    </w:p>
    <w:p>
      <w:pPr>
        <w:ind w:left="980" w:right="60" w:hanging="432"/>
        <w:spacing w:after="0" w:line="293"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with respect to the Notes due 2029, at any time prior to June 14, 2029 (three months prior to the maturity of the Notes due 2029) (the “2029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2029 Par Call Date, in each case discounted to the redemption date on an actual (ACTUAL/ACTUAL (ICMA)) basis at a rate equal to the applicable comparable government bond rate plus 15 basis points; provided that, if the Notes due 2029 are redeemed on or after the 2029 Par Call Date, the Redemption Price will equal 100% of the principal amount of such notes;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plus, in each case, accrued and unpaid interest thereon to the date of redemption.</w:t>
      </w:r>
    </w:p>
    <w:p>
      <w:pPr>
        <w:spacing w:after="0" w:line="185"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The term “comparable government bond” means, in relation to any comparable government bond rate calculation, at the discretion of an independent investment banker selected by us, a German government bond whose maturity is closest to the maturity of the applicable series of notes to be redeemed (assuming for this purpose that each series of notes matured on the related Par Call Date), or if such independent investment banker in its discretion determines that such similar bond is not in issue, such other German government bond as such independent investment banker may, with the advice of three brokers of, and/or market makers in, German government bonds selected by us, determine to be appropriate for determining the comparable government bond rate.</w:t>
      </w:r>
    </w:p>
    <w:p>
      <w:pPr>
        <w:spacing w:after="0" w:line="152"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term “comparable government bond rate” means the yield to maturity, expressed as a percentage (rounded to three decimal places, with 0.0005 being rounded upwards), on the third business day prior to the date fixed for redemption, of the applicable comparable government bond on the basis of the middle market price of such comparable government bond prevailing at 11:00 a.m. (London time) on such business day as determined by an independent investment banker selected by us.</w:t>
      </w:r>
    </w:p>
    <w:p>
      <w:pPr>
        <w:spacing w:after="0" w:line="160"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term “independent investment banker” means each of Barclays Bank PLC and Deutsche Bank AG, London Branch (or their respective successors), or if each such firm is unwilling or unable to select the comparable government bond, an independent investment banking institution of international standing appointed by us.</w:t>
      </w:r>
    </w:p>
    <w:p>
      <w:pPr>
        <w:spacing w:after="0" w:line="143"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trustee or the paying agent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lottery provided that notes represented by a Global Note will be selected for redemption by the applicable depositary in accordance with its standard procedures therefor). See also “—Book-Entry System” below. Additionally, we may at any time repurchase notes in the open market and may hold or surrender such notes to the trustee for cancellation.</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The notes are also subject to redemption prior to maturity if certain events occur involving United States taxation. If any of these special tax events occur, the notes may be redeemed at a redemption price of 100% of their principal amount plus accrued and unpaid interest to the date fixed for redemption. See “</w:t>
      </w:r>
      <w:r>
        <w:rPr>
          <w:rFonts w:ascii="Arial" w:cs="Arial" w:eastAsia="Arial" w:hAnsi="Arial"/>
          <w:sz w:val="18"/>
          <w:szCs w:val="18"/>
          <w:b w:val="1"/>
          <w:bCs w:val="1"/>
          <w:color w:val="auto"/>
        </w:rPr>
        <w:t>—</w:t>
      </w:r>
      <w:r>
        <w:rPr>
          <w:rFonts w:ascii="Arial" w:cs="Arial" w:eastAsia="Arial" w:hAnsi="Arial"/>
          <w:sz w:val="18"/>
          <w:szCs w:val="18"/>
          <w:color w:val="auto"/>
        </w:rPr>
        <w:t>Redemption for Tax Reasons.”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of Additional Amounts</w:t>
      </w:r>
    </w:p>
    <w:p>
      <w:pPr>
        <w:spacing w:after="0" w:line="189"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We will, subject to the exceptions and limitations set forth below, pay as additional interest in respect of the notes such additional amounts as are necessary in order that the net payment by us or our paying agent of the principal of and interest in respect of the notes to a beneficial owner who is not a United States person (as defined below), after withholding or deduction for any present or future tax, assessment or other governmental charge imposed by the United States or a taxing authority in the United States, will not be less than the amount provided in the notes to be then due and payable; provided, however, that the foregoing obligation to pay additional amounts shall not apply:</w:t>
      </w:r>
    </w:p>
    <w:p>
      <w:pPr>
        <w:spacing w:after="0" w:line="176" w:lineRule="exact"/>
        <w:rPr>
          <w:sz w:val="20"/>
          <w:szCs w:val="20"/>
          <w:color w:val="auto"/>
        </w:rPr>
      </w:pPr>
    </w:p>
    <w:p>
      <w:pPr>
        <w:ind w:left="980" w:right="260" w:hanging="432"/>
        <w:spacing w:after="0" w:line="259"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the extent any tax, assessment or other governmental charge that is imposed by reason of the holder (or the beneficial owner for whose benefit such holder holds such note), or a fiduciary, settlor, beneficiary, member or shareholder of the holder or beneficial owner if the holder or beneficial owner is an estate, trust, partnership, corporation or other entity, or a person holding a power over an estate or trust administered by a fiduciary holder, being considered as:</w:t>
      </w:r>
    </w:p>
    <w:p>
      <w:pPr>
        <w:spacing w:after="0" w:line="186" w:lineRule="exact"/>
        <w:rPr>
          <w:rFonts w:ascii="Arial" w:cs="Arial" w:eastAsia="Arial" w:hAnsi="Arial"/>
          <w:sz w:val="18"/>
          <w:szCs w:val="18"/>
          <w:color w:val="auto"/>
        </w:rPr>
      </w:pPr>
    </w:p>
    <w:p>
      <w:pPr>
        <w:ind w:left="1540" w:right="220" w:hanging="439"/>
        <w:spacing w:after="0" w:line="277"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being or having been engaged in a trade or business in the United States or having or having had a permanent establishment in the United States;</w:t>
      </w:r>
    </w:p>
    <w:p>
      <w:pPr>
        <w:spacing w:after="0" w:line="170" w:lineRule="exact"/>
        <w:rPr>
          <w:rFonts w:ascii="Arial" w:cs="Arial" w:eastAsia="Arial" w:hAnsi="Arial"/>
          <w:sz w:val="18"/>
          <w:szCs w:val="18"/>
          <w:color w:val="auto"/>
        </w:rPr>
      </w:pPr>
    </w:p>
    <w:p>
      <w:pPr>
        <w:ind w:left="1540" w:right="200" w:hanging="439"/>
        <w:spacing w:after="0" w:line="263"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having a current or former connection with the United States (other than a connection arising solely as a result of the ownership of the notes or the receipt of any payment or the enforcement of any rights thereunder), including being or having been a citizen or resident of the United States;</w:t>
      </w:r>
    </w:p>
    <w:p>
      <w:pPr>
        <w:spacing w:after="0" w:line="183" w:lineRule="exact"/>
        <w:rPr>
          <w:rFonts w:ascii="Arial" w:cs="Arial" w:eastAsia="Arial" w:hAnsi="Arial"/>
          <w:sz w:val="18"/>
          <w:szCs w:val="18"/>
          <w:color w:val="auto"/>
        </w:rPr>
      </w:pPr>
    </w:p>
    <w:p>
      <w:pPr>
        <w:jc w:val="both"/>
        <w:ind w:left="1540" w:hanging="439"/>
        <w:spacing w:after="0" w:line="263"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being or having been a personal holding company, a passive foreign investment company or a controlled foreign corporation for U.S. federal income tax purposes, a foreign-tax exempt organization, or a corporation that has accumulated earnings to avoid U.S. federal income tax;</w:t>
      </w:r>
    </w:p>
    <w:p>
      <w:pPr>
        <w:spacing w:after="0" w:line="183" w:lineRule="exact"/>
        <w:rPr>
          <w:rFonts w:ascii="Arial" w:cs="Arial" w:eastAsia="Arial" w:hAnsi="Arial"/>
          <w:sz w:val="18"/>
          <w:szCs w:val="18"/>
          <w:color w:val="auto"/>
        </w:rPr>
      </w:pPr>
    </w:p>
    <w:p>
      <w:pPr>
        <w:ind w:left="1540" w:right="160" w:hanging="439"/>
        <w:spacing w:after="0" w:line="277"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being or having been a “10-percent shareholder” of Comcast or the applicable guarantor as defined in section 871(h)(3) of the U.S. Internal Revenue Code of 1986, as amended (the “Code”), or any successor provision; or</w:t>
      </w:r>
    </w:p>
    <w:p>
      <w:pPr>
        <w:spacing w:after="0" w:line="170" w:lineRule="exact"/>
        <w:rPr>
          <w:rFonts w:ascii="Arial" w:cs="Arial" w:eastAsia="Arial" w:hAnsi="Arial"/>
          <w:sz w:val="18"/>
          <w:szCs w:val="18"/>
          <w:color w:val="auto"/>
        </w:rPr>
      </w:pPr>
    </w:p>
    <w:p>
      <w:pPr>
        <w:ind w:left="1540" w:right="120" w:hanging="439"/>
        <w:spacing w:after="0" w:line="277"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being a bank receiving payments on an extension of credit made pursuant to a loan agreement entered into in the ordinary course of its trade or business, as described in Section 881(c)(3) of the Code or any successor provision;</w:t>
      </w:r>
    </w:p>
    <w:p>
      <w:pPr>
        <w:spacing w:after="0" w:line="170" w:lineRule="exact"/>
        <w:rPr>
          <w:rFonts w:ascii="Arial" w:cs="Arial" w:eastAsia="Arial" w:hAnsi="Arial"/>
          <w:sz w:val="18"/>
          <w:szCs w:val="18"/>
          <w:color w:val="auto"/>
        </w:rPr>
      </w:pPr>
    </w:p>
    <w:p>
      <w:pPr>
        <w:ind w:left="980" w:right="120" w:hanging="432"/>
        <w:spacing w:after="0" w:line="25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any holder that is not the sole beneficial owner of the notes, or a portion of the notes, or that is a fiduciary, partnership, limited liability company or other fiscally transparent entity, but only to the extent that a beneficial owner with respect to the holder, a beneficiary or settlor with respect to the fiduciary, or a beneficial owner or member of the partnership, limited liability company or other fiscally transparent entity, would not have been entitled to the payment of an additional amount had the beneficiary, settlor, beneficial owner or member received directly its beneficial or distributive share of the payment;</w:t>
      </w:r>
    </w:p>
    <w:p>
      <w:pPr>
        <w:spacing w:after="0" w:line="187" w:lineRule="exact"/>
        <w:rPr>
          <w:rFonts w:ascii="Arial" w:cs="Arial" w:eastAsia="Arial" w:hAnsi="Arial"/>
          <w:sz w:val="18"/>
          <w:szCs w:val="18"/>
          <w:color w:val="auto"/>
        </w:rPr>
      </w:pPr>
    </w:p>
    <w:p>
      <w:pPr>
        <w:ind w:left="980" w:right="120" w:hanging="432"/>
        <w:spacing w:after="0" w:line="275"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 the extent any tax, assessment or other governmental charge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or reduction in such tax, assessment or other governmental charge;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432"/>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is imposed otherwise than by withholding by us or an applicable withholding agent from the payment;</w:t>
      </w:r>
    </w:p>
    <w:p>
      <w:pPr>
        <w:spacing w:after="0" w:line="170" w:lineRule="exact"/>
        <w:rPr>
          <w:rFonts w:ascii="Arial" w:cs="Arial" w:eastAsia="Arial" w:hAnsi="Arial"/>
          <w:sz w:val="18"/>
          <w:szCs w:val="18"/>
          <w:color w:val="auto"/>
        </w:rPr>
      </w:pPr>
    </w:p>
    <w:p>
      <w:pPr>
        <w:jc w:val="both"/>
        <w:ind w:left="980" w:right="20" w:hanging="432"/>
        <w:spacing w:after="0" w:line="263"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spacing w:after="0" w:line="183" w:lineRule="exact"/>
        <w:rPr>
          <w:rFonts w:ascii="Arial" w:cs="Arial" w:eastAsia="Arial" w:hAnsi="Arial"/>
          <w:sz w:val="18"/>
          <w:szCs w:val="18"/>
          <w:color w:val="auto"/>
        </w:rPr>
      </w:pPr>
    </w:p>
    <w:p>
      <w:pPr>
        <w:ind w:left="980" w:right="540" w:hanging="432"/>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any estate, inheritance, gift, sales, excise, transfer, wealth, capital gains or personal property tax or similar tax, assessment or other governmental charge or excise tax imposed on the transfer of notes;</w:t>
      </w:r>
    </w:p>
    <w:p>
      <w:pPr>
        <w:spacing w:after="0" w:line="170" w:lineRule="exact"/>
        <w:rPr>
          <w:rFonts w:ascii="Arial" w:cs="Arial" w:eastAsia="Arial" w:hAnsi="Arial"/>
          <w:sz w:val="18"/>
          <w:szCs w:val="18"/>
          <w:color w:val="auto"/>
        </w:rPr>
      </w:pPr>
    </w:p>
    <w:p>
      <w:pPr>
        <w:ind w:left="980" w:right="500" w:hanging="432"/>
        <w:spacing w:after="0" w:line="308"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 any tax, assessment or other governmental charge required to be withheld by any paying agent from any payment of principal of or interest on any note, if such payment can be made without such withholding by at least one other paying agent;</w:t>
      </w:r>
    </w:p>
    <w:p>
      <w:pPr>
        <w:spacing w:after="0" w:line="146" w:lineRule="exact"/>
        <w:rPr>
          <w:rFonts w:ascii="Arial" w:cs="Arial" w:eastAsia="Arial" w:hAnsi="Arial"/>
          <w:sz w:val="17"/>
          <w:szCs w:val="17"/>
          <w:color w:val="auto"/>
        </w:rPr>
      </w:pPr>
    </w:p>
    <w:p>
      <w:pPr>
        <w:ind w:left="980" w:right="40" w:hanging="432"/>
        <w:spacing w:after="0" w:line="263"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the extent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p>
      <w:pPr>
        <w:spacing w:after="0" w:line="183" w:lineRule="exact"/>
        <w:rPr>
          <w:rFonts w:ascii="Arial" w:cs="Arial" w:eastAsia="Arial" w:hAnsi="Arial"/>
          <w:sz w:val="18"/>
          <w:szCs w:val="18"/>
          <w:color w:val="auto"/>
        </w:rPr>
      </w:pPr>
    </w:p>
    <w:p>
      <w:pPr>
        <w:ind w:left="980" w:hanging="432"/>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any tax, assessment or other governmental charge that is imposed or withheld solely by reason of the beneficial owner being a bank</w:t>
      </w:r>
    </w:p>
    <w:p>
      <w:pPr>
        <w:spacing w:after="0" w:line="46" w:lineRule="exact"/>
        <w:rPr>
          <w:rFonts w:ascii="Arial" w:cs="Arial" w:eastAsia="Arial" w:hAnsi="Arial"/>
          <w:sz w:val="16"/>
          <w:szCs w:val="16"/>
          <w:color w:val="auto"/>
        </w:rPr>
      </w:pPr>
    </w:p>
    <w:p>
      <w:pPr>
        <w:ind w:left="980"/>
        <w:spacing w:after="0" w:line="290" w:lineRule="auto"/>
        <w:rPr>
          <w:rFonts w:ascii="Arial" w:cs="Arial" w:eastAsia="Arial" w:hAnsi="Arial"/>
          <w:sz w:val="16"/>
          <w:szCs w:val="16"/>
          <w:color w:val="auto"/>
        </w:rPr>
      </w:pPr>
      <w:r>
        <w:rPr>
          <w:rFonts w:ascii="Arial" w:cs="Arial" w:eastAsia="Arial" w:hAnsi="Arial"/>
          <w:sz w:val="17"/>
          <w:szCs w:val="17"/>
          <w:color w:val="auto"/>
        </w:rPr>
        <w:t>(i) purchasing the notes in the ordinary course of its lending business or (ii) that is neither (A) buying the notes for investment purposes only nor (B) buying the notes for resale to a third party that either is not a bank or holding the notes for investment purposes only;</w:t>
      </w:r>
    </w:p>
    <w:p>
      <w:pPr>
        <w:spacing w:after="0" w:line="161" w:lineRule="exact"/>
        <w:rPr>
          <w:rFonts w:ascii="Arial" w:cs="Arial" w:eastAsia="Arial" w:hAnsi="Arial"/>
          <w:sz w:val="16"/>
          <w:szCs w:val="16"/>
          <w:color w:val="auto"/>
        </w:rPr>
      </w:pPr>
    </w:p>
    <w:p>
      <w:pPr>
        <w:ind w:left="980" w:hanging="432"/>
        <w:spacing w:after="0" w:line="25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whether currently in effect or as published and amended from time to time; or</w:t>
      </w:r>
    </w:p>
    <w:p>
      <w:pPr>
        <w:spacing w:after="0" w:line="187" w:lineRule="exact"/>
        <w:rPr>
          <w:rFonts w:ascii="Arial" w:cs="Arial" w:eastAsia="Arial" w:hAnsi="Arial"/>
          <w:sz w:val="18"/>
          <w:szCs w:val="18"/>
          <w:color w:val="auto"/>
        </w:rPr>
      </w:pPr>
    </w:p>
    <w:p>
      <w:pPr>
        <w:ind w:left="980" w:hanging="432"/>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case of any combination of items (1) through (10) above.</w:t>
      </w:r>
    </w:p>
    <w:p>
      <w:pPr>
        <w:spacing w:after="0" w:line="22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If we are required to pay additional amounts with respect to the notes, we will notify the trustee and paying agent pursuant to an officer’s certificate that specifies the amount of such additional amounts payable and the time when such amounts are payable. If the trustee and the paying agent do not receive such an officer’s certificate from us, the trustee and paying agent may rely on the absence of such an officer’s certificate in assuming that no such additional amounts are payable.</w:t>
      </w:r>
    </w:p>
    <w:p>
      <w:pPr>
        <w:spacing w:after="0" w:line="160"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The notes are also subject to redemption prior to maturity if certain events occur involving U.S. taxation. If any of these special tax events occur, the notes may be redeemed at a redemption price of 100% of their principal amount plus accrued and unpaid interest to the date fixed for redemption. See “—Redemption for Tax Reasons.”</w:t>
      </w:r>
    </w:p>
    <w:p>
      <w:pPr>
        <w:spacing w:after="0" w:line="143"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The notes are subject in all cases to any tax, fiscal or other law or regulation or administrative or judicial interpretation applicable to the notes. Except as specifically provided under this heading “—Payment of Additional Amounts,” we will not be required to make any payment for any tax, assessment or other governmental charge imposed by any government or a political subdivision or taxing authority of or in any government or political subdivision.</w:t>
      </w:r>
    </w:p>
    <w:p>
      <w:pPr>
        <w:spacing w:after="0" w:line="108"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As used under this heading “—Payment of Additional Amounts” and under the heading “—Redemption for Tax Reasons,” the term “United States” means the United States of America, the states of the United States, and the District of Columbia, and the term “United States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or any estate or trust the income of which is subject to U.S. federal income taxation regardless of its source.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for Tax Reasons</w:t>
      </w:r>
    </w:p>
    <w:p>
      <w:pPr>
        <w:spacing w:after="0" w:line="202"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If, as a result of any change in, or amendment to, the laws (or any regulations or rulings promulgated under the laws) of the United States (or any taxing authority in the United States), or any change in, or amendment to, an official position regarding the application or interpretation of such laws, regulations or rulings, which change or amendment is announced or becomes effective on or after the date of this prospectus supplement, we become or, based upon a written opinion of independent counsel selected by us, will become obligated to pay additional amounts as described under the heading “—Payment of Additional Amounts” with respect to the notes, then we may at any time at our option redeem, in whole, but not in part, the notes on not less than 15 nor more than 30 days’ prior notice, at a redemption price equal to 100% of their principal amount, together with accrued and unpaid interest on the notes to, but not including, the date fixed for redemption.</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Debt</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System</w:t>
      </w:r>
    </w:p>
    <w:p>
      <w:pPr>
        <w:spacing w:after="0" w:line="202"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We have obtained the information in this section concerning Clearstream and Euroclear and their book-entry systems and procedures from sources that we believe to be reliable. We take no responsibility for an accurate portrayal of this information. In addition, the description of the clearing systems in this section reflects our understanding of the rules and procedures of Clearstream and Euroclear as they are currently in effect. Those systems could change their rules and procedures at any time.</w:t>
      </w:r>
    </w:p>
    <w:p>
      <w:pPr>
        <w:spacing w:after="0" w:line="146"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The notes will initially be represented by one or more fully registered global notes. Each such global note will be deposited with, or on behalf of, a common depositary, and registered in the name of the nominee of the common depositary for the accounts of Clearstream and Euroclear. You may hold your interests in the global notes in Europe through Clearstream or Euroclear, either as a participant in such systems or indirectly through organizations that are participants in such systems. Clearstream and Euroclear will hold interests in the global notes on behalf of their respective participating organizations or customers through customers’ securities accounts in Clearstream’s or Euroclear’s names on the books of their respective depositaries. Book-entry interests in the notes and all transfers relating to the notes will be reflected in the book-entry records of Clearstream and Euroclear.</w:t>
      </w:r>
    </w:p>
    <w:p>
      <w:pPr>
        <w:spacing w:after="0" w:line="12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distribution of the notes will be cleared through Clearstream and Euroclear. Any secondary market trading of book-entry interests in the notes will take place through Clearstream and Euroclear participants and will settle in same-day funds. Owners of book-entry interests in the notes will receive payments relating to their notes in euro, except as described above under “—Issuance in Euro.”</w:t>
      </w:r>
    </w:p>
    <w:p>
      <w:pPr>
        <w:spacing w:after="0" w:line="15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Clearstream and Euroclear have established electronic securities and payment transfer, processing, depositary and custodial links among themselves and others, either directly or through custodians and depositaries. These links allow book-entry interests in the notes to be issued, held and transferred among the clearing systems without the physical transfer of certificates. Special procedures to facilitate clearance and settlement have been established among these clearing systems to trade securities across borders in the secondary market. The policies of Clearstream and Euroclear will govern payments, transfers, exchange and other matters relating to the investor’s interest in the notes held by them. Neither we nor the trustee or paying agent have any responsibility for any aspect of the records kept by Clearstream or Euroclear or any of their direct or indirect participants. We, the paying agent and the trustee also do not supervise these systems in any way.</w:t>
      </w:r>
    </w:p>
    <w:p>
      <w:pPr>
        <w:spacing w:after="0" w:line="13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Clearstream and Euroclear and their participants perform these clearance and settlement functions under agreements they have made with one another or with their customers. You should be aware that they are not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obligated to perform or continue to perform these procedures and may modify them or discontinue them at any time.</w:t>
      </w:r>
    </w:p>
    <w:p>
      <w:pPr>
        <w:spacing w:after="0" w:line="198"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Except as provided below, owners of beneficial interests in the notes will not be entitled to have the notes registered in their names, will not receive or be entitled to receive physical delivery of the notes in definitive form and will not be considered the owners or holders of the notes under the indenture, including for purposes of receiving any reports delivered by us or the trustee pursuant to the indenture. Accordingly, each person owning a beneficial interest in a note must rely on the procedures of Euroclear and Clearstream and, if such person is not a participant, on the procedures of the participant through which such person owns its interest, in order to exercise any rights of a holder of notes.</w:t>
      </w:r>
    </w:p>
    <w:p>
      <w:pPr>
        <w:spacing w:after="0" w:line="136"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description of the clearing systems in this section reflects our understanding of the rules and procedures of Clearstream and Euroclear as they are currently in effect. These systems could change their rules and procedures at any time. We have obtained the information in this section concerning Clearstream and Euroclear and their book-entry systems and procedures from sources that we believe to be reliable, but we take no responsibility for the accuracy of this information.</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Clearstream</w:t>
      </w:r>
    </w:p>
    <w:p>
      <w:pPr>
        <w:spacing w:after="0" w:line="198"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Clearstream has advised that it is incorporated under the laws of Luxembourg as a professional depositary. Clearstream holds securities for its participating organizations (“Clearstream Participants”). Clearstream facilitates the clearance and settlement of securities transactions between Clearstream Participants through electronic book-entry changes in accounts of Clearstream Participants, thereby eliminating the need for physical movement of certificates. Clearstream, Luxembourg provides to Clearstream Participants, among other things, services for safekeeping, administration, clearance and settlement of internationally traded securities and securities lending and borrowing. Clearstream interfaces with domestic markets in several countries. As a professional depositary, Clearstream is subject to regulation by the Luxembourg Commission for the Supervision of the Financial Sector (</w:t>
      </w:r>
      <w:r>
        <w:rPr>
          <w:rFonts w:ascii="Arial" w:cs="Arial" w:eastAsia="Arial" w:hAnsi="Arial"/>
          <w:sz w:val="17"/>
          <w:szCs w:val="17"/>
          <w:i w:val="1"/>
          <w:iCs w:val="1"/>
          <w:color w:val="auto"/>
        </w:rPr>
        <w:t>Commission de Surveillance du Secteur Financier</w:t>
      </w:r>
      <w:r>
        <w:rPr>
          <w:rFonts w:ascii="Arial" w:cs="Arial" w:eastAsia="Arial" w:hAnsi="Arial"/>
          <w:sz w:val="17"/>
          <w:szCs w:val="17"/>
          <w:color w:val="auto"/>
        </w:rPr>
        <w:t>). Clearstream Participants are recognized financial institutions around the world, including underwriters, securities brokers and dealers, banks, trust companies, clearing corporations and certain other organizations and may include the underwriters. Indirect access to Clearstream is also available to others, such as banks, brokers, dealers and trust companies, that clear through or maintain a custodial relationship with a Clearstream Participant, either directly or indirectly.</w:t>
      </w:r>
    </w:p>
    <w:p>
      <w:pPr>
        <w:spacing w:after="0" w:line="145"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Distributions with respect to interests in the global notes held beneficially through Clearstream will be credited to cash accounts of Clearstream Participants in accordance with its rules and procedures.</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Euroclear</w:t>
      </w:r>
    </w:p>
    <w:p>
      <w:pPr>
        <w:spacing w:after="0" w:line="198"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Euroclear has advised that it was created in 1968 to hold securities for its participants (“Euroclear Participants”) and to clear and settle transactions between Euroclear Participants through simultaneous electronic book-entry delivery against payment, thereby eliminating the need for physical movement of certificates and eliminating any risk from lack of simultaneous transfers of securities and cash. Euroclear provides various other services, including securities lending and borrowing and interfaces with domestic markets in several countries.</w:t>
      </w:r>
    </w:p>
    <w:p>
      <w:pPr>
        <w:spacing w:after="0" w:line="13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Euroclear is operated by Euroclear Bank S.A./N.V. (the “Euroclear Operator”). All operations are conducted by the Euroclear Operator, and all Euroclear securities clearance accounts and Euroclear cash accounts are accounts with the Euroclear Operator.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w:t>
      </w:r>
    </w:p>
    <w:p>
      <w:pPr>
        <w:spacing w:after="0" w:line="147"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 Terms and Conditions Governing Use of Euroclear and the related Operating Procedures of the Euroclear System, or the Euroclear Terms and Conditions, and applicable Belgian law govern securities clearance accounts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and cash accounts with the Euroclear Operator. Specifically, these terms and conditions govern transfers of securities and cash within Euroclear, withdrawals of securities and cash from Euroclear, and receipt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130"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Distributions with respect to interests in the Global Notes held beneficially through Euroclear will be credited to the cash accounts of Euroclear Participants in accordance with the Euroclear Terms and Conditions.</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Clearance and Settlement Procedures</w:t>
      </w:r>
    </w:p>
    <w:p>
      <w:pPr>
        <w:spacing w:after="0" w:line="18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understand that investors that hold their notes through Clearstream or Euroclear accounts will follow the settlement procedures that are applicable to conventional eurobonds in registered form. Notes will be credited to the securities custody accounts of Clearstream and Euroclear Participants on the business day following the settlement date, for value on the settlement date. They will be credited either free of payment or against payment for value on the settlement date.</w:t>
      </w:r>
    </w:p>
    <w:p>
      <w:pPr>
        <w:spacing w:after="0" w:line="160"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We understand that secondary market trading between Clearstream and/or Euroclear Participants will occur in the ordinary way following the applicable rules and operating procedures of Clearstream and Euroclear. Secondary market trading will be settled using procedures applicable to conventional eurobonds in registered form.</w:t>
      </w:r>
    </w:p>
    <w:p>
      <w:pPr>
        <w:spacing w:after="0" w:line="143"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You should be aware that investors will only be able to make and receive deliveries, payments and other communications involving the notes through Clearstream and Euroclear on days when those systems are open for business. Those systems may not be open for business on days when banks, brokers and other institutions are open for business in the United States.</w:t>
      </w:r>
    </w:p>
    <w:p>
      <w:pPr>
        <w:spacing w:after="0" w:line="143"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In addition, because of time-zone differences, there may be problems with completing transactions involving Clearstream and Euroclear on the same business day as in the United States. U.S. investors who wish to transfer their interests in the notes, or to make or receive a payment or delivery of the notes, on a particular day, may find that the transactions will not be performed until the next business day in Luxembourg or Brussels, depending on whether Clearstream or Euroclear is used.</w:t>
      </w:r>
    </w:p>
    <w:p>
      <w:pPr>
        <w:spacing w:after="0" w:line="160"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Clearstream or Euroclear will credit payments to the cash accounts of Clearstream or Euroclear Participants, as applicable, in accordance with the relevant system’s rules and procedures, to the extent received by its depositary. Clearstream or the Euroclear Operator, as the case may be, will take any other action permitted to be taken by a holder under the indenture on behalf of a Clearstream or Euroclear Participant only in accordance with its relevant rules and procedures.</w:t>
      </w:r>
    </w:p>
    <w:p>
      <w:pPr>
        <w:spacing w:after="0" w:line="146"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Clearstream and Euroclear have agreed to the foregoing procedures in order to facilitate transfers of interests in the notes among participants of Clearstream and Euroclear. However, they are under no obligation to perform or continue to perform those procedures, and they may discontinue those procedures at any time.</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98"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If Clearstream or Euroclear is at any time unwilling or unable to continue as depositary, and a successor depositary is not appointed by us within 90 days, we will issue notes of like tenor in minimum denominations of €100,000 principal amount and integral multiples of €1,000 in excess thereof in definitive form in exchange for an applicable registered global note that had been held by the depositary. Any notes issued in definitive form in exchange for a registered global note will be registered in the name or names that the depositary gives to the trustee or other relevant agent of the trustee. It is expected that the depositary’s instructions will be based upon directions received by the depositary from participants with respect to ownership of beneficial interests in the applicable registered global note that had been held by the depositary. In addition, we may at any time determine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that the notes of an applicable series shall no longer be represented by a global note and will issue notes in definitive form in exchange for such global note pursuant to the procedure described above.</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Same-Day Payment</w:t>
      </w:r>
    </w:p>
    <w:p>
      <w:pPr>
        <w:spacing w:after="0" w:line="18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43"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Payments (including principal, premium and interest) and transfers with respect to notes in certificated form may be executed at the office or agency maintained for such purpose within the City of London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paying agent for the notes will initially be The Bank of New York Mellon, London Branch.</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040"/>
          </w:cols>
          <w:pgMar w:left="320" w:top="459" w:right="5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02"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following are the material U.S. federal income tax consequences of ownership and disposition of the notes. This discussion only applies to notes that meet all of the following conditions:</w:t>
      </w:r>
    </w:p>
    <w:p>
      <w:pPr>
        <w:spacing w:after="0" w:line="170" w:lineRule="exact"/>
        <w:rPr>
          <w:sz w:val="20"/>
          <w:szCs w:val="20"/>
          <w:color w:val="auto"/>
        </w:rPr>
      </w:pPr>
    </w:p>
    <w:p>
      <w:pPr>
        <w:ind w:left="980" w:hanging="432"/>
        <w:spacing w:after="0" w:line="286"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they are held by those initial holders who purchased such notes in this offering at the “issue price,” which will be equal to the first price to the public (not including bond houses, brokers or similar persons or organizations acting in the capacity of underwriters, placement agents or wholesalers) at which a substantial amount of the applicable series of notes is sold for money; and</w:t>
      </w:r>
    </w:p>
    <w:p>
      <w:pPr>
        <w:spacing w:after="0" w:line="165" w:lineRule="exact"/>
        <w:rPr>
          <w:rFonts w:ascii="Arial" w:cs="Arial" w:eastAsia="Arial" w:hAnsi="Arial"/>
          <w:sz w:val="17"/>
          <w:szCs w:val="17"/>
          <w:color w:val="auto"/>
        </w:rPr>
      </w:pPr>
    </w:p>
    <w:p>
      <w:pPr>
        <w:ind w:left="980" w:hanging="432"/>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they are held as capital assets.</w:t>
      </w:r>
    </w:p>
    <w:p>
      <w:pPr>
        <w:spacing w:after="0" w:line="185"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This discussion does not describe all of the tax consequences that may be relevant to holders in light of their particular circumstances or to holders subject to special rules, such as:</w:t>
      </w:r>
    </w:p>
    <w:p>
      <w:pPr>
        <w:spacing w:after="0" w:line="170" w:lineRule="exact"/>
        <w:rPr>
          <w:sz w:val="20"/>
          <w:szCs w:val="20"/>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dealers or traders in securities or foreign currencies using a mark-to-market method of tax accounting;</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or other integrated transaction;</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 or</w:t>
      </w:r>
    </w:p>
    <w:p>
      <w:pPr>
        <w:spacing w:after="0" w:line="225" w:lineRule="exact"/>
        <w:rPr>
          <w:rFonts w:ascii="Arial" w:cs="Arial" w:eastAsia="Arial" w:hAnsi="Arial"/>
          <w:sz w:val="18"/>
          <w:szCs w:val="18"/>
          <w:color w:val="auto"/>
        </w:rPr>
      </w:pPr>
    </w:p>
    <w:p>
      <w:pPr>
        <w:ind w:left="980" w:right="200" w:hanging="432"/>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required for U.S. federal income tax purposes to conform the timing of income accruals with respect to the notes to their financial statements under Section 451 of the Code.</w:t>
      </w:r>
    </w:p>
    <w:p>
      <w:pPr>
        <w:spacing w:after="0" w:line="130"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If a partnership or other entity or arrangement classified as a partnership for U.S. federal income tax purposes holds notes, the tax treatment of a partner will generally depend upon the status of the partner and the activities of the partnership. A partner of a partnership holding notes is urged to consult his, her or its tax advisor.</w:t>
      </w:r>
    </w:p>
    <w:p>
      <w:pPr>
        <w:spacing w:after="0" w:line="157" w:lineRule="exact"/>
        <w:rPr>
          <w:sz w:val="20"/>
          <w:szCs w:val="20"/>
          <w:color w:val="auto"/>
        </w:rPr>
      </w:pPr>
    </w:p>
    <w:p>
      <w:pPr>
        <w:ind w:left="120" w:right="240"/>
        <w:spacing w:after="0" w:line="293" w:lineRule="auto"/>
        <w:rPr>
          <w:sz w:val="20"/>
          <w:szCs w:val="20"/>
          <w:color w:val="auto"/>
        </w:rPr>
      </w:pPr>
      <w:r>
        <w:rPr>
          <w:rFonts w:ascii="Arial" w:cs="Arial" w:eastAsia="Arial" w:hAnsi="Arial"/>
          <w:sz w:val="16"/>
          <w:szCs w:val="16"/>
          <w:color w:val="auto"/>
        </w:rPr>
        <w:t>This summary is based on the Code, administrative pronouncements, judicial decisions and final, temporary and proposed Treasury Regulations as of the date hereof, changes to any of which subsequent to the date of this prospectus supplement may affect the tax consequences described herein, possibly with retroactive effect. This summary does not discuss any aspect of state, local, or non-U.S. taxation, or any U.S. federal tax considerations other than income taxation and does not discuss the potential application of the Medicare contribution tax under Section 1411 of the Code. Persons considering the purchase of notes are urged to consult their tax advisors with regard to the application of the U.S. federal tax laws to their particular situations as well as any tax consequences arising under the laws of any state, local or non-U.S. taxing jurisdiction.</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Consequences for U.S. Holders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used herein, the term “U.S. Holder” means a beneficial owner of a note that is, for U.S. federal income tax purposes:</w:t>
      </w:r>
    </w:p>
    <w:p>
      <w:pPr>
        <w:spacing w:after="0" w:line="225" w:lineRule="exact"/>
        <w:rPr>
          <w:sz w:val="20"/>
          <w:szCs w:val="20"/>
          <w:color w:val="auto"/>
        </w:rPr>
      </w:pPr>
    </w:p>
    <w:p>
      <w:pPr>
        <w:ind w:left="980" w:hanging="432"/>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225" w:lineRule="exact"/>
        <w:rPr>
          <w:rFonts w:ascii="Arial" w:cs="Arial" w:eastAsia="Arial" w:hAnsi="Arial"/>
          <w:sz w:val="18"/>
          <w:szCs w:val="18"/>
          <w:color w:val="auto"/>
        </w:rPr>
      </w:pPr>
    </w:p>
    <w:p>
      <w:pPr>
        <w:ind w:left="980" w:right="140" w:hanging="432"/>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any state thereof of the District of Columbia; or</w:t>
      </w:r>
    </w:p>
    <w:p>
      <w:pPr>
        <w:spacing w:after="0" w:line="170" w:lineRule="exact"/>
        <w:rPr>
          <w:rFonts w:ascii="Arial" w:cs="Arial" w:eastAsia="Arial" w:hAnsi="Arial"/>
          <w:sz w:val="18"/>
          <w:szCs w:val="18"/>
          <w:color w:val="auto"/>
        </w:rPr>
      </w:pPr>
    </w:p>
    <w:p>
      <w:pPr>
        <w:ind w:left="980" w:hanging="432"/>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Interest paid on a note will be taxable to a U.S. Holder as ordinary interest income at the time it accrues or is received in accordance with the U.S.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Holder’s method of accounting for U.S. federal income tax purposes.</w:t>
      </w:r>
    </w:p>
    <w:p>
      <w:pPr>
        <w:spacing w:after="0" w:line="170"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A U.S. Holder that uses the cash method of accounting and that receives a payment of interest (or receives proceeds from a sale, exchange or other disposition attributable to accrued interest) in euro will be required to include in income the U.S. dollar value of the euro payment (determined based on the spot rate on the date the payment is received), and this U.S. dollar value will be the U.S. Holder’s tax basis in the euro received.</w:t>
      </w:r>
    </w:p>
    <w:p>
      <w:pPr>
        <w:spacing w:after="0" w:line="108"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A U.S. Holder that uses the accrual method of tax accounting will be required to include in income the U.S. dollar value of the amount of interest income that accrues with respect to a note during an accrual period. The U.S. dollar value of the accrued income will generally be determined by translating the income at the average rate of exchange for the accrual period or, with respect to an accrual period that spans two taxable years, at the average rate for the partial period within the relevant taxable year. A U.S. Holder that uses the accrual method of tax accounting may elect to translate interest income for an interest accrual period into U.S. dollars at the spot rate on the last day of the interest accrual period (or, in the case of a partial accrual period, the spot rate on the last day of the taxable year) or, if the date of receipt is within five business days of the last day of the interest accrual period, the spot rate on the date of receipt. A U.S. Holder that makes this election must apply it consistently to all debt instruments from year to year and cannot change the election without the consent of the Internal Revenue Service (the “IRS”).</w:t>
      </w:r>
    </w:p>
    <w:p>
      <w:pPr>
        <w:spacing w:after="0" w:line="15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An accrual method U.S. Holder will generally recognize any foreign currency gain or loss (which will be treated as U.S. source ordinary income or loss) with respect to accrued interest on the date the interest payment (or proceeds from a sale, exchange or other disposition attributable to accrued interest) is received. The amount of ordinary income or loss recognized will generally be equal to the difference between the U.S. dollar value of the euro payment received (determined based on the spot rate on the date the payment is received) in respect of the accrual period and the U.S. dollar value of interest income that has accrued during the accrual period (as determined above). The U.S. Holder’s tax basis in the euro received will generally be equal to the U.S. dollar value of the euro based on the spot rate on the date the payment is received. As discussed below under “—Sale, Exchange or Retirement of the Notes,” the amount of foreign currency gain or loss recognized with respect to accrued but unpaid interest upon a taxable disposition of a note may be limited by the total amount of gain or loss realized upon such disposition.</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Exchange or Retirement of the Notes</w:t>
      </w:r>
    </w:p>
    <w:p>
      <w:pPr>
        <w:spacing w:after="0" w:line="185"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 U.S. Holder’s tax basis in a note will generally be the U.S. dollar value of the euro amount paid for the note, determined on the date of the purchase. A U.S. Holder who purchases a note with previously owned euro will generally recognize ordinary income or loss in an amount equal to the difference, if any, between such U.S. Holder’s tax basis in the euro and the U.S. dollar value of the note on the date of purchase. If the notes are traded on an established securities market (as determined under applicable regulations), a cash method taxpayer who buys a note will have a tax basis in the note equal to the U.S. dollar value of the euro amount paid for the note, determined on the settlement date, and such a taxpayer will recognize ordinary income or loss on any previously owned euro based on such value. An accrual method taxpayer may elect the same treatment for all purchases (and sales, as discussed below) of notes traded on an established securities market. This election by accrual method taxpayers cannot be changed without the consent of the IRS.</w:t>
      </w:r>
    </w:p>
    <w:p>
      <w:pPr>
        <w:spacing w:after="0" w:line="165"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Upon the sale, exchange or retirement of a note, a U.S. Holder will recognize taxable gain or loss equal to the difference between the amount realized on the sale, exchange or retirement and the U.S. Holder’s tax basis in the note. For these purposes, the amount realized does not include any amount attributable to accrued interest. Amounts attributable to accrued interest are treated as interest as described under “Payments of Interest” above. If a note is sold, exchanged or otherwise disposed of in a taxable transaction for an amount denominated in euro, a U.S. Holder’s amount realized generally will be equal to the U.S. dollar value of the euro received in the sale,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exchange or other taxable disposition calculated at the spot rate in effect on the date of the disposition. If the notes are traded on an established securities market (as determined under applicable regulations), a cash method taxpayer who buys or sells a note is required to translate units of euro paid or received into U.S. dollars at the spot rate on the settlement date of the purchase or sale and an accrual method taxpayer may elect the same treatment for all purchases and sales of notes. This election by accrual method taxpayers cannot be changed without the consent of the IRS. Except to the extent of foreign currency gain or loss (as described below), gain or loss recognized on the sale, exchange or retirement of a note will generally be capital gain or loss. Such capital gain or loss will be long-term capital gain or loss if at the time of the sale, exchange or retirement the note has been held by the U.S. Holder for more than one year. The deductibility of capital losses is subject to limitations under the Code.</w:t>
      </w:r>
    </w:p>
    <w:p>
      <w:pPr>
        <w:spacing w:after="0" w:line="13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A U.S. Holder may recognize foreign currency gain or loss upon the sale, exchange or other taxable disposition of a note as a result of fluctuations in the euro-U.S. dollar exchange rate. Gain or loss attributable to such fluctuations will be equal to the difference between (i) the U.S. dollar value of the U.S. Holder’s purchase price in euro of the note, determined using the spot rate on the date the note is disposed of, and (ii) the U.S. dollar value of the U.S. Holder’s purchase price in euro of the note, determined using the spot rate on the date the U.S. Holder acquired the note (although if the notes are traded on an established securities market (as determined under applicable regulations), such gain or loss will, in the case of a cash method or electing accrual method taxpayer, be determined based on the spot rates on the settlement dates of such disposition and acquisition). The foreign currency gain or loss (together with any foreign currency gain or loss with respect to accrued but unpaid interest) will be recognized only to the extent of the total gain or loss realized by a U.S. Holder on the sale, exchange or other taxable disposition of the note. Any such gain or loss generally will be U.S. source ordinary income or loss. If a U.S. Holder recognizes a loss upon a sale, exchange or other taxable disposition of a note and such loss is above certain thresholds (which thresholds are, in the case of individuals and trusts, significantly lower for foreign currency losses than for other loss transactions), the U.S. Holder may be required to file a disclosure statement with the IRS. U.S. Holders should consult their tax advisors regarding this reporting obligation.</w:t>
      </w:r>
    </w:p>
    <w:p>
      <w:pPr>
        <w:spacing w:after="0" w:line="13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 U.S. Holder will have a tax basis in any euro received on the sale, exchange or other taxable disposition of a note equal to the U.S. dollar value of the euro, determined on the date of receipt of the euro. Any gain or loss realized by a U.S. Holder on a sale or other taxable disposition of euro (including its exchange for U.S. dollars) will generally be treated as U.S. source ordinary income or loss.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98"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color w:val="auto"/>
        </w:rPr>
        <w:t>Information returns generally will be filed with the IRS in connection with payments on the notes and the proceeds from a sale or other disposition of the notes. A U.S. Holder will be subject to backup withholding on these payments if the U.S. Holder fails to provide its correct taxpayer identification number to the applicable withholding agent and comply with certain certification procedures or otherwise establish an exemption from backup withholding. Backup withholding is not an additional tax. Any amount withheld under the backup withholding rules from a payment to a U.S. Holder will be allowed as a credit against the U.S. Holder’s U.S. federal income tax liability and may entitle the U.S. Holder to a refund, provided that the required information is timely furnished to the IRS.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Consequences for Non-U.S. Holders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used herein, the term “Non-U.S. Holder” means a beneficial owner of a note that is, for U.S. federal income tax purposes:</w:t>
      </w:r>
    </w:p>
    <w:p>
      <w:pPr>
        <w:spacing w:after="0" w:line="225" w:lineRule="exact"/>
        <w:rPr>
          <w:sz w:val="20"/>
          <w:szCs w:val="20"/>
          <w:color w:val="auto"/>
        </w:rPr>
      </w:pPr>
    </w:p>
    <w:p>
      <w:pPr>
        <w:ind w:left="980" w:hanging="432"/>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individual who is not a U.S. citizen and who is classified as a nonresident for U.S. federal income tax purposes;</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225" w:lineRule="exact"/>
        <w:rPr>
          <w:rFonts w:ascii="Arial" w:cs="Arial" w:eastAsia="Arial" w:hAnsi="Arial"/>
          <w:sz w:val="18"/>
          <w:szCs w:val="18"/>
          <w:color w:val="auto"/>
        </w:rPr>
      </w:pPr>
    </w:p>
    <w:p>
      <w:pPr>
        <w:ind w:left="980" w:hanging="432"/>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term “Non-U.S. Holder” does not include a beneficial owner who is an individual present in the United States for 183 days or more in the taxable year of disposition or a former citizen or former resident of the United States. Such a beneficial owner is urged to consult his or her own tax advisor regarding the U.S. federal income tax consequences of the sale, exchange or other disposition of a note.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Payments on a Note</w:t>
      </w:r>
    </w:p>
    <w:p>
      <w:pPr>
        <w:spacing w:after="0" w:line="18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Subject to the discussions below concerning backup withholding and FATCA (as defined below), payments of principal, premium, if any, and interest on the notes by us or any paying agent to a Non-U.S. Holder generally will not be subject to U.S. federal withholding tax, provided that, in the case of interest not effectively connected with the conduct of a trade or business in the United States:</w:t>
      </w:r>
    </w:p>
    <w:p>
      <w:pPr>
        <w:spacing w:after="0" w:line="184" w:lineRule="exact"/>
        <w:rPr>
          <w:sz w:val="20"/>
          <w:szCs w:val="20"/>
          <w:color w:val="auto"/>
        </w:rPr>
      </w:pPr>
    </w:p>
    <w:p>
      <w:pPr>
        <w:ind w:left="980" w:right="240" w:hanging="432"/>
        <w:spacing w:after="0" w:line="308"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holder does not own, actually or constructively, 10% or more of the total combined voting power of all classes of our stock entitled to vote and is not a controlled foreign corporation related, directly or indirectly, to us through stock ownership; and</w:t>
      </w:r>
    </w:p>
    <w:p>
      <w:pPr>
        <w:spacing w:after="0" w:line="146" w:lineRule="exact"/>
        <w:rPr>
          <w:rFonts w:ascii="Arial" w:cs="Arial" w:eastAsia="Arial" w:hAnsi="Arial"/>
          <w:sz w:val="17"/>
          <w:szCs w:val="17"/>
          <w:color w:val="auto"/>
        </w:rPr>
      </w:pPr>
    </w:p>
    <w:p>
      <w:pPr>
        <w:ind w:left="980" w:hanging="43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certification requirement described below has been fulfilled with respect to the beneficial owner, as discussed below.</w:t>
      </w:r>
    </w:p>
    <w:p>
      <w:pPr>
        <w:spacing w:after="0" w:line="18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Interest on a note described above will not be exempt from withholding tax unless the beneficial owner of that note certifies on a properly executed IRS Form W-8BEN or W-8BEN-E (or successor form), as appropriate, under penalties of perjury, that it is not a U.S. person.</w:t>
      </w:r>
    </w:p>
    <w:p>
      <w:pPr>
        <w:spacing w:after="0" w:line="143" w:lineRule="exact"/>
        <w:rPr>
          <w:sz w:val="20"/>
          <w:szCs w:val="20"/>
          <w:color w:val="auto"/>
        </w:rPr>
      </w:pPr>
    </w:p>
    <w:p>
      <w:pPr>
        <w:ind w:left="120" w:right="240"/>
        <w:spacing w:after="0" w:line="273" w:lineRule="auto"/>
        <w:rPr>
          <w:sz w:val="20"/>
          <w:szCs w:val="20"/>
          <w:color w:val="auto"/>
        </w:rPr>
      </w:pPr>
      <w:r>
        <w:rPr>
          <w:rFonts w:ascii="Arial" w:cs="Arial" w:eastAsia="Arial" w:hAnsi="Arial"/>
          <w:sz w:val="17"/>
          <w:szCs w:val="17"/>
          <w:color w:val="auto"/>
        </w:rPr>
        <w:t>If a Non-U.S. Holder is engaged in a trade or business in the United States, and if interest on a note is effectively connected with the conduct of such trade or business, the Non-U.S. Holder will generally not be subject to the withholding discussed in the preceding paragraphs if a properly executed, applicable Form W-8 (generally an IRS Form W-8ECI) is provided to us or an applicable withholding agent. Such a Non-U.S. Holder will, however, generally be taxed on such interest in the same manner as a U.S. person, unless an applicable income tax treaty provides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Exchange, Redemption or Other Disposition of a Note</w:t>
      </w:r>
    </w:p>
    <w:p>
      <w:pPr>
        <w:spacing w:after="0" w:line="18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Subject to the discussions below concerning backup withholding and FATCA, a Non-U.S. Holder will not be subject to U.S. federal income tax on gain realized on the sale, exchange, redemption or other disposition of a note, unless the gain is effectively connected with the conduct by the Non-U.S. Holder of a trade or business in the United States.</w:t>
      </w:r>
    </w:p>
    <w:p>
      <w:pPr>
        <w:spacing w:after="0" w:line="15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If a Non-U.S. Holder is engaged in a trade or business in the United States, and if gain realized by the Non-U.S. Holder on a sale, exchange, redemption or other disposition of a note is effectively connected with the conduct of such trade or business, the Non-U.S. Holder will generally be taxed in the same manner as a U.S. person, subject to an applicable income tax treaty providing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85"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Information returns generally will be filed with the IRS in connection with interest payments on the notes. Unless a Non-U.S. Holder complies with certification procedures to establish that it is not a U.S. person, information returns may be filed with the IRS in connection with the proceeds from a sale or other disposition (including a redemption) and the Non-U.S. Holder may be subject to U.S. backup withholding on payments on the notes or on the proceeds from a sale or other disposition of the notes. The certification procedures required to claim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59" w:lineRule="auto"/>
        <w:rPr>
          <w:sz w:val="20"/>
          <w:szCs w:val="20"/>
          <w:color w:val="auto"/>
        </w:rPr>
      </w:pPr>
      <w:r>
        <w:rPr>
          <w:rFonts w:ascii="Arial" w:cs="Arial" w:eastAsia="Arial" w:hAnsi="Arial"/>
          <w:sz w:val="18"/>
          <w:szCs w:val="18"/>
          <w:color w:val="auto"/>
        </w:rPr>
        <w:t>exemption from withholding tax on interest described above will satisfy the certification requirements necessary to avoid backup withholding as well. Backup withholding is not an additional tax. Any amount withheld under the backup withholding rules from a payment to a Non-U.S. Holder will be allowed as a credit against the Non-U.S. Holder’s U.S. federal income tax liability and may entitle the Non-U.S. Holder to a refund, provided that the required information is timely furnished to the IRS.</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FATCA</w:t>
      </w:r>
    </w:p>
    <w:p>
      <w:pPr>
        <w:spacing w:after="0" w:line="185"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Provisions commonly referred to as “FATCA” generally impose withholding of 30% on payments of U.S.-source interest and, subject to the discussion of certain proposed U.S. Treasury regulations below, payments of gross proceeds of the sale, exchange, redemption, or other disposition of a note to “foreign financial institutions” (which term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Withholding under FATCA will apply to the applicable payments regardless of whether the recipient is a beneficial owner or acts as an intermediary with respect to such payments.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w:t>
      </w:r>
    </w:p>
    <w:p>
      <w:pPr>
        <w:spacing w:after="0" w:line="140"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The U.S. Treasury Department has released proposed regulations which, if finalized in their present form, would eliminate FATCA withholding on the gross proceeds of a sale, exchange, redemption or other disposition of a note. In the preamble to the proposed regulations, the U.S. Treasury Department indicated that taxpayers may rely on the proposed regulations until final regulations are issued.</w:t>
      </w:r>
    </w:p>
    <w:p>
      <w:pPr>
        <w:spacing w:after="0" w:line="138"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Prospective investors should consult their tax advisors regarding the effects of FATCA on their investment in the notes. We will not pay additional amounts with respect to any withholding taxes imposed under FATCA.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02"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We intend to offer the notes through the underwriters named below. Subject to the terms and conditions contained in an underwriting agreement, we have agreed to sell to the underwriters and the underwriters severally and not jointly have agreed to purchase from us, the principal amount of the notes listed opposite their names below.</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Principal</w:t>
            </w:r>
          </w:p>
        </w:tc>
        <w:tc>
          <w:tcPr>
            <w:tcW w:w="18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8"/>
        </w:trPr>
        <w:tc>
          <w:tcPr>
            <w:tcW w:w="7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Amount of</w:t>
            </w:r>
          </w:p>
        </w:tc>
        <w:tc>
          <w:tcPr>
            <w:tcW w:w="18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7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Euro Notes</w:t>
            </w:r>
          </w:p>
        </w:tc>
        <w:tc>
          <w:tcPr>
            <w:tcW w:w="1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Euro Notes</w:t>
            </w:r>
          </w:p>
        </w:tc>
        <w:tc>
          <w:tcPr>
            <w:tcW w:w="0" w:type="dxa"/>
            <w:vAlign w:val="bottom"/>
          </w:tcPr>
          <w:p>
            <w:pPr>
              <w:spacing w:after="0"/>
              <w:rPr>
                <w:sz w:val="1"/>
                <w:szCs w:val="1"/>
                <w:color w:val="auto"/>
              </w:rPr>
            </w:pPr>
          </w:p>
        </w:tc>
      </w:tr>
      <w:tr>
        <w:trPr>
          <w:trHeight w:val="148"/>
        </w:trPr>
        <w:tc>
          <w:tcPr>
            <w:tcW w:w="7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Due 2026</w:t>
            </w:r>
          </w:p>
        </w:tc>
        <w:tc>
          <w:tcPr>
            <w:tcW w:w="1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Due 2029</w:t>
            </w:r>
          </w:p>
        </w:tc>
        <w:tc>
          <w:tcPr>
            <w:tcW w:w="0" w:type="dxa"/>
            <w:vAlign w:val="bottom"/>
          </w:tcPr>
          <w:p>
            <w:pPr>
              <w:spacing w:after="0"/>
              <w:rPr>
                <w:sz w:val="1"/>
                <w:szCs w:val="1"/>
                <w:color w:val="auto"/>
              </w:rPr>
            </w:pPr>
          </w:p>
        </w:tc>
      </w:tr>
      <w:tr>
        <w:trPr>
          <w:trHeight w:val="148"/>
        </w:trPr>
        <w:tc>
          <w:tcPr>
            <w:tcW w:w="792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To Be</w:t>
            </w:r>
          </w:p>
        </w:tc>
        <w:tc>
          <w:tcPr>
            <w:tcW w:w="1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To Be</w:t>
            </w:r>
          </w:p>
        </w:tc>
        <w:tc>
          <w:tcPr>
            <w:tcW w:w="0" w:type="dxa"/>
            <w:vAlign w:val="bottom"/>
          </w:tcPr>
          <w:p>
            <w:pPr>
              <w:spacing w:after="0"/>
              <w:rPr>
                <w:sz w:val="1"/>
                <w:szCs w:val="1"/>
                <w:color w:val="auto"/>
              </w:rPr>
            </w:pPr>
          </w:p>
        </w:tc>
      </w:tr>
      <w:tr>
        <w:trPr>
          <w:trHeight w:val="171"/>
        </w:trPr>
        <w:tc>
          <w:tcPr>
            <w:tcW w:w="7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Purchased</w:t>
            </w:r>
          </w:p>
        </w:tc>
        <w:tc>
          <w:tcPr>
            <w:tcW w:w="18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210"/>
        </w:trPr>
        <w:tc>
          <w:tcPr>
            <w:tcW w:w="7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Barclays Bank PLC</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275,000,000</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110,000,000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Deutsche Bank AG, London Branch</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275,000,000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110,000,000</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Commerzbank Aktiengesellschaft</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171,250,000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68,500,000</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Banco Santander, S.A.</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171,250,000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68,500,000</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Merrill Lynch International</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27,500,000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11,000,000</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BNP Paribas</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27,500,000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11,000,000</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Citigroup Global Markets Limited</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27,500,000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11,000,000</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Credit Suisse International</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27,500,000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11,000,000</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27,500,000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11,000,000</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J.P. Morgan Securities plc</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27,500,000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11,000,000</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Mizuho International plc</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27,500,000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11,000,000</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Morgan Stanley &amp; Co. International plc</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27,500,000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11,000,000</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RBC Europe Limited</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27,500,000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11,000,000</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SMBC Nikko Capital Markets Limited</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27,500,000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11,000,000</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The Toronto-Dominion Bank</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27,500,000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11,000,000</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Wells Fargo Securities International Limited</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27,500,000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11,000,000</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27,500,000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11,000,000</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Total</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1,250,000,000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500,000,000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43"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 as amended, or to contribute to payments the several underwriters may be required to make in respect of those liabilities.</w:t>
      </w:r>
    </w:p>
    <w:p>
      <w:pPr>
        <w:spacing w:after="0" w:line="143"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46"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It is expected that delivery of the notes will be made against payment therefor on or about September 14, 2021, which is the fifth business day following the date hereof (such settlement cycle being referred to as “T+5”).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preceding the settlement date will be required, by virtue of the fact that the notes initially will settle in T+5, to specify an alternative settlement cycle at the time of any such trade to prevent failed settlement and should consult their own advisors.</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20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underwriters have advised us that they propose initially to offer the notes to the public at the public offering price on the cover page of this prospectus supplement, and to dealers at that price less a concession not in excess of 0.125% and 0.200% of the principal amount of the Notes due 2026 and the Notes due 2029, respectively. The underwriters may allow, and the dealers may reallow, a discount not in excess of 0.100% and 0.125% of the principal amount of the Notes due 2026 and the Notes due 2029, respectively, to other dealers. After the initial public offering, the public offering prices, concessions and discounts may be changed.</w:t>
      </w:r>
    </w:p>
    <w:p>
      <w:pPr>
        <w:spacing w:after="0" w:line="147" w:lineRule="exact"/>
        <w:rPr>
          <w:sz w:val="20"/>
          <w:szCs w:val="20"/>
          <w:color w:val="auto"/>
        </w:rPr>
      </w:pPr>
    </w:p>
    <w:p>
      <w:pPr>
        <w:ind w:left="120" w:right="1120"/>
        <w:spacing w:after="0" w:line="461" w:lineRule="auto"/>
        <w:rPr>
          <w:sz w:val="20"/>
          <w:szCs w:val="20"/>
          <w:color w:val="auto"/>
        </w:rPr>
      </w:pPr>
      <w:r>
        <w:rPr>
          <w:rFonts w:ascii="Arial" w:cs="Arial" w:eastAsia="Arial" w:hAnsi="Arial"/>
          <w:sz w:val="18"/>
          <w:szCs w:val="18"/>
          <w:color w:val="auto"/>
        </w:rPr>
        <w:t xml:space="preserve">The expenses of the offering, not including the underwriting discount, are estimated to be $1,500,000 for the notes and are payable by us. </w:t>
      </w:r>
      <w:r>
        <w:rPr>
          <w:rFonts w:ascii="Arial" w:cs="Arial" w:eastAsia="Arial" w:hAnsi="Arial"/>
          <w:sz w:val="18"/>
          <w:szCs w:val="18"/>
          <w:b w:val="1"/>
          <w:bCs w:val="1"/>
          <w:color w:val="auto"/>
        </w:rPr>
        <w:t>New Issue of Notes</w:t>
      </w:r>
    </w:p>
    <w:p>
      <w:pPr>
        <w:spacing w:after="0" w:line="1"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The notes are a new issue of securities with no established trading market. We intend to apply to list the notes on the NASDAQ. The listing application will be subject to approval by the NASDAQ. If such a listing is obtained, we have no obligation to maintain such listing, and we may delist the notes at any time. Although the underwriters have informed us that they currently intend to make a market in the notes after we complete the offering, they have no obligation to do so and may discontinue making a market at any time without notice. We cannot assure you that liquid trading markets for the notes will develop, that you will be able to sell your notes at a particular time or that the price you receive when you sell will be favorable.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89"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on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 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50"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89"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for which they currently and may in the future receive customary fees and commissions. Furthermore, certain of the underwriters and their respective affiliates may, from time to time, enter into arms-length transactions with us in the ordinary course of their business.</w:t>
      </w:r>
    </w:p>
    <w:p>
      <w:pPr>
        <w:spacing w:after="0" w:line="130" w:lineRule="exact"/>
        <w:rPr>
          <w:sz w:val="20"/>
          <w:szCs w:val="20"/>
          <w:color w:val="auto"/>
        </w:rPr>
      </w:pPr>
    </w:p>
    <w:p>
      <w:pPr>
        <w:jc w:val="both"/>
        <w:ind w:left="120" w:right="80"/>
        <w:spacing w:after="0" w:line="257"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 and securities activities may involve our securities and instruments. Certain of the underwriters or their affiliates that have a lending relationship with us routinely hedge, and certain other of those underwriters or their affiliates may hedge, their credit exposure to us consistent with their customary risk</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Certain of the underwriters or their affiliates may be holders of Sky’s 1.500% guaranteed notes due September 15, 2021 and may therefore receive a portion of the proceeds of this offering.</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Canada</w:t>
      </w:r>
    </w:p>
    <w:p>
      <w:pPr>
        <w:spacing w:after="0" w:line="185" w:lineRule="exact"/>
        <w:rPr>
          <w:sz w:val="20"/>
          <w:szCs w:val="20"/>
          <w:color w:val="auto"/>
        </w:rPr>
      </w:pPr>
    </w:p>
    <w:p>
      <w:pPr>
        <w:ind w:left="120" w:right="260"/>
        <w:spacing w:after="0" w:line="279" w:lineRule="auto"/>
        <w:rPr>
          <w:sz w:val="20"/>
          <w:szCs w:val="20"/>
          <w:color w:val="auto"/>
        </w:rPr>
      </w:pPr>
      <w:r>
        <w:rPr>
          <w:rFonts w:ascii="Arial" w:cs="Arial" w:eastAsia="Arial" w:hAnsi="Arial"/>
          <w:sz w:val="17"/>
          <w:szCs w:val="17"/>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44"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7"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98"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85"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The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 (11) of Article 4(1) of MiFID II as it forms part of domestic law by virtue of the European Union (Withdrawal) Act 2018 (“EUWA”); (ii) a customer within the meaning of the provisions of the Financial Services and Markets Act 2000 (“FSMA”)</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91" w:lineRule="auto"/>
        <w:rPr>
          <w:sz w:val="20"/>
          <w:szCs w:val="20"/>
          <w:color w:val="auto"/>
        </w:rPr>
      </w:pPr>
      <w:r>
        <w:rPr>
          <w:rFonts w:ascii="Arial" w:cs="Arial" w:eastAsia="Arial" w:hAnsi="Arial"/>
          <w:sz w:val="16"/>
          <w:szCs w:val="16"/>
          <w:color w:val="auto"/>
        </w:rPr>
        <w:t>and any rules or regulations made under the FSMA to implement the Insurance Distribution Directive, where that customer would not qualify as a professional client, as defined in point (8) of Article 2(1) of Regulation (EU) No 600/2014 as it forms part of domestic law by virtue of the EUWA; or</w:t>
      </w:r>
    </w:p>
    <w:p>
      <w:pPr>
        <w:ind w:left="120" w:hanging="4"/>
        <w:spacing w:after="0" w:line="295" w:lineRule="auto"/>
        <w:tabs>
          <w:tab w:leader="none" w:pos="435" w:val="left"/>
        </w:tabs>
        <w:numPr>
          <w:ilvl w:val="0"/>
          <w:numId w:val="17"/>
        </w:numPr>
        <w:rPr>
          <w:rFonts w:ascii="Arial" w:cs="Arial" w:eastAsia="Arial" w:hAnsi="Arial"/>
          <w:sz w:val="16"/>
          <w:szCs w:val="16"/>
          <w:color w:val="auto"/>
        </w:rPr>
      </w:pPr>
      <w:r>
        <w:rPr>
          <w:rFonts w:ascii="Arial" w:cs="Arial" w:eastAsia="Arial" w:hAnsi="Arial"/>
          <w:sz w:val="16"/>
          <w:szCs w:val="16"/>
          <w:color w:val="auto"/>
        </w:rPr>
        <w:t>not a qualified investor as defined in Article 2 of Regulation (EU) 2017/1129 as it forms part of domestic law by virtue of the EUWA.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134"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The communication of this prospectus supplement and the accompanying prospectus and any other document or materials relating to the issue of the notes offered hereby is not being made, and such documents and/or materials have not been approved, by an authorized person for the purposes of section 21 of the United Kingdom’s Financial Services and Markets Act 2000, as amended (the “FSMA”). Accordingly, such documents and/or materials are not being distributed to, and must not be passed on to, the general public in the United Kingdom. The communication of such documents and/or materials as a financial promotion is only being made to and directed at persons outside the United Kingdom and those persons in the United Kingdom who have professional experience in matters relating to investments and who fall within the definition of investment professionals (as defined in Article 19(5) of the Financial Services and Markets Act 2000 (Financial Promotion) Order 2005, as amended (the “Financial Promotion Order”)), or who fall within Article 49(2)(a) to (d) of the Financial Promotion Order, or who are any other persons to whom it may otherwise lawfully be made under the Financial Promotion Order (all such persons together being referred to as “relevant persons”). In the United Kingdom, the notes offered hereby are only available to, and any investment or investment activity to which this prospectus supplement and the accompanying prospectus relates will be engaged only with, relevant persons. Any person in the United Kingdom that is not a relevant person should not act or rely on this prospectus supplement and the accompanying prospectus or any of its contents.</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185"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The notes may not be offered or sold by means of any document other than to persons whose ordinary business is to buy or sell shares or debentures, whether as principal or agent, or in circumstances that do not constitute an offer to the public within the meaning of the Companies Ordinance (Cap. 32) of Hong Kong, and no advertisement, invitation or document relating to the notes may be issued, whether in Hong Kong or elsewhere, that is directed at, or the contents of which are likely to be accessed or read by, the public in Hong Kong (except if permitted to do so under the securities laws of Hong Kong) other than with respect to notes that are or are intended to be disposed of only to persons outside Hong Kong or only to “professional investors” within the meaning of the Securities and Futures Ordinance (Cap. 571) of Hong Kong and any rules made thereunder.</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Japan</w:t>
      </w:r>
    </w:p>
    <w:p>
      <w:pPr>
        <w:spacing w:after="0" w:line="185"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notes have not been and will not be registered under the Financial Instruments and Exchange Law of Japan (Law No. 25 of 1948) (as amended) (the “FIEL”), and each of the underwriters and each of its affiliates has represented and agreed that it has not offered or sold, and it will not offer or sell, directly or indirectly, any of the notes in or to residents of Japan or to any persons for reoffering or resale, directly or indirectly in Japan or to any resident of Japan, except pursuant to any exemption from the registration requirements of and otherwise in compliance with, the FIEL available thereunder and in compliance with the other relevant laws and regulations of Japan.</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Korea</w:t>
      </w:r>
    </w:p>
    <w:p>
      <w:pPr>
        <w:spacing w:after="0" w:line="198"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The notes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notes have not been and will not be registered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with the Financial Services Commission of Korea for public offering in Korea. Furthermore, the notes may not be resold to Korean residents unless the purchaser of the notes complies with all applicable regulatory requirements (including but not limited to government approval requirements under the Foreign Exchange Transaction Law and its subordinate decrees and regulations) in connection with the purchase of the notes.</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Singapore</w:t>
      </w:r>
    </w:p>
    <w:p>
      <w:pPr>
        <w:spacing w:after="0" w:line="18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w:t>
      </w:r>
    </w:p>
    <w:p>
      <w:pPr>
        <w:spacing w:after="0" w:line="146" w:lineRule="exact"/>
        <w:rPr>
          <w:sz w:val="20"/>
          <w:szCs w:val="20"/>
          <w:color w:val="auto"/>
        </w:rPr>
      </w:pPr>
    </w:p>
    <w:p>
      <w:pPr>
        <w:ind w:left="460" w:hanging="344"/>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w:t>
      </w:r>
    </w:p>
    <w:p>
      <w:pPr>
        <w:spacing w:after="0" w:line="198" w:lineRule="exact"/>
        <w:rPr>
          <w:rFonts w:ascii="Arial" w:cs="Arial" w:eastAsia="Arial" w:hAnsi="Arial"/>
          <w:sz w:val="18"/>
          <w:szCs w:val="18"/>
          <w:color w:val="auto"/>
        </w:rPr>
      </w:pPr>
    </w:p>
    <w:p>
      <w:pPr>
        <w:ind w:left="520" w:hanging="404"/>
        <w:spacing w:after="0"/>
        <w:tabs>
          <w:tab w:leader="none" w:pos="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a relevant person, or any person pursuant to Section 257(1A), and in accordance with the conditions, specified in Section 275 of the SFA; or</w:t>
      </w:r>
    </w:p>
    <w:p>
      <w:pPr>
        <w:spacing w:after="0" w:line="207" w:lineRule="exact"/>
        <w:rPr>
          <w:rFonts w:ascii="Arial" w:cs="Arial" w:eastAsia="Arial" w:hAnsi="Arial"/>
          <w:sz w:val="16"/>
          <w:szCs w:val="16"/>
          <w:color w:val="auto"/>
        </w:rPr>
      </w:pPr>
    </w:p>
    <w:p>
      <w:pPr>
        <w:ind w:left="560" w:hanging="444"/>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Whether the notes are subscribed or purchased under Section 275 by a relevant person that is:</w:t>
      </w:r>
    </w:p>
    <w:p>
      <w:pPr>
        <w:spacing w:after="0" w:line="198" w:lineRule="exact"/>
        <w:rPr>
          <w:sz w:val="20"/>
          <w:szCs w:val="20"/>
          <w:color w:val="auto"/>
        </w:rPr>
      </w:pPr>
    </w:p>
    <w:p>
      <w:pPr>
        <w:ind w:left="120" w:right="120" w:hanging="4"/>
        <w:spacing w:after="0" w:line="277" w:lineRule="auto"/>
        <w:tabs>
          <w:tab w:leader="none" w:pos="47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129" w:lineRule="exact"/>
        <w:rPr>
          <w:rFonts w:ascii="Arial" w:cs="Arial" w:eastAsia="Arial" w:hAnsi="Arial"/>
          <w:sz w:val="18"/>
          <w:szCs w:val="18"/>
          <w:color w:val="auto"/>
        </w:rPr>
      </w:pPr>
    </w:p>
    <w:p>
      <w:pPr>
        <w:ind w:left="120" w:right="100" w:hanging="4"/>
        <w:spacing w:after="0" w:line="277"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30"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157" w:lineRule="exact"/>
        <w:rPr>
          <w:sz w:val="20"/>
          <w:szCs w:val="20"/>
          <w:color w:val="auto"/>
        </w:rPr>
      </w:pPr>
    </w:p>
    <w:p>
      <w:pPr>
        <w:ind w:left="120" w:right="140" w:hanging="4"/>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29" w:lineRule="exact"/>
        <w:rPr>
          <w:rFonts w:ascii="Arial" w:cs="Arial" w:eastAsia="Arial" w:hAnsi="Arial"/>
          <w:sz w:val="18"/>
          <w:szCs w:val="18"/>
          <w:color w:val="auto"/>
        </w:rPr>
      </w:pPr>
    </w:p>
    <w:p>
      <w:pPr>
        <w:ind w:left="500" w:hanging="384"/>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84" w:lineRule="exact"/>
        <w:rPr>
          <w:rFonts w:ascii="Arial" w:cs="Arial" w:eastAsia="Arial" w:hAnsi="Arial"/>
          <w:sz w:val="18"/>
          <w:szCs w:val="18"/>
          <w:color w:val="auto"/>
        </w:rPr>
      </w:pPr>
    </w:p>
    <w:p>
      <w:pPr>
        <w:ind w:left="500" w:hanging="384"/>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98" w:lineRule="exact"/>
        <w:rPr>
          <w:rFonts w:ascii="Arial" w:cs="Arial" w:eastAsia="Arial" w:hAnsi="Arial"/>
          <w:sz w:val="18"/>
          <w:szCs w:val="18"/>
          <w:color w:val="auto"/>
        </w:rPr>
      </w:pPr>
    </w:p>
    <w:p>
      <w:pPr>
        <w:ind w:left="500" w:hanging="384"/>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84" w:lineRule="exact"/>
        <w:rPr>
          <w:rFonts w:ascii="Arial" w:cs="Arial" w:eastAsia="Arial" w:hAnsi="Arial"/>
          <w:sz w:val="18"/>
          <w:szCs w:val="18"/>
          <w:color w:val="auto"/>
        </w:rPr>
      </w:pPr>
    </w:p>
    <w:p>
      <w:pPr>
        <w:ind w:left="500" w:hanging="384"/>
        <w:spacing w:after="0"/>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196"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i w:val="1"/>
          <w:iCs w:val="1"/>
          <w:color w:val="auto"/>
        </w:rPr>
        <w:t>Singapore Securities and Futures Act Product Classification</w:t>
      </w:r>
      <w:r>
        <w:rPr>
          <w:rFonts w:ascii="Arial" w:cs="Arial" w:eastAsia="Arial" w:hAnsi="Arial"/>
          <w:sz w:val="16"/>
          <w:szCs w:val="16"/>
          <w:color w:val="auto"/>
        </w:rPr>
        <w:t>—Solely for the purposes of our obligations pursuant to Sections 309(B)(1)(a) and 309(B)</w:t>
      </w:r>
      <w:r>
        <w:rPr>
          <w:rFonts w:ascii="Arial" w:cs="Arial" w:eastAsia="Arial" w:hAnsi="Arial"/>
          <w:sz w:val="16"/>
          <w:szCs w:val="16"/>
          <w:i w:val="1"/>
          <w:iCs w:val="1"/>
          <w:color w:val="auto"/>
        </w:rPr>
        <w:t xml:space="preserve"> </w:t>
      </w:r>
      <w:r>
        <w:rPr>
          <w:rFonts w:ascii="Arial" w:cs="Arial" w:eastAsia="Arial" w:hAnsi="Arial"/>
          <w:sz w:val="16"/>
          <w:szCs w:val="16"/>
          <w:color w:val="auto"/>
        </w:rPr>
        <w:t>(1)(c) of the SFA, we have determined, and hereby notify all relevant persons (as defined in Section 309A(1) of the SFA) that the notes are “prescribed capital markets products” (as defined in the Securities and Futures (Capital Markets Products) Regulations 2018 of Singapore) and Excluded Investment Products (as defined in MAS Notice SFA 04-N12: Notice on the Sale of Investment Products and MAS Notice FAA-N16: Notice on Recommendations on Investment Products). Any reference to any term as defined in the SFA, or any provision in the SFA is a reference to that term as modified or amended from time to time including by such of its subsidiary legislation as may be applicable at the relevant time.</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Switzerland</w:t>
      </w:r>
    </w:p>
    <w:p>
      <w:pPr>
        <w:spacing w:after="0" w:line="198"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This prospectus supplement is not intended to constitute an offer or solicitation to purchase or invest in the notes described herein.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85"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The offering of the notes has not been approved or licensed by the UAE Central Bank, the UAE Securities and Commodities Authority (“SCA”), the Dubai Financial Services Authority (“DFSA”) or any other relevant licensing authorities in the UAE, and the notes may not be offered to the public in the UAE (including the DIFC). This prospectus supplement is being issued to a limited number of institutional and individual investors:</w:t>
      </w:r>
    </w:p>
    <w:p>
      <w:pPr>
        <w:spacing w:after="0" w:line="138" w:lineRule="exact"/>
        <w:rPr>
          <w:sz w:val="20"/>
          <w:szCs w:val="20"/>
          <w:color w:val="auto"/>
        </w:rPr>
      </w:pPr>
    </w:p>
    <w:p>
      <w:pPr>
        <w:ind w:left="500" w:hanging="384"/>
        <w:spacing w:after="0"/>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who meet the criteria of a “Qualified Investor” as defined in the SCA Board of Directors Decision No. 3 R.M. of 2017 (but excluding subparagraph</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1(d) in the “Qualified Investor” definition relating to natural persons);</w:t>
      </w:r>
    </w:p>
    <w:p>
      <w:pPr>
        <w:spacing w:after="0" w:line="170" w:lineRule="exact"/>
        <w:rPr>
          <w:rFonts w:ascii="Arial" w:cs="Arial" w:eastAsia="Arial" w:hAnsi="Arial"/>
          <w:sz w:val="16"/>
          <w:szCs w:val="16"/>
          <w:color w:val="auto"/>
        </w:rPr>
      </w:pPr>
    </w:p>
    <w:p>
      <w:pPr>
        <w:ind w:left="120" w:right="140" w:hanging="4"/>
        <w:spacing w:after="0" w:line="277" w:lineRule="auto"/>
        <w:tabs>
          <w:tab w:leader="none" w:pos="5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upon their request and confirmation that they understand that the notes have not been approved or licensed by or registered with the UAE Central Bank, the SCA, DFSA or any other relevant licensing authorities or governmental agencies in the UAE; and</w:t>
      </w:r>
    </w:p>
    <w:p>
      <w:pPr>
        <w:spacing w:after="0" w:line="129" w:lineRule="exact"/>
        <w:rPr>
          <w:rFonts w:ascii="Arial" w:cs="Arial" w:eastAsia="Arial" w:hAnsi="Arial"/>
          <w:sz w:val="18"/>
          <w:szCs w:val="18"/>
          <w:color w:val="auto"/>
        </w:rPr>
      </w:pPr>
    </w:p>
    <w:p>
      <w:pPr>
        <w:ind w:left="120" w:right="200" w:hanging="4"/>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upon their confirmation that they understand that the prospectus supplement must not be provided to any person other than the original recipient, and may not be reproduced or used for any other purpose.</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Investors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Each purchaser and holder of the notes (or any interest therein) will be deemed to have represented by its purchase or holding of the notes that either</w:t>
      </w:r>
    </w:p>
    <w:p>
      <w:pPr>
        <w:spacing w:after="0" w:line="46" w:lineRule="exact"/>
        <w:rPr>
          <w:sz w:val="20"/>
          <w:szCs w:val="20"/>
          <w:color w:val="auto"/>
        </w:rPr>
      </w:pPr>
    </w:p>
    <w:p>
      <w:pPr>
        <w:ind w:left="120" w:right="40" w:hanging="4"/>
        <w:spacing w:after="0" w:line="269" w:lineRule="auto"/>
        <w:tabs>
          <w:tab w:leader="none" w:pos="365" w:val="left"/>
        </w:tabs>
        <w:numPr>
          <w:ilvl w:val="0"/>
          <w:numId w:val="22"/>
        </w:numPr>
        <w:rPr>
          <w:rFonts w:ascii="Arial" w:cs="Arial" w:eastAsia="Arial" w:hAnsi="Arial"/>
          <w:sz w:val="17"/>
          <w:szCs w:val="17"/>
          <w:color w:val="auto"/>
        </w:rPr>
      </w:pPr>
      <w:r>
        <w:rPr>
          <w:rFonts w:ascii="Arial" w:cs="Arial" w:eastAsia="Arial" w:hAnsi="Arial"/>
          <w:sz w:val="17"/>
          <w:szCs w:val="17"/>
          <w:color w:val="auto"/>
        </w:rPr>
        <w:t>it is not, and its purchase and holding of the notes is not made on behalf of or with assets of, (i) an employee benefit plan that is subject to Title I of the Employee Retirement Income Security Act of 1974, as amended (“ERISA”), (ii) a plan, account or other arrangement that is subject to Section 4975 of the Internal Revenue Code of 1986, as amended (the “Code”), (iii) an entity whose underlying assets include the assets of any such employee benefit plan, plan, account or arrangement or (iv) a governmental, church or non-U.S. plan that is subject to any state, local or other federal law or non-U.S. law that is substantially similar to the provisions of Title I of ERISA or Section 4975 of the Code (“Similar Law”), or (b) its purchase, holding and subsequent disposition of the notes will not constitute or result in a non-exempt prohibited transaction under Section 406 of ERISA or Section 4975 of the Code or violate any Similar Law.</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02"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 xml:space="preserve">Various legal matters relating to the offering will be passed upon for us by Elizabeth Wideman, Esquire, Senior Vice President, Senior Deputy General Counsel and Assistant Secretary, Francis M. Buono, Esquire, Senior Vice President, Legal Regulatory Affairs and Senior Deputy General Counsel of Comcast Corporation, and by Davis Polk &amp; Wardwell LLP, New York, New York. Cahill Gordon &amp; Reindel </w:t>
      </w:r>
      <w:r>
        <w:rPr>
          <w:rFonts w:ascii="Arial" w:cs="Arial" w:eastAsia="Arial" w:hAnsi="Arial"/>
          <w:sz w:val="14"/>
          <w:szCs w:val="14"/>
          <w:color w:val="auto"/>
        </w:rPr>
        <w:t>LLP</w:t>
      </w:r>
      <w:r>
        <w:rPr>
          <w:rFonts w:ascii="Arial" w:cs="Arial" w:eastAsia="Arial" w:hAnsi="Arial"/>
          <w:sz w:val="18"/>
          <w:szCs w:val="18"/>
          <w:color w:val="auto"/>
        </w:rPr>
        <w:t>, New York, New York, is representing the underwriters.</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18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consolidated financial statements of Comcast Corporation and subsidiaries, incorporated herein by reference from Comcast Corporation’s Annual Report on Form 10-K for the year ended December 31, 2020, and the effectiveness of Comcast Corporation’s internal control over financial reporting have been audited by Deloitte &amp; Touche LLP, an independent registered public accounting firm, as stated in their report, which is incorporated herein by reference. Such consolidated financial statements have been so incorporated in reliance upon the report of such firm given upon their authority as experts in accounting and auditing.</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194945</wp:posOffset>
            </wp:positionV>
            <wp:extent cx="1397000" cy="4883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139700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0" w:right="80" w:firstLine="440"/>
        <w:spacing w:after="0" w:line="268"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Unsecured senior debt securities</w:t>
            </w:r>
          </w:p>
        </w:tc>
        <w:tc>
          <w:tcPr>
            <w:tcW w:w="1620" w:type="dxa"/>
            <w:vAlign w:val="bottom"/>
          </w:tcPr>
          <w:p>
            <w:pPr>
              <w:ind w:left="1500"/>
              <w:spacing w:after="0"/>
              <w:rPr>
                <w:sz w:val="20"/>
                <w:szCs w:val="20"/>
                <w:color w:val="auto"/>
              </w:rPr>
            </w:pPr>
            <w:r>
              <w:rPr>
                <w:rFonts w:ascii="Arial" w:cs="Arial" w:eastAsia="Arial" w:hAnsi="Arial"/>
                <w:sz w:val="18"/>
                <w:szCs w:val="18"/>
                <w:color w:val="auto"/>
              </w:rPr>
              <w:t>•</w:t>
            </w:r>
          </w:p>
        </w:tc>
        <w:tc>
          <w:tcPr>
            <w:tcW w:w="1660" w:type="dxa"/>
            <w:vAlign w:val="bottom"/>
          </w:tcPr>
          <w:p>
            <w:pPr>
              <w:ind w:left="40"/>
              <w:spacing w:after="0"/>
              <w:rPr>
                <w:sz w:val="20"/>
                <w:szCs w:val="20"/>
                <w:color w:val="auto"/>
              </w:rPr>
            </w:pPr>
            <w:r>
              <w:rPr>
                <w:rFonts w:ascii="Arial" w:cs="Arial" w:eastAsia="Arial" w:hAnsi="Arial"/>
                <w:sz w:val="18"/>
                <w:szCs w:val="18"/>
                <w:color w:val="auto"/>
              </w:rPr>
              <w:t>Preferred stock</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Warrants</w:t>
            </w:r>
          </w:p>
        </w:tc>
        <w:tc>
          <w:tcPr>
            <w:tcW w:w="1620" w:type="dxa"/>
            <w:vAlign w:val="bottom"/>
          </w:tcPr>
          <w:p>
            <w:pPr>
              <w:ind w:left="1500"/>
              <w:spacing w:after="0"/>
              <w:rPr>
                <w:sz w:val="20"/>
                <w:szCs w:val="20"/>
                <w:color w:val="auto"/>
              </w:rPr>
            </w:pPr>
            <w:r>
              <w:rPr>
                <w:rFonts w:ascii="Arial" w:cs="Arial" w:eastAsia="Arial" w:hAnsi="Arial"/>
                <w:sz w:val="18"/>
                <w:szCs w:val="18"/>
                <w:color w:val="auto"/>
              </w:rPr>
              <w:t>•</w:t>
            </w:r>
          </w:p>
        </w:tc>
        <w:tc>
          <w:tcPr>
            <w:tcW w:w="1660" w:type="dxa"/>
            <w:vAlign w:val="bottom"/>
          </w:tcPr>
          <w:p>
            <w:pPr>
              <w:ind w:left="40"/>
              <w:spacing w:after="0"/>
              <w:rPr>
                <w:sz w:val="20"/>
                <w:szCs w:val="20"/>
                <w:color w:val="auto"/>
              </w:rPr>
            </w:pPr>
            <w:r>
              <w:rPr>
                <w:rFonts w:ascii="Arial" w:cs="Arial" w:eastAsia="Arial" w:hAnsi="Arial"/>
                <w:sz w:val="18"/>
                <w:szCs w:val="18"/>
                <w:color w:val="auto"/>
              </w:rPr>
              <w:t>Depositary shares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Purchase contracts</w:t>
            </w:r>
          </w:p>
        </w:tc>
        <w:tc>
          <w:tcPr>
            <w:tcW w:w="1620" w:type="dxa"/>
            <w:vAlign w:val="bottom"/>
          </w:tcPr>
          <w:p>
            <w:pPr>
              <w:ind w:left="1500"/>
              <w:spacing w:after="0"/>
              <w:rPr>
                <w:sz w:val="20"/>
                <w:szCs w:val="20"/>
                <w:color w:val="auto"/>
              </w:rPr>
            </w:pPr>
            <w:r>
              <w:rPr>
                <w:rFonts w:ascii="Arial" w:cs="Arial" w:eastAsia="Arial" w:hAnsi="Arial"/>
                <w:sz w:val="18"/>
                <w:szCs w:val="18"/>
                <w:color w:val="auto"/>
              </w:rPr>
              <w:t>•</w:t>
            </w:r>
          </w:p>
        </w:tc>
        <w:tc>
          <w:tcPr>
            <w:tcW w:w="1660" w:type="dxa"/>
            <w:vAlign w:val="bottom"/>
          </w:tcPr>
          <w:p>
            <w:pPr>
              <w:ind w:left="40"/>
              <w:spacing w:after="0"/>
              <w:rPr>
                <w:sz w:val="20"/>
                <w:szCs w:val="20"/>
                <w:color w:val="auto"/>
              </w:rPr>
            </w:pPr>
            <w:r>
              <w:rPr>
                <w:rFonts w:ascii="Arial" w:cs="Arial" w:eastAsia="Arial" w:hAnsi="Arial"/>
                <w:sz w:val="18"/>
                <w:szCs w:val="18"/>
                <w:color w:val="auto"/>
                <w:w w:val="87"/>
              </w:rPr>
              <w:t>Class A common stock</w:t>
            </w:r>
          </w:p>
        </w:tc>
      </w:t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Units</w:t>
            </w:r>
          </w:p>
        </w:tc>
        <w:tc>
          <w:tcPr>
            <w:tcW w:w="162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spacing w:after="0" w:line="156" w:lineRule="exact"/>
        <w:rPr>
          <w:sz w:val="20"/>
          <w:szCs w:val="20"/>
          <w:color w:val="auto"/>
        </w:rPr>
      </w:pPr>
    </w:p>
    <w:p>
      <w:pPr>
        <w:ind w:left="120" w:right="440" w:firstLine="440"/>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subsidiaries named in this prospectus.</w:t>
      </w:r>
    </w:p>
    <w:p>
      <w:pPr>
        <w:spacing w:after="0" w:line="132" w:lineRule="exact"/>
        <w:rPr>
          <w:sz w:val="20"/>
          <w:szCs w:val="20"/>
          <w:color w:val="auto"/>
        </w:rPr>
      </w:pPr>
    </w:p>
    <w:p>
      <w:pPr>
        <w:ind w:left="120" w:firstLine="440"/>
        <w:spacing w:after="0" w:line="268" w:lineRule="auto"/>
        <w:rPr>
          <w:sz w:val="20"/>
          <w:szCs w:val="20"/>
          <w:color w:val="auto"/>
        </w:rPr>
      </w:pPr>
      <w:r>
        <w:rPr>
          <w:rFonts w:ascii="Arial" w:cs="Arial" w:eastAsia="Arial" w:hAnsi="Arial"/>
          <w:sz w:val="18"/>
          <w:szCs w:val="18"/>
          <w:color w:val="auto"/>
        </w:rPr>
        <w:t>Our Class A common stock is quoted on the Nasdaq Global Select Market under the ticker symbol “CMCSA.” On July 31, 2019, the reported last sale price on the Nasdaq Global Select Market for our Class A common stock was $43.17.</w:t>
      </w:r>
    </w:p>
    <w:p>
      <w:pPr>
        <w:spacing w:after="0" w:line="132"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Maturity</w:t>
            </w:r>
          </w:p>
        </w:tc>
        <w:tc>
          <w:tcPr>
            <w:tcW w:w="600" w:type="dxa"/>
            <w:vAlign w:val="bottom"/>
          </w:tcPr>
          <w:p>
            <w:pPr>
              <w:ind w:left="500"/>
              <w:spacing w:after="0"/>
              <w:rPr>
                <w:sz w:val="20"/>
                <w:szCs w:val="20"/>
                <w:color w:val="auto"/>
              </w:rPr>
            </w:pPr>
            <w:r>
              <w:rPr>
                <w:rFonts w:ascii="Arial" w:cs="Arial" w:eastAsia="Arial" w:hAnsi="Arial"/>
                <w:sz w:val="18"/>
                <w:szCs w:val="18"/>
                <w:color w:val="auto"/>
              </w:rPr>
              <w:t>•</w:t>
            </w:r>
          </w:p>
        </w:tc>
        <w:tc>
          <w:tcPr>
            <w:tcW w:w="2980" w:type="dxa"/>
            <w:vAlign w:val="bottom"/>
          </w:tcPr>
          <w:p>
            <w:pPr>
              <w:ind w:left="60"/>
              <w:spacing w:after="0"/>
              <w:rPr>
                <w:sz w:val="20"/>
                <w:szCs w:val="20"/>
                <w:color w:val="auto"/>
              </w:rPr>
            </w:pPr>
            <w:r>
              <w:rPr>
                <w:rFonts w:ascii="Arial" w:cs="Arial" w:eastAsia="Arial" w:hAnsi="Arial"/>
                <w:sz w:val="18"/>
                <w:szCs w:val="18"/>
                <w:color w:val="auto"/>
              </w:rPr>
              <w:t>Dividends</w:t>
            </w:r>
          </w:p>
        </w:tc>
        <w:tc>
          <w:tcPr>
            <w:tcW w:w="2980" w:type="dxa"/>
            <w:vAlign w:val="bottom"/>
            <w:gridSpan w:val="2"/>
          </w:tcPr>
          <w:p>
            <w:pPr>
              <w:ind w:left="660"/>
              <w:spacing w:after="0"/>
              <w:rPr>
                <w:sz w:val="20"/>
                <w:szCs w:val="20"/>
                <w:color w:val="auto"/>
              </w:rPr>
            </w:pPr>
            <w:r>
              <w:rPr>
                <w:rFonts w:ascii="Arial" w:cs="Arial" w:eastAsia="Arial" w:hAnsi="Arial"/>
                <w:sz w:val="18"/>
                <w:szCs w:val="18"/>
                <w:color w:val="auto"/>
                <w:w w:val="90"/>
              </w:rPr>
              <w:t>• Conversion or exchange rights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600" w:type="dxa"/>
            <w:vAlign w:val="bottom"/>
          </w:tcPr>
          <w:p>
            <w:pPr>
              <w:ind w:left="500"/>
              <w:spacing w:after="0"/>
              <w:rPr>
                <w:sz w:val="20"/>
                <w:szCs w:val="20"/>
                <w:color w:val="auto"/>
              </w:rPr>
            </w:pPr>
            <w:r>
              <w:rPr>
                <w:rFonts w:ascii="Arial" w:cs="Arial" w:eastAsia="Arial" w:hAnsi="Arial"/>
                <w:sz w:val="18"/>
                <w:szCs w:val="18"/>
                <w:color w:val="auto"/>
              </w:rPr>
              <w:t>•</w:t>
            </w:r>
          </w:p>
        </w:tc>
        <w:tc>
          <w:tcPr>
            <w:tcW w:w="2980" w:type="dxa"/>
            <w:vAlign w:val="bottom"/>
          </w:tcPr>
          <w:p>
            <w:pPr>
              <w:ind w:left="60"/>
              <w:spacing w:after="0"/>
              <w:rPr>
                <w:sz w:val="20"/>
                <w:szCs w:val="20"/>
                <w:color w:val="auto"/>
              </w:rPr>
            </w:pPr>
            <w:r>
              <w:rPr>
                <w:rFonts w:ascii="Arial" w:cs="Arial" w:eastAsia="Arial" w:hAnsi="Arial"/>
                <w:sz w:val="18"/>
                <w:szCs w:val="18"/>
                <w:color w:val="auto"/>
              </w:rPr>
              <w:t>Redemption terms</w:t>
            </w:r>
          </w:p>
        </w:tc>
        <w:tc>
          <w:tcPr>
            <w:tcW w:w="780" w:type="dxa"/>
            <w:vAlign w:val="bottom"/>
          </w:tcPr>
          <w:p>
            <w:pPr>
              <w:ind w:left="66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rPr>
              <w:t>Liquidation amount</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Sinking fund terms</w:t>
            </w:r>
          </w:p>
        </w:tc>
        <w:tc>
          <w:tcPr>
            <w:tcW w:w="600" w:type="dxa"/>
            <w:vAlign w:val="bottom"/>
          </w:tcPr>
          <w:p>
            <w:pPr>
              <w:ind w:left="500"/>
              <w:spacing w:after="0"/>
              <w:rPr>
                <w:sz w:val="20"/>
                <w:szCs w:val="20"/>
                <w:color w:val="auto"/>
              </w:rPr>
            </w:pPr>
            <w:r>
              <w:rPr>
                <w:rFonts w:ascii="Arial" w:cs="Arial" w:eastAsia="Arial" w:hAnsi="Arial"/>
                <w:sz w:val="18"/>
                <w:szCs w:val="18"/>
                <w:color w:val="auto"/>
              </w:rPr>
              <w:t>•</w:t>
            </w:r>
          </w:p>
        </w:tc>
        <w:tc>
          <w:tcPr>
            <w:tcW w:w="2980" w:type="dxa"/>
            <w:vAlign w:val="bottom"/>
          </w:tcPr>
          <w:p>
            <w:pPr>
              <w:ind w:left="60"/>
              <w:spacing w:after="0"/>
              <w:rPr>
                <w:sz w:val="20"/>
                <w:szCs w:val="20"/>
                <w:color w:val="auto"/>
              </w:rPr>
            </w:pPr>
            <w:r>
              <w:rPr>
                <w:rFonts w:ascii="Arial" w:cs="Arial" w:eastAsia="Arial" w:hAnsi="Arial"/>
                <w:sz w:val="18"/>
                <w:szCs w:val="18"/>
                <w:color w:val="auto"/>
              </w:rPr>
              <w:t>Listing on a securities exchange</w:t>
            </w:r>
          </w:p>
        </w:tc>
        <w:tc>
          <w:tcPr>
            <w:tcW w:w="780" w:type="dxa"/>
            <w:vAlign w:val="bottom"/>
          </w:tcPr>
          <w:p>
            <w:pPr>
              <w:ind w:left="66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rPr>
              <w:t>Subsidiary guarantees</w:t>
            </w:r>
          </w:p>
        </w:tc>
      </w:t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Currency of payments</w:t>
            </w:r>
          </w:p>
        </w:tc>
        <w:tc>
          <w:tcPr>
            <w:tcW w:w="600" w:type="dxa"/>
            <w:vAlign w:val="bottom"/>
          </w:tcPr>
          <w:p>
            <w:pPr>
              <w:ind w:left="500"/>
              <w:spacing w:after="0"/>
              <w:rPr>
                <w:sz w:val="20"/>
                <w:szCs w:val="20"/>
                <w:color w:val="auto"/>
              </w:rPr>
            </w:pPr>
            <w:r>
              <w:rPr>
                <w:rFonts w:ascii="Arial" w:cs="Arial" w:eastAsia="Arial" w:hAnsi="Arial"/>
                <w:sz w:val="18"/>
                <w:szCs w:val="18"/>
                <w:color w:val="auto"/>
              </w:rPr>
              <w:t>•</w:t>
            </w:r>
          </w:p>
        </w:tc>
        <w:tc>
          <w:tcPr>
            <w:tcW w:w="2980" w:type="dxa"/>
            <w:vAlign w:val="bottom"/>
          </w:tcPr>
          <w:p>
            <w:pPr>
              <w:ind w:left="60"/>
              <w:spacing w:after="0"/>
              <w:rPr>
                <w:sz w:val="20"/>
                <w:szCs w:val="20"/>
                <w:color w:val="auto"/>
              </w:rPr>
            </w:pPr>
            <w:r>
              <w:rPr>
                <w:rFonts w:ascii="Arial" w:cs="Arial" w:eastAsia="Arial" w:hAnsi="Arial"/>
                <w:sz w:val="18"/>
                <w:szCs w:val="18"/>
                <w:color w:val="auto"/>
              </w:rPr>
              <w:t>Amount payable at maturity</w:t>
            </w:r>
          </w:p>
        </w:tc>
        <w:tc>
          <w:tcPr>
            <w:tcW w:w="780" w:type="dxa"/>
            <w:vAlign w:val="bottom"/>
          </w:tcPr>
          <w:p>
            <w:pPr>
              <w:spacing w:after="0"/>
              <w:rPr>
                <w:sz w:val="19"/>
                <w:szCs w:val="19"/>
                <w:color w:val="auto"/>
              </w:rPr>
            </w:pPr>
          </w:p>
        </w:tc>
        <w:tc>
          <w:tcPr>
            <w:tcW w:w="2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189865</wp:posOffset>
            </wp:positionV>
            <wp:extent cx="14744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120" w:right="380" w:firstLine="440"/>
        <w:spacing w:after="0" w:line="339" w:lineRule="auto"/>
        <w:rPr>
          <w:sz w:val="20"/>
          <w:szCs w:val="20"/>
          <w:color w:val="auto"/>
        </w:rPr>
      </w:pPr>
      <w:r>
        <w:rPr>
          <w:rFonts w:ascii="Arial" w:cs="Arial" w:eastAsia="Arial" w:hAnsi="Arial"/>
          <w:sz w:val="16"/>
          <w:szCs w:val="16"/>
          <w:b w:val="1"/>
          <w:bCs w:val="1"/>
          <w:color w:val="auto"/>
        </w:rPr>
        <w:t>Investing in these securities involves certain risks. See “Item 1A—Risk Factors” beginning on page 21 of Comcast’s and NBCUniversal’s combined annual report on Form 10-K for the year ended December 31, 2018, which is incorporated by reference herein.</w:t>
      </w:r>
    </w:p>
    <w:p>
      <w:pPr>
        <w:spacing w:after="0" w:line="7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126"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date of this prospectus is August 1, 2019</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940" w:type="dxa"/>
            <w:vAlign w:val="bottom"/>
            <w:gridSpan w:val="3"/>
          </w:tcPr>
          <w:p>
            <w:pPr>
              <w:ind w:left="52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4040" w:type="dxa"/>
            <w:vAlign w:val="bottom"/>
            <w:gridSpan w:val="11"/>
            <w:vMerge w:val="restart"/>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The Companies</w:t>
              </w:r>
            </w:hyperlink>
          </w:p>
        </w:tc>
        <w:tc>
          <w:tcPr>
            <w:tcW w:w="6600" w:type="dxa"/>
            <w:vAlign w:val="bottom"/>
          </w:tcPr>
          <w:p>
            <w:pPr>
              <w:spacing w:after="0"/>
              <w:rPr>
                <w:sz w:val="24"/>
                <w:szCs w:val="24"/>
                <w:color w:val="auto"/>
              </w:rPr>
            </w:pPr>
          </w:p>
        </w:tc>
        <w:tc>
          <w:tcPr>
            <w:tcW w:w="340" w:type="dxa"/>
            <w:vAlign w:val="bottom"/>
            <w:gridSpan w:val="2"/>
          </w:tcPr>
          <w:p>
            <w:pPr>
              <w:spacing w:after="0"/>
              <w:rPr>
                <w:sz w:val="20"/>
                <w:szCs w:val="20"/>
                <w:color w:val="auto"/>
              </w:rPr>
            </w:pPr>
            <w:r>
              <w:rPr>
                <w:rFonts w:ascii="Arial" w:cs="Arial" w:eastAsia="Arial" w:hAnsi="Arial"/>
                <w:sz w:val="13"/>
                <w:szCs w:val="13"/>
                <w:color w:val="auto"/>
              </w:rPr>
              <w:t>P</w:t>
            </w:r>
            <w:r>
              <w:rPr>
                <w:rFonts w:ascii="Arial" w:cs="Arial" w:eastAsia="Arial" w:hAnsi="Arial"/>
                <w:sz w:val="11"/>
                <w:szCs w:val="11"/>
                <w:color w:val="auto"/>
              </w:rPr>
              <w:t>AGE</w:t>
            </w:r>
          </w:p>
        </w:tc>
        <w:tc>
          <w:tcPr>
            <w:tcW w:w="0" w:type="dxa"/>
            <w:vAlign w:val="bottom"/>
          </w:tcPr>
          <w:p>
            <w:pPr>
              <w:spacing w:after="0"/>
              <w:rPr>
                <w:sz w:val="1"/>
                <w:szCs w:val="1"/>
                <w:color w:val="auto"/>
              </w:rPr>
            </w:pPr>
          </w:p>
        </w:tc>
      </w:tr>
      <w:tr>
        <w:trPr>
          <w:trHeight w:val="156"/>
        </w:trPr>
        <w:tc>
          <w:tcPr>
            <w:tcW w:w="4040" w:type="dxa"/>
            <w:vAlign w:val="bottom"/>
            <w:gridSpan w:val="11"/>
            <w:vMerge w:val="continue"/>
          </w:tcPr>
          <w:p>
            <w:pPr>
              <w:spacing w:after="0"/>
              <w:rPr>
                <w:sz w:val="13"/>
                <w:szCs w:val="13"/>
                <w:color w:val="auto"/>
              </w:rPr>
            </w:pPr>
          </w:p>
        </w:tc>
        <w:tc>
          <w:tcPr>
            <w:tcW w:w="6600" w:type="dxa"/>
            <w:vAlign w:val="bottom"/>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40" w:type="dxa"/>
            <w:vAlign w:val="bottom"/>
            <w:gridSpan w:val="1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Caution Concerning Forward-Looking Statements</w:t>
              </w:r>
            </w:hyperlink>
          </w:p>
        </w:tc>
        <w:tc>
          <w:tcPr>
            <w:tcW w:w="69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4"/>
              </w:rPr>
            </w:pPr>
            <w:hyperlink w:anchor="page41">
              <w:r>
                <w:rPr>
                  <w:rFonts w:ascii="Arial" w:cs="Arial" w:eastAsia="Arial" w:hAnsi="Arial"/>
                  <w:sz w:val="18"/>
                  <w:szCs w:val="18"/>
                  <w:color w:val="0000EE"/>
                  <w:w w:val="84"/>
                </w:rPr>
                <w:t>Use of Proceeds</w:t>
              </w:r>
            </w:hyperlink>
          </w:p>
        </w:tc>
        <w:tc>
          <w:tcPr>
            <w:tcW w:w="2380" w:type="dxa"/>
            <w:vAlign w:val="bottom"/>
            <w:tcBorders>
              <w:top w:val="single" w:sz="8" w:color="0000EE"/>
            </w:tcBorders>
            <w:gridSpan w:val="6"/>
          </w:tcPr>
          <w:p>
            <w:pPr>
              <w:spacing w:after="0"/>
              <w:rPr>
                <w:sz w:val="17"/>
                <w:szCs w:val="17"/>
                <w:color w:val="auto"/>
              </w:rPr>
            </w:pPr>
          </w:p>
        </w:tc>
        <w:tc>
          <w:tcPr>
            <w:tcW w:w="520" w:type="dxa"/>
            <w:vAlign w:val="bottom"/>
          </w:tcPr>
          <w:p>
            <w:pPr>
              <w:spacing w:after="0"/>
              <w:rPr>
                <w:sz w:val="17"/>
                <w:szCs w:val="17"/>
                <w:color w:val="auto"/>
              </w:rPr>
            </w:pPr>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040" w:type="dxa"/>
            <w:vAlign w:val="bottom"/>
            <w:gridSpan w:val="11"/>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Dividend Policy</w:t>
              </w:r>
            </w:hyperlink>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Description of Debt Securities and Guarantees</w:t>
              </w:r>
            </w:hyperlink>
          </w:p>
        </w:tc>
        <w:tc>
          <w:tcPr>
            <w:tcW w:w="780" w:type="dxa"/>
            <w:vAlign w:val="bottom"/>
            <w:gridSpan w:val="2"/>
          </w:tcPr>
          <w:p>
            <w:pPr>
              <w:spacing w:after="0"/>
              <w:rPr>
                <w:sz w:val="17"/>
                <w:szCs w:val="17"/>
                <w:color w:val="auto"/>
              </w:rPr>
            </w:pPr>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040" w:type="dxa"/>
            <w:vAlign w:val="bottom"/>
            <w:gridSpan w:val="11"/>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Global Securities</w:t>
              </w:r>
            </w:hyperlink>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Description of Capital Stock</w:t>
              </w:r>
            </w:hyperlink>
          </w:p>
        </w:tc>
        <w:tc>
          <w:tcPr>
            <w:tcW w:w="2040" w:type="dxa"/>
            <w:vAlign w:val="bottom"/>
            <w:gridSpan w:val="3"/>
          </w:tcPr>
          <w:p>
            <w:pPr>
              <w:spacing w:after="0"/>
              <w:rPr>
                <w:sz w:val="17"/>
                <w:szCs w:val="17"/>
                <w:color w:val="auto"/>
              </w:rPr>
            </w:pPr>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4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59">
              <w:r>
                <w:rPr>
                  <w:rFonts w:ascii="Arial" w:cs="Arial" w:eastAsia="Arial" w:hAnsi="Arial"/>
                  <w:sz w:val="18"/>
                  <w:szCs w:val="18"/>
                  <w:color w:val="0000EE"/>
                  <w:w w:val="91"/>
                </w:rPr>
                <w:t>Plan of Distribution</w:t>
              </w:r>
            </w:hyperlink>
          </w:p>
        </w:tc>
        <w:tc>
          <w:tcPr>
            <w:tcW w:w="2640" w:type="dxa"/>
            <w:vAlign w:val="bottom"/>
            <w:gridSpan w:val="5"/>
          </w:tcPr>
          <w:p>
            <w:pPr>
              <w:spacing w:after="0"/>
              <w:rPr>
                <w:sz w:val="17"/>
                <w:szCs w:val="17"/>
                <w:color w:val="auto"/>
              </w:rPr>
            </w:pPr>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60">
              <w:r>
                <w:rPr>
                  <w:rFonts w:ascii="Arial" w:cs="Arial" w:eastAsia="Arial" w:hAnsi="Arial"/>
                  <w:sz w:val="18"/>
                  <w:szCs w:val="18"/>
                  <w:color w:val="0000EE"/>
                  <w:w w:val="87"/>
                </w:rPr>
                <w:t>Legal Matters</w:t>
              </w:r>
            </w:hyperlink>
          </w:p>
        </w:tc>
        <w:tc>
          <w:tcPr>
            <w:tcW w:w="3060" w:type="dxa"/>
            <w:vAlign w:val="bottom"/>
            <w:gridSpan w:val="9"/>
          </w:tcPr>
          <w:p>
            <w:pPr>
              <w:spacing w:after="0"/>
              <w:rPr>
                <w:sz w:val="17"/>
                <w:szCs w:val="17"/>
                <w:color w:val="auto"/>
              </w:rPr>
            </w:pPr>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60">
              <w:r>
                <w:rPr>
                  <w:rFonts w:ascii="Arial" w:cs="Arial" w:eastAsia="Arial" w:hAnsi="Arial"/>
                  <w:sz w:val="18"/>
                  <w:szCs w:val="18"/>
                  <w:color w:val="0000EE"/>
                  <w:w w:val="85"/>
                </w:rPr>
                <w:t>Experts</w:t>
              </w:r>
            </w:hyperlink>
          </w:p>
        </w:tc>
        <w:tc>
          <w:tcPr>
            <w:tcW w:w="3500" w:type="dxa"/>
            <w:vAlign w:val="bottom"/>
            <w:gridSpan w:val="10"/>
          </w:tcPr>
          <w:p>
            <w:pPr>
              <w:spacing w:after="0"/>
              <w:rPr>
                <w:sz w:val="17"/>
                <w:szCs w:val="17"/>
                <w:color w:val="auto"/>
              </w:rPr>
            </w:pPr>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040" w:type="dxa"/>
            <w:vAlign w:val="bottom"/>
            <w:gridSpan w:val="11"/>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Available Information</w:t>
              </w:r>
            </w:hyperlink>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540" w:type="dxa"/>
            <w:vAlign w:val="bottom"/>
            <w:gridSpan w:val="7"/>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Incorporation of Certain Documents by Reference</w:t>
              </w:r>
            </w:hyperlink>
          </w:p>
        </w:tc>
        <w:tc>
          <w:tcPr>
            <w:tcW w:w="520" w:type="dxa"/>
            <w:vAlign w:val="bottom"/>
          </w:tcPr>
          <w:p>
            <w:pPr>
              <w:spacing w:after="0"/>
              <w:rPr>
                <w:sz w:val="17"/>
                <w:szCs w:val="17"/>
                <w:color w:val="auto"/>
              </w:rPr>
            </w:pPr>
          </w:p>
        </w:tc>
        <w:tc>
          <w:tcPr>
            <w:tcW w:w="69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120" w:right="80" w:firstLine="440"/>
        <w:spacing w:after="0" w:line="294"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any prospectus supplement or any free writing prospectus prepared by or on behalf of us or to which we have referred you.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or any such free writing prospectus is accurate as of any date other than their respective dates.</w:t>
      </w:r>
    </w:p>
    <w:p>
      <w:pPr>
        <w:spacing w:after="0" w:line="115"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color w:val="auto"/>
        </w:rPr>
        <w:t>We refer to Comcast Corporation in this prospectus as “Comcast,” and Comcast and its consolidated subsidiaries as “we,” “us,” “our” or comparable terms; Comcast Holdings Corporation as “Comcast Holdings” and Sky Limited (formerly Sky plc) and its consolidated subsidiaries as “Sky.” We refer to NBCUniversal Media, LLC and its consolidated subsidiaries as “NBCUniversal,” Comcast Cable Communications, LLC and its consolidated subsidiaries as “Comcast Cable,” and both of them collectively as the “Guarantors.”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120" w:right="60" w:firstLine="440"/>
        <w:spacing w:after="0" w:line="294" w:lineRule="auto"/>
        <w:rPr>
          <w:sz w:val="20"/>
          <w:szCs w:val="20"/>
          <w:color w:val="auto"/>
        </w:rPr>
      </w:pPr>
      <w:r>
        <w:rPr>
          <w:rFonts w:ascii="Arial" w:cs="Arial" w:eastAsia="Arial" w:hAnsi="Arial"/>
          <w:sz w:val="16"/>
          <w:szCs w:val="16"/>
          <w:color w:val="auto"/>
        </w:rPr>
        <w:t>This prospectus is part of a registration statement that we filed with the SEC utilizing a “shelf” registration process. Under this shelf process, we may sell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“Available Information.”</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COMPANIES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We are a global media and technology company with three primary businesses, Comcast Cable, NBCUniversal and Sky. We present our operations for</w:t>
      </w:r>
    </w:p>
    <w:p>
      <w:pPr>
        <w:spacing w:after="0" w:line="50" w:lineRule="exact"/>
        <w:rPr>
          <w:sz w:val="20"/>
          <w:szCs w:val="20"/>
          <w:color w:val="auto"/>
        </w:rPr>
      </w:pPr>
    </w:p>
    <w:p>
      <w:pPr>
        <w:ind w:left="120" w:right="60" w:hanging="4"/>
        <w:spacing w:after="0" w:line="255" w:lineRule="auto"/>
        <w:tabs>
          <w:tab w:leader="none" w:pos="369"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Comcast Cable in one reportable business segment, referred to as Cable Communications; (2) NBCUniversal in four reportable business segments: Cable Networks, Broadcast Television, Filmed Entertainment and Theme Parks (collectively, the “NBCUniversal segments”); and (3) Sky in one reportable business segment.</w:t>
      </w:r>
    </w:p>
    <w:p>
      <w:pPr>
        <w:spacing w:after="0" w:line="56" w:lineRule="exact"/>
        <w:rPr>
          <w:rFonts w:ascii="Arial" w:cs="Arial" w:eastAsia="Arial" w:hAnsi="Arial"/>
          <w:sz w:val="18"/>
          <w:szCs w:val="18"/>
          <w:color w:val="auto"/>
        </w:rPr>
      </w:pPr>
    </w:p>
    <w:p>
      <w:pPr>
        <w:ind w:left="1080" w:right="180" w:hanging="424"/>
        <w:spacing w:after="0" w:line="262"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high-speed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video, voice, wireless, and security and automation services (“cable services”) to residential customers under the XFINITY brand; we also provide these and other services to business customers and sell advertising.</w:t>
      </w:r>
    </w:p>
    <w:p>
      <w:pPr>
        <w:spacing w:after="0" w:line="51" w:lineRule="exact"/>
        <w:rPr>
          <w:rFonts w:ascii="Arial" w:cs="Arial" w:eastAsia="Arial" w:hAnsi="Arial"/>
          <w:sz w:val="18"/>
          <w:szCs w:val="18"/>
          <w:color w:val="auto"/>
        </w:rPr>
      </w:pPr>
    </w:p>
    <w:p>
      <w:pPr>
        <w:ind w:left="1080" w:right="100" w:hanging="424"/>
        <w:spacing w:after="0" w:line="262"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that provide a variety of entertainment, news and information, and sports</w:t>
      </w:r>
      <w:r>
        <w:rPr>
          <w:rFonts w:ascii="Arial" w:cs="Arial" w:eastAsia="Arial" w:hAnsi="Arial"/>
          <w:sz w:val="18"/>
          <w:szCs w:val="18"/>
          <w:b w:val="1"/>
          <w:bCs w:val="1"/>
          <w:color w:val="auto"/>
        </w:rPr>
        <w:t xml:space="preserve"> </w:t>
      </w:r>
      <w:r>
        <w:rPr>
          <w:rFonts w:ascii="Arial" w:cs="Arial" w:eastAsia="Arial" w:hAnsi="Arial"/>
          <w:sz w:val="18"/>
          <w:szCs w:val="18"/>
          <w:color w:val="auto"/>
        </w:rPr>
        <w:t>content, our regional sports and news networks, our international cable networks, our cable television studio production operations, and various digital properties.</w:t>
      </w:r>
    </w:p>
    <w:p>
      <w:pPr>
        <w:spacing w:after="0" w:line="51" w:lineRule="exact"/>
        <w:rPr>
          <w:rFonts w:ascii="Arial" w:cs="Arial" w:eastAsia="Arial" w:hAnsi="Arial"/>
          <w:sz w:val="18"/>
          <w:szCs w:val="18"/>
          <w:color w:val="auto"/>
        </w:rPr>
      </w:pPr>
    </w:p>
    <w:p>
      <w:pPr>
        <w:ind w:left="1080" w:right="240" w:hanging="424"/>
        <w:spacing w:after="0" w:line="262"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our NBC and Telemundo owned local broadcast</w:t>
      </w:r>
      <w:r>
        <w:rPr>
          <w:rFonts w:ascii="Arial" w:cs="Arial" w:eastAsia="Arial" w:hAnsi="Arial"/>
          <w:sz w:val="18"/>
          <w:szCs w:val="18"/>
          <w:b w:val="1"/>
          <w:bCs w:val="1"/>
          <w:color w:val="auto"/>
        </w:rPr>
        <w:t xml:space="preserve"> </w:t>
      </w:r>
      <w:r>
        <w:rPr>
          <w:rFonts w:ascii="Arial" w:cs="Arial" w:eastAsia="Arial" w:hAnsi="Arial"/>
          <w:sz w:val="18"/>
          <w:szCs w:val="18"/>
          <w:color w:val="auto"/>
        </w:rPr>
        <w:t>television stations, the NBC Universo national cable network, our broadcast television studio production operations, and various digital properties.</w:t>
      </w:r>
    </w:p>
    <w:p>
      <w:pPr>
        <w:spacing w:after="0" w:line="51" w:lineRule="exact"/>
        <w:rPr>
          <w:rFonts w:ascii="Arial" w:cs="Arial" w:eastAsia="Arial" w:hAnsi="Arial"/>
          <w:sz w:val="18"/>
          <w:szCs w:val="18"/>
          <w:color w:val="auto"/>
        </w:rPr>
      </w:pPr>
    </w:p>
    <w:p>
      <w:pPr>
        <w:ind w:left="1080" w:right="140" w:hanging="424"/>
        <w:spacing w:after="0" w:line="334" w:lineRule="auto"/>
        <w:tabs>
          <w:tab w:leader="none" w:pos="1080" w:val="left"/>
        </w:tabs>
        <w:numPr>
          <w:ilvl w:val="1"/>
          <w:numId w:val="23"/>
        </w:numPr>
        <w:rPr>
          <w:rFonts w:ascii="Arial" w:cs="Arial" w:eastAsia="Arial" w:hAnsi="Arial"/>
          <w:sz w:val="16"/>
          <w:szCs w:val="16"/>
          <w:color w:val="auto"/>
        </w:rPr>
      </w:pPr>
      <w:r>
        <w:rPr>
          <w:rFonts w:ascii="Arial" w:cs="Arial" w:eastAsia="Arial" w:hAnsi="Arial"/>
          <w:sz w:val="16"/>
          <w:szCs w:val="16"/>
          <w:b w:val="1"/>
          <w:bCs w:val="1"/>
          <w:color w:val="auto"/>
        </w:rPr>
        <w:t xml:space="preserve">Filmed Entertainment: </w:t>
      </w:r>
      <w:r>
        <w:rPr>
          <w:rFonts w:ascii="Arial" w:cs="Arial" w:eastAsia="Arial" w:hAnsi="Arial"/>
          <w:sz w:val="16"/>
          <w:szCs w:val="16"/>
          <w:color w:val="auto"/>
        </w:rPr>
        <w:t>Consists primarily of the operations of Universal Pictures, which produces, acquires, markets and distributes filmed</w:t>
      </w:r>
      <w:r>
        <w:rPr>
          <w:rFonts w:ascii="Arial" w:cs="Arial" w:eastAsia="Arial" w:hAnsi="Arial"/>
          <w:sz w:val="16"/>
          <w:szCs w:val="16"/>
          <w:b w:val="1"/>
          <w:bCs w:val="1"/>
          <w:color w:val="auto"/>
        </w:rPr>
        <w:t xml:space="preserve"> </w:t>
      </w:r>
      <w:r>
        <w:rPr>
          <w:rFonts w:ascii="Arial" w:cs="Arial" w:eastAsia="Arial" w:hAnsi="Arial"/>
          <w:sz w:val="16"/>
          <w:szCs w:val="16"/>
          <w:color w:val="auto"/>
        </w:rPr>
        <w:t>entertainment worldwide; our films are also produced under the Illumination, DreamWorks Animation and Focus Features names.</w:t>
      </w:r>
    </w:p>
    <w:p>
      <w:pPr>
        <w:ind w:left="1080" w:right="260" w:hanging="424"/>
        <w:spacing w:after="0" w:line="334" w:lineRule="auto"/>
        <w:tabs>
          <w:tab w:leader="none" w:pos="1080" w:val="left"/>
        </w:tabs>
        <w:numPr>
          <w:ilvl w:val="1"/>
          <w:numId w:val="23"/>
        </w:numPr>
        <w:rPr>
          <w:rFonts w:ascii="Arial" w:cs="Arial" w:eastAsia="Arial" w:hAnsi="Arial"/>
          <w:sz w:val="16"/>
          <w:szCs w:val="16"/>
          <w:color w:val="auto"/>
        </w:rPr>
      </w:pPr>
      <w:r>
        <w:rPr>
          <w:rFonts w:ascii="Arial" w:cs="Arial" w:eastAsia="Arial" w:hAnsi="Arial"/>
          <w:sz w:val="16"/>
          <w:szCs w:val="16"/>
          <w:b w:val="1"/>
          <w:bCs w:val="1"/>
          <w:color w:val="auto"/>
        </w:rPr>
        <w:t xml:space="preserve">Theme Parks: </w:t>
      </w:r>
      <w:r>
        <w:rPr>
          <w:rFonts w:ascii="Arial" w:cs="Arial" w:eastAsia="Arial" w:hAnsi="Arial"/>
          <w:sz w:val="16"/>
          <w:szCs w:val="16"/>
          <w:color w:val="auto"/>
        </w:rPr>
        <w:t>Consists primarily of our Universal theme parks in Orlando, Florida; Hollywood, California; and Osaka, Japan. In addition,</w:t>
      </w:r>
      <w:r>
        <w:rPr>
          <w:rFonts w:ascii="Arial" w:cs="Arial" w:eastAsia="Arial" w:hAnsi="Arial"/>
          <w:sz w:val="16"/>
          <w:szCs w:val="16"/>
          <w:b w:val="1"/>
          <w:bCs w:val="1"/>
          <w:color w:val="auto"/>
        </w:rPr>
        <w:t xml:space="preserve"> </w:t>
      </w:r>
      <w:r>
        <w:rPr>
          <w:rFonts w:ascii="Arial" w:cs="Arial" w:eastAsia="Arial" w:hAnsi="Arial"/>
          <w:sz w:val="16"/>
          <w:szCs w:val="16"/>
          <w:color w:val="auto"/>
        </w:rPr>
        <w:t>along with a consortium of Chinese state-owned companies, we are developing a Universal theme park and resort in Beijing, China.</w:t>
      </w:r>
    </w:p>
    <w:p>
      <w:pPr>
        <w:ind w:left="1080" w:right="180" w:hanging="424"/>
        <w:spacing w:after="0" w:line="262"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Sky: </w:t>
      </w:r>
      <w:r>
        <w:rPr>
          <w:rFonts w:ascii="Arial" w:cs="Arial" w:eastAsia="Arial" w:hAnsi="Arial"/>
          <w:sz w:val="18"/>
          <w:szCs w:val="18"/>
          <w:color w:val="auto"/>
        </w:rPr>
        <w:t>Consists of the operations of Sky, one of Europe’s leading entertainment companies, which primarily includes a direct-to-consumer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providing video, high-speed internet, voice and wireless phone services, and a content business, operating entertainment networks, the Sky News broadcast network and Sky Sports networks.</w:t>
      </w:r>
    </w:p>
    <w:p>
      <w:pPr>
        <w:spacing w:after="0" w:line="138"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w:t>
      </w:r>
    </w:p>
    <w:p>
      <w:pPr>
        <w:spacing w:after="0" w:line="132" w:lineRule="exact"/>
        <w:rPr>
          <w:sz w:val="20"/>
          <w:szCs w:val="20"/>
          <w:color w:val="auto"/>
        </w:rPr>
      </w:pPr>
    </w:p>
    <w:p>
      <w:pPr>
        <w:ind w:left="120" w:right="40" w:firstLine="440"/>
        <w:spacing w:after="0" w:line="306" w:lineRule="auto"/>
        <w:rPr>
          <w:sz w:val="20"/>
          <w:szCs w:val="20"/>
          <w:color w:val="auto"/>
        </w:rPr>
      </w:pPr>
      <w:r>
        <w:rPr>
          <w:rFonts w:ascii="Arial" w:cs="Arial" w:eastAsia="Arial" w:hAnsi="Arial"/>
          <w:sz w:val="16"/>
          <w:szCs w:val="16"/>
          <w:color w:val="auto"/>
        </w:rPr>
        <w:t>For a description of our business, financial condition, results of operations and other important information regarding us, see our filings with the Securities and Exchange Commission (the “SEC” or the “Commission”) incorporated by reference in this prospectus. For instructions on how to find copies of these and our other filings incorporated by reference in this prospectus, see “Available Information” in this prospectus.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Guarantors</w:t>
      </w:r>
    </w:p>
    <w:p>
      <w:pPr>
        <w:spacing w:after="0" w:line="96"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w:t>
      </w:r>
    </w:p>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1080" w:hanging="424"/>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NBCUniversal Media, LLC</w:t>
      </w:r>
    </w:p>
    <w:p>
      <w:pPr>
        <w:spacing w:after="0" w:line="90" w:lineRule="exact"/>
        <w:rPr>
          <w:sz w:val="20"/>
          <w:szCs w:val="20"/>
          <w:color w:val="auto"/>
        </w:rPr>
      </w:pPr>
    </w:p>
    <w:p>
      <w:pPr>
        <w:ind w:left="120" w:right="300" w:firstLine="440"/>
        <w:spacing w:after="0" w:line="268" w:lineRule="auto"/>
        <w:rPr>
          <w:sz w:val="20"/>
          <w:szCs w:val="20"/>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and owns and operates theme parks worldwide.</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90" w:lineRule="exact"/>
        <w:rPr>
          <w:sz w:val="20"/>
          <w:szCs w:val="20"/>
          <w:color w:val="auto"/>
        </w:rPr>
      </w:pPr>
    </w:p>
    <w:p>
      <w:pPr>
        <w:ind w:left="120" w:right="100" w:firstLine="440"/>
        <w:spacing w:after="0" w:line="268"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97790</wp:posOffset>
            </wp:positionV>
            <wp:extent cx="1474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0" w:lineRule="exact"/>
        <w:rPr>
          <w:sz w:val="20"/>
          <w:szCs w:val="20"/>
          <w:color w:val="auto"/>
        </w:rPr>
      </w:pPr>
    </w:p>
    <w:p>
      <w:pPr>
        <w:ind w:left="120" w:right="80" w:firstLine="440"/>
        <w:spacing w:after="0" w:line="268" w:lineRule="auto"/>
        <w:rPr>
          <w:sz w:val="20"/>
          <w:szCs w:val="20"/>
          <w:color w:val="auto"/>
        </w:rPr>
      </w:pPr>
      <w:r>
        <w:rPr>
          <w:rFonts w:ascii="Arial" w:cs="Arial" w:eastAsia="Arial" w:hAnsi="Arial"/>
          <w:sz w:val="18"/>
          <w:szCs w:val="18"/>
          <w:color w:val="auto"/>
        </w:rPr>
        <w:t>The principal executive offices of Comcast and Comcast Cable are located at One Comcast Center, Philadelphia, Pennsylvania 19103-2838, and our telephone number is (215) 286-1700.</w:t>
      </w:r>
    </w:p>
    <w:p>
      <w:pPr>
        <w:spacing w:after="0" w:line="132"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8"/>
          <w:szCs w:val="18"/>
          <w:color w:val="auto"/>
        </w:rPr>
        <w:t>The principal executive offices of NBCUniversal are located at 30 Rockefeller Plaza, New York, New York 10112-0015, and its telephone number is (212) 664-4444.</w:t>
      </w:r>
    </w:p>
    <w:p>
      <w:pPr>
        <w:spacing w:after="0" w:line="132"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8"/>
          <w:szCs w:val="18"/>
          <w:color w:val="auto"/>
        </w:rPr>
        <w:t>We maintain a website at http://www.comcastcorporation.com where general information about us is available. We are not incorporating the contents of the website into this prospectus.</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320" w:top="459" w:right="5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Annual Report on Form 10-K for the year ended December 31, 2018 incorporated herein by reference. Actual events or our actual results may differ materially from any of our forward-looking statements. We undertake no obligation to update any forward-looking statements.</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90" w:lineRule="exact"/>
        <w:rPr>
          <w:sz w:val="20"/>
          <w:szCs w:val="20"/>
          <w:color w:val="auto"/>
        </w:rPr>
      </w:pPr>
    </w:p>
    <w:p>
      <w:pPr>
        <w:ind w:left="1080" w:right="220" w:hanging="424"/>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50" w:lineRule="exact"/>
        <w:rPr>
          <w:rFonts w:ascii="Arial" w:cs="Arial" w:eastAsia="Arial" w:hAnsi="Arial"/>
          <w:sz w:val="18"/>
          <w:szCs w:val="18"/>
          <w:color w:val="auto"/>
        </w:rPr>
      </w:pPr>
    </w:p>
    <w:p>
      <w:pPr>
        <w:ind w:left="1080" w:right="320" w:hanging="424"/>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consumer behavior driven by online video distribution platforms for viewing content could adversely affect our businesses and challenge existing business models;</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decline in advertisers’ expenditures or changes in advertising markets could negatively impact our businesses;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are subject to regulation by federal, state, local and foreign authorities, which impose additional costs and restrictions on our businesses;</w:t>
      </w:r>
    </w:p>
    <w:p>
      <w:pPr>
        <w:spacing w:after="0" w:line="113" w:lineRule="exact"/>
        <w:rPr>
          <w:rFonts w:ascii="Arial" w:cs="Arial" w:eastAsia="Arial" w:hAnsi="Arial"/>
          <w:sz w:val="16"/>
          <w:szCs w:val="16"/>
          <w:color w:val="auto"/>
        </w:rPr>
      </w:pPr>
    </w:p>
    <w:p>
      <w:pPr>
        <w:ind w:left="1080" w:right="480" w:hanging="424"/>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programming expenses for our video services are increasing, which could adversely affect our Cable Communications’ and Sky’s video businesses;</w:t>
      </w:r>
    </w:p>
    <w:p>
      <w:pPr>
        <w:spacing w:after="0" w:line="50" w:lineRule="exact"/>
        <w:rPr>
          <w:rFonts w:ascii="Arial" w:cs="Arial" w:eastAsia="Arial" w:hAnsi="Arial"/>
          <w:sz w:val="18"/>
          <w:szCs w:val="18"/>
          <w:color w:val="auto"/>
        </w:rPr>
      </w:pPr>
    </w:p>
    <w:p>
      <w:pPr>
        <w:ind w:left="1080" w:right="180" w:hanging="424"/>
        <w:spacing w:after="0" w:line="331"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NBCUniversal’s and Sky’s success depends on consumer acceptance of their content, and their businesses may be adversely affected if their content fails to achieve sufficient consumer acceptance or the costs to create or acquire content increase;</w:t>
      </w:r>
    </w:p>
    <w:p>
      <w:pPr>
        <w:spacing w:after="0" w:line="5" w:lineRule="exact"/>
        <w:rPr>
          <w:rFonts w:ascii="Arial" w:cs="Arial" w:eastAsia="Arial" w:hAnsi="Arial"/>
          <w:sz w:val="16"/>
          <w:szCs w:val="16"/>
          <w:color w:val="auto"/>
        </w:rPr>
      </w:pPr>
    </w:p>
    <w:p>
      <w:pPr>
        <w:ind w:left="1080" w:hanging="424"/>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its businesses;</w:t>
      </w:r>
    </w:p>
    <w:p>
      <w:pPr>
        <w:spacing w:after="0" w:line="50" w:lineRule="exact"/>
        <w:rPr>
          <w:rFonts w:ascii="Arial" w:cs="Arial" w:eastAsia="Arial" w:hAnsi="Arial"/>
          <w:sz w:val="18"/>
          <w:szCs w:val="18"/>
          <w:color w:val="auto"/>
        </w:rPr>
      </w:pPr>
    </w:p>
    <w:p>
      <w:pPr>
        <w:ind w:left="1080" w:right="320" w:hanging="424"/>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less favorable regulation, the loss of Sky’s transmission agreements with satellite or telecommunications providers or the renewal of these agreements on less favorable terms, could adversely affect Sky’s businesses;</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loss of Sky’s wholesale distribution agreements with traditional multichannel video providers could adversely affect Sky’s businesses;</w:t>
      </w:r>
    </w:p>
    <w:p>
      <w:pPr>
        <w:spacing w:after="0" w:line="113" w:lineRule="exact"/>
        <w:rPr>
          <w:rFonts w:ascii="Arial" w:cs="Arial" w:eastAsia="Arial" w:hAnsi="Arial"/>
          <w:sz w:val="16"/>
          <w:szCs w:val="16"/>
          <w:color w:val="auto"/>
        </w:rPr>
      </w:pPr>
    </w:p>
    <w:p>
      <w:pPr>
        <w:ind w:left="1080" w:right="540" w:hanging="424"/>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50" w:lineRule="exact"/>
        <w:rPr>
          <w:rFonts w:ascii="Arial" w:cs="Arial" w:eastAsia="Arial" w:hAnsi="Arial"/>
          <w:sz w:val="18"/>
          <w:szCs w:val="18"/>
          <w:color w:val="auto"/>
        </w:rPr>
      </w:pPr>
    </w:p>
    <w:p>
      <w:pPr>
        <w:ind w:left="1080" w:right="440" w:hanging="424"/>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businesses depend on using and protecting certain intellectual property rights and on not infringing the intellectual property rights of others;</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90" w:lineRule="exact"/>
        <w:rPr>
          <w:rFonts w:ascii="Arial" w:cs="Arial" w:eastAsia="Arial" w:hAnsi="Arial"/>
          <w:sz w:val="18"/>
          <w:szCs w:val="18"/>
          <w:color w:val="auto"/>
        </w:rPr>
      </w:pPr>
    </w:p>
    <w:p>
      <w:pPr>
        <w:ind w:left="1080" w:right="360" w:hanging="424"/>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acquisitions, including our acquisitions of Sky, and other strategic initiatives present many risks, and we may not realize the financial and strategic goals that we had contemplated;</w:t>
      </w:r>
    </w:p>
    <w:p>
      <w:pPr>
        <w:spacing w:after="0" w:line="50" w:lineRule="exact"/>
        <w:rPr>
          <w:rFonts w:ascii="Arial" w:cs="Arial" w:eastAsia="Arial" w:hAnsi="Arial"/>
          <w:sz w:val="18"/>
          <w:szCs w:val="18"/>
          <w:color w:val="auto"/>
        </w:rPr>
      </w:pPr>
    </w:p>
    <w:p>
      <w:pPr>
        <w:ind w:left="1080" w:right="760" w:hanging="424"/>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unfavorable litigation or governmental investigation results could require us to pay significant amounts or lead to onerous operating procedures;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labor disputes, whether involving employees or sports organizations, may disrupt our operations and adversely affect our businesses;</w:t>
      </w:r>
    </w:p>
    <w:p>
      <w:pPr>
        <w:spacing w:after="0" w:line="113" w:lineRule="exact"/>
        <w:rPr>
          <w:rFonts w:ascii="Arial" w:cs="Arial" w:eastAsia="Arial" w:hAnsi="Arial"/>
          <w:sz w:val="16"/>
          <w:szCs w:val="16"/>
          <w:color w:val="auto"/>
        </w:rPr>
      </w:pPr>
    </w:p>
    <w:p>
      <w:pPr>
        <w:ind w:left="1080" w:hanging="424"/>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loss of key management personnel or popular on-air and creative talent could have an adverse effect on our businesses;</w:t>
      </w:r>
    </w:p>
    <w:p>
      <w:pPr>
        <w:spacing w:after="0" w:line="113" w:lineRule="exact"/>
        <w:rPr>
          <w:rFonts w:ascii="Arial" w:cs="Arial" w:eastAsia="Arial" w:hAnsi="Arial"/>
          <w:sz w:val="16"/>
          <w:szCs w:val="16"/>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 and</w:t>
      </w:r>
    </w:p>
    <w:p>
      <w:pPr>
        <w:spacing w:after="0" w:line="90" w:lineRule="exact"/>
        <w:rPr>
          <w:rFonts w:ascii="Arial" w:cs="Arial" w:eastAsia="Arial" w:hAnsi="Arial"/>
          <w:sz w:val="18"/>
          <w:szCs w:val="18"/>
          <w:color w:val="auto"/>
        </w:rPr>
      </w:pPr>
    </w:p>
    <w:p>
      <w:pPr>
        <w:ind w:left="1080" w:hanging="424"/>
        <w:spacing w:after="0" w:line="331"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7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20"/>
          </w:cols>
          <w:pgMar w:left="320" w:top="459" w:right="7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left="120" w:firstLine="440"/>
        <w:spacing w:after="0" w:line="268" w:lineRule="auto"/>
        <w:rPr>
          <w:sz w:val="20"/>
          <w:szCs w:val="20"/>
          <w:color w:val="auto"/>
        </w:rPr>
      </w:pPr>
      <w:r>
        <w:rPr>
          <w:rFonts w:ascii="Arial" w:cs="Arial" w:eastAsia="Arial" w:hAnsi="Arial"/>
          <w:sz w:val="18"/>
          <w:szCs w:val="18"/>
          <w:color w:val="auto"/>
        </w:rPr>
        <w:t>We intend to pay quarterly dividends at an annualized rate currently of $0.84 per share, although each dividend is subject to approval by our Board of Directors. Our Board of Directors retains the right to change our dividend policy at any time.</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60"/>
          </w:cols>
          <w:pgMar w:left="320" w:top="459" w:right="5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DEBT SECURITIES AND GUARANTEES</w:t>
      </w:r>
    </w:p>
    <w:p>
      <w:pPr>
        <w:spacing w:after="0" w:line="177" w:lineRule="exact"/>
        <w:rPr>
          <w:sz w:val="20"/>
          <w:szCs w:val="20"/>
          <w:color w:val="auto"/>
        </w:rPr>
      </w:pPr>
    </w:p>
    <w:p>
      <w:pPr>
        <w:ind w:left="120" w:right="40" w:firstLine="440"/>
        <w:spacing w:after="0" w:line="256"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under a senior indenture dated September 18, 2013, entered into among us, the guarantors named therein and The Bank of New York Mellon, as trustee, as amended by the first supplemental indenture dated as of November 17, 2015, entered into among us, the guarantors named therein and The Bank of New York Mellon, as trustee.</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senior indenture is incorporated by reference as an exhibit to the registration statement of which this prospectus is a part.</w:t>
      </w:r>
    </w:p>
    <w:p>
      <w:pPr>
        <w:spacing w:after="0" w:line="171"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color w:val="auto"/>
        </w:rPr>
        <w:t>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w:t>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w:t>
      </w:r>
    </w:p>
    <w:p>
      <w:pPr>
        <w:spacing w:after="0" w:line="140"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rate or rates, if any, per year, at which the debt securities will bear interest, or the method of determining such rate or rates;</w:t>
      </w:r>
    </w:p>
    <w:p>
      <w:pPr>
        <w:spacing w:after="0" w:line="113" w:lineRule="exact"/>
        <w:rPr>
          <w:rFonts w:ascii="Arial" w:cs="Arial" w:eastAsia="Arial" w:hAnsi="Arial"/>
          <w:sz w:val="16"/>
          <w:szCs w:val="16"/>
          <w:color w:val="auto"/>
        </w:rPr>
      </w:pPr>
    </w:p>
    <w:p>
      <w:pPr>
        <w:ind w:left="1080" w:right="100" w:hanging="424"/>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8"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080" w:right="320" w:hanging="424"/>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1080" w:right="200" w:hanging="424"/>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1080" w:right="380" w:hanging="424"/>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1080" w:right="520" w:hanging="424"/>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50" w:lineRule="exact"/>
        <w:rPr>
          <w:rFonts w:ascii="Arial" w:cs="Arial" w:eastAsia="Arial" w:hAnsi="Arial"/>
          <w:sz w:val="18"/>
          <w:szCs w:val="18"/>
          <w:color w:val="auto"/>
        </w:rPr>
      </w:pPr>
    </w:p>
    <w:p>
      <w:pPr>
        <w:ind w:left="1080" w:right="280" w:hanging="424"/>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90" w:lineRule="exact"/>
        <w:rPr>
          <w:rFonts w:ascii="Arial" w:cs="Arial" w:eastAsia="Arial" w:hAnsi="Arial"/>
          <w:sz w:val="18"/>
          <w:szCs w:val="18"/>
          <w:color w:val="auto"/>
        </w:rPr>
      </w:pPr>
    </w:p>
    <w:p>
      <w:pPr>
        <w:ind w:left="1080" w:right="100" w:hanging="424"/>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3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40" w:lineRule="exact"/>
        <w:rPr>
          <w:sz w:val="20"/>
          <w:szCs w:val="20"/>
          <w:color w:val="auto"/>
        </w:rPr>
      </w:pPr>
    </w:p>
    <w:p>
      <w:pPr>
        <w:ind w:left="120" w:right="20" w:firstLine="440"/>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43"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“Aggregate Debt” means, with respect to an Obligor, the sum of the following as of the date of determination:</w:t>
      </w:r>
    </w:p>
    <w:p>
      <w:pPr>
        <w:spacing w:after="0" w:line="90" w:lineRule="exact"/>
        <w:rPr>
          <w:sz w:val="20"/>
          <w:szCs w:val="20"/>
          <w:color w:val="auto"/>
        </w:rPr>
      </w:pPr>
    </w:p>
    <w:p>
      <w:pPr>
        <w:ind w:left="120" w:right="160" w:firstLine="436"/>
        <w:spacing w:after="0" w:line="268" w:lineRule="auto"/>
        <w:tabs>
          <w:tab w:leader="none" w:pos="79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aggregate principal amount of such Obligor’s Indebtedness incurred after the date of initial issuance of the senior debt securities and secured by Liens not permitted by the first sentence under “—Limitation on Liens Securing Indebtedness”; and</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100" w:firstLine="436"/>
        <w:spacing w:after="0" w:line="268" w:lineRule="auto"/>
        <w:tabs>
          <w:tab w:leader="none" w:pos="809"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Obligor’s Attributable Liens in respect of sale and lease-back transactions entered into after the date of the initial issuance of the senior debt securities pursuant to the second paragraph of “—Limitation on Sale and Lease-Back Transactions.”</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“Attributable Liens” means in connection with a sale and lease-back transaction of an Obligor the lesser of:</w:t>
      </w:r>
    </w:p>
    <w:p>
      <w:pPr>
        <w:spacing w:after="0" w:line="90" w:lineRule="exact"/>
        <w:rPr>
          <w:sz w:val="20"/>
          <w:szCs w:val="20"/>
          <w:color w:val="auto"/>
        </w:rPr>
      </w:pPr>
    </w:p>
    <w:p>
      <w:pPr>
        <w:ind w:left="120" w:right="80" w:firstLine="436"/>
        <w:spacing w:after="0" w:line="268" w:lineRule="auto"/>
        <w:tabs>
          <w:tab w:leader="none" w:pos="79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(as determined in good faith by our board of directors (in our case) or the equivalent governing body of any Guarantor); and</w:t>
      </w:r>
    </w:p>
    <w:p>
      <w:pPr>
        <w:spacing w:after="0" w:line="131" w:lineRule="exact"/>
        <w:rPr>
          <w:rFonts w:ascii="Arial" w:cs="Arial" w:eastAsia="Arial" w:hAnsi="Arial"/>
          <w:sz w:val="18"/>
          <w:szCs w:val="18"/>
          <w:color w:val="auto"/>
        </w:rPr>
      </w:pPr>
    </w:p>
    <w:p>
      <w:pPr>
        <w:ind w:left="120" w:right="380" w:firstLine="436"/>
        <w:spacing w:after="0" w:line="306" w:lineRule="auto"/>
        <w:tabs>
          <w:tab w:leader="none" w:pos="809"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06" w:lineRule="exact"/>
        <w:rPr>
          <w:sz w:val="20"/>
          <w:szCs w:val="20"/>
          <w:color w:val="auto"/>
        </w:rPr>
      </w:pPr>
    </w:p>
    <w:p>
      <w:pPr>
        <w:jc w:val="both"/>
        <w:ind w:left="120" w:firstLine="440"/>
        <w:spacing w:after="0" w:line="306" w:lineRule="auto"/>
        <w:rPr>
          <w:sz w:val="20"/>
          <w:szCs w:val="20"/>
          <w:color w:val="auto"/>
        </w:rPr>
      </w:pPr>
      <w:r>
        <w:rPr>
          <w:rFonts w:ascii="Arial" w:cs="Arial" w:eastAsia="Arial" w:hAnsi="Arial"/>
          <w:sz w:val="16"/>
          <w:szCs w:val="16"/>
          <w:color w:val="auto"/>
        </w:rPr>
        <w:t>“Capital Lease”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w:t>
      </w:r>
    </w:p>
    <w:p>
      <w:pPr>
        <w:spacing w:after="0" w:line="106"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8"/>
          <w:szCs w:val="18"/>
          <w:color w:val="auto"/>
        </w:rPr>
        <w:t>“Consolidated Net Worth” of any Person means, as of any date of determination, stockholders’ equity or members’ capital of such Person as reflected on the most recent consolidated balance sheet of such Person and prepared in accordance with GAAP.</w:t>
      </w:r>
    </w:p>
    <w:p>
      <w:pPr>
        <w:spacing w:after="0" w:line="132" w:lineRule="exact"/>
        <w:rPr>
          <w:sz w:val="20"/>
          <w:szCs w:val="20"/>
          <w:color w:val="auto"/>
        </w:rPr>
      </w:pPr>
    </w:p>
    <w:p>
      <w:pPr>
        <w:ind w:left="120" w:right="180" w:firstLine="440"/>
        <w:spacing w:after="0" w:line="303" w:lineRule="auto"/>
        <w:rPr>
          <w:sz w:val="20"/>
          <w:szCs w:val="20"/>
          <w:color w:val="auto"/>
        </w:rPr>
      </w:pPr>
      <w:r>
        <w:rPr>
          <w:rFonts w:ascii="Arial" w:cs="Arial" w:eastAsia="Arial" w:hAnsi="Arial"/>
          <w:sz w:val="15"/>
          <w:szCs w:val="15"/>
          <w:color w:val="auto"/>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w:t>
      </w:r>
    </w:p>
    <w:p>
      <w:pPr>
        <w:spacing w:after="0" w:line="1" w:lineRule="exact"/>
        <w:rPr>
          <w:sz w:val="20"/>
          <w:szCs w:val="20"/>
          <w:color w:val="auto"/>
        </w:rPr>
      </w:pPr>
    </w:p>
    <w:p>
      <w:pPr>
        <w:ind w:left="120" w:hanging="4"/>
        <w:spacing w:after="0" w:line="260" w:lineRule="auto"/>
        <w:tabs>
          <w:tab w:leader="none" w:pos="33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 of the senior indenture, for purposes of the definition of “Capital Lease” and (ii) the date of determination, for all other purposes under the senior indenture.</w:t>
      </w:r>
    </w:p>
    <w:p>
      <w:pPr>
        <w:spacing w:after="0" w:line="13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19" w:lineRule="exact"/>
        <w:rPr>
          <w:sz w:val="20"/>
          <w:szCs w:val="20"/>
          <w:color w:val="auto"/>
        </w:rPr>
      </w:pPr>
    </w:p>
    <w:p>
      <w:pPr>
        <w:ind w:left="120" w:right="240" w:firstLine="440"/>
        <w:spacing w:after="0" w:line="294" w:lineRule="auto"/>
        <w:rPr>
          <w:sz w:val="20"/>
          <w:szCs w:val="20"/>
          <w:color w:val="auto"/>
        </w:rPr>
      </w:pPr>
      <w:r>
        <w:rPr>
          <w:rFonts w:ascii="Arial" w:cs="Arial" w:eastAsia="Arial" w:hAnsi="Arial"/>
          <w:sz w:val="16"/>
          <w:szCs w:val="16"/>
          <w:color w:val="auto"/>
        </w:rPr>
        <w:t>“Indebtedness”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15" w:lineRule="exact"/>
        <w:rPr>
          <w:sz w:val="20"/>
          <w:szCs w:val="20"/>
          <w:color w:val="auto"/>
        </w:rPr>
      </w:pPr>
    </w:p>
    <w:p>
      <w:pPr>
        <w:ind w:left="120" w:right="300" w:firstLine="440"/>
        <w:spacing w:after="0" w:line="268" w:lineRule="auto"/>
        <w:rPr>
          <w:sz w:val="20"/>
          <w:szCs w:val="20"/>
          <w:color w:val="auto"/>
        </w:rPr>
      </w:pPr>
      <w:r>
        <w:rPr>
          <w:rFonts w:ascii="Arial" w:cs="Arial" w:eastAsia="Arial" w:hAnsi="Arial"/>
          <w:sz w:val="18"/>
          <w:szCs w:val="18"/>
          <w:color w:val="auto"/>
        </w:rPr>
        <w:t>“Lien” means any lien, security interest, charge or encumbrance of any kind (including any conditional sale or other title retention agreement, any lease in the nature thereof, and any agreement to give any security interest).</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“Obligor” means us and the Guarantors.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“Permitted Liens” means, with respect to an Obligor:</w:t>
      </w:r>
    </w:p>
    <w:p>
      <w:pPr>
        <w:spacing w:after="0" w:line="90" w:lineRule="exact"/>
        <w:rPr>
          <w:sz w:val="20"/>
          <w:szCs w:val="20"/>
          <w:color w:val="auto"/>
        </w:rPr>
      </w:pPr>
    </w:p>
    <w:p>
      <w:pPr>
        <w:jc w:val="both"/>
        <w:ind w:left="120" w:right="180" w:firstLine="436"/>
        <w:spacing w:after="0" w:line="259" w:lineRule="auto"/>
        <w:tabs>
          <w:tab w:leader="none" w:pos="799"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39" w:lineRule="exact"/>
        <w:rPr>
          <w:rFonts w:ascii="Arial" w:cs="Arial" w:eastAsia="Arial" w:hAnsi="Arial"/>
          <w:sz w:val="18"/>
          <w:szCs w:val="18"/>
          <w:color w:val="auto"/>
        </w:rPr>
      </w:pPr>
    </w:p>
    <w:p>
      <w:pPr>
        <w:ind w:left="120" w:right="40" w:firstLine="436"/>
        <w:spacing w:after="0" w:line="291" w:lineRule="auto"/>
        <w:tabs>
          <w:tab w:leader="none" w:pos="809" w:val="left"/>
        </w:tabs>
        <w:numPr>
          <w:ilvl w:val="0"/>
          <w:numId w:val="33"/>
        </w:numPr>
        <w:rPr>
          <w:rFonts w:ascii="Arial" w:cs="Arial" w:eastAsia="Arial" w:hAnsi="Arial"/>
          <w:sz w:val="16"/>
          <w:szCs w:val="16"/>
          <w:color w:val="auto"/>
        </w:rPr>
      </w:pPr>
      <w:r>
        <w:rPr>
          <w:rFonts w:ascii="Arial" w:cs="Arial" w:eastAsia="Arial" w:hAnsi="Arial"/>
          <w:sz w:val="16"/>
          <w:szCs w:val="16"/>
          <w:color w:val="auto"/>
        </w:rPr>
        <w:t>(i)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19" w:lineRule="exact"/>
        <w:rPr>
          <w:rFonts w:ascii="Arial" w:cs="Arial" w:eastAsia="Arial" w:hAnsi="Arial"/>
          <w:sz w:val="16"/>
          <w:szCs w:val="16"/>
          <w:color w:val="auto"/>
        </w:rPr>
      </w:pPr>
    </w:p>
    <w:p>
      <w:pPr>
        <w:ind w:left="120" w:right="840" w:firstLine="436"/>
        <w:spacing w:after="0" w:line="268" w:lineRule="auto"/>
        <w:tabs>
          <w:tab w:leader="none" w:pos="799"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31" w:lineRule="exact"/>
        <w:rPr>
          <w:rFonts w:ascii="Arial" w:cs="Arial" w:eastAsia="Arial" w:hAnsi="Arial"/>
          <w:sz w:val="18"/>
          <w:szCs w:val="18"/>
          <w:color w:val="auto"/>
        </w:rPr>
      </w:pPr>
    </w:p>
    <w:p>
      <w:pPr>
        <w:ind w:left="120" w:right="460" w:firstLine="436"/>
        <w:spacing w:after="0" w:line="268" w:lineRule="auto"/>
        <w:tabs>
          <w:tab w:leader="none" w:pos="809"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31" w:lineRule="exact"/>
        <w:rPr>
          <w:rFonts w:ascii="Arial" w:cs="Arial" w:eastAsia="Arial" w:hAnsi="Arial"/>
          <w:sz w:val="18"/>
          <w:szCs w:val="18"/>
          <w:color w:val="auto"/>
        </w:rPr>
      </w:pPr>
    </w:p>
    <w:p>
      <w:pPr>
        <w:ind w:left="120" w:right="200" w:firstLine="436"/>
        <w:spacing w:after="0" w:line="268" w:lineRule="auto"/>
        <w:tabs>
          <w:tab w:leader="none" w:pos="799"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131" w:lineRule="exact"/>
        <w:rPr>
          <w:rFonts w:ascii="Arial" w:cs="Arial" w:eastAsia="Arial" w:hAnsi="Arial"/>
          <w:sz w:val="18"/>
          <w:szCs w:val="18"/>
          <w:color w:val="auto"/>
        </w:rPr>
      </w:pPr>
    </w:p>
    <w:p>
      <w:pPr>
        <w:ind w:left="120" w:right="400" w:firstLine="436"/>
        <w:spacing w:after="0" w:line="306" w:lineRule="auto"/>
        <w:tabs>
          <w:tab w:leader="none" w:pos="7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06" w:lineRule="exact"/>
        <w:rPr>
          <w:rFonts w:ascii="Arial" w:cs="Arial" w:eastAsia="Arial" w:hAnsi="Arial"/>
          <w:sz w:val="16"/>
          <w:szCs w:val="16"/>
          <w:color w:val="auto"/>
        </w:rPr>
      </w:pPr>
    </w:p>
    <w:p>
      <w:pPr>
        <w:ind w:left="800" w:hanging="244"/>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in favor of us or any Guarantor;</w:t>
      </w:r>
    </w:p>
    <w:p>
      <w:pPr>
        <w:spacing w:after="0" w:line="171" w:lineRule="exact"/>
        <w:rPr>
          <w:rFonts w:ascii="Arial" w:cs="Arial" w:eastAsia="Arial" w:hAnsi="Arial"/>
          <w:sz w:val="18"/>
          <w:szCs w:val="18"/>
          <w:color w:val="auto"/>
        </w:rPr>
      </w:pPr>
    </w:p>
    <w:p>
      <w:pPr>
        <w:jc w:val="both"/>
        <w:ind w:left="120" w:right="140" w:firstLine="436"/>
        <w:spacing w:after="0" w:line="259" w:lineRule="auto"/>
        <w:tabs>
          <w:tab w:leader="none" w:pos="809"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39" w:lineRule="exact"/>
        <w:rPr>
          <w:rFonts w:ascii="Arial" w:cs="Arial" w:eastAsia="Arial" w:hAnsi="Arial"/>
          <w:sz w:val="18"/>
          <w:szCs w:val="18"/>
          <w:color w:val="auto"/>
        </w:rPr>
      </w:pPr>
    </w:p>
    <w:p>
      <w:pPr>
        <w:ind w:left="120" w:right="120" w:firstLine="436"/>
        <w:spacing w:after="0" w:line="268" w:lineRule="auto"/>
        <w:tabs>
          <w:tab w:leader="none" w:pos="77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31" w:lineRule="exact"/>
        <w:rPr>
          <w:rFonts w:ascii="Arial" w:cs="Arial" w:eastAsia="Arial" w:hAnsi="Arial"/>
          <w:sz w:val="18"/>
          <w:szCs w:val="18"/>
          <w:color w:val="auto"/>
        </w:rPr>
      </w:pPr>
    </w:p>
    <w:p>
      <w:pPr>
        <w:ind w:left="120" w:firstLine="436"/>
        <w:spacing w:after="0" w:line="268" w:lineRule="auto"/>
        <w:tabs>
          <w:tab w:leader="none" w:pos="77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31" w:lineRule="exact"/>
        <w:rPr>
          <w:rFonts w:ascii="Arial" w:cs="Arial" w:eastAsia="Arial" w:hAnsi="Arial"/>
          <w:sz w:val="18"/>
          <w:szCs w:val="18"/>
          <w:color w:val="auto"/>
        </w:rPr>
      </w:pPr>
    </w:p>
    <w:p>
      <w:pPr>
        <w:ind w:left="120" w:right="20" w:firstLine="436"/>
        <w:spacing w:after="0" w:line="259" w:lineRule="auto"/>
        <w:tabs>
          <w:tab w:leader="none" w:pos="809"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139" w:lineRule="exact"/>
        <w:rPr>
          <w:rFonts w:ascii="Arial" w:cs="Arial" w:eastAsia="Arial" w:hAnsi="Arial"/>
          <w:sz w:val="18"/>
          <w:szCs w:val="18"/>
          <w:color w:val="auto"/>
        </w:rPr>
      </w:pPr>
    </w:p>
    <w:p>
      <w:pPr>
        <w:ind w:left="760" w:hanging="204"/>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such Obligor’s statutory obligations in the ordinary course of our business;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firstLine="436"/>
        <w:spacing w:after="0" w:line="268" w:lineRule="auto"/>
        <w:tabs>
          <w:tab w:leader="none" w:pos="858"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131" w:lineRule="exact"/>
        <w:rPr>
          <w:rFonts w:ascii="Arial" w:cs="Arial" w:eastAsia="Arial" w:hAnsi="Arial"/>
          <w:sz w:val="18"/>
          <w:szCs w:val="18"/>
          <w:color w:val="auto"/>
        </w:rPr>
      </w:pPr>
    </w:p>
    <w:p>
      <w:pPr>
        <w:ind w:left="800" w:hanging="244"/>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171" w:lineRule="exact"/>
        <w:rPr>
          <w:rFonts w:ascii="Arial" w:cs="Arial" w:eastAsia="Arial" w:hAnsi="Arial"/>
          <w:sz w:val="18"/>
          <w:szCs w:val="18"/>
          <w:color w:val="auto"/>
        </w:rPr>
      </w:pPr>
    </w:p>
    <w:p>
      <w:pPr>
        <w:ind w:left="120" w:right="160" w:firstLine="436"/>
        <w:spacing w:after="0" w:line="268" w:lineRule="auto"/>
        <w:tabs>
          <w:tab w:leader="none" w:pos="809"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permitted under sale and lease-back transactions, and any renewals or extensions thereof, so long as the Indebtedness secured thereby does not exceed $300,000,000 in the aggregate;</w:t>
      </w:r>
    </w:p>
    <w:p>
      <w:pPr>
        <w:spacing w:after="0" w:line="131" w:lineRule="exact"/>
        <w:rPr>
          <w:rFonts w:ascii="Arial" w:cs="Arial" w:eastAsia="Arial" w:hAnsi="Arial"/>
          <w:sz w:val="18"/>
          <w:szCs w:val="18"/>
          <w:color w:val="auto"/>
        </w:rPr>
      </w:pPr>
    </w:p>
    <w:p>
      <w:pPr>
        <w:ind w:left="120" w:right="260" w:firstLine="436"/>
        <w:spacing w:after="0" w:line="268" w:lineRule="auto"/>
        <w:tabs>
          <w:tab w:leader="none" w:pos="809"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131" w:lineRule="exact"/>
        <w:rPr>
          <w:rFonts w:ascii="Arial" w:cs="Arial" w:eastAsia="Arial" w:hAnsi="Arial"/>
          <w:sz w:val="18"/>
          <w:szCs w:val="18"/>
          <w:color w:val="auto"/>
        </w:rPr>
      </w:pPr>
    </w:p>
    <w:p>
      <w:pPr>
        <w:ind w:left="120" w:right="200" w:firstLine="436"/>
        <w:spacing w:after="0" w:line="369" w:lineRule="auto"/>
        <w:tabs>
          <w:tab w:leader="none" w:pos="809" w:val="left"/>
        </w:tabs>
        <w:numPr>
          <w:ilvl w:val="0"/>
          <w:numId w:val="34"/>
        </w:numPr>
        <w:rPr>
          <w:rFonts w:ascii="Arial" w:cs="Arial" w:eastAsia="Arial" w:hAnsi="Arial"/>
          <w:sz w:val="15"/>
          <w:szCs w:val="15"/>
          <w:color w:val="auto"/>
        </w:rPr>
      </w:pPr>
      <w:r>
        <w:rPr>
          <w:rFonts w:ascii="Arial" w:cs="Arial" w:eastAsia="Arial" w:hAnsi="Arial"/>
          <w:sz w:val="15"/>
          <w:szCs w:val="15"/>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63" w:lineRule="exact"/>
        <w:rPr>
          <w:rFonts w:ascii="Arial" w:cs="Arial" w:eastAsia="Arial" w:hAnsi="Arial"/>
          <w:sz w:val="15"/>
          <w:szCs w:val="15"/>
          <w:color w:val="auto"/>
        </w:rPr>
      </w:pPr>
    </w:p>
    <w:p>
      <w:pPr>
        <w:ind w:left="120" w:right="220" w:firstLine="436"/>
        <w:spacing w:after="0" w:line="306" w:lineRule="auto"/>
        <w:tabs>
          <w:tab w:leader="none" w:pos="7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w:t>
      </w:r>
    </w:p>
    <w:p>
      <w:pPr>
        <w:spacing w:after="0" w:line="106" w:lineRule="exact"/>
        <w:rPr>
          <w:rFonts w:ascii="Arial" w:cs="Arial" w:eastAsia="Arial" w:hAnsi="Arial"/>
          <w:sz w:val="16"/>
          <w:szCs w:val="16"/>
          <w:color w:val="auto"/>
        </w:rPr>
      </w:pPr>
    </w:p>
    <w:p>
      <w:pPr>
        <w:ind w:left="780" w:hanging="224"/>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Take-or-pay obligations arising in the ordinary course of business.</w:t>
      </w:r>
    </w:p>
    <w:p>
      <w:pPr>
        <w:spacing w:after="0" w:line="171" w:lineRule="exact"/>
        <w:rPr>
          <w:sz w:val="20"/>
          <w:szCs w:val="20"/>
          <w:color w:val="auto"/>
        </w:rPr>
      </w:pPr>
    </w:p>
    <w:p>
      <w:pPr>
        <w:ind w:left="120" w:right="980" w:firstLine="440"/>
        <w:spacing w:after="0" w:line="331" w:lineRule="auto"/>
        <w:rPr>
          <w:sz w:val="20"/>
          <w:szCs w:val="20"/>
          <w:color w:val="auto"/>
        </w:rPr>
      </w:pPr>
      <w:r>
        <w:rPr>
          <w:rFonts w:ascii="Arial" w:cs="Arial" w:eastAsia="Arial" w:hAnsi="Arial"/>
          <w:sz w:val="16"/>
          <w:szCs w:val="16"/>
          <w:color w:val="auto"/>
        </w:rPr>
        <w:t>“Person”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87" w:lineRule="exact"/>
        <w:rPr>
          <w:sz w:val="20"/>
          <w:szCs w:val="20"/>
          <w:color w:val="auto"/>
        </w:rPr>
      </w:pPr>
    </w:p>
    <w:p>
      <w:pPr>
        <w:ind w:left="120" w:right="400" w:firstLine="440"/>
        <w:spacing w:after="0" w:line="268" w:lineRule="auto"/>
        <w:rPr>
          <w:sz w:val="20"/>
          <w:szCs w:val="20"/>
          <w:color w:val="auto"/>
        </w:rPr>
      </w:pPr>
      <w:r>
        <w:rPr>
          <w:rFonts w:ascii="Arial" w:cs="Arial" w:eastAsia="Arial" w:hAnsi="Arial"/>
          <w:sz w:val="18"/>
          <w:szCs w:val="18"/>
          <w:color w:val="auto"/>
        </w:rPr>
        <w:t>“Property” means with respect to any Person any property or asset, whether real, personal or mixed, or tangible or intangible, including shares of capital stock.</w:t>
      </w:r>
    </w:p>
    <w:p>
      <w:pPr>
        <w:spacing w:after="0" w:line="132" w:lineRule="exact"/>
        <w:rPr>
          <w:sz w:val="20"/>
          <w:szCs w:val="20"/>
          <w:color w:val="auto"/>
        </w:rPr>
      </w:pPr>
    </w:p>
    <w:p>
      <w:pPr>
        <w:ind w:left="120" w:right="340" w:firstLine="440"/>
        <w:spacing w:after="0" w:line="256" w:lineRule="auto"/>
        <w:rPr>
          <w:sz w:val="20"/>
          <w:szCs w:val="20"/>
          <w:color w:val="auto"/>
        </w:rPr>
      </w:pPr>
      <w:r>
        <w:rPr>
          <w:rFonts w:ascii="Arial" w:cs="Arial" w:eastAsia="Arial" w:hAnsi="Arial"/>
          <w:sz w:val="18"/>
          <w:szCs w:val="18"/>
          <w:color w:val="auto"/>
        </w:rPr>
        <w:t>“Subsidiary”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Guarantees</w:t>
      </w:r>
    </w:p>
    <w:p>
      <w:pPr>
        <w:spacing w:after="0" w:line="90" w:lineRule="exact"/>
        <w:rPr>
          <w:sz w:val="20"/>
          <w:szCs w:val="20"/>
          <w:color w:val="auto"/>
        </w:rPr>
      </w:pPr>
    </w:p>
    <w:p>
      <w:pPr>
        <w:ind w:left="120" w:right="120" w:firstLine="440"/>
        <w:spacing w:after="0" w:line="369" w:lineRule="auto"/>
        <w:rPr>
          <w:sz w:val="20"/>
          <w:szCs w:val="20"/>
          <w:color w:val="auto"/>
        </w:rPr>
      </w:pPr>
      <w:r>
        <w:rPr>
          <w:rFonts w:ascii="Arial" w:cs="Arial" w:eastAsia="Arial" w:hAnsi="Arial"/>
          <w:sz w:val="15"/>
          <w:szCs w:val="15"/>
          <w:color w:val="auto"/>
        </w:rPr>
        <w:t>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w:t>
      </w:r>
    </w:p>
    <w:p>
      <w:pPr>
        <w:spacing w:after="0" w:line="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1080" w:right="100" w:hanging="424"/>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9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and the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40"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40" w:lineRule="exact"/>
        <w:rPr>
          <w:sz w:val="20"/>
          <w:szCs w:val="20"/>
          <w:color w:val="auto"/>
        </w:rPr>
      </w:pPr>
    </w:p>
    <w:p>
      <w:pPr>
        <w:ind w:left="120" w:right="100" w:firstLine="440"/>
        <w:spacing w:after="0" w:line="256" w:lineRule="auto"/>
        <w:rPr>
          <w:sz w:val="20"/>
          <w:szCs w:val="20"/>
          <w:color w:val="auto"/>
        </w:rPr>
      </w:pPr>
      <w:r>
        <w:rPr>
          <w:rFonts w:ascii="Arial" w:cs="Arial" w:eastAsia="Arial" w:hAnsi="Arial"/>
          <w:sz w:val="18"/>
          <w:szCs w:val="18"/>
          <w:color w:val="auto"/>
        </w:rPr>
        <w:t>Limitation on Liens Securing Indebtedness. With respect to the senior debt securities of each series, each Obligor will covenant under the senior indenture 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p>
    <w:p>
      <w:pPr>
        <w:spacing w:after="0" w:line="62"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existing as of the date of initial issuance of the senior debt securities of such series;</w:t>
      </w:r>
    </w:p>
    <w:p>
      <w:pPr>
        <w:spacing w:after="0" w:line="90" w:lineRule="exact"/>
        <w:rPr>
          <w:rFonts w:ascii="Arial" w:cs="Arial" w:eastAsia="Arial" w:hAnsi="Arial"/>
          <w:sz w:val="18"/>
          <w:szCs w:val="18"/>
          <w:color w:val="auto"/>
        </w:rPr>
      </w:pPr>
    </w:p>
    <w:p>
      <w:pPr>
        <w:ind w:left="1080" w:hanging="424"/>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granted after the date of initial issuance of the senior debt securities of such series, created in favor of the registered holders of the senior debt securities of such series;</w:t>
      </w:r>
    </w:p>
    <w:p>
      <w:pPr>
        <w:spacing w:after="0" w:line="50" w:lineRule="exact"/>
        <w:rPr>
          <w:rFonts w:ascii="Arial" w:cs="Arial" w:eastAsia="Arial" w:hAnsi="Arial"/>
          <w:sz w:val="18"/>
          <w:szCs w:val="18"/>
          <w:color w:val="auto"/>
        </w:rPr>
      </w:pPr>
    </w:p>
    <w:p>
      <w:pPr>
        <w:ind w:left="1080" w:right="160" w:hanging="424"/>
        <w:spacing w:after="0" w:line="254"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6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71" w:lineRule="exact"/>
        <w:rPr>
          <w:sz w:val="20"/>
          <w:szCs w:val="20"/>
          <w:color w:val="auto"/>
        </w:rPr>
      </w:pPr>
    </w:p>
    <w:p>
      <w:pPr>
        <w:ind w:left="120" w:firstLine="440"/>
        <w:spacing w:after="0" w:line="312" w:lineRule="auto"/>
        <w:rPr>
          <w:sz w:val="20"/>
          <w:szCs w:val="20"/>
          <w:color w:val="auto"/>
        </w:rPr>
      </w:pPr>
      <w:r>
        <w:rPr>
          <w:rFonts w:ascii="Arial" w:cs="Arial" w:eastAsia="Arial" w:hAnsi="Arial"/>
          <w:sz w:val="15"/>
          <w:szCs w:val="15"/>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104"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Limitation on Sale and Lease-Back Transactions. With respect to the senior debt securities of each series, each Obligor will covenant under the senior indenture not to enter into any sale and lease-back transaction for the sale and leasing back of any Property, whether owned at the time the senior indenture is executed or acquired afterward, unless:</w:t>
      </w:r>
    </w:p>
    <w:p>
      <w:pPr>
        <w:spacing w:after="0" w:line="59"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transaction was entered into prior to the date of the initial issuance of the senior debt securities of such series;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such Obligor of any Property by one of its Subsidiaries;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080" w:right="140" w:hanging="424"/>
        <w:spacing w:after="0" w:line="306"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“—Limitation on Liens Securing Indebtedness” above; or</w:t>
      </w:r>
    </w:p>
    <w:p>
      <w:pPr>
        <w:spacing w:after="0" w:line="25" w:lineRule="exact"/>
        <w:rPr>
          <w:rFonts w:ascii="Arial" w:cs="Arial" w:eastAsia="Arial" w:hAnsi="Arial"/>
          <w:sz w:val="16"/>
          <w:szCs w:val="16"/>
          <w:color w:val="auto"/>
        </w:rPr>
      </w:pPr>
    </w:p>
    <w:p>
      <w:pPr>
        <w:ind w:left="1080" w:right="120" w:hanging="424"/>
        <w:spacing w:after="0" w:line="256"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43"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w:t>
      </w:r>
    </w:p>
    <w:p>
      <w:pPr>
        <w:spacing w:after="0" w:line="147" w:lineRule="exact"/>
        <w:rPr>
          <w:sz w:val="20"/>
          <w:szCs w:val="20"/>
          <w:color w:val="auto"/>
        </w:rPr>
      </w:pPr>
    </w:p>
    <w:p>
      <w:pPr>
        <w:ind w:left="120" w:right="400" w:firstLine="440"/>
        <w:spacing w:after="0" w:line="306" w:lineRule="auto"/>
        <w:rPr>
          <w:sz w:val="20"/>
          <w:szCs w:val="20"/>
          <w:color w:val="auto"/>
        </w:rPr>
      </w:pPr>
      <w:r>
        <w:rPr>
          <w:rFonts w:ascii="Arial" w:cs="Arial" w:eastAsia="Arial" w:hAnsi="Arial"/>
          <w:sz w:val="16"/>
          <w:szCs w:val="16"/>
          <w:i w:val="1"/>
          <w:iCs w:val="1"/>
          <w:color w:val="auto"/>
        </w:rPr>
        <w:t>Consolidation, Merger and Sale of Assets</w:t>
      </w:r>
      <w:r>
        <w:rPr>
          <w:rFonts w:ascii="Arial" w:cs="Arial" w:eastAsia="Arial" w:hAnsi="Arial"/>
          <w:sz w:val="16"/>
          <w:szCs w:val="16"/>
          <w:color w:val="auto"/>
        </w:rPr>
        <w:t>. We will not consolidate or combine with or merge with or into or, directly or indirectly, sell, assign,</w:t>
      </w:r>
      <w:r>
        <w:rPr>
          <w:rFonts w:ascii="Arial" w:cs="Arial" w:eastAsia="Arial" w:hAnsi="Arial"/>
          <w:sz w:val="16"/>
          <w:szCs w:val="16"/>
          <w:i w:val="1"/>
          <w:iCs w:val="1"/>
          <w:color w:val="auto"/>
        </w:rPr>
        <w:t xml:space="preserve"> </w:t>
      </w:r>
      <w:r>
        <w:rPr>
          <w:rFonts w:ascii="Arial" w:cs="Arial" w:eastAsia="Arial" w:hAnsi="Arial"/>
          <w:sz w:val="16"/>
          <w:szCs w:val="16"/>
          <w:color w:val="auto"/>
        </w:rPr>
        <w:t>convey, 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25" w:lineRule="exact"/>
        <w:rPr>
          <w:sz w:val="20"/>
          <w:szCs w:val="20"/>
          <w:color w:val="auto"/>
        </w:rPr>
      </w:pPr>
    </w:p>
    <w:p>
      <w:pPr>
        <w:ind w:left="1080" w:right="100" w:hanging="424"/>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58" w:lineRule="exact"/>
        <w:rPr>
          <w:rFonts w:ascii="Arial" w:cs="Arial" w:eastAsia="Arial" w:hAnsi="Arial"/>
          <w:sz w:val="18"/>
          <w:szCs w:val="18"/>
          <w:color w:val="auto"/>
        </w:rPr>
      </w:pPr>
    </w:p>
    <w:p>
      <w:pPr>
        <w:ind w:left="1080" w:right="760" w:hanging="424"/>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50" w:lineRule="exact"/>
        <w:rPr>
          <w:rFonts w:ascii="Arial" w:cs="Arial" w:eastAsia="Arial" w:hAnsi="Arial"/>
          <w:sz w:val="18"/>
          <w:szCs w:val="18"/>
          <w:color w:val="auto"/>
        </w:rPr>
      </w:pPr>
    </w:p>
    <w:p>
      <w:pPr>
        <w:ind w:left="1080" w:right="280" w:hanging="424"/>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or series of transactions on a pro forma basis, no default has occurred and is continuing; and</w:t>
      </w:r>
    </w:p>
    <w:p>
      <w:pPr>
        <w:spacing w:after="0" w:line="50" w:lineRule="exact"/>
        <w:rPr>
          <w:rFonts w:ascii="Arial" w:cs="Arial" w:eastAsia="Arial" w:hAnsi="Arial"/>
          <w:sz w:val="18"/>
          <w:szCs w:val="18"/>
          <w:color w:val="auto"/>
        </w:rPr>
      </w:pPr>
    </w:p>
    <w:p>
      <w:pPr>
        <w:jc w:val="both"/>
        <w:ind w:left="1080" w:right="120" w:hanging="424"/>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restrictions in the third bullet above shall not be applicable to:</w:t>
      </w:r>
    </w:p>
    <w:p>
      <w:pPr>
        <w:spacing w:after="0" w:line="90" w:lineRule="exact"/>
        <w:rPr>
          <w:sz w:val="20"/>
          <w:szCs w:val="20"/>
          <w:color w:val="auto"/>
        </w:rPr>
      </w:pPr>
    </w:p>
    <w:p>
      <w:pPr>
        <w:ind w:left="1080" w:right="340" w:hanging="424"/>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4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person will succeed to, and be substituted for, and may exercise every right and power of ours under the indenture with the same effect</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420"/>
        <w:spacing w:after="0" w:line="331" w:lineRule="auto"/>
        <w:rPr>
          <w:sz w:val="20"/>
          <w:szCs w:val="20"/>
          <w:color w:val="auto"/>
        </w:rPr>
      </w:pPr>
      <w:r>
        <w:rPr>
          <w:rFonts w:ascii="Arial" w:cs="Arial" w:eastAsia="Arial" w:hAnsi="Arial"/>
          <w:sz w:val="16"/>
          <w:szCs w:val="16"/>
          <w:color w:val="auto"/>
        </w:rPr>
        <w:t>as if such successor person had been named in our place in the indenture. We will (except in the case of a lease) be discharged from all obligations and covenants under the indenture and any debt securities issued thereunder (including the senior debt securities).</w:t>
      </w:r>
    </w:p>
    <w:p>
      <w:pPr>
        <w:spacing w:after="0" w:line="87" w:lineRule="exact"/>
        <w:rPr>
          <w:sz w:val="20"/>
          <w:szCs w:val="20"/>
          <w:color w:val="auto"/>
        </w:rPr>
      </w:pPr>
    </w:p>
    <w:p>
      <w:pPr>
        <w:ind w:left="120" w:right="80" w:firstLine="440"/>
        <w:spacing w:after="0" w:line="306" w:lineRule="auto"/>
        <w:rPr>
          <w:sz w:val="20"/>
          <w:szCs w:val="20"/>
          <w:color w:val="auto"/>
        </w:rPr>
      </w:pPr>
      <w:r>
        <w:rPr>
          <w:rFonts w:ascii="Arial" w:cs="Arial" w:eastAsia="Arial" w:hAnsi="Arial"/>
          <w:sz w:val="16"/>
          <w:szCs w:val="16"/>
          <w:i w:val="1"/>
          <w:iCs w:val="1"/>
          <w:color w:val="auto"/>
        </w:rPr>
        <w:t>Existence</w:t>
      </w:r>
      <w:r>
        <w:rPr>
          <w:rFonts w:ascii="Arial" w:cs="Arial" w:eastAsia="Arial" w:hAnsi="Arial"/>
          <w:sz w:val="16"/>
          <w:szCs w:val="16"/>
          <w:color w:val="auto"/>
        </w:rPr>
        <w:t>. Except as permitted under “—Consolidation, Merger and Sale of Assets,” the indenture requires us to do or cause to be done all things</w:t>
      </w:r>
      <w:r>
        <w:rPr>
          <w:rFonts w:ascii="Arial" w:cs="Arial" w:eastAsia="Arial" w:hAnsi="Arial"/>
          <w:sz w:val="16"/>
          <w:szCs w:val="16"/>
          <w:i w:val="1"/>
          <w:iCs w:val="1"/>
          <w:color w:val="auto"/>
        </w:rPr>
        <w:t xml:space="preserve"> </w:t>
      </w:r>
      <w:r>
        <w:rPr>
          <w:rFonts w:ascii="Arial" w:cs="Arial" w:eastAsia="Arial" w:hAnsi="Arial"/>
          <w:sz w:val="16"/>
          <w:szCs w:val="16"/>
          <w:color w:val="auto"/>
        </w:rPr>
        <w:t>necessary 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106"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i w:val="1"/>
          <w:iCs w:val="1"/>
          <w:color w:val="auto"/>
        </w:rPr>
        <w:t>Information</w:t>
      </w:r>
      <w:r>
        <w:rPr>
          <w:rFonts w:ascii="Arial" w:cs="Arial" w:eastAsia="Arial" w:hAnsi="Arial"/>
          <w:sz w:val="16"/>
          <w:szCs w:val="16"/>
          <w:color w:val="auto"/>
        </w:rPr>
        <w:t>. We will furnish to the trustee any document or report we are required to file with the SEC pursuant to Section 13 or Section 15(d)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of the following will constitute an event of default in the senior indenture with respect to the senior debt securities of any series: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default in paying interest on the senior debt securities of such series when it becomes due and the default continues for a period of 30 days or</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more;</w:t>
      </w:r>
    </w:p>
    <w:p>
      <w:pPr>
        <w:spacing w:after="0" w:line="165" w:lineRule="exact"/>
        <w:rPr>
          <w:sz w:val="20"/>
          <w:szCs w:val="20"/>
          <w:color w:val="auto"/>
        </w:rPr>
      </w:pPr>
    </w:p>
    <w:p>
      <w:pPr>
        <w:ind w:left="800" w:hanging="244"/>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default in paying principal on the senior debt securities of such series when due;</w:t>
      </w:r>
    </w:p>
    <w:p>
      <w:pPr>
        <w:spacing w:after="0" w:line="171" w:lineRule="exact"/>
        <w:rPr>
          <w:rFonts w:ascii="Arial" w:cs="Arial" w:eastAsia="Arial" w:hAnsi="Arial"/>
          <w:sz w:val="18"/>
          <w:szCs w:val="18"/>
          <w:color w:val="auto"/>
        </w:rPr>
      </w:pPr>
    </w:p>
    <w:p>
      <w:pPr>
        <w:jc w:val="both"/>
        <w:ind w:left="120" w:right="260" w:firstLine="436"/>
        <w:spacing w:after="0" w:line="298" w:lineRule="auto"/>
        <w:tabs>
          <w:tab w:leader="none" w:pos="799"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w:t>
      </w:r>
    </w:p>
    <w:p>
      <w:pPr>
        <w:spacing w:after="0" w:line="112" w:lineRule="exact"/>
        <w:rPr>
          <w:rFonts w:ascii="Arial" w:cs="Arial" w:eastAsia="Arial" w:hAnsi="Arial"/>
          <w:sz w:val="16"/>
          <w:szCs w:val="16"/>
          <w:color w:val="auto"/>
        </w:rPr>
      </w:pPr>
    </w:p>
    <w:p>
      <w:pPr>
        <w:ind w:left="800" w:hanging="244"/>
        <w:spacing w:after="0"/>
        <w:tabs>
          <w:tab w:leader="none" w:pos="8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certain events of bankruptcy, insolvency, reorganization, administration or similar proceedings with respect to us or any Obligor have occurred; or</w:t>
      </w:r>
    </w:p>
    <w:p>
      <w:pPr>
        <w:spacing w:after="0" w:line="194" w:lineRule="exact"/>
        <w:rPr>
          <w:rFonts w:ascii="Arial" w:cs="Arial" w:eastAsia="Arial" w:hAnsi="Arial"/>
          <w:sz w:val="16"/>
          <w:szCs w:val="16"/>
          <w:color w:val="auto"/>
        </w:rPr>
      </w:pPr>
    </w:p>
    <w:p>
      <w:pPr>
        <w:ind w:left="800" w:hanging="244"/>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Guarantee shall not be (or shall be claimed by the relevant Guarantor not to be) in full force and effect.</w:t>
      </w:r>
    </w:p>
    <w:p>
      <w:pPr>
        <w:spacing w:after="0" w:line="171" w:lineRule="exact"/>
        <w:rPr>
          <w:sz w:val="20"/>
          <w:szCs w:val="20"/>
          <w:color w:val="auto"/>
        </w:rPr>
      </w:pPr>
    </w:p>
    <w:p>
      <w:pPr>
        <w:ind w:left="120" w:firstLine="440"/>
        <w:spacing w:after="0" w:line="298" w:lineRule="auto"/>
        <w:rPr>
          <w:sz w:val="20"/>
          <w:szCs w:val="20"/>
          <w:color w:val="auto"/>
        </w:rPr>
      </w:pPr>
      <w:r>
        <w:rPr>
          <w:rFonts w:ascii="Arial" w:cs="Arial" w:eastAsia="Arial" w:hAnsi="Arial"/>
          <w:sz w:val="16"/>
          <w:szCs w:val="16"/>
          <w:color w:val="auto"/>
        </w:rPr>
        <w:t>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w:t>
      </w:r>
    </w:p>
    <w:p>
      <w:pPr>
        <w:spacing w:after="0" w:line="112" w:lineRule="exact"/>
        <w:rPr>
          <w:sz w:val="20"/>
          <w:szCs w:val="20"/>
          <w:color w:val="auto"/>
        </w:rPr>
      </w:pPr>
    </w:p>
    <w:p>
      <w:pPr>
        <w:jc w:val="both"/>
        <w:ind w:left="120" w:right="180" w:firstLine="440"/>
        <w:spacing w:after="0" w:line="369" w:lineRule="auto"/>
        <w:rPr>
          <w:sz w:val="20"/>
          <w:szCs w:val="20"/>
          <w:color w:val="auto"/>
        </w:rPr>
      </w:pPr>
      <w:r>
        <w:rPr>
          <w:rFonts w:ascii="Arial" w:cs="Arial" w:eastAsia="Arial" w:hAnsi="Arial"/>
          <w:sz w:val="15"/>
          <w:szCs w:val="15"/>
          <w:color w:val="auto"/>
        </w:rPr>
        <w:t>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64" w:lineRule="exact"/>
        <w:rPr>
          <w:sz w:val="20"/>
          <w:szCs w:val="20"/>
          <w:color w:val="auto"/>
        </w:rPr>
      </w:pPr>
    </w:p>
    <w:p>
      <w:pPr>
        <w:ind w:left="120" w:firstLine="440"/>
        <w:spacing w:after="0" w:line="268" w:lineRule="auto"/>
        <w:rPr>
          <w:sz w:val="20"/>
          <w:szCs w:val="20"/>
          <w:color w:val="auto"/>
        </w:rPr>
      </w:pPr>
      <w:r>
        <w:rPr>
          <w:rFonts w:ascii="Arial" w:cs="Arial" w:eastAsia="Arial" w:hAnsi="Arial"/>
          <w:sz w:val="18"/>
          <w:szCs w:val="18"/>
          <w:color w:val="auto"/>
        </w:rPr>
        <w:t>After a declaration of acceleration or any automatic acceleration under clause (d) described above, the holders of a majority in principal amount of the outstanding senior debt securities of any series (each such series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40"/>
        <w:spacing w:after="0" w:line="294" w:lineRule="auto"/>
        <w:rPr>
          <w:sz w:val="20"/>
          <w:szCs w:val="20"/>
          <w:color w:val="auto"/>
        </w:rPr>
      </w:pPr>
      <w:r>
        <w:rPr>
          <w:rFonts w:ascii="Arial" w:cs="Arial" w:eastAsia="Arial" w:hAnsi="Arial"/>
          <w:sz w:val="16"/>
          <w:szCs w:val="16"/>
          <w:color w:val="auto"/>
        </w:rPr>
        <w:t>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w:t>
      </w:r>
    </w:p>
    <w:p>
      <w:pPr>
        <w:spacing w:after="0" w:line="115" w:lineRule="exact"/>
        <w:rPr>
          <w:sz w:val="20"/>
          <w:szCs w:val="20"/>
          <w:color w:val="auto"/>
        </w:rPr>
      </w:pPr>
    </w:p>
    <w:p>
      <w:pPr>
        <w:ind w:left="120" w:right="440" w:firstLine="440"/>
        <w:spacing w:after="0" w:line="298" w:lineRule="auto"/>
        <w:rPr>
          <w:sz w:val="20"/>
          <w:szCs w:val="20"/>
          <w:color w:val="auto"/>
        </w:rPr>
      </w:pPr>
      <w:r>
        <w:rPr>
          <w:rFonts w:ascii="Arial" w:cs="Arial" w:eastAsia="Arial" w:hAnsi="Arial"/>
          <w:sz w:val="16"/>
          <w:szCs w:val="16"/>
          <w:color w:val="auto"/>
        </w:rPr>
        <w:t>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1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18"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w:t>
      </w:r>
    </w:p>
    <w:p>
      <w:pPr>
        <w:spacing w:after="0" w:line="124" w:lineRule="exact"/>
        <w:rPr>
          <w:sz w:val="20"/>
          <w:szCs w:val="20"/>
          <w:color w:val="auto"/>
        </w:rPr>
      </w:pPr>
    </w:p>
    <w:p>
      <w:pPr>
        <w:jc w:val="both"/>
        <w:ind w:left="120" w:right="40" w:firstLine="440"/>
        <w:spacing w:after="0" w:line="306" w:lineRule="auto"/>
        <w:rPr>
          <w:sz w:val="20"/>
          <w:szCs w:val="20"/>
          <w:color w:val="auto"/>
        </w:rPr>
      </w:pPr>
      <w:r>
        <w:rPr>
          <w:rFonts w:ascii="Arial" w:cs="Arial" w:eastAsia="Arial" w:hAnsi="Arial"/>
          <w:sz w:val="16"/>
          <w:szCs w:val="16"/>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06"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8"/>
          <w:szCs w:val="18"/>
          <w:color w:val="auto"/>
        </w:rPr>
        <w:t>We are required to furnish to the trustee an annual statement as to compliance with all conditions and covenants under the senior indenture within 120 days of the end of each fiscal year.</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8"/>
          <w:szCs w:val="18"/>
          <w:color w:val="auto"/>
        </w:rPr>
        <w:t>We may terminate our obligations and the obligations of the Guarantors under the indenture with respect to the senior debt securities of any series and the Guarantees of such series of senior debt securities, when:</w:t>
      </w:r>
    </w:p>
    <w:p>
      <w:pPr>
        <w:spacing w:after="0" w:line="51"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080" w:right="540" w:hanging="424"/>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the senior debt securities of such series that have been authenticated and delivered have been canceled or delivered to the trustee for cancellation; or</w:t>
      </w:r>
    </w:p>
    <w:p>
      <w:pPr>
        <w:spacing w:after="0" w:line="50" w:lineRule="exact"/>
        <w:rPr>
          <w:rFonts w:ascii="Arial" w:cs="Arial" w:eastAsia="Arial" w:hAnsi="Arial"/>
          <w:sz w:val="18"/>
          <w:szCs w:val="18"/>
          <w:color w:val="auto"/>
        </w:rPr>
      </w:pPr>
    </w:p>
    <w:p>
      <w:pPr>
        <w:ind w:left="1080" w:right="60" w:hanging="424"/>
        <w:spacing w:after="0" w:line="294"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34" w:lineRule="exact"/>
        <w:rPr>
          <w:rFonts w:ascii="Arial" w:cs="Arial" w:eastAsia="Arial" w:hAnsi="Arial"/>
          <w:sz w:val="16"/>
          <w:szCs w:val="16"/>
          <w:color w:val="auto"/>
        </w:rPr>
      </w:pPr>
    </w:p>
    <w:p>
      <w:pPr>
        <w:ind w:left="1080" w:right="280" w:hanging="424"/>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the indenture with respect to the senior debt securities of such series; and</w:t>
      </w:r>
    </w:p>
    <w:p>
      <w:pPr>
        <w:spacing w:after="0" w:line="50" w:lineRule="exact"/>
        <w:rPr>
          <w:rFonts w:ascii="Arial" w:cs="Arial" w:eastAsia="Arial" w:hAnsi="Arial"/>
          <w:sz w:val="18"/>
          <w:szCs w:val="18"/>
          <w:color w:val="auto"/>
        </w:rPr>
      </w:pPr>
    </w:p>
    <w:p>
      <w:pPr>
        <w:ind w:left="1080" w:hanging="424"/>
        <w:spacing w:after="0" w:line="369" w:lineRule="auto"/>
        <w:tabs>
          <w:tab w:leader="none" w:pos="10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64" w:lineRule="exact"/>
        <w:rPr>
          <w:sz w:val="20"/>
          <w:szCs w:val="20"/>
          <w:color w:val="auto"/>
        </w:rPr>
      </w:pPr>
    </w:p>
    <w:p>
      <w:pPr>
        <w:jc w:val="both"/>
        <w:ind w:left="120" w:right="60" w:firstLine="440"/>
        <w:spacing w:after="0" w:line="306" w:lineRule="auto"/>
        <w:rPr>
          <w:sz w:val="20"/>
          <w:szCs w:val="20"/>
          <w:color w:val="auto"/>
        </w:rPr>
      </w:pPr>
      <w:r>
        <w:rPr>
          <w:rFonts w:ascii="Arial" w:cs="Arial" w:eastAsia="Arial" w:hAnsi="Arial"/>
          <w:sz w:val="16"/>
          <w:szCs w:val="16"/>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25"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rights of holders of the senior debt securities of such series to receive principal or interest when due;</w:t>
      </w:r>
    </w:p>
    <w:p>
      <w:pPr>
        <w:spacing w:after="0" w:line="90" w:lineRule="exact"/>
        <w:rPr>
          <w:rFonts w:ascii="Arial" w:cs="Arial" w:eastAsia="Arial" w:hAnsi="Arial"/>
          <w:sz w:val="18"/>
          <w:szCs w:val="18"/>
          <w:color w:val="auto"/>
        </w:rPr>
      </w:pPr>
    </w:p>
    <w:p>
      <w:pPr>
        <w:ind w:left="1080" w:right="380" w:hanging="424"/>
        <w:spacing w:after="0" w:line="306"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25" w:lineRule="exact"/>
        <w:rPr>
          <w:rFonts w:ascii="Arial" w:cs="Arial" w:eastAsia="Arial" w:hAnsi="Arial"/>
          <w:sz w:val="16"/>
          <w:szCs w:val="16"/>
          <w:color w:val="auto"/>
        </w:rPr>
      </w:pPr>
    </w:p>
    <w:p>
      <w:pPr>
        <w:ind w:left="1080" w:right="100" w:hanging="424"/>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provisions relating to the resignation and removal of the trustee and the appointment of a successor trustee; and</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In addition, we may elect to have our and the Guarantors’ obligations released with respect to certain covenants in the indenture (“covenant defeasance”). In the event covenant defeasance occurs, certain events, not including nonpayment, bankruptcy and insolvency events, described under “— Events of Default” will no longer constitute an event of default for that series.</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order to exercise either legal defeasance or covenant defeasance with respect to outstanding senior debt securities and Guarantees of any series:</w:t>
      </w:r>
    </w:p>
    <w:p>
      <w:pPr>
        <w:spacing w:after="0" w:line="113" w:lineRule="exact"/>
        <w:rPr>
          <w:sz w:val="20"/>
          <w:szCs w:val="20"/>
          <w:color w:val="auto"/>
        </w:rPr>
      </w:pPr>
    </w:p>
    <w:p>
      <w:pPr>
        <w:ind w:left="1080" w:right="240" w:hanging="424"/>
        <w:spacing w:after="0" w:line="356" w:lineRule="auto"/>
        <w:tabs>
          <w:tab w:leader="none" w:pos="10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1" w:lineRule="exact"/>
        <w:rPr>
          <w:rFonts w:ascii="Arial" w:cs="Arial" w:eastAsia="Arial" w:hAnsi="Arial"/>
          <w:sz w:val="15"/>
          <w:szCs w:val="15"/>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cash;</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U.S. Government Obligations (measured with respect to the scheduled payments of principal and interest thereon); or</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combination of cash and U.S. Government Obligations;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left="1100" w:right="80"/>
        <w:spacing w:after="0" w:line="256" w:lineRule="auto"/>
        <w:rPr>
          <w:sz w:val="20"/>
          <w:szCs w:val="20"/>
          <w:color w:val="auto"/>
        </w:rPr>
      </w:pPr>
      <w:r>
        <w:rPr>
          <w:rFonts w:ascii="Arial" w:cs="Arial" w:eastAsia="Arial" w:hAnsi="Arial"/>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62" w:lineRule="exact"/>
        <w:rPr>
          <w:sz w:val="20"/>
          <w:szCs w:val="20"/>
          <w:color w:val="auto"/>
        </w:rPr>
      </w:pPr>
    </w:p>
    <w:p>
      <w:pPr>
        <w:ind w:left="1080" w:right="100" w:hanging="424"/>
        <w:spacing w:after="0" w:line="298"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 the case of legal defeasance, we have delivered to the trustee an opinion of counsel stating that, as a result of an Internal Revenue Service (“IRS”) ruling or a change in applicable federal income tax law, the beneficial owners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31" w:lineRule="exact"/>
        <w:rPr>
          <w:rFonts w:ascii="Arial" w:cs="Arial" w:eastAsia="Arial" w:hAnsi="Arial"/>
          <w:sz w:val="16"/>
          <w:szCs w:val="16"/>
          <w:color w:val="auto"/>
        </w:rPr>
      </w:pPr>
    </w:p>
    <w:p>
      <w:pPr>
        <w:ind w:left="1080" w:right="100" w:hanging="424"/>
        <w:spacing w:after="0" w:line="256"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case of covenant defeasance, we have delivered to the trustee an opinion of counsel to the effect that the beneficial owners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61" w:lineRule="exact"/>
        <w:rPr>
          <w:rFonts w:ascii="Arial" w:cs="Arial" w:eastAsia="Arial" w:hAnsi="Arial"/>
          <w:sz w:val="18"/>
          <w:szCs w:val="18"/>
          <w:color w:val="auto"/>
        </w:rPr>
      </w:pPr>
    </w:p>
    <w:p>
      <w:pPr>
        <w:ind w:left="1080" w:right="40" w:hanging="424"/>
        <w:spacing w:after="0" w:line="254"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65" w:lineRule="exact"/>
        <w:rPr>
          <w:rFonts w:ascii="Arial" w:cs="Arial" w:eastAsia="Arial" w:hAnsi="Arial"/>
          <w:sz w:val="18"/>
          <w:szCs w:val="18"/>
          <w:color w:val="auto"/>
        </w:rPr>
      </w:pPr>
    </w:p>
    <w:p>
      <w:pPr>
        <w:ind w:left="1080" w:right="160" w:hanging="424"/>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50"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Guarantors or any other material agreement or instrument to which we are a party;</w:t>
      </w:r>
    </w:p>
    <w:p>
      <w:pPr>
        <w:spacing w:after="0" w:line="58" w:lineRule="exact"/>
        <w:rPr>
          <w:rFonts w:ascii="Arial" w:cs="Arial" w:eastAsia="Arial" w:hAnsi="Arial"/>
          <w:sz w:val="18"/>
          <w:szCs w:val="18"/>
          <w:color w:val="auto"/>
        </w:rPr>
      </w:pPr>
    </w:p>
    <w:p>
      <w:pPr>
        <w:jc w:val="both"/>
        <w:ind w:left="1080" w:right="240" w:hanging="424"/>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spacing w:after="0" w:line="58" w:lineRule="exact"/>
        <w:rPr>
          <w:rFonts w:ascii="Arial" w:cs="Arial" w:eastAsia="Arial" w:hAnsi="Arial"/>
          <w:sz w:val="18"/>
          <w:szCs w:val="18"/>
          <w:color w:val="auto"/>
        </w:rPr>
      </w:pPr>
    </w:p>
    <w:p>
      <w:pPr>
        <w:ind w:left="1080" w:hanging="424"/>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left="120" w:right="540" w:firstLine="440"/>
        <w:spacing w:after="0" w:line="268" w:lineRule="auto"/>
        <w:rPr>
          <w:sz w:val="20"/>
          <w:szCs w:val="20"/>
          <w:color w:val="auto"/>
        </w:rPr>
      </w:pPr>
      <w:r>
        <w:rPr>
          <w:rFonts w:ascii="Arial" w:cs="Arial" w:eastAsia="Arial" w:hAnsi="Arial"/>
          <w:sz w:val="18"/>
          <w:szCs w:val="18"/>
          <w:color w:val="auto"/>
        </w:rPr>
        <w:t>We, the Guarantors and the trustee may amend or modify the senior indenture or the senior debt securities of any series without notice to or the consent of any holder in order to:</w:t>
      </w:r>
    </w:p>
    <w:p>
      <w:pPr>
        <w:spacing w:after="0" w:line="51" w:lineRule="exact"/>
        <w:rPr>
          <w:sz w:val="20"/>
          <w:szCs w:val="20"/>
          <w:color w:val="auto"/>
        </w:rPr>
      </w:pPr>
    </w:p>
    <w:p>
      <w:pPr>
        <w:ind w:left="1080" w:right="260" w:hanging="424"/>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cure any ambiguities, omissions, defects or inconsistencies in the senior indenture in a manner that does not adversely affect the interests of the holders in any material respect;</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senior debt securities;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senior debt securities;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secure the senior debt securities of any series;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establish the form or terms of senior debt securities of any series;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for uncertificated senior debt securities in addition to or in place of certificated senior debt securities;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90" w:lineRule="exact"/>
        <w:rPr>
          <w:rFonts w:ascii="Arial" w:cs="Arial" w:eastAsia="Arial" w:hAnsi="Arial"/>
          <w:sz w:val="18"/>
          <w:szCs w:val="18"/>
          <w:color w:val="auto"/>
        </w:rPr>
      </w:pPr>
    </w:p>
    <w:p>
      <w:pPr>
        <w:ind w:left="1080" w:right="780" w:hanging="424"/>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qualify the indenture under the Trust Indenture Act;</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conform any provision in the indenture to this “Description of Debt Securities and Guarantees”; or</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17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37" w:lineRule="exact"/>
        <w:rPr>
          <w:sz w:val="20"/>
          <w:szCs w:val="20"/>
          <w:color w:val="auto"/>
        </w:rPr>
      </w:pPr>
    </w:p>
    <w:p>
      <w:pPr>
        <w:ind w:left="1080" w:right="720" w:hanging="424"/>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 the principal amount, or extend the fixed maturity, of the senior debt securities of such series or alter or waive the redemption provisions of the senior debt securities of such series;</w:t>
      </w:r>
    </w:p>
    <w:p>
      <w:pPr>
        <w:spacing w:after="0" w:line="50" w:lineRule="exact"/>
        <w:rPr>
          <w:rFonts w:ascii="Arial" w:cs="Arial" w:eastAsia="Arial" w:hAnsi="Arial"/>
          <w:sz w:val="18"/>
          <w:szCs w:val="18"/>
          <w:color w:val="auto"/>
        </w:rPr>
      </w:pPr>
    </w:p>
    <w:p>
      <w:pPr>
        <w:ind w:left="1080" w:hanging="424"/>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 the currency in which principal, any premium or interest is paid;</w:t>
      </w:r>
    </w:p>
    <w:p>
      <w:pPr>
        <w:spacing w:after="0" w:line="90" w:lineRule="exact"/>
        <w:rPr>
          <w:rFonts w:ascii="Arial" w:cs="Arial" w:eastAsia="Arial" w:hAnsi="Arial"/>
          <w:sz w:val="18"/>
          <w:szCs w:val="18"/>
          <w:color w:val="auto"/>
        </w:rPr>
      </w:pPr>
    </w:p>
    <w:p>
      <w:pPr>
        <w:ind w:left="1080" w:right="780" w:hanging="424"/>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 the percentage in principal amount outstanding of senior debt securities of such series which must consent to an amendment, supplement or waiver or consent to take any action;</w:t>
      </w:r>
    </w:p>
    <w:p>
      <w:pPr>
        <w:spacing w:after="0" w:line="5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senior debt securities of such series;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waive a payment default with respect to the senior debt securities of such series;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senior debt securities of such series; or</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adversely affect the ranking of the senior debt securities of such series.</w:t>
      </w:r>
    </w:p>
    <w:p>
      <w:pPr>
        <w:spacing w:after="0" w:line="171" w:lineRule="exact"/>
        <w:rPr>
          <w:sz w:val="20"/>
          <w:szCs w:val="20"/>
          <w:color w:val="auto"/>
        </w:rPr>
      </w:pPr>
    </w:p>
    <w:p>
      <w:pPr>
        <w:ind w:left="120" w:right="20" w:firstLine="440"/>
        <w:spacing w:after="0" w:line="256" w:lineRule="auto"/>
        <w:rPr>
          <w:sz w:val="20"/>
          <w:szCs w:val="20"/>
          <w:color w:val="auto"/>
        </w:rPr>
      </w:pPr>
      <w:r>
        <w:rPr>
          <w:rFonts w:ascii="Arial" w:cs="Arial" w:eastAsia="Arial" w:hAnsi="Arial"/>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120"/>
        <w:spacing w:after="0" w:line="298" w:lineRule="auto"/>
        <w:rPr>
          <w:sz w:val="20"/>
          <w:szCs w:val="20"/>
          <w:color w:val="auto"/>
        </w:rPr>
      </w:pPr>
      <w:r>
        <w:rPr>
          <w:rFonts w:ascii="Arial" w:cs="Arial" w:eastAsia="Arial" w:hAnsi="Arial"/>
          <w:sz w:val="16"/>
          <w:szCs w:val="16"/>
          <w:color w:val="auto"/>
        </w:rPr>
        <w:t>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left="120" w:right="80" w:firstLine="440"/>
        <w:spacing w:after="0" w:line="294" w:lineRule="auto"/>
        <w:rPr>
          <w:sz w:val="20"/>
          <w:szCs w:val="20"/>
          <w:color w:val="auto"/>
        </w:rPr>
      </w:pPr>
      <w:r>
        <w:rPr>
          <w:rFonts w:ascii="Arial" w:cs="Arial" w:eastAsia="Arial" w:hAnsi="Arial"/>
          <w:sz w:val="16"/>
          <w:szCs w:val="16"/>
          <w:color w:val="auto"/>
        </w:rPr>
        <w:t>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 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120" w:firstLine="440"/>
        <w:spacing w:after="0" w:line="268" w:lineRule="auto"/>
        <w:rPr>
          <w:sz w:val="20"/>
          <w:szCs w:val="20"/>
          <w:color w:val="auto"/>
        </w:rPr>
      </w:pPr>
      <w:r>
        <w:rPr>
          <w:rFonts w:ascii="Arial" w:cs="Arial" w:eastAsia="Arial" w:hAnsi="Arial"/>
          <w:sz w:val="18"/>
          <w:szCs w:val="18"/>
          <w:color w:val="auto"/>
        </w:rPr>
        <w:t>The senior indenture, including any Guarantee, and each senior debt security is governed by and construed in accordance with the laws of the State of New York.</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Debt Securities</w:t>
      </w:r>
    </w:p>
    <w:p>
      <w:pPr>
        <w:spacing w:after="0" w:line="96" w:lineRule="exact"/>
        <w:rPr>
          <w:sz w:val="20"/>
          <w:szCs w:val="20"/>
          <w:color w:val="auto"/>
        </w:rPr>
      </w:pPr>
    </w:p>
    <w:p>
      <w:pPr>
        <w:ind w:left="120" w:right="20" w:firstLine="440"/>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9"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left="120" w:right="360" w:firstLine="440"/>
        <w:spacing w:after="0" w:line="369" w:lineRule="auto"/>
        <w:rPr>
          <w:sz w:val="20"/>
          <w:szCs w:val="20"/>
          <w:color w:val="auto"/>
        </w:rPr>
      </w:pPr>
      <w:r>
        <w:rPr>
          <w:rFonts w:ascii="Arial" w:cs="Arial" w:eastAsia="Arial" w:hAnsi="Arial"/>
          <w:sz w:val="15"/>
          <w:szCs w:val="15"/>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64"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19" w:lineRule="exact"/>
        <w:rPr>
          <w:sz w:val="20"/>
          <w:szCs w:val="20"/>
          <w:color w:val="auto"/>
        </w:rPr>
      </w:pPr>
    </w:p>
    <w:p>
      <w:pPr>
        <w:ind w:left="120" w:firstLine="440"/>
        <w:spacing w:after="0" w:line="306" w:lineRule="auto"/>
        <w:rPr>
          <w:sz w:val="20"/>
          <w:szCs w:val="20"/>
          <w:color w:val="auto"/>
        </w:rPr>
      </w:pPr>
      <w:r>
        <w:rPr>
          <w:rFonts w:ascii="Arial" w:cs="Arial" w:eastAsia="Arial" w:hAnsi="Arial"/>
          <w:sz w:val="15"/>
          <w:szCs w:val="15"/>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15" w:lineRule="exact"/>
        <w:rPr>
          <w:sz w:val="20"/>
          <w:szCs w:val="20"/>
          <w:color w:val="auto"/>
        </w:rPr>
      </w:pPr>
    </w:p>
    <w:p>
      <w:pPr>
        <w:jc w:val="both"/>
        <w:ind w:left="120" w:right="60" w:firstLine="440"/>
        <w:spacing w:after="0" w:line="30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40"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jc w:val="both"/>
        <w:ind w:left="120" w:right="140" w:firstLine="440"/>
        <w:spacing w:after="0" w:line="306" w:lineRule="auto"/>
        <w:rPr>
          <w:sz w:val="20"/>
          <w:szCs w:val="20"/>
          <w:color w:val="auto"/>
        </w:rPr>
      </w:pPr>
      <w:r>
        <w:rPr>
          <w:rFonts w:ascii="Arial" w:cs="Arial" w:eastAsia="Arial" w:hAnsi="Arial"/>
          <w:sz w:val="16"/>
          <w:szCs w:val="16"/>
          <w:color w:val="auto"/>
        </w:rPr>
        <w:t>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0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have two classes of common stock outstanding: Class A common stock, $0.01 par value per share, and Class B common stock, $0.01 par value per share. There are currently authorized 7.5 billion shares of Class A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left="120" w:firstLine="440"/>
        <w:spacing w:after="0" w:line="306" w:lineRule="auto"/>
        <w:rPr>
          <w:sz w:val="20"/>
          <w:szCs w:val="20"/>
          <w:color w:val="auto"/>
        </w:rPr>
      </w:pPr>
      <w:r>
        <w:rPr>
          <w:rFonts w:ascii="Arial" w:cs="Arial" w:eastAsia="Arial" w:hAnsi="Arial"/>
          <w:sz w:val="16"/>
          <w:szCs w:val="16"/>
          <w:color w:val="auto"/>
        </w:rPr>
        <w:t>Subject to the preferential rights of any preferred stock then outstanding, holders of our Class A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0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Holders of our Class A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w:t>
      </w:r>
    </w:p>
    <w:p>
      <w:pPr>
        <w:spacing w:after="0" w:line="147"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8"/>
          <w:szCs w:val="18"/>
          <w:color w:val="auto"/>
        </w:rPr>
        <w:t>We intend to pay quarterly dividends at an annualized rate currently of $0.84 per share, although each dividend is subject to approval by our Board of Directors. See “Dividend Policy” above.</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left="120" w:right="60" w:firstLine="440"/>
        <w:spacing w:after="0" w:line="294" w:lineRule="auto"/>
        <w:rPr>
          <w:sz w:val="20"/>
          <w:szCs w:val="20"/>
          <w:color w:val="auto"/>
        </w:rPr>
      </w:pPr>
      <w:r>
        <w:rPr>
          <w:rFonts w:ascii="Arial" w:cs="Arial" w:eastAsia="Arial" w:hAnsi="Arial"/>
          <w:sz w:val="16"/>
          <w:szCs w:val="16"/>
          <w:color w:val="auto"/>
        </w:rPr>
        <w:t>As a general matter, on all matters submitted for a vote to holders of all classes of our voting stock, holders of our Class A common stock in the aggregate hold 66 2/3% of the aggregate voting power of our capital stock, and holders of our Class B common stock in the aggregate hold a non-dilutable 33 1/3% of the combined voting power of our capital stock. This nondilutable voting power is subject to proportional decrease to the extent the number of shares of Class B common stock is reduced below 9,444,375, subject to adjustment in specified situations. Stock dividends payable on the Class B common stock in the form of Class B common stock do not decrease the nondilutable voting power of the Class B common stock.</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Approval Rights</w:t>
      </w:r>
    </w:p>
    <w:p>
      <w:pPr>
        <w:spacing w:after="0" w:line="96"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Except as required by law, holders of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left="120" w:right="340"/>
        <w:spacing w:after="0" w:line="306" w:lineRule="auto"/>
        <w:rPr>
          <w:sz w:val="20"/>
          <w:szCs w:val="20"/>
          <w:color w:val="auto"/>
        </w:rPr>
      </w:pPr>
      <w:r>
        <w:rPr>
          <w:rFonts w:ascii="Arial" w:cs="Arial" w:eastAsia="Arial" w:hAnsi="Arial"/>
          <w:sz w:val="16"/>
          <w:szCs w:val="16"/>
          <w:color w:val="auto"/>
        </w:rPr>
        <w:t>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Principal Shareholder</w:t>
      </w:r>
    </w:p>
    <w:p>
      <w:pPr>
        <w:spacing w:after="0" w:line="96"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Brian L. Roberts, our Chairman, Chief Executive Officer and President, beneficially owns all outstanding shares of our Class B common stock, which has a nondilutable 33 1/3%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As of June 30, 2019, if Mr. Roberts were to convert the Class B common stock he beneficially owns into Class A common stock, Mr. Roberts would beneficially own 43,588,528 shares of Class A common stock, which is approximately 1% of the Class A common stock that would be outstanding after the conversion.</w:t>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of Class B Common Stock</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Class B common stock is convertible share for share into Class A common stock, subject to certain restrictions.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Preference on Liquidation</w:t>
      </w:r>
    </w:p>
    <w:p>
      <w:pPr>
        <w:spacing w:after="0" w:line="96"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Mergers, Consolidations, Etc.</w:t>
      </w:r>
    </w:p>
    <w:p>
      <w:pPr>
        <w:spacing w:after="0" w:line="96" w:lineRule="exact"/>
        <w:rPr>
          <w:sz w:val="20"/>
          <w:szCs w:val="20"/>
          <w:color w:val="auto"/>
        </w:rPr>
      </w:pPr>
    </w:p>
    <w:p>
      <w:pPr>
        <w:ind w:left="120" w:right="60" w:firstLine="440"/>
        <w:spacing w:after="0" w:line="294" w:lineRule="auto"/>
        <w:rPr>
          <w:sz w:val="20"/>
          <w:szCs w:val="20"/>
          <w:color w:val="auto"/>
        </w:rPr>
      </w:pPr>
      <w:r>
        <w:rPr>
          <w:rFonts w:ascii="Arial" w:cs="Arial" w:eastAsia="Arial" w:hAnsi="Arial"/>
          <w:sz w:val="16"/>
          <w:szCs w:val="16"/>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left="120" w:right="200" w:firstLine="440"/>
        <w:spacing w:after="0" w:line="256" w:lineRule="auto"/>
        <w:rPr>
          <w:sz w:val="20"/>
          <w:szCs w:val="20"/>
          <w:color w:val="auto"/>
        </w:rPr>
      </w:pPr>
      <w:r>
        <w:rPr>
          <w:rFonts w:ascii="Arial" w:cs="Arial" w:eastAsia="Arial" w:hAnsi="Arial"/>
          <w:sz w:val="18"/>
          <w:szCs w:val="18"/>
          <w:color w:val="auto"/>
        </w:rPr>
        <w:t>The holders of Class A common stock and Class B common stock do not have any preemptive rights. All shares of Class A common stock and Class B common stock presently outstanding are, and all shares of the Class A common stock offered hereby, or issuable upon conversion, exchange or exercise of securities offered hereby, will, when issued, be, fully paid and nonassessable. We have been advised that the Class A common stock is exempt from existing Pennsylvania personal property tax.</w:t>
      </w:r>
    </w:p>
    <w:p>
      <w:pPr>
        <w:spacing w:after="0" w:line="143"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8"/>
          <w:szCs w:val="18"/>
          <w:color w:val="auto"/>
        </w:rPr>
        <w:t>The transfer agent and registrar for our Class A common stock is Equiniti Trust Company D/B/A EQ Shareowner Services, P.O. Box 64854, St. Paul, Minnesota 55164-0854. Its telephone number is (888) 883-8903.</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right"/>
        <w:ind w:right="442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right"/>
        <w:ind w:right="4380"/>
        <w:spacing w:after="0"/>
        <w:rPr>
          <w:sz w:val="20"/>
          <w:szCs w:val="20"/>
          <w:color w:val="auto"/>
        </w:rPr>
      </w:pPr>
      <w:r>
        <w:rPr>
          <w:rFonts w:ascii="Arial" w:cs="Arial" w:eastAsia="Arial" w:hAnsi="Arial"/>
          <w:sz w:val="16"/>
          <w:szCs w:val="16"/>
          <w:color w:val="auto"/>
        </w:rPr>
        <w:t>We or selling security holders may sell the securities being offered hereby in four ways:</w:t>
      </w:r>
    </w:p>
    <w:p>
      <w:pPr>
        <w:spacing w:after="0" w:line="113" w:lineRule="exact"/>
        <w:rPr>
          <w:sz w:val="20"/>
          <w:szCs w:val="20"/>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directly to purchasers, customers or suppliers;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jc w:val="both"/>
        <w:ind w:left="120" w:right="260" w:firstLine="440"/>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6" w:lineRule="exact"/>
        <w:rPr>
          <w:sz w:val="20"/>
          <w:szCs w:val="20"/>
          <w:color w:val="auto"/>
        </w:rPr>
      </w:pPr>
    </w:p>
    <w:p>
      <w:pPr>
        <w:ind w:left="120" w:right="20" w:firstLine="440"/>
        <w:spacing w:after="0" w:line="294"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15"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14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24" w:lineRule="exact"/>
        <w:rPr>
          <w:sz w:val="20"/>
          <w:szCs w:val="20"/>
          <w:color w:val="auto"/>
        </w:rPr>
      </w:pPr>
    </w:p>
    <w:p>
      <w:pPr>
        <w:ind w:left="120" w:right="260" w:firstLine="440"/>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color w:val="auto"/>
        </w:rPr>
        <w:t>As to matters governed by Pennsylvania law, Elizabeth Wideman, Esquire, Vice President, Senior Deputy General Counsel and Assistant Secretary,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LLP will represent the underwriters.</w:t>
      </w: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Comcast Corporation and subsidiaries (for purposes of this paragraph only, “Comcast Corporation”), incorporated in this Prospectus by reference from Comcast Corporation’s Annual Report on Form 10-K,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44" w:lineRule="exact"/>
        <w:rPr>
          <w:sz w:val="20"/>
          <w:szCs w:val="20"/>
          <w:color w:val="auto"/>
        </w:rPr>
      </w:pPr>
    </w:p>
    <w:p>
      <w:pPr>
        <w:ind w:left="120" w:right="220" w:firstLine="440"/>
        <w:spacing w:after="0" w:line="294"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NBCUniversal Media, LLC and subsidiaries (for purposes of this paragraph only, “NBCUniversal Media, LLC”), incorporated in this Prospectus by reference from NBCUniversal Media, LLC’s Annual Report on Form 10-K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15"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The consolidated financial statements of Sky plc as of and for the year ended June 30, 2018, incorporated by reference in this Prospectus from Comcast Corporation’s Form 8-K/A filed on December 18, 2018, have been audited by Deloitte LLP, independent auditors, as stated in their report incorporated herein by reference (which report expresses a qualified opinion on the financial statements relating to the lack of presentation of comparative information for the preceding period and includes an emphasis-of-matter paragraph referring to the use of a basis of accounting different from accounting principles generally accepted in the United States). Such consolidated financial statements are incorporated by reference in reliance upon the report of such firm given upon their authority as experts in accounting and auditing.</w:t>
      </w: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left="120" w:right="60" w:firstLine="440"/>
        <w:spacing w:after="0" w:line="298" w:lineRule="auto"/>
        <w:rPr>
          <w:sz w:val="20"/>
          <w:szCs w:val="20"/>
          <w:color w:val="auto"/>
        </w:rPr>
      </w:pPr>
      <w:r>
        <w:rPr>
          <w:rFonts w:ascii="Arial" w:cs="Arial" w:eastAsia="Arial" w:hAnsi="Arial"/>
          <w:sz w:val="16"/>
          <w:szCs w:val="16"/>
          <w:color w:val="auto"/>
        </w:rPr>
        <w:t>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12" w:lineRule="exact"/>
        <w:rPr>
          <w:sz w:val="20"/>
          <w:szCs w:val="20"/>
          <w:color w:val="auto"/>
        </w:rPr>
      </w:pPr>
    </w:p>
    <w:p>
      <w:pPr>
        <w:jc w:val="both"/>
        <w:ind w:left="120" w:right="60" w:firstLine="440"/>
        <w:spacing w:after="0" w:line="284" w:lineRule="auto"/>
        <w:rPr>
          <w:sz w:val="20"/>
          <w:szCs w:val="20"/>
          <w:color w:val="auto"/>
        </w:rPr>
      </w:pPr>
      <w:r>
        <w:rPr>
          <w:rFonts w:ascii="Arial" w:cs="Arial" w:eastAsia="Arial" w:hAnsi="Arial"/>
          <w:sz w:val="16"/>
          <w:szCs w:val="16"/>
          <w:color w:val="auto"/>
        </w:rPr>
        <w:t>Comcast and NBCUniversal file combined annual and quarterly reports and combined or separate special reports and other information with the SEC. Comcast Cable does not currently file information with the SEC. Although Comcast Cable would normally be required to file information with the SEC on an ongoing basis, we expect that it will continue to be exempt from this filing obligation for as long as we continue to file our information with the SEC.</w:t>
      </w:r>
    </w:p>
    <w:p>
      <w:pPr>
        <w:spacing w:after="0" w:line="1" w:lineRule="exact"/>
        <w:rPr>
          <w:sz w:val="20"/>
          <w:szCs w:val="20"/>
          <w:color w:val="auto"/>
        </w:rPr>
      </w:pPr>
    </w:p>
    <w:p>
      <w:pPr>
        <w:ind w:left="120" w:right="180"/>
        <w:spacing w:after="0" w:line="260" w:lineRule="auto"/>
        <w:rPr>
          <w:sz w:val="20"/>
          <w:szCs w:val="20"/>
          <w:color w:val="auto"/>
        </w:rPr>
      </w:pPr>
      <w:r>
        <w:rPr>
          <w:rFonts w:ascii="Arial" w:cs="Arial" w:eastAsia="Arial" w:hAnsi="Arial"/>
          <w:sz w:val="18"/>
          <w:szCs w:val="18"/>
          <w:color w:val="auto"/>
        </w:rPr>
        <w:t>Our and NBCUniversal’s SEC filings, including the complete registration statement and all of the exhibits to it, are available through the SEC’s website at http://www.sec.gov.</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any prospectus supplement or any free writing prospectus prepared by or on behalf of us or to which we have referred you.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or any such free writing prospectus is accurate as of any date other than their respective dates.</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60"/>
          </w:cols>
          <w:pgMar w:left="320" w:top="459" w:right="5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left="120" w:right="60" w:firstLine="440"/>
        <w:spacing w:after="0" w:line="256"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1080" w:hanging="424"/>
        <w:spacing w:after="0"/>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Comcast’s and NBCUniversal’s combined Annual Report on </w:t>
      </w:r>
      <w:hyperlink r:id="rId86">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year ended December 31, 2018, filed on January 31, 2019.</w:t>
      </w:r>
    </w:p>
    <w:p>
      <w:pPr>
        <w:spacing w:after="0" w:line="113" w:lineRule="exact"/>
        <w:rPr>
          <w:rFonts w:ascii="Arial" w:cs="Arial" w:eastAsia="Arial" w:hAnsi="Arial"/>
          <w:sz w:val="16"/>
          <w:szCs w:val="16"/>
          <w:color w:val="auto"/>
        </w:rPr>
      </w:pPr>
    </w:p>
    <w:p>
      <w:pPr>
        <w:ind w:left="1080" w:right="180" w:hanging="424"/>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Comcast’s and NBCUniversal’s combined Quarterly Reports on Form 10-Q for the quarters ended </w:t>
      </w:r>
      <w:hyperlink r:id="rId87">
        <w:r>
          <w:rPr>
            <w:rFonts w:ascii="Arial" w:cs="Arial" w:eastAsia="Arial" w:hAnsi="Arial"/>
            <w:sz w:val="18"/>
            <w:szCs w:val="18"/>
            <w:u w:val="single" w:color="auto"/>
            <w:color w:val="0000EE"/>
          </w:rPr>
          <w:t>March 31,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88">
        <w:r>
          <w:rPr>
            <w:rFonts w:ascii="Arial" w:cs="Arial" w:eastAsia="Arial" w:hAnsi="Arial"/>
            <w:sz w:val="18"/>
            <w:szCs w:val="18"/>
            <w:u w:val="single" w:color="auto"/>
            <w:color w:val="0000EE"/>
          </w:rPr>
          <w:t>June 30, 2019</w:t>
        </w:r>
      </w:hyperlink>
      <w:r>
        <w:rPr>
          <w:rFonts w:ascii="Arial" w:cs="Arial" w:eastAsia="Arial" w:hAnsi="Arial"/>
          <w:sz w:val="18"/>
          <w:szCs w:val="18"/>
          <w:color w:val="auto"/>
        </w:rPr>
        <w:t xml:space="preserve">, filed on </w:t>
      </w:r>
      <w:hyperlink r:id="rId87">
        <w:r>
          <w:rPr>
            <w:rFonts w:ascii="Arial" w:cs="Arial" w:eastAsia="Arial" w:hAnsi="Arial"/>
            <w:sz w:val="18"/>
            <w:szCs w:val="18"/>
            <w:u w:val="single" w:color="auto"/>
            <w:color w:val="0000EE"/>
          </w:rPr>
          <w:t>April 25,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89">
        <w:r>
          <w:rPr>
            <w:rFonts w:ascii="Arial" w:cs="Arial" w:eastAsia="Arial" w:hAnsi="Arial"/>
            <w:sz w:val="18"/>
            <w:szCs w:val="18"/>
            <w:u w:val="single" w:color="auto"/>
            <w:color w:val="0000EE"/>
          </w:rPr>
          <w:t>July 25, 2019</w:t>
        </w:r>
      </w:hyperlink>
      <w:r>
        <w:rPr>
          <w:rFonts w:ascii="Arial" w:cs="Arial" w:eastAsia="Arial" w:hAnsi="Arial"/>
          <w:sz w:val="18"/>
          <w:szCs w:val="18"/>
          <w:color w:val="auto"/>
        </w:rPr>
        <w:t>, respectively.</w:t>
      </w:r>
    </w:p>
    <w:p>
      <w:pPr>
        <w:spacing w:after="0" w:line="50" w:lineRule="exact"/>
        <w:rPr>
          <w:rFonts w:ascii="Arial" w:cs="Arial" w:eastAsia="Arial" w:hAnsi="Arial"/>
          <w:sz w:val="18"/>
          <w:szCs w:val="18"/>
          <w:color w:val="auto"/>
        </w:rPr>
      </w:pPr>
    </w:p>
    <w:p>
      <w:pPr>
        <w:ind w:left="1080" w:right="780" w:hanging="424"/>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Comcast’s Current Reports on Form 8-K filed on </w:t>
      </w:r>
      <w:hyperlink r:id="rId90">
        <w:r>
          <w:rPr>
            <w:rFonts w:ascii="Arial" w:cs="Arial" w:eastAsia="Arial" w:hAnsi="Arial"/>
            <w:sz w:val="18"/>
            <w:szCs w:val="18"/>
            <w:u w:val="single" w:color="auto"/>
            <w:color w:val="0000EE"/>
          </w:rPr>
          <w:t>May 14, 2019</w:t>
        </w:r>
      </w:hyperlink>
      <w:r>
        <w:rPr>
          <w:rFonts w:ascii="Arial" w:cs="Arial" w:eastAsia="Arial" w:hAnsi="Arial"/>
          <w:sz w:val="18"/>
          <w:szCs w:val="18"/>
          <w:color w:val="auto"/>
        </w:rPr>
        <w:t xml:space="preserve">, </w:t>
      </w:r>
      <w:hyperlink r:id="rId91">
        <w:r>
          <w:rPr>
            <w:rFonts w:ascii="Arial" w:cs="Arial" w:eastAsia="Arial" w:hAnsi="Arial"/>
            <w:sz w:val="18"/>
            <w:szCs w:val="18"/>
            <w:u w:val="single" w:color="auto"/>
            <w:color w:val="0000EE"/>
          </w:rPr>
          <w:t>June 7,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92">
        <w:r>
          <w:rPr>
            <w:rFonts w:ascii="Arial" w:cs="Arial" w:eastAsia="Arial" w:hAnsi="Arial"/>
            <w:sz w:val="18"/>
            <w:szCs w:val="18"/>
            <w:u w:val="single" w:color="auto"/>
            <w:color w:val="0000EE"/>
          </w:rPr>
          <w:t>June 20,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(other than Item 7.01 thereto) and Form 8-K/A filed on </w:t>
      </w:r>
      <w:hyperlink r:id="rId93">
        <w:r>
          <w:rPr>
            <w:rFonts w:ascii="Arial" w:cs="Arial" w:eastAsia="Arial" w:hAnsi="Arial"/>
            <w:sz w:val="18"/>
            <w:szCs w:val="18"/>
            <w:u w:val="single" w:color="auto"/>
            <w:color w:val="0000EE"/>
          </w:rPr>
          <w:t>August 1, 2019</w:t>
        </w:r>
      </w:hyperlink>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080" w:right="660" w:hanging="424"/>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The sections of Comcast’s </w:t>
      </w:r>
      <w:hyperlink r:id="rId94">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on </w:t>
      </w:r>
      <w:hyperlink r:id="rId94">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2019 annual meeting of shareholders incorporated by reference in Comcast’s Annual Report on Form 10-K for the year ended December 31, 2018.</w:t>
      </w:r>
    </w:p>
    <w:p>
      <w:pPr>
        <w:spacing w:after="0" w:line="50" w:lineRule="exact"/>
        <w:rPr>
          <w:rFonts w:ascii="Arial" w:cs="Arial" w:eastAsia="Arial" w:hAnsi="Arial"/>
          <w:sz w:val="18"/>
          <w:szCs w:val="18"/>
          <w:color w:val="auto"/>
        </w:rPr>
      </w:pPr>
    </w:p>
    <w:p>
      <w:pPr>
        <w:ind w:left="1080" w:right="360" w:hanging="424"/>
        <w:spacing w:after="0" w:line="331"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The description of our capital stock included in Item 3.02 under the caption “Amended and Restated Description of our Class A Common Stock” in Comcast’s Current Report on </w:t>
      </w:r>
      <w:hyperlink r:id="rId95">
        <w:r>
          <w:rPr>
            <w:rFonts w:ascii="Arial" w:cs="Arial" w:eastAsia="Arial" w:hAnsi="Arial"/>
            <w:sz w:val="16"/>
            <w:szCs w:val="16"/>
            <w:u w:val="single" w:color="auto"/>
            <w:color w:val="0000EE"/>
          </w:rPr>
          <w:t>Form 8-K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filed on December 15, 2015, as the same may be further amended from time to time.</w:t>
      </w:r>
    </w:p>
    <w:p>
      <w:pPr>
        <w:spacing w:after="0" w:line="87" w:lineRule="exact"/>
        <w:rPr>
          <w:rFonts w:ascii="Arial" w:cs="Arial" w:eastAsia="Arial" w:hAnsi="Arial"/>
          <w:sz w:val="18"/>
          <w:szCs w:val="18"/>
          <w:color w:val="auto"/>
        </w:rPr>
      </w:pPr>
    </w:p>
    <w:p>
      <w:pPr>
        <w:ind w:left="120" w:firstLine="440"/>
        <w:spacing w:after="0" w:line="283" w:lineRule="auto"/>
        <w:rPr>
          <w:sz w:val="20"/>
          <w:szCs w:val="20"/>
          <w:color w:val="auto"/>
        </w:rPr>
      </w:pPr>
      <w:r>
        <w:rPr>
          <w:rFonts w:ascii="Arial" w:cs="Arial" w:eastAsia="Arial" w:hAnsi="Arial"/>
          <w:sz w:val="16"/>
          <w:szCs w:val="16"/>
          <w:color w:val="auto"/>
        </w:rPr>
        <w:t>We and NBCUniversal also incorporate by reference into this prospectus additional documents that we or NBCUniversal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w:t>
      </w:r>
    </w:p>
    <w:p>
      <w:pPr>
        <w:spacing w:after="0" w:line="2" w:lineRule="exact"/>
        <w:rPr>
          <w:rFonts w:ascii="Arial" w:cs="Arial" w:eastAsia="Arial" w:hAnsi="Arial"/>
          <w:sz w:val="18"/>
          <w:szCs w:val="18"/>
          <w:color w:val="auto"/>
        </w:rPr>
      </w:pPr>
    </w:p>
    <w:p>
      <w:pPr>
        <w:ind w:left="120"/>
        <w:spacing w:after="0"/>
        <w:rPr>
          <w:sz w:val="20"/>
          <w:szCs w:val="20"/>
          <w:color w:val="auto"/>
        </w:rPr>
      </w:pPr>
      <w:r>
        <w:rPr>
          <w:rFonts w:ascii="Arial" w:cs="Arial" w:eastAsia="Arial" w:hAnsi="Arial"/>
          <w:sz w:val="18"/>
          <w:szCs w:val="18"/>
          <w:color w:val="auto"/>
        </w:rPr>
        <w:t>286-1700.</w:t>
      </w:r>
    </w:p>
    <w:p>
      <w:pPr>
        <w:spacing w:after="0" w:line="151"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205740</wp:posOffset>
            </wp:positionV>
            <wp:extent cx="1397000" cy="4883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139700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€1,250,000,000 0.000% Notes due 2026</w:t>
      </w:r>
    </w:p>
    <w:p>
      <w:pPr>
        <w:spacing w:after="0" w:line="152" w:lineRule="exact"/>
        <w:rPr>
          <w:sz w:val="20"/>
          <w:szCs w:val="20"/>
          <w:color w:val="auto"/>
        </w:rPr>
      </w:pPr>
    </w:p>
    <w:p>
      <w:pPr>
        <w:jc w:val="center"/>
        <w:ind w:right="-1120"/>
        <w:spacing w:after="0"/>
        <w:rPr>
          <w:sz w:val="20"/>
          <w:szCs w:val="20"/>
          <w:color w:val="auto"/>
        </w:rPr>
      </w:pPr>
      <w:r>
        <w:rPr>
          <w:rFonts w:ascii="Arial" w:cs="Arial" w:eastAsia="Arial" w:hAnsi="Arial"/>
          <w:sz w:val="23"/>
          <w:szCs w:val="23"/>
          <w:b w:val="1"/>
          <w:bCs w:val="1"/>
          <w:color w:val="auto"/>
        </w:rPr>
        <w:t>€500,000,000 0.250%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1638300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Arial" w:cs="Arial" w:eastAsia="Arial" w:hAnsi="Arial"/>
          <w:sz w:val="22"/>
          <w:szCs w:val="22"/>
          <w:b w:val="1"/>
          <w:bCs w:val="1"/>
          <w:i w:val="1"/>
          <w:iCs w:val="1"/>
          <w:color w:val="auto"/>
        </w:rPr>
        <w:t>Joint Book-Running Managers</w:t>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2420"/>
        <w:spacing w:after="0"/>
        <w:rPr>
          <w:sz w:val="20"/>
          <w:szCs w:val="20"/>
          <w:color w:val="auto"/>
        </w:rPr>
      </w:pPr>
      <w:r>
        <w:rPr>
          <w:rFonts w:ascii="Arial" w:cs="Arial" w:eastAsia="Arial" w:hAnsi="Arial"/>
          <w:sz w:val="22"/>
          <w:szCs w:val="22"/>
          <w:b w:val="1"/>
          <w:bCs w:val="1"/>
          <w:color w:val="auto"/>
        </w:rPr>
        <w:t>Barclays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Deutsche Bank</w:t>
      </w:r>
    </w:p>
    <w:p>
      <w:pPr>
        <w:spacing w:after="0" w:line="148" w:lineRule="exact"/>
        <w:rPr>
          <w:sz w:val="20"/>
          <w:szCs w:val="20"/>
          <w:color w:val="auto"/>
        </w:rPr>
      </w:pPr>
    </w:p>
    <w:p>
      <w:pPr>
        <w:sectPr>
          <w:pgSz w:w="11900" w:h="16838" w:orient="portrait"/>
          <w:cols w:equalWidth="0" w:num="2">
            <w:col w:w="6920" w:space="720"/>
            <w:col w:w="2499"/>
          </w:cols>
          <w:pgMar w:left="320" w:top="459" w:right="1440" w:bottom="1440" w:gutter="0" w:footer="0" w:header="0"/>
          <w:type w:val="continuous"/>
        </w:sectPr>
      </w:pPr>
    </w:p>
    <w:p>
      <w:pPr>
        <w:ind w:left="2180"/>
        <w:spacing w:after="0"/>
        <w:rPr>
          <w:sz w:val="20"/>
          <w:szCs w:val="20"/>
          <w:color w:val="auto"/>
        </w:rPr>
      </w:pPr>
      <w:r>
        <w:rPr>
          <w:rFonts w:ascii="Arial" w:cs="Arial" w:eastAsia="Arial" w:hAnsi="Arial"/>
          <w:sz w:val="19"/>
          <w:szCs w:val="19"/>
          <w:b w:val="1"/>
          <w:bCs w:val="1"/>
          <w:color w:val="auto"/>
        </w:rPr>
        <w:t>Commerzbank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572770</wp:posOffset>
            </wp:positionV>
            <wp:extent cx="27260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Santander</w:t>
      </w:r>
    </w:p>
    <w:p>
      <w:pPr>
        <w:spacing w:after="0" w:line="200" w:lineRule="exact"/>
        <w:rPr>
          <w:sz w:val="20"/>
          <w:szCs w:val="20"/>
          <w:color w:val="auto"/>
        </w:rPr>
      </w:pPr>
    </w:p>
    <w:p>
      <w:pPr>
        <w:sectPr>
          <w:pgSz w:w="11900" w:h="16838" w:orient="portrait"/>
          <w:cols w:equalWidth="0" w:num="2">
            <w:col w:w="7240" w:space="720"/>
            <w:col w:w="2179"/>
          </w:cols>
          <w:pgMar w:left="320" w:top="45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920"/>
        <w:spacing w:after="0"/>
        <w:rPr>
          <w:sz w:val="20"/>
          <w:szCs w:val="20"/>
          <w:color w:val="auto"/>
        </w:rPr>
      </w:pPr>
      <w:r>
        <w:rPr>
          <w:rFonts w:ascii="Arial" w:cs="Arial" w:eastAsia="Arial" w:hAnsi="Arial"/>
          <w:sz w:val="15"/>
          <w:szCs w:val="15"/>
          <w:b w:val="1"/>
          <w:bCs w:val="1"/>
          <w:color w:val="auto"/>
        </w:rPr>
        <w:t>September 7, 2021</w:t>
      </w:r>
    </w:p>
    <w:sectPr>
      <w:pgSz w:w="11900" w:h="16838" w:orient="portrait"/>
      <w:cols w:equalWidth="0" w:num="1">
        <w:col w:w="10139"/>
      </w:cols>
      <w:pgMar w:left="32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1"/>
    </w:lvl>
  </w:abstractNum>
  <w:abstractNum w:abstractNumId="1">
    <w:nsid w:val="B03E0C6"/>
    <w:multiLevelType w:val="hybridMultilevel"/>
    <w:lvl w:ilvl="0">
      <w:lvlJc w:val="left"/>
      <w:lvlText w:val="(%1)"/>
      <w:numFmt w:val="decimal"/>
      <w:start w:val="1"/>
    </w:lvl>
  </w:abstractNum>
  <w:abstractNum w:abstractNumId="2">
    <w:nsid w:val="189A769B"/>
    <w:multiLevelType w:val="hybridMultilevel"/>
    <w:lvl w:ilvl="0">
      <w:lvlJc w:val="left"/>
      <w:lvlText w:val="(%1)"/>
      <w:numFmt w:val="lowerRoman"/>
      <w:start w:val="2"/>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1)"/>
      <w:numFmt w:val="decimal"/>
      <w:start w:val="215"/>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lvl w:ilvl="1">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1)"/>
      <w:numFmt w:val="decimal"/>
      <w:start w:val="1"/>
    </w:lvl>
    <w:lvl w:ilvl="1">
      <w:lvlJc w:val="left"/>
      <w:lvlText w:val="(%2)"/>
      <w:numFmt w:val="lowerLetter"/>
      <w:start w:val="1"/>
    </w:lvl>
  </w:abstractNum>
  <w:abstractNum w:abstractNumId="10">
    <w:nsid w:val="1E7FF521"/>
    <w:multiLevelType w:val="hybridMultilevel"/>
    <w:lvl w:ilvl="0">
      <w:lvlJc w:val="left"/>
      <w:lvlText w:val="(%1)"/>
      <w:numFmt w:val="decimal"/>
      <w:start w:val="4"/>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1)"/>
      <w:numFmt w:val="lowerRoman"/>
      <w:start w:val="3"/>
    </w:lvl>
  </w:abstractNum>
  <w:abstractNum w:abstractNumId="17">
    <w:nsid w:val="614FD4A1"/>
    <w:multiLevelType w:val="hybridMultilevel"/>
    <w:lvl w:ilvl="0">
      <w:lvlJc w:val="left"/>
      <w:lvlText w:val="(%1)"/>
      <w:numFmt w:val="lowerRoman"/>
      <w:start w:val="1"/>
    </w:lvl>
  </w:abstractNum>
  <w:abstractNum w:abstractNumId="18">
    <w:nsid w:val="419AC241"/>
    <w:multiLevelType w:val="hybridMultilevel"/>
    <w:lvl w:ilvl="0">
      <w:lvlJc w:val="left"/>
      <w:lvlText w:val="(%1)"/>
      <w:numFmt w:val="lowerRoman"/>
      <w:start w:val="1"/>
    </w:lvl>
  </w:abstractNum>
  <w:abstractNum w:abstractNumId="19">
    <w:nsid w:val="5577F8E1"/>
    <w:multiLevelType w:val="hybridMultilevel"/>
    <w:lvl w:ilvl="0">
      <w:lvlJc w:val="left"/>
      <w:lvlText w:val="(%1)"/>
      <w:numFmt w:val="lowerLetter"/>
      <w:start w:val="1"/>
    </w:lvl>
  </w:abstractNum>
  <w:abstractNum w:abstractNumId="20">
    <w:nsid w:val="440BADFC"/>
    <w:multiLevelType w:val="hybridMultilevel"/>
    <w:lvl w:ilvl="0">
      <w:lvlJc w:val="left"/>
      <w:lvlText w:val="(%1)"/>
      <w:numFmt w:val="lowerLetter"/>
      <w:start w:val="1"/>
    </w:lvl>
  </w:abstractNum>
  <w:abstractNum w:abstractNumId="21">
    <w:nsid w:val="5072367"/>
    <w:multiLevelType w:val="hybridMultilevel"/>
    <w:lvl w:ilvl="0">
      <w:lvlJc w:val="left"/>
      <w:lvlText w:val="(%1)"/>
      <w:numFmt w:val="lowerLetter"/>
      <w:start w:val="1"/>
    </w:lvl>
  </w:abstractNum>
  <w:abstractNum w:abstractNumId="22">
    <w:nsid w:val="3804823E"/>
    <w:multiLevelType w:val="hybridMultilevel"/>
    <w:lvl w:ilvl="0">
      <w:lvlJc w:val="left"/>
      <w:lvlText w:val="(%1)"/>
      <w:numFmt w:val="decimal"/>
      <w:start w:val="1"/>
    </w:lvl>
    <w:lvl w:ilvl="1">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1)"/>
      <w:numFmt w:val="lowerLetter"/>
      <w:start w:val="1"/>
    </w:lvl>
  </w:abstractNum>
  <w:abstractNum w:abstractNumId="29">
    <w:nsid w:val="2D517796"/>
    <w:multiLevelType w:val="hybridMultilevel"/>
    <w:lvl w:ilvl="0">
      <w:lvlJc w:val="left"/>
      <w:lvlText w:val="(%1)"/>
      <w:numFmt w:val="lowerLetter"/>
      <w:start w:val="2"/>
    </w:lvl>
  </w:abstractNum>
  <w:abstractNum w:abstractNumId="30">
    <w:nsid w:val="580BD78F"/>
    <w:multiLevelType w:val="hybridMultilevel"/>
    <w:lvl w:ilvl="0">
      <w:lvlJc w:val="left"/>
      <w:lvlText w:val="(%1)"/>
      <w:numFmt w:val="lowerLetter"/>
      <w:start w:val="1"/>
    </w:lvl>
  </w:abstractNum>
  <w:abstractNum w:abstractNumId="31">
    <w:nsid w:val="153EA438"/>
    <w:multiLevelType w:val="hybridMultilevel"/>
    <w:lvl w:ilvl="0">
      <w:lvlJc w:val="left"/>
      <w:lvlText w:val="(%1)"/>
      <w:numFmt w:val="lowerRoman"/>
      <w:start w:val="1"/>
    </w:lvl>
  </w:abstractNum>
  <w:abstractNum w:abstractNumId="32">
    <w:nsid w:val="3855585C"/>
    <w:multiLevelType w:val="hybridMultilevel"/>
    <w:lvl w:ilvl="0">
      <w:lvlJc w:val="left"/>
      <w:lvlText w:val="(%1)"/>
      <w:numFmt w:val="lowerLetter"/>
      <w:start w:val="1"/>
    </w:lvl>
  </w:abstractNum>
  <w:abstractNum w:abstractNumId="33">
    <w:nsid w:val="70A64E2A"/>
    <w:multiLevelType w:val="hybridMultilevel"/>
    <w:lvl w:ilvl="0">
      <w:lvlJc w:val="left"/>
      <w:lvlText w:val="(%1)"/>
      <w:numFmt w:val="lowerLetter"/>
      <w:start w:val="13"/>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1)"/>
      <w:numFmt w:val="lowerLetter"/>
      <w:start w:val="2"/>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jpe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96" Type="http://schemas.openxmlformats.org/officeDocument/2006/relationships/image" Target="media/image71.png"/><Relationship Id="rId97" Type="http://schemas.openxmlformats.org/officeDocument/2006/relationships/image" Target="media/image72.jpe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7" Type="http://schemas.openxmlformats.org/officeDocument/2006/relationships/hyperlink" Target="http://www.sec.gov/Archives/edgar/data/1166691/000116669121000008/cmcsa-20201231.htm" TargetMode="External"/><Relationship Id="rId18" Type="http://schemas.openxmlformats.org/officeDocument/2006/relationships/hyperlink" Target="http://www.sec.gov/Archives/edgar/data/1166691/000116669121000029/cmcsa-20210630.htm" TargetMode="External"/><Relationship Id="rId19" Type="http://schemas.openxmlformats.org/officeDocument/2006/relationships/hyperlink" Target="http://www.sec.gov/Archives/edgar/data/1166691/000095010321005001/dp148717_8k.htm" TargetMode="External"/><Relationship Id="rId20" Type="http://schemas.openxmlformats.org/officeDocument/2006/relationships/hyperlink" Target="http://www.sec.gov/Archives/edgar/data/1166691/000116669121000022/cmcsa-20210602.htm" TargetMode="External"/><Relationship Id="rId21" Type="http://schemas.openxmlformats.org/officeDocument/2006/relationships/hyperlink" Target="http://www.sec.gov/Archives/edgar/data/1166691/000095010321011713/dp155589_8k.htm" TargetMode="External"/><Relationship Id="rId22" Type="http://schemas.openxmlformats.org/officeDocument/2006/relationships/hyperlink" Target="http://www.sec.gov/Archives/edgar/data/1166691/000095010321012399/dp156195_8k.htm" TargetMode="External"/><Relationship Id="rId23" Type="http://schemas.openxmlformats.org/officeDocument/2006/relationships/hyperlink" Target="http://www.sec.gov/Archives/edgar/data/1166691/000095010321012610/dp156478_8k.htm" TargetMode="External"/><Relationship Id="rId24" Type="http://schemas.openxmlformats.org/officeDocument/2006/relationships/hyperlink" Target="http://www.sec.gov/Archives/edgar/data/1166691/000120677421001222/cmcsa3829211-def14a.htm" TargetMode="External"/><Relationship Id="rId86" Type="http://schemas.openxmlformats.org/officeDocument/2006/relationships/hyperlink" Target="http://www.sec.gov/Archives/edgar/data/902739/000116669119000005/cmcsa-12312018x10k.htm" TargetMode="External"/><Relationship Id="rId87" Type="http://schemas.openxmlformats.org/officeDocument/2006/relationships/hyperlink" Target="http://www.sec.gov/Archives/edgar/data/902739/000116669119000010/cmcsa-3312019x10q.htm" TargetMode="External"/><Relationship Id="rId88" Type="http://schemas.openxmlformats.org/officeDocument/2006/relationships/hyperlink" Target="http://www.sec.gov/ix?doc=/Archives/edgar/data/902739/000116669119000015/cmcsa-6302019x10q.htm" TargetMode="External"/><Relationship Id="rId89" Type="http://schemas.openxmlformats.org/officeDocument/2006/relationships/hyperlink" Target="http://www.sec.gov/Archives/edgar/data/902739/000116669119000015/cmcsa-6302019x10q.htm" TargetMode="External"/><Relationship Id="rId90" Type="http://schemas.openxmlformats.org/officeDocument/2006/relationships/hyperlink" Target="http://www.sec.gov/Archives/edgar/data/902739/000095010319006331/dp106765_8k.htm" TargetMode="External"/><Relationship Id="rId91" Type="http://schemas.openxmlformats.org/officeDocument/2006/relationships/hyperlink" Target="http://www.sec.gov/Archives/edgar/data/1166691/000095010319007912/dp108319_8k.htm" TargetMode="External"/><Relationship Id="rId92" Type="http://schemas.openxmlformats.org/officeDocument/2006/relationships/hyperlink" Target="http://www.sec.gov/Archives/edgar/data/902739/000095010319008213/dp108508_8k.htm" TargetMode="External"/><Relationship Id="rId93" Type="http://schemas.openxmlformats.org/officeDocument/2006/relationships/hyperlink" Target="http://www.sec.gov/Archives/edgar/data/1166691/000119312519210443/d736987d8ka.htm" TargetMode="External"/><Relationship Id="rId94" Type="http://schemas.openxmlformats.org/officeDocument/2006/relationships/hyperlink" Target="http://www.sec.gov/Archives/edgar/data/1166691/000119312519121456/d696198ddef14a.htm" TargetMode="External"/><Relationship Id="rId95" Type="http://schemas.openxmlformats.org/officeDocument/2006/relationships/hyperlink" Target="http://www.sec.gov/Archives/edgar/data/1166691/000095010315009516/dp61838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2021-09-08T15:49:28Z</dcterms:created>
  <dcterms:modified xsi:type="dcterms:W3CDTF">2021-09-08T15:49:28Z</dcterms:modified>
</cp:coreProperties>
</file>