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9"/>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8-K</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CURRENT REPORT</w:t>
      </w:r>
    </w:p>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Date of Report (Date of earliest event reported): August 2, 2005</w:t>
      </w:r>
    </w:p>
    <w:p>
      <w:pPr>
        <w:spacing w:after="0" w:line="196"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5" w:right="1440" w:bottom="1440" w:gutter="0" w:footer="0" w:header="0"/>
        </w:sectPr>
      </w:pPr>
    </w:p>
    <w:p>
      <w:pPr>
        <w:spacing w:after="0" w:line="199" w:lineRule="exact"/>
        <w:rPr>
          <w:sz w:val="24"/>
          <w:szCs w:val="24"/>
          <w:color w:val="auto"/>
        </w:rPr>
      </w:pPr>
    </w:p>
    <w:p>
      <w:pPr>
        <w:ind w:left="1020" w:firstLine="202"/>
        <w:spacing w:after="0" w:line="257" w:lineRule="auto"/>
        <w:rPr>
          <w:sz w:val="20"/>
          <w:szCs w:val="20"/>
          <w:color w:val="auto"/>
        </w:rPr>
      </w:pPr>
      <w:r>
        <w:rPr>
          <w:rFonts w:ascii="Courier New" w:cs="Courier New" w:eastAsia="Courier New" w:hAnsi="Courier New"/>
          <w:sz w:val="16"/>
          <w:szCs w:val="16"/>
          <w:color w:val="auto"/>
        </w:rPr>
        <w:t>Pennsylvania --------------- (State or other jurisdiction of</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000-50093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27-0000798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2" w:lineRule="exact"/>
        <w:rPr>
          <w:sz w:val="24"/>
          <w:szCs w:val="24"/>
          <w:color w:val="auto"/>
        </w:rPr>
      </w:pPr>
    </w:p>
    <w:p>
      <w:pPr>
        <w:sectPr>
          <w:pgSz w:w="11900" w:h="16838" w:orient="portrait"/>
          <w:cols w:equalWidth="0" w:num="3">
            <w:col w:w="2540" w:space="500"/>
            <w:col w:w="1620" w:space="500"/>
            <w:col w:w="5059"/>
          </w:cols>
          <w:pgMar w:left="240" w:top="245"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5" w:right="1440" w:bottom="1440" w:gutter="0" w:footer="0" w:header="0"/>
          <w:type w:val="continuous"/>
        </w:sectPr>
      </w:pPr>
    </w:p>
    <w:p>
      <w:pPr>
        <w:spacing w:after="0" w:line="208" w:lineRule="exact"/>
        <w:rPr>
          <w:sz w:val="24"/>
          <w:szCs w:val="24"/>
          <w:color w:val="auto"/>
        </w:rPr>
      </w:pPr>
    </w:p>
    <w:p>
      <w:pPr>
        <w:ind w:left="1220"/>
        <w:spacing w:after="0" w:line="263" w:lineRule="auto"/>
        <w:rPr>
          <w:sz w:val="20"/>
          <w:szCs w:val="20"/>
          <w:color w:val="auto"/>
        </w:rPr>
      </w:pPr>
      <w:r>
        <w:rPr>
          <w:rFonts w:ascii="Courier New" w:cs="Courier New" w:eastAsia="Courier New" w:hAnsi="Courier New"/>
          <w:sz w:val="16"/>
          <w:szCs w:val="16"/>
          <w:color w:val="auto"/>
        </w:rPr>
        <w:t>1500 Market Street, Philadelphia, PA ---------------------------------------- (Address of principal executive offices)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5" w:lineRule="exact"/>
        <w:rPr>
          <w:sz w:val="24"/>
          <w:szCs w:val="24"/>
          <w:color w:val="auto"/>
        </w:rPr>
      </w:pPr>
    </w:p>
    <w:p>
      <w:pPr>
        <w:sectPr>
          <w:pgSz w:w="11900" w:h="16838" w:orient="portrait"/>
          <w:cols w:equalWidth="0" w:num="2">
            <w:col w:w="5260" w:space="500"/>
            <w:col w:w="4459"/>
          </w:cols>
          <w:pgMar w:left="240" w:top="245" w:right="1440" w:bottom="1440" w:gutter="0" w:footer="0" w:header="0"/>
          <w:type w:val="continuous"/>
        </w:sectPr>
      </w:pPr>
    </w:p>
    <w:p>
      <w:pPr>
        <w:ind w:left="820"/>
        <w:spacing w:after="0"/>
        <w:rPr>
          <w:sz w:val="20"/>
          <w:szCs w:val="20"/>
          <w:color w:val="auto"/>
        </w:rPr>
      </w:pPr>
      <w:r>
        <w:rPr>
          <w:rFonts w:ascii="Courier New" w:cs="Courier New" w:eastAsia="Courier New" w:hAnsi="Courier New"/>
          <w:sz w:val="17"/>
          <w:szCs w:val="17"/>
          <w:color w:val="auto"/>
        </w:rPr>
        <w:t>Registrant's telephone number, including area code (215) 665-1700</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199" w:lineRule="exact"/>
        <w:rPr>
          <w:sz w:val="24"/>
          <w:szCs w:val="24"/>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On August 2, 2005, Comcast Corporation ("Comcast") issued a press release reporting the results of its operations for the three months and six months ended June 30, 2005.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85"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6"/>
          <w:szCs w:val="16"/>
          <w:color w:val="auto"/>
        </w:rPr>
        <w:t>Exhibits</w:t>
      </w:r>
    </w:p>
    <w:p>
      <w:pPr>
        <w:spacing w:after="0" w:line="196" w:lineRule="exact"/>
        <w:rPr>
          <w:sz w:val="24"/>
          <w:szCs w:val="24"/>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Exhibit 99.1</w:t>
      </w:r>
      <w:r>
        <w:rPr>
          <w:sz w:val="20"/>
          <w:szCs w:val="20"/>
          <w:color w:val="auto"/>
        </w:rPr>
        <w:tab/>
      </w:r>
      <w:r>
        <w:rPr>
          <w:rFonts w:ascii="Courier New" w:cs="Courier New" w:eastAsia="Courier New" w:hAnsi="Courier New"/>
          <w:sz w:val="16"/>
          <w:szCs w:val="16"/>
          <w:color w:val="auto"/>
        </w:rPr>
        <w:t>Comcast Corporation press release dated August 2, 2005.</w:t>
      </w:r>
    </w:p>
    <w:p>
      <w:pPr>
        <w:sectPr>
          <w:pgSz w:w="11900" w:h="16838" w:orient="portrait"/>
          <w:cols w:equalWidth="0" w:num="1">
            <w:col w:w="10219"/>
          </w:cols>
          <w:pgMar w:left="240" w:top="245" w:right="1440" w:bottom="1440" w:gutter="0" w:footer="0" w:header="0"/>
          <w:type w:val="continuous"/>
        </w:sectPr>
      </w:pPr>
    </w:p>
    <w:bookmarkStart w:id="1" w:name="page2"/>
    <w:bookmarkEnd w:id="1"/>
    <w:p>
      <w:pPr>
        <w:jc w:val="center"/>
        <w:ind w:right="2139"/>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97"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 2005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5" w:lineRule="exact"/>
        <w:rPr>
          <w:sz w:val="20"/>
          <w:szCs w:val="20"/>
          <w:color w:val="auto"/>
        </w:rPr>
      </w:pPr>
    </w:p>
    <w:p>
      <w:pPr>
        <w:sectPr>
          <w:pgSz w:w="11900" w:h="16838" w:orient="portrait"/>
          <w:cols w:equalWidth="0" w:num="3">
            <w:col w:w="620" w:space="200"/>
            <w:col w:w="2500" w:space="720"/>
            <w:col w:w="6179"/>
          </w:cols>
          <w:pgMar w:left="240" w:top="697"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7"/>
          <w:szCs w:val="17"/>
          <w:color w:val="auto"/>
        </w:rPr>
        <w:t>By: /s/ Lawrence J. Salva</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Lawrence J. Salva</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Senior Vice President,</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Chief Accounting Officer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and Controller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1">
            <w:col w:w="10219"/>
          </w:cols>
          <w:pgMar w:left="240" w:top="697" w:right="1440" w:bottom="1440" w:gutter="0" w:footer="0" w:header="0"/>
          <w:type w:val="continuous"/>
        </w:sectPr>
      </w:pPr>
    </w:p>
    <w:bookmarkStart w:id="2" w:name="page3"/>
    <w:bookmarkEnd w:id="2"/>
    <w:p>
      <w:pPr>
        <w:jc w:val="right"/>
        <w:ind w:right="2119"/>
        <w:spacing w:after="0"/>
        <w:rPr>
          <w:sz w:val="20"/>
          <w:szCs w:val="20"/>
          <w:color w:val="auto"/>
        </w:rPr>
      </w:pPr>
      <w:r>
        <w:rPr>
          <w:rFonts w:ascii="Courier New" w:cs="Courier New" w:eastAsia="Courier New" w:hAnsi="Courier New"/>
          <w:sz w:val="17"/>
          <w:szCs w:val="17"/>
          <w:color w:val="auto"/>
        </w:rPr>
        <w:t>Exhibit 99.1</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REPORTS SECOND QUARTER 2005 RESULTS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REVENUE INCREASED 10.5% TO $5.6 BILLION</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 INCREASED 23.2% TO $1.0 BILLION</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OPERATING CASH FLOW INCREASED 13.2% TO $2.2 BILLION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20TH CONSECUTIVE QUARTER OF DOUBLE-DIGIT GROWTH</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GROWTH IN NEW SERVICES CONTINUES</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ADDED 1.1 MILLION REVENUE GENERATING UNITS</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DURING THE FIRST HALF OF 2005 INCLUDING</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507,000 DURING THE SECOND QUARTER</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PHILADELPHIA, August 2, 2005 -- Comcast Corporation (Nasdaq: CMCSA, CMCSK) today reported results for the quarter ended June 30, 2005. Comcast will discuss second quarter results on a conference call and webcast today at 8:30 AM Eastern Time. A live broadcast of the conference call will be available on the investor relations website at www.cmcsa.com and www.cmcsk.com.</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Brian L. Roberts, Chairman and CEO of Comcast Corporation said, "This is our 20th consecutive quarter reporting double-digit operating cash flow growth and, at 40.8%, cable's Operating Cash Flow margins are the highest in 2 1/2 years. We are posting solid results in the second quarter with revenue growth of 10.5% and Operating Cash Flow growth of 13.2%. Operating income increased 23.2% to $1.0 billion.</w:t>
      </w:r>
    </w:p>
    <w:p>
      <w:pPr>
        <w:spacing w:after="0" w:line="201" w:lineRule="exact"/>
        <w:rPr>
          <w:sz w:val="20"/>
          <w:szCs w:val="20"/>
          <w:color w:val="auto"/>
        </w:rPr>
      </w:pPr>
    </w:p>
    <w:p>
      <w:pPr>
        <w:ind w:right="2219" w:firstLine="404"/>
        <w:spacing w:after="0"/>
        <w:rPr>
          <w:sz w:val="20"/>
          <w:szCs w:val="20"/>
          <w:color w:val="auto"/>
        </w:rPr>
      </w:pPr>
      <w:r>
        <w:rPr>
          <w:rFonts w:ascii="Courier New" w:cs="Courier New" w:eastAsia="Courier New" w:hAnsi="Courier New"/>
          <w:sz w:val="17"/>
          <w:szCs w:val="17"/>
          <w:color w:val="auto"/>
        </w:rPr>
        <w:t>"Our consistently strong performance - double-digit revenue and cash flow growth and free cash flow growth above 20% - demonstrates the inherent strength of our business and reinforces our confidence in the future.</w:t>
      </w:r>
    </w:p>
    <w:p>
      <w:pPr>
        <w:spacing w:after="0" w:line="200" w:lineRule="exact"/>
        <w:rPr>
          <w:sz w:val="20"/>
          <w:szCs w:val="20"/>
          <w:color w:val="auto"/>
        </w:rPr>
      </w:pPr>
    </w:p>
    <w:p>
      <w:pPr>
        <w:ind w:right="2219" w:firstLine="404"/>
        <w:spacing w:after="0" w:line="259" w:lineRule="auto"/>
        <w:rPr>
          <w:sz w:val="20"/>
          <w:szCs w:val="20"/>
          <w:color w:val="auto"/>
        </w:rPr>
      </w:pPr>
      <w:r>
        <w:rPr>
          <w:rFonts w:ascii="Courier New" w:cs="Courier New" w:eastAsia="Courier New" w:hAnsi="Courier New"/>
          <w:sz w:val="16"/>
          <w:szCs w:val="16"/>
          <w:color w:val="auto"/>
        </w:rPr>
        <w:t>"We are extending our competitive advantage with industry-leading products. In video, we are continuing to expand our ON DEMAND, HDTV and DVR offerings and are beginning to rollout our enhanced basic - 100% digital service. We recently announced an important new agreement with Starz Encore that significantly enhances our ON DEMAND service, adding more than 325 top movies a month to the 3,500 program choices our customers enjoy today. In June, our customers viewed over 112 million ON DEMAND programs, a 10 million increase in 3 months, as we continue to provide an unmatched product with more choice and customer value.</w:t>
      </w:r>
    </w:p>
    <w:p>
      <w:pPr>
        <w:spacing w:after="0" w:line="185"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"We also recently announced a 50% increase in the speed of our high-speed Internet service - now 6 megabits per second - and continue to deliver a growing array of valuable enhancements and features like security and online gaming. Our strategy of product innovation and differentiation is working - we added 1.1 million revenue generating units during the first six months of this year - more than we did in the first half of last year.</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"We believe Comcast Digital Voice will be the next engine for growth and are ramping up the rollout of this service in markets like Philadelphia, Indianapolis, Boston, Hartford, Chicago and Portland. We are on track to extend our offering to 15 million homes in 20 markets by year end and expect to offer our fully-featured digital voice service across our 41 million homes by the end of 2006.</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119" w:firstLine="404"/>
        <w:spacing w:after="0"/>
        <w:rPr>
          <w:sz w:val="20"/>
          <w:szCs w:val="20"/>
          <w:color w:val="auto"/>
        </w:rPr>
      </w:pPr>
      <w:r>
        <w:rPr>
          <w:rFonts w:ascii="Courier New" w:cs="Courier New" w:eastAsia="Courier New" w:hAnsi="Courier New"/>
          <w:sz w:val="17"/>
          <w:szCs w:val="17"/>
          <w:color w:val="auto"/>
        </w:rPr>
        <w:t>"We are excited about the future of our business and are positioning Comcast to continue to deliver the best entertainment and communications services to our customers and to build value for our shareholders."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Cable Results</w:t>
      </w:r>
    </w:p>
    <w:p>
      <w:pPr>
        <w:spacing w:after="0" w:line="4"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results for the quarter and the six months ended June 30, 2005 are presented on a pro forma basis. Pro forma cable results adjust only for certain acquisitions and dispositions and are presented as if the acquisitions and dispositions were effective on January 1, 2004. Please refer to Table 7-A for a reconciliation of pro forma data.</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Second Quarter 2005</w:t>
      </w:r>
    </w:p>
    <w:p>
      <w:pPr>
        <w:spacing w:after="0" w:line="4" w:lineRule="exact"/>
        <w:rPr>
          <w:sz w:val="20"/>
          <w:szCs w:val="20"/>
          <w:color w:val="auto"/>
        </w:rPr>
      </w:pPr>
    </w:p>
    <w:p>
      <w:pPr>
        <w:ind w:right="2119" w:firstLine="404"/>
        <w:spacing w:after="0" w:line="261" w:lineRule="auto"/>
        <w:rPr>
          <w:sz w:val="20"/>
          <w:szCs w:val="20"/>
          <w:color w:val="auto"/>
        </w:rPr>
      </w:pPr>
      <w:r>
        <w:rPr>
          <w:rFonts w:ascii="Courier New" w:cs="Courier New" w:eastAsia="Courier New" w:hAnsi="Courier New"/>
          <w:sz w:val="16"/>
          <w:szCs w:val="16"/>
          <w:color w:val="auto"/>
        </w:rPr>
        <w:t>Comcast Cable reported revenue of $5.3 billion for the quarter ended June 30, 2005, representing a 10.1% increase from the second quarter of 2004. Comcast Cable added 507,000 revenue generating units in the second quarter of 2005, an increase of 22.1% from the 415,000 added in the same quarter last year.</w:t>
      </w:r>
    </w:p>
    <w:p>
      <w:pPr>
        <w:spacing w:after="0" w:line="184"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Video revenue increased $192 million or 5.9% to $3.4 billion in the second quarter of 2005, driven by higher monthly revenue per basic subscriber and a 13.3% increase in the number of digital customers. Comcast Cable added 284,000 new digital customers in the second quarter of 2005 and with more than 9.1 million subscribers, digital cable penetration reached 42.6% of basic subscribers. As expected, basic subscribers are essentially unchanged from a year ago at 21.4 million, and declined seasonally by 77,000 or 0.2% from the first quarter of 2005.</w:t>
      </w:r>
    </w:p>
    <w:p>
      <w:pPr>
        <w:sectPr>
          <w:pgSz w:w="11900" w:h="16838" w:orient="portrait"/>
          <w:cols w:equalWidth="0" w:num="1">
            <w:col w:w="10219"/>
          </w:cols>
          <w:pgMar w:left="240" w:top="140" w:right="1440" w:bottom="0" w:gutter="0" w:footer="0" w:header="0"/>
        </w:sectPr>
      </w:pPr>
    </w:p>
    <w:bookmarkStart w:id="3" w:name="page4"/>
    <w:bookmarkEnd w:id="3"/>
    <w:p>
      <w:pPr>
        <w:ind w:right="2119" w:firstLine="404"/>
        <w:spacing w:after="0" w:line="242" w:lineRule="auto"/>
        <w:rPr>
          <w:sz w:val="20"/>
          <w:szCs w:val="20"/>
          <w:color w:val="auto"/>
        </w:rPr>
      </w:pPr>
      <w:r>
        <w:rPr>
          <w:rFonts w:ascii="Courier New" w:cs="Courier New" w:eastAsia="Courier New" w:hAnsi="Courier New"/>
          <w:sz w:val="17"/>
          <w:szCs w:val="17"/>
          <w:color w:val="auto"/>
        </w:rPr>
        <w:t>Digital cable subscriber and video revenue growth reflects strong consumer demand for new digital features and services including Comcast ON DEMAND, high-definition television (HDTV) programming and digital video recorders (DVRs), as well as the initial rollout of an enhanced basic - 100% digital service in a number of markets. During the second quarter, pay-per-view revenues increased 24.0% - the seventh consecutive quarter of pay-per-view revenue growth, driven by more movie and event purchases through the Comcast ON DEMAND service. During the second quarter, Comcast Cable deployed nearly 300,000 advanced set-top boxes with DVR and/or HDTV programming capability, generating an incremental $5 to $10 of monthly revenue per box.</w:t>
      </w:r>
    </w:p>
    <w:p>
      <w:pPr>
        <w:spacing w:after="0" w:line="197"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Comcast High-speed Internet service revenues increased 28.8% to $982 million in the second quarter of 2005, reflecting a 28.3% increase in subscribers and strong average revenue per subscriber. Comcast Cable ended the second quarter of 2005 with more than 7.7 million high-speed Internet subscribers, adding 297,000 subscribers during the second quarter of 2005 for a penetration rate of 18.9% of available homes. Average monthly revenue per high-speed Internet subscriber of $43.34 in the second quarter of 2005, was in line with the second quarter of 2004 and increased $0.53 from the $42.81 reported in the first quarter of 2005.</w:t>
      </w:r>
    </w:p>
    <w:p>
      <w:pPr>
        <w:sectPr>
          <w:pgSz w:w="11900" w:h="16838" w:orient="portrait"/>
          <w:cols w:equalWidth="0" w:num="1">
            <w:col w:w="10219"/>
          </w:cols>
          <w:pgMar w:left="240" w:top="336" w:right="1440" w:bottom="1440" w:gutter="0" w:footer="0" w:header="0"/>
        </w:sectPr>
      </w:pPr>
    </w:p>
    <w:bookmarkStart w:id="4" w:name="page5"/>
    <w:bookmarkEnd w:id="4"/>
    <w:p>
      <w:pPr>
        <w:ind w:right="2119" w:firstLine="404"/>
        <w:spacing w:after="0" w:line="241" w:lineRule="auto"/>
        <w:rPr>
          <w:sz w:val="20"/>
          <w:szCs w:val="20"/>
          <w:color w:val="auto"/>
        </w:rPr>
      </w:pPr>
      <w:r>
        <w:rPr>
          <w:rFonts w:ascii="Courier New" w:cs="Courier New" w:eastAsia="Courier New" w:hAnsi="Courier New"/>
          <w:sz w:val="17"/>
          <w:szCs w:val="17"/>
          <w:color w:val="auto"/>
        </w:rPr>
        <w:t>Advertising revenue for the second quarter of 2005 increased 9.9% to $362 million, reflecting growth of 6.5% in local advertising and growth of 16.7% in regional/national advertising as a result of the continuing success of our regional interconnect strategy. The growth in advertising revenue during the quarter was slightly offset by a decline in political advertising when compared to the prior year. Advertising revenue growth in the second half of 2005 will reflect a significant decline in political advertising when compared to the 2004 election year.</w:t>
      </w:r>
    </w:p>
    <w:p>
      <w:pPr>
        <w:spacing w:after="0" w:line="203"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Comcast Cable added 15,000 Comcast Digital Voice customers (CDV - Comcast's phone service using IP technology), reflecting the rollout of CDV in new markets late in the second quarter. As expected, CDV customer additions were offset by a decline in the number of Comcast's circuit-switched telephone customers as Comcast transitions to marketing Comcast Digital Voice. Comcast Cable reported 2,000 net new phone customers in the second quarter of 2005. Cable phone revenue declined 4.0% from the second quarter of 2004 to $170 million in the second quarter of 2005, due primarily to a decline in access revenue per customer.</w:t>
      </w:r>
    </w:p>
    <w:p>
      <w:pPr>
        <w:spacing w:after="0" w:line="185"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operating income before depreciation and amortization (Operating Cash Flow) grew 13.2% to $2.2 billion in the second quarter, an increase from the $1.9 billion reported for the second quarter of 2004. Second quarter 2005 Operating Cash Flow margin increased to 40.8% from 39.7% in the second quarter of 2004.</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capital expenditures increased 4.8% to $936 million compared to the $893 million in the second quarter of the prior year. The increase in capital expenditures reflects the purchase of digital set-top boxes to meet expected demand, as well as certain capital investments, including equipment for digital simulcasting and our integrated service platform, which are expected to decline in the second half of 2005.</w:t>
      </w:r>
    </w:p>
    <w:p>
      <w:pPr>
        <w:spacing w:after="0" w:line="19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Year-to-date June 2005</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For the six months ended June 30, 2005, Comcast Cable reported revenue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 billion, representing a 9.9% increase from the prior year. Comcast Cable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added a total of 1.1 million new revenue generating units during the first half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2005, a 7.9% increase from the first half of last year.</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Video revenue increased 5.8% during the period, driven by higher monthly revenue per basic subscriber and a 13.3% increase in the number of digital customers. Comcast Cable added nearly 484,000 digital cable subscribers during the first six months of 2005 to end the period with more than 9.1 million digital subscribers. Comcast Cable basic subscribers declined 106,000 during the first six months of 2005, ending the period at 21.4 million subscribers.</w:t>
      </w:r>
    </w:p>
    <w:p>
      <w:pPr>
        <w:spacing w:after="0" w:line="201"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Comcast Cable added nearly 712,000 high-speed Internet subscribers during the first half of 2005 to end the period with more than 7.7 million subscribers. Revenues for this service increased 30.6% from the prior year to $1.9 billion, reflecting strong year over year subscriber growth. Advertising revenue increased 9.8% from the same period of 2004 to $658 million, including the decline in political advertising from the 2004 election year. Cable phone revenue declined 3.5% from the same period one year ago to $343 million, primarily due to lower revenue per customer. Comcast Cable added 7,000 phone subscribers in the first six months of 2005 compared to a loss of 42,000 subscribers in the first half of 2004.</w:t>
      </w:r>
    </w:p>
    <w:p>
      <w:pPr>
        <w:sectPr>
          <w:pgSz w:w="11900" w:h="16838" w:orient="portrait"/>
          <w:cols w:equalWidth="0" w:num="1">
            <w:col w:w="10219"/>
          </w:cols>
          <w:pgMar w:left="240" w:top="699" w:right="1440" w:bottom="1440" w:gutter="0" w:footer="0" w:header="0"/>
        </w:sectPr>
      </w:pPr>
    </w:p>
    <w:bookmarkStart w:id="5" w:name="page6"/>
    <w:bookmarkEnd w:id="5"/>
    <w:p>
      <w:pPr>
        <w:ind w:right="2319" w:firstLine="404"/>
        <w:spacing w:after="0" w:line="241" w:lineRule="auto"/>
        <w:rPr>
          <w:sz w:val="20"/>
          <w:szCs w:val="20"/>
          <w:color w:val="auto"/>
        </w:rPr>
      </w:pPr>
      <w:r>
        <w:rPr>
          <w:rFonts w:ascii="Courier New" w:cs="Courier New" w:eastAsia="Courier New" w:hAnsi="Courier New"/>
          <w:sz w:val="17"/>
          <w:szCs w:val="17"/>
          <w:color w:val="auto"/>
        </w:rPr>
        <w:t>Operating Cash Flow grew 14.5% from the same period one year ago to $4.2 billion, reflecting strong revenue growth and the Company's success in controlling the growth of operating costs. Operating Cash Flow margin for the first six months of 2005 increased to 40.0% from 38.4% during the first six months of the prior year. Comcast Cable capital expenditures were $1.8 billion for the first six months of 2005 compared to $1.7 billion last year. As previously described, the level of capital expenditures is expected to decline in the second half of 2005.</w:t>
      </w:r>
    </w:p>
    <w:p>
      <w:pPr>
        <w:spacing w:after="0" w:line="20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Content</w:t>
      </w:r>
    </w:p>
    <w:p>
      <w:pPr>
        <w:spacing w:after="0" w:line="4" w:lineRule="exact"/>
        <w:rPr>
          <w:sz w:val="20"/>
          <w:szCs w:val="20"/>
          <w:color w:val="auto"/>
        </w:rPr>
      </w:pPr>
    </w:p>
    <w:p>
      <w:pPr>
        <w:ind w:right="2119" w:firstLine="404"/>
        <w:spacing w:after="0" w:line="263" w:lineRule="auto"/>
        <w:rPr>
          <w:sz w:val="20"/>
          <w:szCs w:val="20"/>
          <w:color w:val="auto"/>
        </w:rPr>
      </w:pPr>
      <w:r>
        <w:rPr>
          <w:rFonts w:ascii="Courier New" w:cs="Courier New" w:eastAsia="Courier New" w:hAnsi="Courier New"/>
          <w:sz w:val="16"/>
          <w:szCs w:val="16"/>
          <w:color w:val="auto"/>
        </w:rPr>
        <w:t>Comcast's content segment consists of our national networks E! Entertainment Television and Style Network (E! Networks), The Golf Channel, Outdoor Life Network, G4 and AZN Television (formerly International Channel Networks).</w:t>
      </w:r>
    </w:p>
    <w:p>
      <w:pPr>
        <w:spacing w:after="0" w:line="182"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Comcast's content segment reported second quarter 2005 revenue of $234 million, a 17.7% increase from the second quarter of 2004 reflecting increases in distribution and advertising revenue for all the networks. The content segment reported Operating Cash Flow of $97 million in the second quarter of 2005, a 25.4% increase above the second quarter of 2004.</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For the six months ended June 30, 2005, Comcast's content segment reported revenue of $447 million, a 19.2% increase compared to the prior year period, and Operating Cash Flow of $174 million, an increase of 19.1% from the same time last year.</w:t>
      </w:r>
    </w:p>
    <w:p>
      <w:pPr>
        <w:spacing w:after="0" w:line="19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Corporate and Other</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Corporate and Other includes Comcast-Spectacor, corporate overhead and other operations and eliminations between Comcast's businesses. In the second quarter of 2005, we reported Corporate and Other revenue of $36 million and an Operating Cash Flow loss of $63 million as compared to revenue of $28 million and an Operating Cash Flow loss of $45 million in the second quarter of 2004.</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For the six months ended June 30, 2005, Corporate and Other revenue declined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$83 million from the $114 million reported in the same period of 2004.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Cash Flow loss for the year-to-date period ended June 30, 2005,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 million compared to $100 million in 2004. Results for the six month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the quarter ended June 30, 2005, were impacted by the absence of 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Hockey League games.</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Consolidated Results</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For the three months ended June 30, 2005, the Company reported consolidated revenues of $5.6 billion, a 10.5% increase from the $5.1 billion reported in the same period of 2004. Consolidated Operating Cash Flow increased to $2.2 billion or 13.2%, in the second quarter of 2005, from the $2.0 billion reported in the same prior year period. Operating income increased to $1.0 billion in the second quarter of 2005 compared to operating income of $852 million in the second quarter of 2004.</w:t>
      </w:r>
    </w:p>
    <w:p>
      <w:pPr>
        <w:spacing w:after="0" w:line="202"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(described further on Table 4) was $422 million in the second quarter of 2005 compared to $500 million reported in the second quarter of 2004, reflecting increases in Operating Cash Flow and capital expenditures and the timing of income tax payments in the second quarter of 2005. For the three months ended June 30, 2005, the Company reported consolidated net income of $430 million or $0.19 per share compared to consolidated net income of $262 million or $0.12 per share in the second quarter of 2004. The increase in net income is primarily due to the growth in Operating Cash Flow.</w:t>
      </w:r>
    </w:p>
    <w:p>
      <w:pPr>
        <w:sectPr>
          <w:pgSz w:w="11900" w:h="16838" w:orient="portrait"/>
          <w:cols w:equalWidth="0" w:num="1">
            <w:col w:w="10219"/>
          </w:cols>
          <w:pgMar w:left="240" w:top="699" w:right="1440" w:bottom="1440" w:gutter="0" w:footer="0" w:header="0"/>
        </w:sectPr>
      </w:pPr>
    </w:p>
    <w:bookmarkStart w:id="6" w:name="page7"/>
    <w:bookmarkEnd w:id="6"/>
    <w:p>
      <w:pPr>
        <w:ind w:right="2119" w:firstLine="404"/>
        <w:spacing w:after="0" w:line="241" w:lineRule="auto"/>
        <w:rPr>
          <w:sz w:val="20"/>
          <w:szCs w:val="20"/>
          <w:color w:val="auto"/>
        </w:rPr>
      </w:pPr>
      <w:r>
        <w:rPr>
          <w:rFonts w:ascii="Courier New" w:cs="Courier New" w:eastAsia="Courier New" w:hAnsi="Courier New"/>
          <w:sz w:val="17"/>
          <w:szCs w:val="17"/>
          <w:color w:val="auto"/>
        </w:rPr>
        <w:t>For the six months ended June 30, 2005, consolidated revenue increased 9.9% to $11.0 billion from the $10.0 billion reported in the same period of 2004. The Operating Cash Flow for the period ended June 30, 2005 was $4.2 billion, an increase of 15.0% when compared to $3.7 billion in 2004. Operating income increased to $1.9 billion in the first half of 2005 compared to operating income of $1.5 billion during the first half of 2004.</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was $1.1 billion during the year-to-date period, an increase of 27.5% from the $897 million reported during the same period of last year. For the six months ended June 30, 2005, the Company reported consolidated net income of $573 million or $0.26 per share compared to consolidated net income of $327 million or $0.14 per share in the six months ended June 30, 2004. The increase in year-to-date net income is due primarily to the growth in Operating Cash Flow.</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Share Repurchase Program</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repurchased $334 million, or 10.5 million shares, of its common stock under its stock repurchase program during the second quarter of 2005. During 2005, the Company repurchased $637 million of its Class A Special Common Stock, or 19.9 million shares. Remaining availability under the Company's stock repurchase program is $2 billion. Since the inception of the repurchase program in December 2003, Comcast has repurchased $2.0 billion or 67.7 million shares of its common stock.</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Financial Guidance 2005</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reaffirms the following previously issued guidance for 2005:</w:t>
      </w:r>
    </w:p>
    <w:p>
      <w:pPr>
        <w:spacing w:after="0" w:line="196" w:lineRule="exact"/>
        <w:rPr>
          <w:sz w:val="20"/>
          <w:szCs w:val="20"/>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revenue growth of approximately 10%.</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Revenue Generating Unit growth of at least 2.5 million units.</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Operating Cash Flow growth of 14% to 15%.*</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Free Cash Flow growth of 35% to 45%.*</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capital expenditures of $3.2 - $3.3 million.</w:t>
      </w:r>
    </w:p>
    <w:p>
      <w:pPr>
        <w:spacing w:after="0" w:line="199" w:lineRule="exact"/>
        <w:rPr>
          <w:sz w:val="20"/>
          <w:szCs w:val="20"/>
          <w:color w:val="auto"/>
        </w:rPr>
      </w:pPr>
    </w:p>
    <w:p>
      <w:pPr>
        <w:ind w:right="3439" w:firstLine="404"/>
        <w:spacing w:after="0" w:line="239" w:lineRule="auto"/>
        <w:rPr>
          <w:sz w:val="20"/>
          <w:szCs w:val="20"/>
          <w:color w:val="auto"/>
        </w:rPr>
      </w:pPr>
      <w:r>
        <w:rPr>
          <w:rFonts w:ascii="Courier New" w:cs="Courier New" w:eastAsia="Courier New" w:hAnsi="Courier New"/>
          <w:sz w:val="17"/>
          <w:szCs w:val="17"/>
          <w:color w:val="auto"/>
        </w:rPr>
        <w:t>*Does not include any impact from the adoption of SFAS No. 123R (Accounting for stock-based compensation).</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ectPr>
          <w:pgSz w:w="11900" w:h="16838" w:orient="portrait"/>
          <w:cols w:equalWidth="0" w:num="1">
            <w:col w:w="10219"/>
          </w:cols>
          <w:pgMar w:left="240" w:top="699" w:right="1440" w:bottom="1440" w:gutter="0" w:footer="0" w:header="0"/>
        </w:sectPr>
      </w:pPr>
    </w:p>
    <w:bookmarkStart w:id="7" w:name="page8"/>
    <w:bookmarkEnd w:id="7"/>
    <w:p>
      <w:pPr>
        <w:ind w:right="2119" w:firstLine="404"/>
        <w:spacing w:after="0" w:line="260" w:lineRule="auto"/>
        <w:rPr>
          <w:sz w:val="20"/>
          <w:szCs w:val="20"/>
          <w:color w:val="auto"/>
        </w:rPr>
      </w:pPr>
      <w:r>
        <w:rPr>
          <w:rFonts w:ascii="Courier New" w:cs="Courier New" w:eastAsia="Courier New" w:hAnsi="Courier New"/>
          <w:sz w:val="16"/>
          <w:szCs w:val="16"/>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w:t>
      </w:r>
    </w:p>
    <w:p>
      <w:pPr>
        <w:spacing w:after="0" w:line="185"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Corporation will host a conference call with the financial community today August 2, 2005 at 8:30 a.m. Eastern Time (ET). The conference call will be broadcast live on the Company's Investor Relations website at www.cmcsa.com or www.cmcsk.com. A recording of the call will be available on the Investor Relations website starting at 12:30 p.m. ET on August 2, 2005.</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Those parties interested in participating via telephone should dial (847) 413-2408. A telephone replay will begin immediately following the call until Wednesday, August 3, 2005 at midnight ET. To access the rebroadcast, please dial (630) 652-3000 and enter passcode number 12020969#.</w:t>
      </w:r>
    </w:p>
    <w:p>
      <w:pPr>
        <w:spacing w:after="0" w:line="199"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To automatically receive Comcast financial news by email, please visit www.cmcsa.com or www.cmcsk.com and subscribe to e-mail Alerts.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About Comcast:</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Corporation (Nasdaq: CMCSA, CMCSK) (www.comcast.com) is the nation's leading provider of cable, entertainment and communications products and services. With 21.4 million cable customers, 7.7 million high-speed Internet customers, and 1.2 million voice customers, Comcast is principally involved in the development, management and operation of broadband cable networks and in the delivery of programming content.</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Company's content networks and investments include E! Entertainment Television, Style Network, The Golf Channel, Outdoor Life Network,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ectPr>
          <w:pgSz w:w="11900" w:h="16838" w:orient="portrait"/>
          <w:cols w:equalWidth="0" w:num="1">
            <w:col w:w="10219"/>
          </w:cols>
          <w:pgMar w:left="240" w:top="699" w:right="1440" w:bottom="1440" w:gutter="0" w:footer="0" w:header="0"/>
        </w:sectPr>
      </w:pPr>
    </w:p>
    <w:bookmarkStart w:id="8" w:name="page9"/>
    <w:bookmarkEnd w:id="8"/>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1</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Condensed Consolidated Statement of Operations (Unaudited)</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(amounts in millions,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ind w:right="276"/>
              <w:spacing w:after="0"/>
              <w:rPr>
                <w:sz w:val="20"/>
                <w:szCs w:val="20"/>
                <w:color w:val="auto"/>
              </w:rPr>
            </w:pPr>
            <w:r>
              <w:rPr>
                <w:rFonts w:ascii="Courier New" w:cs="Courier New" w:eastAsia="Courier New" w:hAnsi="Courier New"/>
                <w:sz w:val="17"/>
                <w:szCs w:val="17"/>
                <w:color w:val="auto"/>
                <w:w w:val="98"/>
              </w:rPr>
              <w:t>Three Months Ended</w:t>
            </w:r>
          </w:p>
        </w:tc>
        <w:tc>
          <w:tcPr>
            <w:tcW w:w="300" w:type="dxa"/>
            <w:vAlign w:val="bottom"/>
          </w:tcPr>
          <w:p>
            <w:pPr>
              <w:spacing w:after="0"/>
              <w:rPr>
                <w:sz w:val="16"/>
                <w:szCs w:val="16"/>
                <w:color w:val="auto"/>
              </w:rPr>
            </w:pPr>
          </w:p>
        </w:tc>
        <w:tc>
          <w:tcPr>
            <w:tcW w:w="198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720" w:type="dxa"/>
            <w:vAlign w:val="bottom"/>
          </w:tcPr>
          <w:p>
            <w:pPr>
              <w:spacing w:after="0"/>
              <w:rPr>
                <w:sz w:val="16"/>
                <w:szCs w:val="16"/>
                <w:color w:val="auto"/>
              </w:rPr>
            </w:pPr>
          </w:p>
        </w:tc>
      </w:tr>
      <w:tr>
        <w:trPr>
          <w:trHeight w:val="194"/>
        </w:trPr>
        <w:tc>
          <w:tcPr>
            <w:tcW w:w="3600" w:type="dxa"/>
            <w:vAlign w:val="bottom"/>
          </w:tcPr>
          <w:p>
            <w:pPr>
              <w:spacing w:after="0"/>
              <w:rPr>
                <w:sz w:val="16"/>
                <w:szCs w:val="16"/>
                <w:color w:val="auto"/>
              </w:rPr>
            </w:pPr>
          </w:p>
        </w:tc>
        <w:tc>
          <w:tcPr>
            <w:tcW w:w="2420" w:type="dxa"/>
            <w:vAlign w:val="bottom"/>
            <w:gridSpan w:val="4"/>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2005</w:t>
            </w:r>
          </w:p>
        </w:tc>
        <w:tc>
          <w:tcPr>
            <w:tcW w:w="36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2004</w:t>
            </w:r>
          </w:p>
        </w:tc>
        <w:tc>
          <w:tcPr>
            <w:tcW w:w="30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2005</w:t>
            </w:r>
          </w:p>
        </w:tc>
        <w:tc>
          <w:tcPr>
            <w:tcW w:w="34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2004</w:t>
            </w:r>
          </w:p>
        </w:tc>
      </w:tr>
      <w:tr>
        <w:trPr>
          <w:trHeight w:val="194"/>
        </w:trPr>
        <w:tc>
          <w:tcPr>
            <w:tcW w:w="360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5,598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5,066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10,961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9,974</w:t>
            </w:r>
          </w:p>
        </w:tc>
      </w:tr>
      <w:tr>
        <w:trPr>
          <w:trHeight w:val="389"/>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Operating expenses</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1,944</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1,794</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3,901</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3,663</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Selling, general and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00" w:type="dxa"/>
            <w:vAlign w:val="bottom"/>
          </w:tcPr>
          <w:p>
            <w:pPr>
              <w:ind w:left="620"/>
              <w:spacing w:after="0"/>
              <w:rPr>
                <w:sz w:val="20"/>
                <w:szCs w:val="20"/>
                <w:color w:val="auto"/>
              </w:rPr>
            </w:pPr>
            <w:r>
              <w:rPr>
                <w:rFonts w:ascii="Courier New" w:cs="Courier New" w:eastAsia="Courier New" w:hAnsi="Courier New"/>
                <w:sz w:val="17"/>
                <w:szCs w:val="17"/>
                <w:color w:val="auto"/>
              </w:rPr>
              <w:t>administrative expenses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1,445</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1,320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2,821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2,626</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3,389</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3,114</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6,722</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6,289</w:t>
            </w:r>
          </w:p>
        </w:tc>
      </w:tr>
      <w:tr>
        <w:trPr>
          <w:trHeight w:val="194"/>
        </w:trPr>
        <w:tc>
          <w:tcPr>
            <w:tcW w:w="360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2,209</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1,952</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4,239</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3,685</w:t>
            </w:r>
          </w:p>
        </w:tc>
      </w:tr>
      <w:tr>
        <w:trPr>
          <w:trHeight w:val="389"/>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Depreciation expense</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891</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813</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1,765</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1,611</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Amortization expense</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560</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563</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1,161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2,325</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1,048</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852</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1,914</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Interest expense</w:t>
            </w: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(467)</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(484)</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(984)</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Investment income, net</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176</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151</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140</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Equity in net losses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00" w:type="dxa"/>
            <w:vAlign w:val="bottom"/>
          </w:tcPr>
          <w:p>
            <w:pPr>
              <w:ind w:left="620"/>
              <w:spacing w:after="0"/>
              <w:rPr>
                <w:sz w:val="20"/>
                <w:szCs w:val="20"/>
                <w:color w:val="auto"/>
              </w:rPr>
            </w:pPr>
            <w:r>
              <w:rPr>
                <w:rFonts w:ascii="Courier New" w:cs="Courier New" w:eastAsia="Courier New" w:hAnsi="Courier New"/>
                <w:sz w:val="17"/>
                <w:szCs w:val="17"/>
                <w:color w:val="auto"/>
              </w:rPr>
              <w:t>affiliates</w:t>
            </w: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Other income (expense)</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(78)</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(277)</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(341)</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(853)</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(860)</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and Minority Interest</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771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511</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1,061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24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(331)</w:t>
            </w:r>
          </w:p>
        </w:tc>
        <w:tc>
          <w:tcPr>
            <w:tcW w:w="3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(234)</w:t>
            </w:r>
          </w:p>
        </w:tc>
        <w:tc>
          <w:tcPr>
            <w:tcW w:w="300" w:type="dxa"/>
            <w:vAlign w:val="bottom"/>
          </w:tcPr>
          <w:p>
            <w:pPr>
              <w:spacing w:after="0"/>
              <w:rPr>
                <w:sz w:val="24"/>
                <w:szCs w:val="24"/>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(471)</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(310)</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Before Minority Interest</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440</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277</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590</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Minority interest</w:t>
            </w:r>
          </w:p>
        </w:tc>
        <w:tc>
          <w:tcPr>
            <w:tcW w:w="24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w:t>
            </w:r>
          </w:p>
        </w:tc>
        <w:tc>
          <w:tcPr>
            <w:tcW w:w="300" w:type="dxa"/>
            <w:vAlign w:val="bottom"/>
          </w:tcPr>
          <w:p>
            <w:pPr>
              <w:spacing w:after="0"/>
              <w:rPr>
                <w:sz w:val="24"/>
                <w:szCs w:val="24"/>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430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573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327</w:t>
            </w:r>
          </w:p>
        </w:tc>
      </w:tr>
      <w:tr>
        <w:trPr>
          <w:trHeight w:val="389"/>
        </w:trPr>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Net Income per common share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0.19</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0.26</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2,207</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2,257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2,211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2,257</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2,221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2,267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2,224</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2,268</w:t>
            </w:r>
          </w:p>
        </w:tc>
      </w:tr>
    </w:tbl>
    <w:p>
      <w:pPr>
        <w:sectPr>
          <w:pgSz w:w="11900" w:h="16838" w:orient="portrait"/>
          <w:cols w:equalWidth="0" w:num="1">
            <w:col w:w="10219"/>
          </w:cols>
          <w:pgMar w:left="240" w:top="69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gridSpan w:val="3"/>
          </w:tcPr>
          <w:p>
            <w:pPr>
              <w:jc w:val="center"/>
              <w:ind w:left="2696"/>
              <w:spacing w:after="0"/>
              <w:rPr>
                <w:sz w:val="20"/>
                <w:szCs w:val="20"/>
                <w:color w:val="auto"/>
              </w:rPr>
            </w:pPr>
            <w:r>
              <w:rPr>
                <w:rFonts w:ascii="Courier New" w:cs="Courier New" w:eastAsia="Courier New" w:hAnsi="Courier New"/>
                <w:sz w:val="17"/>
                <w:szCs w:val="17"/>
                <w:color w:val="auto"/>
                <w:w w:val="99"/>
              </w:rPr>
              <w:t>COMCAST CORPORATION</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1680" w:type="dxa"/>
            <w:vAlign w:val="bottom"/>
            <w:gridSpan w:val="2"/>
          </w:tcPr>
          <w:p>
            <w:pPr>
              <w:jc w:val="center"/>
              <w:ind w:right="876"/>
              <w:spacing w:after="0"/>
              <w:rPr>
                <w:sz w:val="20"/>
                <w:szCs w:val="20"/>
                <w:color w:val="auto"/>
              </w:rPr>
            </w:pPr>
            <w:r>
              <w:rPr>
                <w:rFonts w:ascii="Courier New" w:cs="Courier New" w:eastAsia="Courier New" w:hAnsi="Courier New"/>
                <w:sz w:val="17"/>
                <w:szCs w:val="17"/>
                <w:color w:val="auto"/>
              </w:rPr>
              <w:t>TABLE 2</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6780" w:type="dxa"/>
            <w:vAlign w:val="bottom"/>
            <w:gridSpan w:val="5"/>
          </w:tcPr>
          <w:p>
            <w:pPr>
              <w:ind w:left="1620"/>
              <w:spacing w:after="0"/>
              <w:rPr>
                <w:sz w:val="20"/>
                <w:szCs w:val="20"/>
                <w:color w:val="auto"/>
              </w:rPr>
            </w:pPr>
            <w:r>
              <w:rPr>
                <w:rFonts w:ascii="Courier New" w:cs="Courier New" w:eastAsia="Courier New" w:hAnsi="Courier New"/>
                <w:sz w:val="17"/>
                <w:szCs w:val="17"/>
                <w:color w:val="auto"/>
              </w:rPr>
              <w:t>Condensed Consolidated Balance Sheet (Unaudited)</w:t>
            </w:r>
          </w:p>
        </w:tc>
      </w:tr>
      <w:tr>
        <w:trPr>
          <w:trHeight w:val="194"/>
        </w:trPr>
        <w:tc>
          <w:tcPr>
            <w:tcW w:w="5420" w:type="dxa"/>
            <w:vAlign w:val="bottom"/>
            <w:gridSpan w:val="3"/>
          </w:tcPr>
          <w:p>
            <w:pPr>
              <w:jc w:val="center"/>
              <w:ind w:left="2696"/>
              <w:spacing w:after="0"/>
              <w:rPr>
                <w:sz w:val="20"/>
                <w:szCs w:val="20"/>
                <w:color w:val="auto"/>
              </w:rPr>
            </w:pPr>
            <w:r>
              <w:rPr>
                <w:rFonts w:ascii="Courier New" w:cs="Courier New" w:eastAsia="Courier New" w:hAnsi="Courier New"/>
                <w:sz w:val="17"/>
                <w:szCs w:val="17"/>
                <w:color w:val="auto"/>
                <w:w w:val="98"/>
              </w:rPr>
              <w:t>(dollars in millions)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June 30,</w:t>
            </w:r>
          </w:p>
        </w:tc>
        <w:tc>
          <w:tcPr>
            <w:tcW w:w="13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December 31,</w:t>
            </w:r>
          </w:p>
        </w:tc>
      </w:tr>
      <w:tr>
        <w:trPr>
          <w:trHeight w:val="194"/>
        </w:trPr>
        <w:tc>
          <w:tcPr>
            <w:tcW w:w="3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2005</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740" w:type="dxa"/>
            <w:vAlign w:val="bottom"/>
          </w:tcPr>
          <w:p>
            <w:pPr>
              <w:spacing w:after="0"/>
              <w:rPr>
                <w:sz w:val="16"/>
                <w:szCs w:val="16"/>
                <w:color w:val="auto"/>
              </w:rPr>
            </w:pPr>
          </w:p>
        </w:tc>
        <w:tc>
          <w:tcPr>
            <w:tcW w:w="16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CURRENT ASSETS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1,335</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452</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Investments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848</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1,555</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Accounts receivable, net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1,031</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959</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Other current assets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570</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569</w:t>
            </w:r>
          </w:p>
        </w:tc>
      </w:tr>
      <w:tr>
        <w:trPr>
          <w:trHeight w:val="194"/>
        </w:trPr>
        <w:tc>
          <w:tcPr>
            <w:tcW w:w="374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assets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3,784</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3,535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INVESTMENTS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13,208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12,812</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PROPERTY AND EQUIPMENT,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18,797</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18,711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FRANCHISE RIGHTS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51,075</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51,071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GOODWILL</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14,118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14,020</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INTANGIBLE ASSETS,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3,658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3,851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ASSETS,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707</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694</w:t>
            </w:r>
          </w:p>
        </w:tc>
      </w:tr>
      <w:tr>
        <w:trPr>
          <w:trHeight w:val="194"/>
        </w:trPr>
        <w:tc>
          <w:tcPr>
            <w:tcW w:w="3740" w:type="dxa"/>
            <w:vAlign w:val="bottom"/>
          </w:tcPr>
          <w:p>
            <w:pPr>
              <w:spacing w:after="0"/>
              <w:rPr>
                <w:sz w:val="16"/>
                <w:szCs w:val="16"/>
                <w:color w:val="auto"/>
              </w:rPr>
            </w:pP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105,347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104,694</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Accounts payable and accrued</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expenses related to trade</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creditors</w:t>
            </w: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2,042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2,041</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Accrued expenses and other</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2,663</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2,735</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110</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360</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Current portion of long-term</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debt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3,367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1,854</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Current portion of</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exchangeable debt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1,017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1,645</w:t>
            </w:r>
          </w:p>
        </w:tc>
      </w:tr>
      <w:tr>
        <w:trPr>
          <w:trHeight w:val="194"/>
        </w:trPr>
        <w:tc>
          <w:tcPr>
            <w:tcW w:w="3740" w:type="dxa"/>
            <w:vAlign w:val="bottom"/>
          </w:tcPr>
          <w:p>
            <w:pPr>
              <w:ind w:left="1220"/>
              <w:spacing w:after="0"/>
              <w:rPr>
                <w:sz w:val="20"/>
                <w:szCs w:val="20"/>
                <w:color w:val="auto"/>
              </w:rPr>
            </w:pPr>
            <w:r>
              <w:rPr>
                <w:rFonts w:ascii="Courier New" w:cs="Courier New" w:eastAsia="Courier New" w:hAnsi="Courier New"/>
                <w:sz w:val="17"/>
                <w:szCs w:val="17"/>
                <w:color w:val="auto"/>
                <w:w w:val="98"/>
              </w:rPr>
              <w:t>Total current liabilities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9,199</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8,635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LONG-TERM DEBT, less current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300"/>
              <w:spacing w:after="0"/>
              <w:rPr>
                <w:sz w:val="20"/>
                <w:szCs w:val="20"/>
                <w:color w:val="auto"/>
              </w:rPr>
            </w:pPr>
            <w:r>
              <w:rPr>
                <w:rFonts w:ascii="Courier New" w:cs="Courier New" w:eastAsia="Courier New" w:hAnsi="Courier New"/>
                <w:sz w:val="17"/>
                <w:szCs w:val="17"/>
                <w:color w:val="auto"/>
              </w:rPr>
              <w:t>portion</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19,697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20,039</w:t>
            </w:r>
          </w:p>
        </w:tc>
      </w:tr>
      <w:tr>
        <w:trPr>
          <w:trHeight w:val="194"/>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LONG-TERM EXCHANGEABLE DEBT, less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300"/>
              <w:spacing w:after="0"/>
              <w:rPr>
                <w:sz w:val="20"/>
                <w:szCs w:val="20"/>
                <w:color w:val="auto"/>
              </w:rPr>
            </w:pPr>
            <w:r>
              <w:rPr>
                <w:rFonts w:ascii="Courier New" w:cs="Courier New" w:eastAsia="Courier New" w:hAnsi="Courier New"/>
                <w:sz w:val="17"/>
                <w:szCs w:val="17"/>
                <w:color w:val="auto"/>
              </w:rPr>
              <w:t>current portion</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26,995</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26,815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LIABILITIES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7,310</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7,261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MINORITY INTEREST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679</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468</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STOCKHOLDERS' EQUITY</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41,418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41,422</w:t>
            </w:r>
          </w:p>
        </w:tc>
      </w:tr>
      <w:tr>
        <w:trPr>
          <w:trHeight w:val="194"/>
        </w:trPr>
        <w:tc>
          <w:tcPr>
            <w:tcW w:w="3740" w:type="dxa"/>
            <w:vAlign w:val="bottom"/>
          </w:tcPr>
          <w:p>
            <w:pPr>
              <w:spacing w:after="0"/>
              <w:rPr>
                <w:sz w:val="16"/>
                <w:szCs w:val="16"/>
                <w:color w:val="auto"/>
              </w:rPr>
            </w:pP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105,347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104,694</w:t>
            </w:r>
          </w:p>
        </w:tc>
      </w:tr>
    </w:tbl>
    <w:p>
      <w:pPr>
        <w:sectPr>
          <w:pgSz w:w="11900" w:h="16838" w:orient="portrait"/>
          <w:cols w:equalWidth="0" w:num="1">
            <w:col w:w="10219"/>
          </w:cols>
          <w:pgMar w:left="240" w:top="697" w:right="1440" w:bottom="1440" w:gutter="0" w:footer="0" w:header="0"/>
        </w:sectPr>
      </w:pPr>
    </w:p>
    <w:bookmarkStart w:id="10" w:name="page11"/>
    <w:bookmarkEnd w:id="10"/>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3</w:t>
      </w:r>
    </w:p>
    <w:p>
      <w:pPr>
        <w:spacing w:after="0" w:line="4"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6"/>
          <w:szCs w:val="16"/>
          <w:color w:val="auto"/>
        </w:rPr>
        <w:t>Condensed Consolidated Statement of Cash Flows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gridSpan w:val="3"/>
          </w:tcPr>
          <w:p>
            <w:pPr>
              <w:jc w:val="center"/>
              <w:ind w:left="2656"/>
              <w:spacing w:after="0"/>
              <w:rPr>
                <w:sz w:val="20"/>
                <w:szCs w:val="20"/>
                <w:color w:val="auto"/>
              </w:rPr>
            </w:pPr>
            <w:r>
              <w:rPr>
                <w:rFonts w:ascii="Courier New" w:cs="Courier New" w:eastAsia="Courier New" w:hAnsi="Courier New"/>
                <w:sz w:val="17"/>
                <w:szCs w:val="17"/>
                <w:color w:val="auto"/>
                <w:w w:val="98"/>
              </w:rPr>
              <w:t>(dollars in millions)</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960" w:type="dxa"/>
            <w:vAlign w:val="bottom"/>
          </w:tcPr>
          <w:p>
            <w:pPr>
              <w:spacing w:after="0"/>
              <w:rPr>
                <w:sz w:val="16"/>
                <w:szCs w:val="16"/>
                <w:color w:val="auto"/>
              </w:rPr>
            </w:pPr>
          </w:p>
        </w:tc>
      </w:tr>
      <w:tr>
        <w:trPr>
          <w:trHeight w:val="194"/>
        </w:trPr>
        <w:tc>
          <w:tcPr>
            <w:tcW w:w="3900" w:type="dxa"/>
            <w:vAlign w:val="bottom"/>
          </w:tcPr>
          <w:p>
            <w:pPr>
              <w:spacing w:after="0"/>
              <w:rPr>
                <w:sz w:val="16"/>
                <w:szCs w:val="16"/>
                <w:color w:val="auto"/>
              </w:rPr>
            </w:pPr>
          </w:p>
        </w:tc>
        <w:tc>
          <w:tcPr>
            <w:tcW w:w="29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2005</w:t>
            </w:r>
          </w:p>
        </w:tc>
        <w:tc>
          <w:tcPr>
            <w:tcW w:w="4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90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operating</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activities</w:t>
            </w: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2,517</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2,633</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borrowings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1,495</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1,058</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Retirements and repayments of debt</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(279)</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(1,617)</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Repurchases of common stock and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stock options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(660)</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(511)</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Issuances of common stock</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Other, net</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w:t>
            </w:r>
          </w:p>
        </w:tc>
      </w:tr>
      <w:tr>
        <w:trPr>
          <w:trHeight w:val="389"/>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(used in)</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financing activities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698</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(1,024)</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Capital expenditures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(1,732)</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sales and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restructuring of investments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317</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Purchases of investments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Acquisitions, net of cash acquired</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(336)</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Additions to intangible and other</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noncurrent assets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(453)</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Purchases of short-term</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investments, net</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settlement of contract</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of acquired company</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w:t>
            </w:r>
          </w:p>
        </w:tc>
      </w:tr>
      <w:tr>
        <w:trPr>
          <w:trHeight w:val="389"/>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activities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(2,565)</w:t>
            </w:r>
          </w:p>
        </w:tc>
      </w:tr>
      <w:tr>
        <w:trPr>
          <w:trHeight w:val="389"/>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INCREASE (DECREASE) IN CASH AND</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CASH EQUIVALENTS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(956)</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of period</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452</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1,550</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period</w:t>
            </w: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1,335</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594</w:t>
            </w:r>
          </w:p>
        </w:tc>
      </w:tr>
    </w:tbl>
    <w:p>
      <w:pPr>
        <w:sectPr>
          <w:pgSz w:w="11900" w:h="16838" w:orient="portrait"/>
          <w:cols w:equalWidth="0" w:num="1">
            <w:col w:w="10219"/>
          </w:cols>
          <w:pgMar w:left="240" w:top="697" w:right="1440" w:bottom="1440" w:gutter="0" w:footer="0" w:header="0"/>
        </w:sectPr>
      </w:pPr>
    </w:p>
    <w:bookmarkStart w:id="11" w:name="page12"/>
    <w:bookmarkEnd w:id="11"/>
    <w:p>
      <w:pPr>
        <w:jc w:val="center"/>
        <w:ind w:right="2019"/>
        <w:spacing w:after="0"/>
        <w:rPr>
          <w:sz w:val="20"/>
          <w:szCs w:val="20"/>
          <w:color w:val="auto"/>
        </w:rPr>
      </w:pPr>
      <w:r>
        <w:rPr>
          <w:rFonts w:ascii="Courier New" w:cs="Courier New" w:eastAsia="Courier New" w:hAnsi="Courier New"/>
          <w:sz w:val="17"/>
          <w:szCs w:val="17"/>
          <w:color w:val="auto"/>
        </w:rPr>
        <w:t>TABLE 4</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Calculation of Free Cash Flow (Unaudited) (1)</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8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960" w:type="dxa"/>
            <w:vAlign w:val="bottom"/>
          </w:tcPr>
          <w:p>
            <w:pPr>
              <w:spacing w:after="0"/>
              <w:rPr>
                <w:sz w:val="16"/>
                <w:szCs w:val="16"/>
                <w:color w:val="auto"/>
              </w:rPr>
            </w:pPr>
          </w:p>
        </w:tc>
      </w:tr>
      <w:tr>
        <w:trPr>
          <w:trHeight w:val="194"/>
        </w:trPr>
        <w:tc>
          <w:tcPr>
            <w:tcW w:w="3840" w:type="dxa"/>
            <w:vAlign w:val="bottom"/>
          </w:tcPr>
          <w:p>
            <w:pPr>
              <w:spacing w:after="0"/>
              <w:rPr>
                <w:sz w:val="16"/>
                <w:szCs w:val="16"/>
                <w:color w:val="auto"/>
              </w:rPr>
            </w:pPr>
          </w:p>
        </w:tc>
        <w:tc>
          <w:tcPr>
            <w:tcW w:w="30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2005</w:t>
            </w:r>
          </w:p>
        </w:tc>
        <w:tc>
          <w:tcPr>
            <w:tcW w:w="4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840" w:type="dxa"/>
            <w:vAlign w:val="bottom"/>
          </w:tcPr>
          <w:p>
            <w:pPr>
              <w:spacing w:after="0"/>
              <w:rPr>
                <w:sz w:val="16"/>
                <w:szCs w:val="16"/>
                <w:color w:val="auto"/>
              </w:rPr>
            </w:pPr>
          </w:p>
        </w:tc>
        <w:tc>
          <w:tcPr>
            <w:tcW w:w="1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4,239</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3,685</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Interest, Net (2)</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(826)</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(906)</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Cash Paid for Income Taxes</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(1,732)</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1,144</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897</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Changes in Working Capital and Other</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Items (3)</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(469)</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Cash Provided by (Used in)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Operating Activities Less Capital</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Expenditures</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675</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901</w:t>
            </w:r>
          </w:p>
        </w:tc>
      </w:tr>
    </w:tbl>
    <w:p>
      <w:pPr>
        <w:spacing w:after="0" w:line="199" w:lineRule="exact"/>
        <w:rPr>
          <w:sz w:val="20"/>
          <w:szCs w:val="20"/>
          <w:color w:val="auto"/>
        </w:rPr>
      </w:pPr>
    </w:p>
    <w:p>
      <w:pPr>
        <w:ind w:left="500" w:right="2119" w:hanging="496"/>
        <w:spacing w:after="0" w:line="258"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is defined as Operating Cash Flow less net interest, cash paid for taxes, and capital expenditures. It is unaffected by fluctuations in working capital levels from period to period and cash payments associated with intangible and other noncurrent assets. Cash payments for intangible and other noncurrent assets include long-term technology license agreements including computer software, long term rights to service multi-dwelling properties and programming content for our cable networks. In 2005, cash payments for intangibles and other noncurrent assets of $305 million included licenses and software intangibles of approximately $105 million, multiple dwelling unit contracts of approximately $67 million and acquisitions of additional ownership interests in certain of our majority owned subsidiaries. In 2004, cash payments for intangible assets of $453 million included a long-term strategic license agreement with Gemstar of approximately $250 million, other licenses and software intangibles of $104 million and multiple dwelling unit contracts of $69 million. In 2005, cash payments for acquisitions and investments totaling $439 million included MGM Inc., Liberate Technologies, and MetaTV. In 2004, cash payments for acquisitions primarily related to the acquisition of TechTV.</w:t>
      </w:r>
    </w:p>
    <w:p>
      <w:pPr>
        <w:spacing w:after="0" w:line="382" w:lineRule="exact"/>
        <w:rPr>
          <w:rFonts w:ascii="Courier New" w:cs="Courier New" w:eastAsia="Courier New" w:hAnsi="Courier New"/>
          <w:sz w:val="16"/>
          <w:szCs w:val="16"/>
          <w:color w:val="auto"/>
        </w:rPr>
      </w:pPr>
    </w:p>
    <w:p>
      <w:pPr>
        <w:ind w:left="500" w:right="2639" w:hanging="496"/>
        <w:spacing w:after="0" w:line="239"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pacing w:after="0" w:line="199" w:lineRule="exact"/>
        <w:rPr>
          <w:rFonts w:ascii="Courier New" w:cs="Courier New" w:eastAsia="Courier New" w:hAnsi="Courier New"/>
          <w:sz w:val="17"/>
          <w:szCs w:val="17"/>
          <w:color w:val="auto"/>
        </w:rPr>
      </w:pPr>
    </w:p>
    <w:p>
      <w:pPr>
        <w:ind w:left="500" w:right="2319" w:hanging="496"/>
        <w:spacing w:after="0" w:line="259"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excludes amounts necessary to reconcile Free Cash Flow to "Net Cash Provided by Operating Activities Less Capital Expenditures." In 2005, this amount includes $383 million in cash payments for liabilities incurred as part of the acquisition of AT&amp;T Broadband, including $220 million in payments representing our share of the settlement payments related to certain AT&amp;T litigation. In 2004, this amount includes income tax refunds of $536 million offset by $199 million in cash payments for liabilities recorded as part of the acquisition of AT&amp;T Broadband.</w:t>
      </w:r>
    </w:p>
    <w:p>
      <w:pPr>
        <w:sectPr>
          <w:pgSz w:w="11900" w:h="16838" w:orient="portrait"/>
          <w:cols w:equalWidth="0" w:num="1">
            <w:col w:w="10219"/>
          </w:cols>
          <w:pgMar w:left="240" w:top="697" w:right="1440" w:bottom="1440" w:gutter="0" w:footer="0" w:header="0"/>
        </w:sectPr>
      </w:pPr>
    </w:p>
    <w:bookmarkStart w:id="12" w:name="page13"/>
    <w:bookmarkEnd w:id="12"/>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5</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Pro Forma Financial Data by Business Segment (Unaudited) (1)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(dollars in millions)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8"/>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Corporate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and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Content</w:t>
            </w: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Other</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Cable (2)</w:t>
            </w: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(4)</w:t>
            </w:r>
          </w:p>
        </w:tc>
        <w:tc>
          <w:tcPr>
            <w:tcW w:w="3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4"/>
        </w:trPr>
        <w:tc>
          <w:tcPr>
            <w:tcW w:w="3440" w:type="dxa"/>
            <w:vAlign w:val="bottom"/>
          </w:tcPr>
          <w:p>
            <w:pPr>
              <w:spacing w:after="0"/>
              <w:rPr>
                <w:sz w:val="16"/>
                <w:szCs w:val="16"/>
                <w:color w:val="auto"/>
              </w:rPr>
            </w:pPr>
          </w:p>
        </w:tc>
        <w:tc>
          <w:tcPr>
            <w:tcW w:w="14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5,328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5,598</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2,175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1,048</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40.8%</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41.2%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950</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4,840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5,067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1,920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877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39.7%</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38.7%</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38.5%</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904</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Six Months Ended June 30, 2005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10,431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10,961</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4,170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40.0%</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1,819</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Six Months Ended June 30, 2004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9,490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375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3,641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1,581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1,513</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38.4%</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37.0%</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1,732</w:t>
            </w:r>
          </w:p>
        </w:tc>
      </w:tr>
    </w:tbl>
    <w:p>
      <w:pPr>
        <w:spacing w:after="0" w:line="393" w:lineRule="exact"/>
        <w:rPr>
          <w:sz w:val="20"/>
          <w:szCs w:val="20"/>
          <w:color w:val="auto"/>
        </w:rPr>
      </w:pPr>
    </w:p>
    <w:p>
      <w:pPr>
        <w:ind w:left="500" w:right="2219" w:hanging="496"/>
        <w:spacing w:after="0" w:line="257"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Non-GAAP and Other Financial Measures in Table 7. Historical financial data by business segment, as required under generally accepted accounting principles, is available in the Company's quarterly report on Form 10-Q.</w:t>
      </w:r>
    </w:p>
    <w:p>
      <w:pPr>
        <w:spacing w:after="0" w:line="1" w:lineRule="exact"/>
        <w:rPr>
          <w:rFonts w:ascii="Courier New" w:cs="Courier New" w:eastAsia="Courier New" w:hAnsi="Courier New"/>
          <w:sz w:val="16"/>
          <w:szCs w:val="16"/>
          <w:color w:val="auto"/>
        </w:rPr>
      </w:pPr>
    </w:p>
    <w:p>
      <w:pPr>
        <w:ind w:left="500" w:right="231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All percentages are calculated based on actual amounts. Minor differences may exist due to rounding.</w:t>
      </w:r>
    </w:p>
    <w:p>
      <w:pPr>
        <w:spacing w:after="0" w:line="199" w:lineRule="exact"/>
        <w:rPr>
          <w:rFonts w:ascii="Courier New" w:cs="Courier New" w:eastAsia="Courier New" w:hAnsi="Courier New"/>
          <w:sz w:val="16"/>
          <w:szCs w:val="16"/>
          <w:color w:val="auto"/>
        </w:rPr>
      </w:pPr>
    </w:p>
    <w:p>
      <w:pPr>
        <w:ind w:left="500" w:right="3139" w:hanging="496"/>
        <w:spacing w:after="0" w:line="239"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data includes the results of the 30,000 cable subscribers acquired from US Coastal Cable in April 2004.</w:t>
      </w:r>
    </w:p>
    <w:p>
      <w:pPr>
        <w:spacing w:after="0" w:line="199" w:lineRule="exact"/>
        <w:rPr>
          <w:rFonts w:ascii="Courier New" w:cs="Courier New" w:eastAsia="Courier New" w:hAnsi="Courier New"/>
          <w:sz w:val="17"/>
          <w:szCs w:val="17"/>
          <w:color w:val="auto"/>
        </w:rPr>
      </w:pPr>
    </w:p>
    <w:p>
      <w:pPr>
        <w:ind w:left="500" w:right="2119" w:hanging="496"/>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includes our national networks E! Entertainment Television and Style Network (E! Networks), The Golf Channel, Outdoor Life Network, G4 and AZN Television.</w:t>
      </w:r>
    </w:p>
    <w:p>
      <w:pPr>
        <w:spacing w:after="0" w:line="200" w:lineRule="exact"/>
        <w:rPr>
          <w:rFonts w:ascii="Courier New" w:cs="Courier New" w:eastAsia="Courier New" w:hAnsi="Courier New"/>
          <w:sz w:val="17"/>
          <w:szCs w:val="17"/>
          <w:color w:val="auto"/>
        </w:rPr>
      </w:pPr>
    </w:p>
    <w:p>
      <w:pPr>
        <w:ind w:left="500" w:right="2439" w:hanging="496"/>
        <w:spacing w:after="0" w:line="241"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and Other includes Comcast-Spectacor, Corporate activities and all other businesses not presented in the Cable or Content segments and elimination entries. Beginning in the third quarter of 2004, Comcast-Spectacor includes the operating results of its investment in a sports-event related business.</w:t>
      </w:r>
    </w:p>
    <w:p>
      <w:pPr>
        <w:spacing w:after="0" w:line="199" w:lineRule="exact"/>
        <w:rPr>
          <w:rFonts w:ascii="Courier New" w:cs="Courier New" w:eastAsia="Courier New" w:hAnsi="Courier New"/>
          <w:sz w:val="17"/>
          <w:szCs w:val="17"/>
          <w:color w:val="auto"/>
        </w:rPr>
      </w:pPr>
    </w:p>
    <w:p>
      <w:pPr>
        <w:ind w:left="500" w:right="2539" w:hanging="496"/>
        <w:spacing w:after="0" w:line="239"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Cable segment's capital expenditures are comprised of the following categories:</w:t>
      </w:r>
    </w:p>
    <w:p>
      <w:pPr>
        <w:sectPr>
          <w:pgSz w:w="11900" w:h="16838" w:orient="portrait"/>
          <w:cols w:equalWidth="0" w:num="1">
            <w:col w:w="10219"/>
          </w:cols>
          <w:pgMar w:left="240" w:top="69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YTD</w:t>
            </w:r>
          </w:p>
        </w:tc>
        <w:tc>
          <w:tcPr>
            <w:tcW w:w="36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YTD</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2Q05</w:t>
            </w:r>
          </w:p>
        </w:tc>
        <w:tc>
          <w:tcPr>
            <w:tcW w:w="34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2Q04</w:t>
            </w:r>
          </w:p>
        </w:tc>
        <w:tc>
          <w:tcPr>
            <w:tcW w:w="3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2Q05</w:t>
            </w:r>
          </w:p>
        </w:tc>
        <w:tc>
          <w:tcPr>
            <w:tcW w:w="36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2Q04</w:t>
            </w:r>
          </w:p>
        </w:tc>
      </w:tr>
      <w:tr>
        <w:trPr>
          <w:trHeight w:val="194"/>
        </w:trPr>
        <w:tc>
          <w:tcPr>
            <w:tcW w:w="324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240" w:type="dxa"/>
            <w:vAlign w:val="bottom"/>
          </w:tcPr>
          <w:p>
            <w:pPr>
              <w:spacing w:after="0"/>
              <w:rPr>
                <w:sz w:val="20"/>
                <w:szCs w:val="20"/>
                <w:color w:val="auto"/>
              </w:rPr>
            </w:pPr>
            <w:r>
              <w:rPr>
                <w:rFonts w:ascii="Courier New" w:cs="Courier New" w:eastAsia="Courier New" w:hAnsi="Courier New"/>
                <w:sz w:val="17"/>
                <w:szCs w:val="17"/>
                <w:color w:val="auto"/>
              </w:rPr>
              <w:t>New Service Offerings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39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Customer Premise Equipment (CPE) $</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630</w:t>
            </w: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Scalable Infrastructure</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227</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436</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231</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696</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448</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1,368</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861</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Recurring Capital Projects</w:t>
            </w: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Line Extensions</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Support Capital</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165</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284</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306</w:t>
            </w:r>
          </w:p>
        </w:tc>
      </w:tr>
      <w:tr>
        <w:trPr>
          <w:trHeight w:val="5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Upgrades</w:t>
            </w:r>
          </w:p>
        </w:tc>
        <w:tc>
          <w:tcPr>
            <w:tcW w:w="66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w:t>
            </w:r>
          </w:p>
        </w:tc>
        <w:tc>
          <w:tcPr>
            <w:tcW w:w="34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288</w:t>
            </w:r>
          </w:p>
        </w:tc>
        <w:tc>
          <w:tcPr>
            <w:tcW w:w="36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167</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936</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1,819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1,707</w:t>
            </w:r>
          </w:p>
        </w:tc>
      </w:tr>
    </w:tbl>
    <w:p>
      <w:pPr>
        <w:spacing w:after="0" w:line="393"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95"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6</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Pro Forma Data - Cable Segment Components (Unaudited) (1) (2)</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 except average monthly revenue per subscriber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3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198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720" w:type="dxa"/>
            <w:vAlign w:val="bottom"/>
          </w:tcPr>
          <w:p>
            <w:pPr>
              <w:spacing w:after="0"/>
              <w:rPr>
                <w:sz w:val="16"/>
                <w:szCs w:val="16"/>
                <w:color w:val="auto"/>
              </w:rPr>
            </w:pPr>
          </w:p>
        </w:tc>
      </w:tr>
      <w:tr>
        <w:trPr>
          <w:trHeight w:val="194"/>
        </w:trPr>
        <w:tc>
          <w:tcPr>
            <w:tcW w:w="3640" w:type="dxa"/>
            <w:vAlign w:val="bottom"/>
          </w:tcPr>
          <w:p>
            <w:pPr>
              <w:spacing w:after="0"/>
              <w:rPr>
                <w:sz w:val="16"/>
                <w:szCs w:val="16"/>
                <w:color w:val="auto"/>
              </w:rPr>
            </w:pPr>
          </w:p>
        </w:tc>
        <w:tc>
          <w:tcPr>
            <w:tcW w:w="2380" w:type="dxa"/>
            <w:vAlign w:val="bottom"/>
            <w:gridSpan w:val="4"/>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2005</w:t>
            </w:r>
          </w:p>
        </w:tc>
        <w:tc>
          <w:tcPr>
            <w:tcW w:w="36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2004</w:t>
            </w:r>
          </w:p>
        </w:tc>
        <w:tc>
          <w:tcPr>
            <w:tcW w:w="30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2005</w:t>
            </w:r>
          </w:p>
        </w:tc>
        <w:tc>
          <w:tcPr>
            <w:tcW w:w="34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2004</w:t>
            </w:r>
          </w:p>
        </w:tc>
      </w:tr>
      <w:tr>
        <w:trPr>
          <w:trHeight w:val="194"/>
        </w:trPr>
        <w:tc>
          <w:tcPr>
            <w:tcW w:w="3640" w:type="dxa"/>
            <w:vAlign w:val="bottom"/>
          </w:tcPr>
          <w:p>
            <w:pPr>
              <w:spacing w:after="0"/>
              <w:rPr>
                <w:sz w:val="16"/>
                <w:szCs w:val="16"/>
                <w:color w:val="auto"/>
              </w:rPr>
            </w:pPr>
          </w:p>
        </w:tc>
        <w:tc>
          <w:tcPr>
            <w:tcW w:w="11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Video (3)</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3,441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6,803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6,433</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High-Speed Internet</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982</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763</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1,907</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Phone</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343</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355</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Advertising</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362</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658</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599</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Other (4)</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203</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159</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383</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Franchise Fees</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163</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337</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322</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5,328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4,840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10,431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9,490</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2,175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4,170</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3,641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1,945</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1,581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26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40.8%</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39.7%</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1,819</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1,707</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 Net of Capital</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Expenditures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1,239</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2,351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1,934</w:t>
            </w:r>
          </w:p>
        </w:tc>
      </w:tr>
    </w:tbl>
    <w:p>
      <w:pPr>
        <w:sectPr>
          <w:pgSz w:w="11900" w:h="16838" w:orient="portrait"/>
          <w:cols w:equalWidth="0" w:num="1">
            <w:col w:w="10219"/>
          </w:cols>
          <w:pgMar w:left="240" w:top="1086"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2Q05</w:t>
            </w:r>
          </w:p>
        </w:tc>
        <w:tc>
          <w:tcPr>
            <w:tcW w:w="360" w:type="dxa"/>
            <w:vAlign w:val="bottom"/>
          </w:tcPr>
          <w:p>
            <w:pPr>
              <w:spacing w:after="0"/>
              <w:rPr>
                <w:sz w:val="16"/>
                <w:szCs w:val="16"/>
                <w:color w:val="auto"/>
              </w:rPr>
            </w:pPr>
          </w:p>
        </w:tc>
        <w:tc>
          <w:tcPr>
            <w:tcW w:w="96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2Q04</w:t>
            </w:r>
          </w:p>
        </w:tc>
        <w:tc>
          <w:tcPr>
            <w:tcW w:w="340" w:type="dxa"/>
            <w:vAlign w:val="bottom"/>
          </w:tcPr>
          <w:p>
            <w:pPr>
              <w:spacing w:after="0"/>
              <w:rPr>
                <w:sz w:val="16"/>
                <w:szCs w:val="16"/>
                <w:color w:val="auto"/>
              </w:rPr>
            </w:pPr>
          </w:p>
        </w:tc>
        <w:tc>
          <w:tcPr>
            <w:tcW w:w="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1Q05</w:t>
            </w:r>
          </w:p>
        </w:tc>
      </w:tr>
      <w:tr>
        <w:trPr>
          <w:trHeight w:val="194"/>
        </w:trPr>
        <w:tc>
          <w:tcPr>
            <w:tcW w:w="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Homes Passed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41,200</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40,300</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41,000</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Basic 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21,448</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21,485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21,525</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Basic 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52.1%</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52.6%</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Basic Subscriber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Additions (000's)</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Subscribers (000's)</w:t>
            </w:r>
          </w:p>
        </w:tc>
        <w:tc>
          <w:tcPr>
            <w:tcW w:w="36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9,140</w:t>
            </w:r>
          </w:p>
        </w:tc>
        <w:tc>
          <w:tcPr>
            <w:tcW w:w="360" w:type="dxa"/>
            <w:vAlign w:val="bottom"/>
          </w:tcPr>
          <w:p>
            <w:pPr>
              <w:spacing w:after="0"/>
              <w:rPr>
                <w:sz w:val="24"/>
                <w:szCs w:val="24"/>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8,065</w:t>
            </w:r>
          </w:p>
        </w:tc>
        <w:tc>
          <w:tcPr>
            <w:tcW w:w="3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8,856</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42.6%</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41.1%</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Digital Subscriber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Additions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284</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Set-Top Boxes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13,859</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11,926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13,365</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Video Revenue per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Basic 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50.29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52.04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Total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Basic 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82.67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74.91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78.99</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High-Speed Internet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"Available" Homes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40,758</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37,323</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40,483</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7,705</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6,007</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7,408</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18.9%</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Subscriber Additions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327</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43.34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43.50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42.81</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Phone</w:t>
            </w: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"Available" Homes (000's) (5)</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12,227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9,766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11,277</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1,230</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1,225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1,228</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Subscriber Additions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46.06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47.71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47.07</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Total Revenue Generating Units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jc w:val="right"/>
              <w:ind w:right="2336"/>
              <w:spacing w:after="0"/>
              <w:rPr>
                <w:sz w:val="20"/>
                <w:szCs w:val="20"/>
                <w:color w:val="auto"/>
              </w:rPr>
            </w:pPr>
            <w:r>
              <w:rPr>
                <w:rFonts w:ascii="Courier New" w:cs="Courier New" w:eastAsia="Courier New" w:hAnsi="Courier New"/>
                <w:sz w:val="17"/>
                <w:szCs w:val="17"/>
                <w:color w:val="auto"/>
              </w:rPr>
              <w:t>(6)</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39,523</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36,782</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39,017</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Additions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415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589</w:t>
            </w:r>
          </w:p>
        </w:tc>
      </w:tr>
    </w:tbl>
    <w:p>
      <w:pPr>
        <w:spacing w:after="0" w:line="199" w:lineRule="exact"/>
        <w:rPr>
          <w:sz w:val="20"/>
          <w:szCs w:val="20"/>
          <w:color w:val="auto"/>
        </w:rPr>
      </w:pPr>
    </w:p>
    <w:p>
      <w:pPr>
        <w:ind w:left="500" w:right="2319"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Non-GAAP and Other Financial Measures in Table 7. All percentages are calculated based on actual amounts. Minor differences may exist due to rounding.</w:t>
      </w:r>
    </w:p>
    <w:p>
      <w:pPr>
        <w:spacing w:after="0" w:line="200" w:lineRule="exact"/>
        <w:rPr>
          <w:rFonts w:ascii="Courier New" w:cs="Courier New" w:eastAsia="Courier New" w:hAnsi="Courier New"/>
          <w:sz w:val="17"/>
          <w:szCs w:val="17"/>
          <w:color w:val="auto"/>
        </w:rPr>
      </w:pPr>
    </w:p>
    <w:p>
      <w:pPr>
        <w:ind w:left="500" w:right="2119" w:hanging="496"/>
        <w:spacing w:after="0" w:line="241"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and subscriber data includes the results of the 30,000 cable subscribers acquired from US Coastal Cable in April 2004. Pro forma subscriber data also includes 60,000 subscribers acquired in various small acquisitions during the periods presented. The impact of these acquisitions on our segment operating results was not material.</w:t>
      </w:r>
    </w:p>
    <w:p>
      <w:pPr>
        <w:spacing w:after="0" w:line="199" w:lineRule="exact"/>
        <w:rPr>
          <w:rFonts w:ascii="Courier New" w:cs="Courier New" w:eastAsia="Courier New" w:hAnsi="Courier New"/>
          <w:sz w:val="17"/>
          <w:szCs w:val="17"/>
          <w:color w:val="auto"/>
        </w:rPr>
      </w:pPr>
    </w:p>
    <w:p>
      <w:pPr>
        <w:ind w:left="500" w:right="3039" w:hanging="496"/>
        <w:spacing w:after="0" w:line="239"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revenues consist of our basic, expanded basic, premium, pay-per-view, equipment and digital services.</w:t>
      </w:r>
    </w:p>
    <w:p>
      <w:pPr>
        <w:spacing w:after="0" w:line="199" w:lineRule="exact"/>
        <w:rPr>
          <w:rFonts w:ascii="Courier New" w:cs="Courier New" w:eastAsia="Courier New" w:hAnsi="Courier New"/>
          <w:sz w:val="17"/>
          <w:szCs w:val="17"/>
          <w:color w:val="auto"/>
        </w:rPr>
      </w:pPr>
    </w:p>
    <w:p>
      <w:pPr>
        <w:ind w:left="500" w:right="2319" w:hanging="496"/>
        <w:spacing w:after="0" w:line="241"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196"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homes includes circuit switched and Comcast Digital Voice homes.</w:t>
      </w:r>
    </w:p>
    <w:p>
      <w:pPr>
        <w:spacing w:after="0" w:line="198" w:lineRule="exact"/>
        <w:rPr>
          <w:rFonts w:ascii="Courier New" w:cs="Courier New" w:eastAsia="Courier New" w:hAnsi="Courier New"/>
          <w:sz w:val="17"/>
          <w:szCs w:val="17"/>
          <w:color w:val="auto"/>
        </w:rPr>
      </w:pPr>
    </w:p>
    <w:p>
      <w:pPr>
        <w:ind w:left="500" w:right="2439" w:hanging="496"/>
        <w:spacing w:after="0" w:line="239"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total of all basic video, digital video, high-speed Internet and phone subscribers, excluding additional outlets.</w:t>
      </w:r>
    </w:p>
    <w:p>
      <w:pPr>
        <w:sectPr>
          <w:pgSz w:w="11900" w:h="16838" w:orient="portrait"/>
          <w:cols w:equalWidth="0" w:num="1">
            <w:col w:w="10219"/>
          </w:cols>
          <w:pgMar w:left="240" w:top="697" w:right="1440" w:bottom="1440" w:gutter="0" w:footer="0" w:header="0"/>
        </w:sectPr>
      </w:pPr>
    </w:p>
    <w:bookmarkStart w:id="15" w:name="page16"/>
    <w:bookmarkEnd w:id="15"/>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7</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Non-GAAP and Other Financial Measures</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203" w:lineRule="exact"/>
        <w:rPr>
          <w:sz w:val="20"/>
          <w:szCs w:val="20"/>
          <w:color w:val="auto"/>
        </w:rPr>
      </w:pPr>
    </w:p>
    <w:p>
      <w:pPr>
        <w:ind w:right="2219" w:firstLine="404"/>
        <w:spacing w:after="0" w:line="242" w:lineRule="auto"/>
        <w:rPr>
          <w:sz w:val="20"/>
          <w:szCs w:val="20"/>
          <w:color w:val="auto"/>
        </w:rPr>
      </w:pPr>
      <w:r>
        <w:rPr>
          <w:rFonts w:ascii="Courier New" w:cs="Courier New" w:eastAsia="Courier New" w:hAnsi="Courier New"/>
          <w:sz w:val="17"/>
          <w:szCs w:val="17"/>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98"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203"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which is a non-GAAP financial measure, is defined as Operating Cash Flow less net interest, cash paid for taxes, and capital expenditures. As such, it is unaffected by fluctuations in working capital levels from period to period and cash payments associated with intangible and other non-current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204" w:lineRule="exact"/>
        <w:rPr>
          <w:sz w:val="20"/>
          <w:szCs w:val="20"/>
          <w:color w:val="auto"/>
        </w:rPr>
      </w:pPr>
    </w:p>
    <w:p>
      <w:pPr>
        <w:jc w:val="both"/>
        <w:ind w:right="2219" w:firstLine="404"/>
        <w:spacing w:after="0" w:line="263" w:lineRule="auto"/>
        <w:rPr>
          <w:sz w:val="20"/>
          <w:szCs w:val="20"/>
          <w:color w:val="auto"/>
        </w:rPr>
      </w:pPr>
      <w:r>
        <w:rPr>
          <w:rFonts w:ascii="Courier New" w:cs="Courier New" w:eastAsia="Courier New" w:hAnsi="Courier New"/>
          <w:sz w:val="16"/>
          <w:szCs w:val="16"/>
          <w:color w:val="auto"/>
        </w:rPr>
        <w:t>Debt Excluding Exchangeables, which is a non-GAAP financial measure, refers to the aggregate amount of our consolidated debt and capital lease obligations less the amount of notes that are collateralized by securities that we own.</w:t>
      </w:r>
    </w:p>
    <w:p>
      <w:pPr>
        <w:sectPr>
          <w:pgSz w:w="11900" w:h="16838" w:orient="portrait"/>
          <w:cols w:equalWidth="0" w:num="1">
            <w:col w:w="10219"/>
          </w:cols>
          <w:pgMar w:left="240" w:top="697" w:right="1440" w:bottom="1440" w:gutter="0" w:footer="0" w:header="0"/>
        </w:sectPr>
      </w:pPr>
    </w:p>
    <w:bookmarkStart w:id="16" w:name="page17"/>
    <w:bookmarkEnd w:id="16"/>
    <w:p>
      <w:pPr>
        <w:ind w:right="3220" w:firstLine="404"/>
        <w:spacing w:after="0" w:line="242" w:lineRule="auto"/>
        <w:rPr>
          <w:sz w:val="20"/>
          <w:szCs w:val="20"/>
          <w:color w:val="auto"/>
        </w:rPr>
      </w:pPr>
      <w:r>
        <w:rPr>
          <w:rFonts w:ascii="Courier New" w:cs="Courier New" w:eastAsia="Courier New" w:hAnsi="Courier New"/>
          <w:sz w:val="17"/>
          <w:szCs w:val="17"/>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97" w:lineRule="exact"/>
        <w:rPr>
          <w:sz w:val="20"/>
          <w:szCs w:val="20"/>
          <w:color w:val="auto"/>
        </w:rPr>
      </w:pPr>
    </w:p>
    <w:p>
      <w:pPr>
        <w:ind w:right="3220" w:firstLine="404"/>
        <w:spacing w:after="0" w:line="241" w:lineRule="auto"/>
        <w:rPr>
          <w:sz w:val="20"/>
          <w:szCs w:val="20"/>
          <w:color w:val="auto"/>
        </w:rPr>
      </w:pPr>
      <w:r>
        <w:rPr>
          <w:rFonts w:ascii="Courier New" w:cs="Courier New" w:eastAsia="Courier New" w:hAnsi="Courier New"/>
          <w:sz w:val="17"/>
          <w:szCs w:val="17"/>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203" w:lineRule="exact"/>
        <w:rPr>
          <w:sz w:val="20"/>
          <w:szCs w:val="20"/>
          <w:color w:val="auto"/>
        </w:rPr>
      </w:pPr>
    </w:p>
    <w:p>
      <w:pPr>
        <w:ind w:right="3220" w:firstLine="404"/>
        <w:spacing w:after="0" w:line="241" w:lineRule="auto"/>
        <w:rPr>
          <w:sz w:val="20"/>
          <w:szCs w:val="20"/>
          <w:color w:val="auto"/>
        </w:rPr>
      </w:pPr>
      <w:r>
        <w:rPr>
          <w:rFonts w:ascii="Courier New" w:cs="Courier New" w:eastAsia="Courier New" w:hAnsi="Courier New"/>
          <w:sz w:val="17"/>
          <w:szCs w:val="17"/>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COMCAST</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center"/>
              <w:ind w:left="76"/>
              <w:spacing w:after="0"/>
              <w:rPr>
                <w:sz w:val="20"/>
                <w:szCs w:val="20"/>
                <w:color w:val="auto"/>
              </w:rPr>
            </w:pPr>
            <w:r>
              <w:rPr>
                <w:rFonts w:ascii="Courier New" w:cs="Courier New" w:eastAsia="Courier New" w:hAnsi="Courier New"/>
                <w:sz w:val="17"/>
                <w:szCs w:val="17"/>
                <w:color w:val="auto"/>
                <w:w w:val="99"/>
              </w:rPr>
              <w:t>TABLE 7-A continued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7640" w:type="dxa"/>
            <w:vAlign w:val="bottom"/>
            <w:gridSpan w:val="9"/>
          </w:tcPr>
          <w:p>
            <w:pPr>
              <w:jc w:val="center"/>
              <w:ind w:left="476"/>
              <w:spacing w:after="0"/>
              <w:rPr>
                <w:sz w:val="20"/>
                <w:szCs w:val="20"/>
                <w:color w:val="auto"/>
              </w:rPr>
            </w:pPr>
            <w:r>
              <w:rPr>
                <w:rFonts w:ascii="Courier New" w:cs="Courier New" w:eastAsia="Courier New" w:hAnsi="Courier New"/>
                <w:sz w:val="17"/>
                <w:szCs w:val="17"/>
                <w:color w:val="auto"/>
                <w:w w:val="98"/>
              </w:rPr>
              <w:t>Reconciliation of Historical and Pro Forma Data by Business Segment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center"/>
              <w:ind w:left="76"/>
              <w:spacing w:after="0"/>
              <w:rPr>
                <w:sz w:val="20"/>
                <w:szCs w:val="20"/>
                <w:color w:val="auto"/>
              </w:rPr>
            </w:pPr>
            <w:r>
              <w:rPr>
                <w:rFonts w:ascii="Courier New" w:cs="Courier New" w:eastAsia="Courier New" w:hAnsi="Courier New"/>
                <w:sz w:val="17"/>
                <w:szCs w:val="17"/>
                <w:color w:val="auto"/>
                <w:w w:val="99"/>
              </w:rPr>
              <w:t>(Unaudited) (1)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(dollars</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78"/>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Historical</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3"/>
          </w:tcPr>
          <w:p>
            <w:pPr>
              <w:jc w:val="right"/>
              <w:ind w:right="436"/>
              <w:spacing w:after="0"/>
              <w:rPr>
                <w:sz w:val="20"/>
                <w:szCs w:val="20"/>
                <w:color w:val="auto"/>
              </w:rPr>
            </w:pPr>
            <w:r>
              <w:rPr>
                <w:rFonts w:ascii="Courier New" w:cs="Courier New" w:eastAsia="Courier New" w:hAnsi="Courier New"/>
                <w:sz w:val="17"/>
                <w:szCs w:val="17"/>
                <w:color w:val="auto"/>
              </w:rPr>
              <w:t>Adjustments (1)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2680" w:type="dxa"/>
            <w:vAlign w:val="bottom"/>
          </w:tcPr>
          <w:p>
            <w:pPr>
              <w:spacing w:after="0"/>
              <w:rPr>
                <w:sz w:val="16"/>
                <w:szCs w:val="16"/>
                <w:color w:val="auto"/>
              </w:rPr>
            </w:pPr>
          </w:p>
        </w:tc>
        <w:tc>
          <w:tcPr>
            <w:tcW w:w="3700" w:type="dxa"/>
            <w:vAlign w:val="bottom"/>
            <w:gridSpan w:val="6"/>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940" w:type="dxa"/>
            <w:vAlign w:val="bottom"/>
            <w:gridSpan w:val="8"/>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7"/>
                <w:szCs w:val="17"/>
                <w:color w:val="auto"/>
              </w:rPr>
              <w:t>Corporate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tcPr>
          <w:p>
            <w:pPr>
              <w:jc w:val="center"/>
              <w:ind w:right="176"/>
              <w:spacing w:after="0"/>
              <w:rPr>
                <w:sz w:val="20"/>
                <w:szCs w:val="20"/>
                <w:color w:val="auto"/>
              </w:rPr>
            </w:pPr>
            <w:r>
              <w:rPr>
                <w:rFonts w:ascii="Courier New" w:cs="Courier New" w:eastAsia="Courier New" w:hAnsi="Courier New"/>
                <w:sz w:val="17"/>
                <w:szCs w:val="17"/>
                <w:color w:val="auto"/>
              </w:rPr>
              <w:t>Corporate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Three Months Ended June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and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396"/>
              <w:spacing w:after="0"/>
              <w:rPr>
                <w:sz w:val="20"/>
                <w:szCs w:val="20"/>
                <w:color w:val="auto"/>
              </w:rPr>
            </w:pPr>
            <w:r>
              <w:rPr>
                <w:rFonts w:ascii="Courier New" w:cs="Courier New" w:eastAsia="Courier New" w:hAnsi="Courier New"/>
                <w:sz w:val="17"/>
                <w:szCs w:val="17"/>
                <w:color w:val="auto"/>
                <w:w w:val="97"/>
              </w:rPr>
              <w:t>and</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Pro</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30, 2004</w:t>
            </w:r>
          </w:p>
        </w:tc>
        <w:tc>
          <w:tcPr>
            <w:tcW w:w="20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Cable</w:t>
            </w:r>
          </w:p>
        </w:tc>
        <w:tc>
          <w:tcPr>
            <w:tcW w:w="14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Content</w:t>
            </w:r>
          </w:p>
        </w:tc>
        <w:tc>
          <w:tcPr>
            <w:tcW w:w="16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1060" w:type="dxa"/>
            <w:vAlign w:val="bottom"/>
          </w:tcPr>
          <w:p>
            <w:pPr>
              <w:jc w:val="center"/>
              <w:ind w:right="396"/>
              <w:spacing w:after="0"/>
              <w:rPr>
                <w:sz w:val="20"/>
                <w:szCs w:val="20"/>
                <w:color w:val="auto"/>
              </w:rPr>
            </w:pPr>
            <w:r>
              <w:rPr>
                <w:rFonts w:ascii="Courier New" w:cs="Courier New" w:eastAsia="Courier New" w:hAnsi="Courier New"/>
                <w:sz w:val="17"/>
                <w:szCs w:val="17"/>
                <w:color w:val="auto"/>
                <w:w w:val="97"/>
              </w:rPr>
              <w:t>Other</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forma</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4,838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5,066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5,067</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(excluding depreciation</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and amortization)</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2,918</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w:t>
            </w:r>
          </w:p>
        </w:tc>
        <w:tc>
          <w:tcPr>
            <w:tcW w:w="16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w:t>
            </w:r>
          </w:p>
        </w:tc>
        <w:tc>
          <w:tcPr>
            <w:tcW w:w="24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3,114</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3,115</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1,920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1,952</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1,952</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1,043</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w:t>
            </w:r>
          </w:p>
        </w:tc>
        <w:tc>
          <w:tcPr>
            <w:tcW w:w="16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24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1,100</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1,100</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877</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852</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852</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893</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904</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904</w:t>
            </w:r>
          </w:p>
        </w:tc>
      </w:tr>
    </w:tbl>
    <w:p>
      <w:pPr>
        <w:sectPr>
          <w:pgSz w:w="11900" w:h="16838" w:orient="portrait"/>
          <w:cols w:equalWidth="0" w:num="1">
            <w:col w:w="11320"/>
          </w:cols>
          <w:pgMar w:left="240" w:top="699"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w w:val="97"/>
              </w:rPr>
              <w:t>Corporate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Corporate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and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and</w:t>
            </w:r>
          </w:p>
        </w:tc>
        <w:tc>
          <w:tcPr>
            <w:tcW w:w="220" w:type="dxa"/>
            <w:vAlign w:val="bottom"/>
          </w:tcPr>
          <w:p>
            <w:pPr>
              <w:spacing w:after="0"/>
              <w:rPr>
                <w:sz w:val="16"/>
                <w:szCs w:val="16"/>
                <w:color w:val="auto"/>
              </w:rPr>
            </w:pPr>
          </w:p>
        </w:tc>
        <w:tc>
          <w:tcPr>
            <w:tcW w:w="94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Pro</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Cable</w:t>
            </w: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Content</w:t>
            </w:r>
          </w:p>
        </w:tc>
        <w:tc>
          <w:tcPr>
            <w:tcW w:w="50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Other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5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Cable</w:t>
            </w:r>
          </w:p>
        </w:tc>
        <w:tc>
          <w:tcPr>
            <w:tcW w:w="1200" w:type="dxa"/>
            <w:vAlign w:val="bottom"/>
          </w:tcPr>
          <w:p>
            <w:pPr>
              <w:ind w:left="240"/>
              <w:spacing w:after="0"/>
              <w:rPr>
                <w:sz w:val="20"/>
                <w:szCs w:val="20"/>
                <w:color w:val="auto"/>
              </w:rPr>
            </w:pPr>
            <w:r>
              <w:rPr>
                <w:rFonts w:ascii="Courier New" w:cs="Courier New" w:eastAsia="Courier New" w:hAnsi="Courier New"/>
                <w:sz w:val="17"/>
                <w:szCs w:val="17"/>
                <w:color w:val="auto"/>
              </w:rPr>
              <w:t>Other</w:t>
            </w:r>
          </w:p>
        </w:tc>
        <w:tc>
          <w:tcPr>
            <w:tcW w:w="220" w:type="dxa"/>
            <w:vAlign w:val="bottom"/>
          </w:tcPr>
          <w:p>
            <w:pPr>
              <w:spacing w:after="0"/>
              <w:rPr>
                <w:sz w:val="16"/>
                <w:szCs w:val="16"/>
                <w:color w:val="auto"/>
              </w:rPr>
            </w:pPr>
          </w:p>
        </w:tc>
        <w:tc>
          <w:tcPr>
            <w:tcW w:w="94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forma</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240" w:type="dxa"/>
            <w:vAlign w:val="bottom"/>
          </w:tcPr>
          <w:p>
            <w:pPr>
              <w:spacing w:after="0"/>
              <w:rPr>
                <w:sz w:val="16"/>
                <w:szCs w:val="16"/>
                <w:color w:val="auto"/>
              </w:rPr>
            </w:pPr>
          </w:p>
        </w:tc>
        <w:tc>
          <w:tcPr>
            <w:tcW w:w="1280" w:type="dxa"/>
            <w:vAlign w:val="bottom"/>
            <w:gridSpan w:val="2"/>
          </w:tcPr>
          <w:p>
            <w:pPr>
              <w:jc w:val="center"/>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4"/>
          </w:tcPr>
          <w:p>
            <w:pPr>
              <w:jc w:val="center"/>
              <w:ind w:right="2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center"/>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9,485</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375</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c>
          <w:tcPr>
            <w:tcW w:w="100" w:type="dxa"/>
            <w:vAlign w:val="bottom"/>
          </w:tcPr>
          <w:p>
            <w:pPr>
              <w:spacing w:after="0"/>
              <w:rPr>
                <w:sz w:val="24"/>
                <w:szCs w:val="24"/>
                <w:color w:val="auto"/>
              </w:rPr>
            </w:pP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9,974</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9,979</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(excluding depreciation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and amortization)</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5,846</w:t>
            </w: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229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6,289</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6,292</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3,639</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146</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(100)</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3,685</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3,687</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2,060</w:t>
            </w:r>
          </w:p>
        </w:tc>
        <w:tc>
          <w:tcPr>
            <w:tcW w:w="52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74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2,174</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2,174</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1,579</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72</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(140)</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1,511</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1,513</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1,707</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10</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1,732</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1,732</w:t>
            </w:r>
          </w:p>
        </w:tc>
      </w:tr>
      <w:tr>
        <w:trPr>
          <w:trHeight w:val="583"/>
        </w:trPr>
        <w:tc>
          <w:tcPr>
            <w:tcW w:w="6480" w:type="dxa"/>
            <w:vAlign w:val="bottom"/>
            <w:gridSpan w:val="8"/>
          </w:tcPr>
          <w:p>
            <w:pPr>
              <w:jc w:val="center"/>
              <w:ind w:left="1636"/>
              <w:spacing w:after="0"/>
              <w:rPr>
                <w:sz w:val="20"/>
                <w:szCs w:val="20"/>
                <w:color w:val="auto"/>
              </w:rPr>
            </w:pPr>
            <w:r>
              <w:rPr>
                <w:rFonts w:ascii="Courier New" w:cs="Courier New" w:eastAsia="Courier New" w:hAnsi="Courier New"/>
                <w:sz w:val="17"/>
                <w:szCs w:val="17"/>
                <w:color w:val="auto"/>
                <w:w w:val="99"/>
              </w:rPr>
              <w:t>Reconciliation of Operating Cash Flow to Free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Cash Flow (Unaudited)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78"/>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6"/>
          </w:tcPr>
          <w:p>
            <w:pPr>
              <w:ind w:left="500"/>
              <w:spacing w:after="0"/>
              <w:rPr>
                <w:sz w:val="20"/>
                <w:szCs w:val="20"/>
                <w:color w:val="auto"/>
              </w:rPr>
            </w:pPr>
            <w:r>
              <w:rPr>
                <w:rFonts w:ascii="Courier New" w:cs="Courier New" w:eastAsia="Courier New" w:hAnsi="Courier New"/>
                <w:sz w:val="17"/>
                <w:szCs w:val="17"/>
                <w:color w:val="auto"/>
              </w:rPr>
              <w:t>Three Months Ended</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2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24"/>
                <w:szCs w:val="24"/>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2,209</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2,209</w:t>
            </w:r>
          </w:p>
        </w:tc>
        <w:tc>
          <w:tcPr>
            <w:tcW w:w="100" w:type="dxa"/>
            <w:vAlign w:val="bottom"/>
          </w:tcPr>
          <w:p>
            <w:pPr>
              <w:spacing w:after="0"/>
              <w:rPr>
                <w:sz w:val="24"/>
                <w:szCs w:val="24"/>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1,952</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1,952</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Interest, net (2)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(422)</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(459)</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(459)</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Cash Paid for Income Taxes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(415)</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(415)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(89)</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(89)</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2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Change in Operating Assets and</w:t>
            </w: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40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Liabilities, net of acquisitions</w:t>
            </w: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(103)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442</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Other (3)</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Net Cash Provided by Operating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Activities</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1,185</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1,859</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400"/>
              <w:spacing w:after="0"/>
              <w:rPr>
                <w:sz w:val="20"/>
                <w:szCs w:val="20"/>
                <w:color w:val="auto"/>
              </w:rPr>
            </w:pPr>
            <w:r>
              <w:rPr>
                <w:rFonts w:ascii="Courier New" w:cs="Courier New" w:eastAsia="Courier New" w:hAnsi="Courier New"/>
                <w:sz w:val="17"/>
                <w:szCs w:val="17"/>
                <w:color w:val="auto"/>
                <w:w w:val="98"/>
              </w:rPr>
              <w:t>Less: Capital Expenditures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(950)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(904)</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83"/>
        </w:trPr>
        <w:tc>
          <w:tcPr>
            <w:tcW w:w="6480" w:type="dxa"/>
            <w:vAlign w:val="bottom"/>
            <w:gridSpan w:val="8"/>
          </w:tcPr>
          <w:p>
            <w:pPr>
              <w:jc w:val="center"/>
              <w:ind w:left="1636"/>
              <w:spacing w:after="0"/>
              <w:rPr>
                <w:sz w:val="20"/>
                <w:szCs w:val="20"/>
                <w:color w:val="auto"/>
              </w:rPr>
            </w:pPr>
            <w:r>
              <w:rPr>
                <w:rFonts w:ascii="Courier New" w:cs="Courier New" w:eastAsia="Courier New" w:hAnsi="Courier New"/>
                <w:sz w:val="17"/>
                <w:szCs w:val="17"/>
                <w:color w:val="auto"/>
                <w:w w:val="99"/>
              </w:rPr>
              <w:t>Reconciliation of Operating Cash Flow to Free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Cash Flow (Unaudited)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78"/>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6"/>
          </w:tcPr>
          <w:p>
            <w:pPr>
              <w:ind w:left="600"/>
              <w:spacing w:after="0"/>
              <w:rPr>
                <w:sz w:val="20"/>
                <w:szCs w:val="20"/>
                <w:color w:val="auto"/>
              </w:rPr>
            </w:pPr>
            <w:r>
              <w:rPr>
                <w:rFonts w:ascii="Courier New" w:cs="Courier New" w:eastAsia="Courier New" w:hAnsi="Courier New"/>
                <w:sz w:val="17"/>
                <w:szCs w:val="17"/>
                <w:color w:val="auto"/>
              </w:rPr>
              <w:t>Six Months Ended</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2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24"/>
                <w:szCs w:val="24"/>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4,239</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4,239</w:t>
            </w:r>
          </w:p>
        </w:tc>
        <w:tc>
          <w:tcPr>
            <w:tcW w:w="100" w:type="dxa"/>
            <w:vAlign w:val="bottom"/>
          </w:tcPr>
          <w:p>
            <w:pPr>
              <w:spacing w:after="0"/>
              <w:rPr>
                <w:sz w:val="24"/>
                <w:szCs w:val="24"/>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3,685</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3,685</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Interest, net (2)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(826)</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(906)</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(906)</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Cash Paid for Income Taxes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(427)</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(150)</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(150)</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2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Change in Operating Assets and</w:t>
            </w: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40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Liabilities, net of acquisitions</w:t>
            </w: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(191)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Other (3)</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(278)</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Net Cash Provided by Operating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Activities</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2,517</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2,633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400"/>
              <w:spacing w:after="0"/>
              <w:rPr>
                <w:sz w:val="20"/>
                <w:szCs w:val="20"/>
                <w:color w:val="auto"/>
              </w:rPr>
            </w:pPr>
            <w:r>
              <w:rPr>
                <w:rFonts w:ascii="Courier New" w:cs="Courier New" w:eastAsia="Courier New" w:hAnsi="Courier New"/>
                <w:sz w:val="17"/>
                <w:szCs w:val="17"/>
                <w:color w:val="auto"/>
                <w:w w:val="98"/>
              </w:rPr>
              <w:t>Less: Capital Expenditures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(1,842)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3"/>
          </w:tcPr>
          <w:p>
            <w:pPr>
              <w:jc w:val="right"/>
              <w:ind w:right="776"/>
              <w:spacing w:after="0"/>
              <w:rPr>
                <w:sz w:val="20"/>
                <w:szCs w:val="20"/>
                <w:color w:val="auto"/>
              </w:rPr>
            </w:pPr>
            <w:r>
              <w:rPr>
                <w:rFonts w:ascii="Courier New" w:cs="Courier New" w:eastAsia="Courier New" w:hAnsi="Courier New"/>
                <w:sz w:val="17"/>
                <w:szCs w:val="17"/>
                <w:color w:val="auto"/>
              </w:rPr>
              <w:t>(1,732)</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1,144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897</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ectPr>
          <w:pgSz w:w="11900" w:h="16838" w:orient="portrait"/>
          <w:cols w:equalWidth="0" w:num="1">
            <w:col w:w="11520"/>
          </w:cols>
          <w:pgMar w:left="240" w:top="1086" w:right="139" w:bottom="1440" w:gutter="0" w:footer="0" w:header="0"/>
        </w:sectPr>
      </w:pPr>
    </w:p>
    <w:bookmarkStart w:id="18" w:name="page19"/>
    <w:bookmarkEnd w:id="18"/>
    <w:p>
      <w:pPr>
        <w:jc w:val="center"/>
        <w:ind w:right="2119"/>
        <w:spacing w:after="0"/>
        <w:rPr>
          <w:sz w:val="20"/>
          <w:szCs w:val="20"/>
          <w:color w:val="auto"/>
        </w:rPr>
      </w:pPr>
      <w:r>
        <w:rPr>
          <w:rFonts w:ascii="Courier New" w:cs="Courier New" w:eastAsia="Courier New" w:hAnsi="Courier New"/>
          <w:sz w:val="17"/>
          <w:szCs w:val="17"/>
          <w:color w:val="auto"/>
        </w:rPr>
        <w:t>Calculation of 2005 Estimated Free Cash Flow</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billions)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w w:val="98"/>
              </w:rPr>
              <w:t>Free Cash Flow</w:t>
            </w:r>
          </w:p>
        </w:tc>
      </w:tr>
      <w:tr>
        <w:trPr>
          <w:trHeight w:val="194"/>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Income</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r>
      <w:tr>
        <w:trPr>
          <w:trHeight w:val="389"/>
        </w:trPr>
        <w:tc>
          <w:tcPr>
            <w:tcW w:w="3600" w:type="dxa"/>
            <w:vAlign w:val="bottom"/>
            <w:gridSpan w:val="3"/>
          </w:tcPr>
          <w:p>
            <w:pPr>
              <w:spacing w:after="0"/>
              <w:rPr>
                <w:sz w:val="20"/>
                <w:szCs w:val="20"/>
                <w:color w:val="auto"/>
              </w:rPr>
            </w:pPr>
            <w:r>
              <w:rPr>
                <w:rFonts w:ascii="Courier New" w:cs="Courier New" w:eastAsia="Courier New" w:hAnsi="Courier New"/>
                <w:sz w:val="17"/>
                <w:szCs w:val="17"/>
                <w:color w:val="auto"/>
              </w:rPr>
              <w:t>Add: Depreciation and Amortization</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Cash Flow</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389"/>
        </w:trPr>
        <w:tc>
          <w:tcPr>
            <w:tcW w:w="3600" w:type="dxa"/>
            <w:vAlign w:val="bottom"/>
            <w:gridSpan w:val="3"/>
          </w:tcPr>
          <w:p>
            <w:pPr>
              <w:spacing w:after="0"/>
              <w:rPr>
                <w:sz w:val="20"/>
                <w:szCs w:val="20"/>
                <w:color w:val="auto"/>
              </w:rPr>
            </w:pPr>
            <w:r>
              <w:rPr>
                <w:rFonts w:ascii="Courier New" w:cs="Courier New" w:eastAsia="Courier New" w:hAnsi="Courier New"/>
                <w:sz w:val="17"/>
                <w:szCs w:val="17"/>
                <w:color w:val="auto"/>
              </w:rPr>
              <w:t>Less: 2004 Capital Expenditures</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r>
      <w:tr>
        <w:trPr>
          <w:trHeight w:val="194"/>
        </w:trPr>
        <w:tc>
          <w:tcPr>
            <w:tcW w:w="460" w:type="dxa"/>
            <w:vAlign w:val="bottom"/>
          </w:tcPr>
          <w:p>
            <w:pPr>
              <w:spacing w:after="0"/>
              <w:rPr>
                <w:sz w:val="16"/>
                <w:szCs w:val="16"/>
                <w:color w:val="auto"/>
              </w:rPr>
            </w:pPr>
          </w:p>
        </w:tc>
        <w:tc>
          <w:tcPr>
            <w:tcW w:w="31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2004 Consolidated Interest,</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r>
      <w:tr>
        <w:trPr>
          <w:trHeight w:val="194"/>
        </w:trPr>
        <w:tc>
          <w:tcPr>
            <w:tcW w:w="460" w:type="dxa"/>
            <w:vAlign w:val="bottom"/>
          </w:tcPr>
          <w:p>
            <w:pPr>
              <w:spacing w:after="0"/>
              <w:rPr>
                <w:sz w:val="16"/>
                <w:szCs w:val="16"/>
                <w:color w:val="auto"/>
              </w:rPr>
            </w:pPr>
          </w:p>
        </w:tc>
        <w:tc>
          <w:tcPr>
            <w:tcW w:w="31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2004 Consolidated Cash Paid</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for</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Income Taxes</w:t>
            </w:r>
          </w:p>
        </w:tc>
        <w:tc>
          <w:tcPr>
            <w:tcW w:w="2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Free Cash</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Flow</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Free Cash</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Flow Growth</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35% to 45%</w:t>
            </w:r>
          </w:p>
        </w:tc>
      </w:tr>
      <w:tr>
        <w:trPr>
          <w:trHeight w:val="194"/>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Projected 2005</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$2.6 to $2.8</w:t>
            </w:r>
          </w:p>
        </w:tc>
      </w:tr>
    </w:tbl>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Reconciliation of Total Debt to Debt Excluding Exchangeables (Unaudited)</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June 30,</w:t>
            </w:r>
          </w:p>
        </w:tc>
        <w:tc>
          <w:tcPr>
            <w:tcW w:w="13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December 31,</w:t>
            </w:r>
          </w:p>
        </w:tc>
      </w:tr>
      <w:tr>
        <w:trPr>
          <w:trHeight w:val="194"/>
        </w:trPr>
        <w:tc>
          <w:tcPr>
            <w:tcW w:w="3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2005</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700" w:type="dxa"/>
            <w:vAlign w:val="bottom"/>
          </w:tcPr>
          <w:p>
            <w:pPr>
              <w:spacing w:after="0"/>
              <w:rPr>
                <w:sz w:val="16"/>
                <w:szCs w:val="16"/>
                <w:color w:val="auto"/>
              </w:rPr>
            </w:pPr>
          </w:p>
        </w:tc>
        <w:tc>
          <w:tcPr>
            <w:tcW w:w="17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4,384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3,499</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5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19,746</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20,093</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24,130</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23,592</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Exchangeable debt</w:t>
            </w:r>
          </w:p>
        </w:tc>
        <w:tc>
          <w:tcPr>
            <w:tcW w:w="5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1,066</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1,699</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Debt excluding exchangeables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23,064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21,893</w:t>
            </w:r>
          </w:p>
        </w:tc>
      </w:tr>
    </w:tbl>
    <w:p>
      <w:pPr>
        <w:spacing w:after="0" w:line="199" w:lineRule="exact"/>
        <w:rPr>
          <w:sz w:val="20"/>
          <w:szCs w:val="20"/>
          <w:color w:val="auto"/>
        </w:rPr>
      </w:pPr>
    </w:p>
    <w:p>
      <w:pPr>
        <w:ind w:left="500" w:right="2119" w:hanging="496"/>
        <w:spacing w:after="0" w:line="241"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data is only adjusted for timing of the acquisitions (or dispositions) and does not include adjustments for costs related to integration activities, cost savings or synergies that have been or may be achieved by the combined businesses. There were no pro forma adjustments to the three and six months ending June 30, 2005. Minor differences may exist due to rounding.</w:t>
      </w:r>
    </w:p>
    <w:p>
      <w:pPr>
        <w:spacing w:after="0" w:line="200" w:lineRule="exact"/>
        <w:rPr>
          <w:rFonts w:ascii="Courier New" w:cs="Courier New" w:eastAsia="Courier New" w:hAnsi="Courier New"/>
          <w:sz w:val="17"/>
          <w:szCs w:val="17"/>
          <w:color w:val="auto"/>
        </w:rPr>
      </w:pPr>
    </w:p>
    <w:p>
      <w:pPr>
        <w:ind w:left="500" w:right="2639" w:hanging="496"/>
        <w:spacing w:after="0" w:line="239"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pacing w:after="0" w:line="199" w:lineRule="exact"/>
        <w:rPr>
          <w:rFonts w:ascii="Courier New" w:cs="Courier New" w:eastAsia="Courier New" w:hAnsi="Courier New"/>
          <w:sz w:val="17"/>
          <w:szCs w:val="17"/>
          <w:color w:val="auto"/>
        </w:rPr>
      </w:pPr>
    </w:p>
    <w:p>
      <w:pPr>
        <w:ind w:left="500" w:right="2119" w:hanging="496"/>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non-cash interest expense included in Operating Cash Flow, cash related to other (income) expense, dividends, and the net effect of changes in accrued income taxes.</w:t>
      </w:r>
    </w:p>
    <w:p>
      <w:pPr>
        <w:spacing w:after="0" w:line="19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SOURCE</w:t>
      </w:r>
      <w:r>
        <w:rPr>
          <w:sz w:val="20"/>
          <w:szCs w:val="20"/>
          <w:color w:val="auto"/>
        </w:rPr>
        <w:tab/>
      </w: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400"/>
        <w:spacing w:after="0"/>
        <w:tabs>
          <w:tab w:leader="none" w:pos="362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08/02/2005</w:t>
      </w:r>
    </w:p>
    <w:p>
      <w:pPr>
        <w:spacing w:after="0" w:line="4"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/CONTACT: Investor Contacts: Marlene S. Dooner, +1-215-981-7392, Leslie A. Arena, +1-215-981-8511, or Daniel J. Goodwin, +1-215-981-7518; or Press Contacts: D'Arcy Rudnay, +1-215-981-8582, or Tim Fitzpatrick, +1-215-981-8515, all of Comcast/</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http://www.comcast.com /</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http://www.cmcsk.com /</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http://www.cmcsa.com /</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(CMCSK CMCSA)</w:t>
      </w:r>
    </w:p>
    <w:sectPr>
      <w:pgSz w:w="11900" w:h="16838" w:orient="portrait"/>
      <w:cols w:equalWidth="0" w:num="1">
        <w:col w:w="10219"/>
      </w:cols>
      <w:pgMar w:left="240" w:top="6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2019-12-15T05:16:12Z</dcterms:created>
  <dcterms:modified xsi:type="dcterms:W3CDTF">2019-12-15T05:16:12Z</dcterms:modified>
</cp:coreProperties>
</file>