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FCC Letter was made available on Comcast’s website: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934720"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34720"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Federal Communications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Washington, D.C. 20554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3, 2014</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Via U.S. Mail and Electronic Mail</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Kathryn A. Zachem</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Vice President, Regulatory and State Legislative Affairs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300 New Jersey Ave.,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20001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Steven Teplitz</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Vice President, Government Relations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901 F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20004</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Catherine Bohigian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Executive Vice President, Government Affairs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1099 New York Avenue, N.W., Suite 650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20001</w:t>
      </w:r>
    </w:p>
    <w:p>
      <w:pPr>
        <w:spacing w:after="0" w:line="200" w:lineRule="exact"/>
        <w:rPr>
          <w:sz w:val="24"/>
          <w:szCs w:val="24"/>
          <w:color w:val="auto"/>
        </w:rPr>
      </w:pPr>
    </w:p>
    <w:p>
      <w:pPr>
        <w:spacing w:after="0" w:line="277" w:lineRule="exact"/>
        <w:rPr>
          <w:sz w:val="24"/>
          <w:szCs w:val="24"/>
          <w:color w:val="auto"/>
        </w:rPr>
      </w:pPr>
    </w:p>
    <w:p>
      <w:pPr>
        <w:ind w:left="660" w:right="420"/>
        <w:spacing w:after="0" w:line="282" w:lineRule="auto"/>
        <w:rPr>
          <w:sz w:val="20"/>
          <w:szCs w:val="20"/>
          <w:color w:val="auto"/>
        </w:rPr>
      </w:pPr>
      <w:r>
        <w:rPr>
          <w:rFonts w:ascii="Arial" w:cs="Arial" w:eastAsia="Arial" w:hAnsi="Arial"/>
          <w:sz w:val="18"/>
          <w:szCs w:val="18"/>
          <w:b w:val="1"/>
          <w:bCs w:val="1"/>
          <w:color w:val="auto"/>
        </w:rPr>
        <w:t>Re: Applications of Comcast Corporation, Time Warner Cable Inc., Charter Communications, Inc., and SpinCo for Consent to Assign Licenses or Transfer Control of Licensees, MB Docket No. 14-57</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Dear Ms. Zachem, Mr. Teplitz and Ms. Bohigian:</w:t>
      </w:r>
    </w:p>
    <w:p>
      <w:pPr>
        <w:spacing w:after="0" w:line="252" w:lineRule="exact"/>
        <w:rPr>
          <w:sz w:val="24"/>
          <w:szCs w:val="24"/>
          <w:color w:val="auto"/>
        </w:rPr>
      </w:pPr>
    </w:p>
    <w:p>
      <w:pPr>
        <w:ind w:right="20" w:firstLine="648"/>
        <w:spacing w:after="0" w:line="271" w:lineRule="auto"/>
        <w:rPr>
          <w:sz w:val="20"/>
          <w:szCs w:val="20"/>
          <w:color w:val="auto"/>
        </w:rPr>
      </w:pPr>
      <w:r>
        <w:rPr>
          <w:rFonts w:ascii="Arial" w:cs="Arial" w:eastAsia="Arial" w:hAnsi="Arial"/>
          <w:sz w:val="17"/>
          <w:szCs w:val="17"/>
          <w:color w:val="auto"/>
        </w:rPr>
        <w:t>On September 23, 2014, Comcast Corporation and Time Warner Cable filed their Opposition to the Petitions to Deny and Comments. In addition to the narrative, the Opposition included three economist declarations, one declaration from a Comcast engineering Senior Vice-President, and one declaration from a professor of computer science. Part of the economist declarations presented empirical work arguing that prices of NBCU national cable networks and NBCU owned and operated local broadcast television stations did not, because of the Comcast-NBCU transaction, increase more than would otherwise be expected, contrary to the Commission’s analysis in the order approving the Comcast-NBCU transaction. This material is critical to the evaluation of the proposed transactions. In addition, the economist statements included theoretical calculations of estimated price increases due to increases in bargaining leverage, and empirical studies of two recent disputes between programming networks and cable systems. This material represents a relatively substantial body of new work that will take some time for outside parties to evaluate and respond to, and at least some of which could have been filed with the initial applications. As a result, in response to a request filed by Dish Network Corporation, we have today released a Public Notice extending the deadline for filing Responses to Comments and Oppositions to October 29, 2014.</w:t>
      </w:r>
      <w:r>
        <w:rPr>
          <w:rFonts w:ascii="Arial" w:cs="Arial" w:eastAsia="Arial" w:hAnsi="Arial"/>
          <w:sz w:val="24"/>
          <w:szCs w:val="24"/>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2" w:lineRule="exact"/>
        <w:rPr>
          <w:sz w:val="24"/>
          <w:szCs w:val="24"/>
          <w:color w:val="auto"/>
        </w:rPr>
      </w:pPr>
    </w:p>
    <w:p>
      <w:pPr>
        <w:jc w:val="both"/>
        <w:ind w:firstLine="8"/>
        <w:spacing w:after="0" w:line="199" w:lineRule="auto"/>
        <w:tabs>
          <w:tab w:leader="none" w:pos="135" w:val="left"/>
        </w:tabs>
        <w:numPr>
          <w:ilvl w:val="0"/>
          <w:numId w:val="1"/>
        </w:numPr>
        <w:rPr>
          <w:rFonts w:ascii="Arial" w:cs="Arial" w:eastAsia="Arial" w:hAnsi="Arial"/>
          <w:sz w:val="25"/>
          <w:szCs w:val="25"/>
          <w:color w:val="auto"/>
          <w:vertAlign w:val="superscript"/>
        </w:rPr>
      </w:pPr>
      <w:r>
        <w:rPr>
          <w:rFonts w:ascii="Arial" w:cs="Arial" w:eastAsia="Arial" w:hAnsi="Arial"/>
          <w:sz w:val="14"/>
          <w:szCs w:val="14"/>
          <w:color w:val="auto"/>
        </w:rPr>
        <w:t xml:space="preserve">Commission Announces Extension of Time to File Responses to Replies and Oppositions for its Review of Applications of Comcast Corporation, Time Warner Cable Inc., Charter Communications, Inc., and Spinco to Assign and Transfer Control of FCC Licenses and Other Authorizations, </w:t>
      </w:r>
      <w:r>
        <w:rPr>
          <w:rFonts w:ascii="Arial" w:cs="Arial" w:eastAsia="Arial" w:hAnsi="Arial"/>
          <w:sz w:val="14"/>
          <w:szCs w:val="14"/>
          <w:i w:val="1"/>
          <w:iCs w:val="1"/>
          <w:color w:val="auto"/>
        </w:rPr>
        <w:t>Public Notice</w:t>
      </w:r>
      <w:r>
        <w:rPr>
          <w:rFonts w:ascii="Arial" w:cs="Arial" w:eastAsia="Arial" w:hAnsi="Arial"/>
          <w:sz w:val="14"/>
          <w:szCs w:val="14"/>
          <w:color w:val="auto"/>
        </w:rPr>
        <w:t>, MB Docket No. 14-57, DA No. 14-1446 (MB Oct. 3, 2014) (Public Notice).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675005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 w:name="page2"/>
    <w:bookmarkEnd w:id="1"/>
    <w:p>
      <w:pPr>
        <w:ind w:firstLine="648"/>
        <w:spacing w:after="0" w:line="232" w:lineRule="auto"/>
        <w:rPr>
          <w:sz w:val="20"/>
          <w:szCs w:val="20"/>
          <w:color w:val="auto"/>
        </w:rPr>
      </w:pPr>
      <w:r>
        <w:rPr>
          <w:rFonts w:ascii="Arial" w:cs="Arial" w:eastAsia="Arial" w:hAnsi="Arial"/>
          <w:sz w:val="18"/>
          <w:szCs w:val="18"/>
          <w:color w:val="auto"/>
        </w:rPr>
        <w:t>On August 21, 2014, the Commission issued Requests for Information to Comcast Corp., Time Warner Cable Inc., and Charter Communications, Inc. Responses were due September 11, 2014. Comcast did not complete its response until September 18</w:t>
      </w:r>
      <w:r>
        <w:rPr>
          <w:rFonts w:ascii="Arial" w:cs="Arial" w:eastAsia="Arial" w:hAnsi="Arial"/>
          <w:sz w:val="25"/>
          <w:szCs w:val="25"/>
          <w:color w:val="auto"/>
          <w:vertAlign w:val="superscript"/>
        </w:rPr>
        <w:t>th</w:t>
      </w:r>
      <w:r>
        <w:rPr>
          <w:rFonts w:ascii="Arial" w:cs="Arial" w:eastAsia="Arial" w:hAnsi="Arial"/>
          <w:sz w:val="18"/>
          <w:szCs w:val="18"/>
          <w:color w:val="auto"/>
        </w:rPr>
        <w:t>, and Time Warner did not complete its response until September 25. As is outlined in the Public Notice issued this date, Commission staff has found that a number of the answers in each of your submissions are incomplete.</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Accordingly, we are stopping the informal 180-day transaction clock in this proceeding until October 29, 2014, the deadline for commenters to file their Responses, or until Commission staff has determined that your responses to the Commission’s information requests are complete, whichever is later.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regarding this matter, please contact Hillary Burchuk, Office of General Counsel, at (202) 418-1719.</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William T. Lake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Media Bureau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2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525780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sectPr>
      </w:pPr>
    </w:p>
    <w:bookmarkStart w:id="3" w:name="page4"/>
    <w:bookmarkEnd w:id="3"/>
    <w:p>
      <w:pPr>
        <w:ind w:right="40"/>
        <w:spacing w:after="0" w:line="236" w:lineRule="auto"/>
        <w:rPr>
          <w:sz w:val="20"/>
          <w:szCs w:val="20"/>
          <w:color w:val="auto"/>
        </w:rPr>
      </w:pPr>
      <w:r>
        <w:rPr>
          <w:rFonts w:ascii="Arial" w:cs="Arial" w:eastAsia="Arial" w:hAnsi="Arial"/>
          <w:sz w:val="18"/>
          <w:szCs w:val="18"/>
          <w:color w:val="auto"/>
        </w:rPr>
        <w:t>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511810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2019-12-16T12:30:00Z</dcterms:created>
  <dcterms:modified xsi:type="dcterms:W3CDTF">2019-12-16T12:30:00Z</dcterms:modified>
</cp:coreProperties>
</file>