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59"/>
        <w:spacing w:after="0"/>
        <w:rPr>
          <w:sz w:val="20"/>
          <w:szCs w:val="20"/>
          <w:color w:val="auto"/>
        </w:rPr>
      </w:pPr>
      <w:r>
        <w:rPr>
          <w:rFonts w:ascii="Courier New" w:cs="Courier New" w:eastAsia="Courier New" w:hAnsi="Courier New"/>
          <w:sz w:val="17"/>
          <w:szCs w:val="17"/>
          <w:color w:val="auto"/>
        </w:rPr>
        <w:t>UNITED STATES</w:t>
      </w:r>
    </w:p>
    <w:p>
      <w:pPr>
        <w:jc w:val="center"/>
        <w:ind w:right="2259"/>
        <w:spacing w:after="0" w:line="238" w:lineRule="auto"/>
        <w:rPr>
          <w:sz w:val="20"/>
          <w:szCs w:val="20"/>
          <w:color w:val="auto"/>
        </w:rPr>
      </w:pPr>
      <w:r>
        <w:rPr>
          <w:rFonts w:ascii="Courier New" w:cs="Courier New" w:eastAsia="Courier New" w:hAnsi="Courier New"/>
          <w:sz w:val="17"/>
          <w:szCs w:val="17"/>
          <w:color w:val="auto"/>
        </w:rPr>
        <w:t>SECURITIES AND EXCHANGE COMMISSION</w:t>
      </w:r>
    </w:p>
    <w:p>
      <w:pPr>
        <w:jc w:val="center"/>
        <w:ind w:right="2259"/>
        <w:spacing w:after="0" w:line="238" w:lineRule="auto"/>
        <w:rPr>
          <w:sz w:val="20"/>
          <w:szCs w:val="20"/>
          <w:color w:val="auto"/>
        </w:rPr>
      </w:pPr>
      <w:r>
        <w:rPr>
          <w:rFonts w:ascii="Courier New" w:cs="Courier New" w:eastAsia="Courier New" w:hAnsi="Courier New"/>
          <w:sz w:val="17"/>
          <w:szCs w:val="17"/>
          <w:color w:val="auto"/>
        </w:rPr>
        <w:t>Washington, D.C. 20549</w:t>
      </w:r>
    </w:p>
    <w:p>
      <w:pPr>
        <w:spacing w:after="0" w:line="190" w:lineRule="exact"/>
        <w:rPr>
          <w:sz w:val="24"/>
          <w:szCs w:val="24"/>
          <w:color w:val="auto"/>
        </w:rPr>
      </w:pPr>
    </w:p>
    <w:p>
      <w:pPr>
        <w:ind w:left="3580"/>
        <w:spacing w:after="0"/>
        <w:rPr>
          <w:sz w:val="20"/>
          <w:szCs w:val="20"/>
          <w:color w:val="auto"/>
        </w:rPr>
      </w:pPr>
      <w:r>
        <w:rPr>
          <w:rFonts w:ascii="Courier New" w:cs="Courier New" w:eastAsia="Courier New" w:hAnsi="Courier New"/>
          <w:sz w:val="17"/>
          <w:szCs w:val="17"/>
          <w:color w:val="auto"/>
        </w:rPr>
        <w:t>FORM 10-Q</w:t>
      </w:r>
    </w:p>
    <w:p>
      <w:pPr>
        <w:spacing w:after="0" w:line="238" w:lineRule="auto"/>
        <w:rPr>
          <w:sz w:val="20"/>
          <w:szCs w:val="20"/>
          <w:color w:val="auto"/>
        </w:rPr>
      </w:pPr>
      <w:r>
        <w:rPr>
          <w:rFonts w:ascii="Courier New" w:cs="Courier New" w:eastAsia="Courier New" w:hAnsi="Courier New"/>
          <w:sz w:val="17"/>
          <w:szCs w:val="17"/>
          <w:color w:val="auto"/>
        </w:rPr>
        <w:t>(Mark One)</w:t>
      </w:r>
    </w:p>
    <w:p>
      <w:pPr>
        <w:spacing w:after="0" w:line="197" w:lineRule="exact"/>
        <w:rPr>
          <w:sz w:val="24"/>
          <w:szCs w:val="24"/>
          <w:color w:val="auto"/>
        </w:rPr>
      </w:pPr>
    </w:p>
    <w:p>
      <w:pPr>
        <w:ind w:left="500" w:right="2259" w:hanging="498"/>
        <w:spacing w:after="0" w:line="235" w:lineRule="auto"/>
        <w:tabs>
          <w:tab w:leader="none" w:pos="5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 pursuant to Section 13 or 15(d) of the Securities Exchange Act of 1934 for the Quarterly Period Ended:</w:t>
      </w:r>
    </w:p>
    <w:p>
      <w:pPr>
        <w:jc w:val="center"/>
        <w:ind w:right="2259"/>
        <w:spacing w:after="0" w:line="238" w:lineRule="auto"/>
        <w:rPr>
          <w:sz w:val="20"/>
          <w:szCs w:val="20"/>
          <w:color w:val="auto"/>
        </w:rPr>
      </w:pPr>
      <w:r>
        <w:rPr>
          <w:rFonts w:ascii="Courier New" w:cs="Courier New" w:eastAsia="Courier New" w:hAnsi="Courier New"/>
          <w:sz w:val="17"/>
          <w:szCs w:val="17"/>
          <w:color w:val="auto"/>
        </w:rPr>
        <w:t>SEPTEMBER 30, 2001</w:t>
      </w:r>
    </w:p>
    <w:p>
      <w:pPr>
        <w:jc w:val="center"/>
        <w:ind w:right="2259"/>
        <w:spacing w:after="0"/>
        <w:rPr>
          <w:sz w:val="20"/>
          <w:szCs w:val="20"/>
          <w:color w:val="auto"/>
        </w:rPr>
      </w:pPr>
      <w:r>
        <w:rPr>
          <w:rFonts w:ascii="Courier New" w:cs="Courier New" w:eastAsia="Courier New" w:hAnsi="Courier New"/>
          <w:sz w:val="17"/>
          <w:szCs w:val="17"/>
          <w:color w:val="auto"/>
        </w:rPr>
        <w:t>OR</w:t>
      </w:r>
    </w:p>
    <w:p>
      <w:pPr>
        <w:spacing w:after="0" w:line="196" w:lineRule="exact"/>
        <w:rPr>
          <w:sz w:val="24"/>
          <w:szCs w:val="24"/>
          <w:color w:val="auto"/>
        </w:rPr>
      </w:pPr>
    </w:p>
    <w:p>
      <w:pPr>
        <w:ind w:left="500" w:right="2259" w:hanging="498"/>
        <w:spacing w:after="0" w:line="235" w:lineRule="auto"/>
        <w:tabs>
          <w:tab w:leader="none" w:pos="20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Transition Report pursuant to Section 13 or 15(d) of the Securities Exchange Act of 1934 for the Transition Period from ________ to ________.</w:t>
      </w:r>
    </w:p>
    <w:p>
      <w:pPr>
        <w:spacing w:after="0" w:line="190" w:lineRule="exact"/>
        <w:rPr>
          <w:sz w:val="24"/>
          <w:szCs w:val="24"/>
          <w:color w:val="auto"/>
        </w:rPr>
      </w:pPr>
    </w:p>
    <w:p>
      <w:pPr>
        <w:ind w:left="2580"/>
        <w:spacing w:after="0"/>
        <w:rPr>
          <w:sz w:val="20"/>
          <w:szCs w:val="20"/>
          <w:color w:val="auto"/>
        </w:rPr>
      </w:pPr>
      <w:r>
        <w:rPr>
          <w:rFonts w:ascii="Courier New" w:cs="Courier New" w:eastAsia="Courier New" w:hAnsi="Courier New"/>
          <w:sz w:val="17"/>
          <w:szCs w:val="17"/>
          <w:color w:val="auto"/>
        </w:rPr>
        <w:t>Commission File Number 0-6983</w:t>
      </w:r>
    </w:p>
    <w:p>
      <w:pPr>
        <w:spacing w:after="0" w:line="190" w:lineRule="exact"/>
        <w:rPr>
          <w:sz w:val="24"/>
          <w:szCs w:val="24"/>
          <w:color w:val="auto"/>
        </w:rPr>
      </w:pPr>
    </w:p>
    <w:p>
      <w:pPr>
        <w:ind w:left="2780"/>
        <w:spacing w:after="0"/>
        <w:rPr>
          <w:sz w:val="20"/>
          <w:szCs w:val="20"/>
          <w:color w:val="auto"/>
        </w:rPr>
      </w:pPr>
      <w:r>
        <w:rPr>
          <w:rFonts w:ascii="Courier New" w:cs="Courier New" w:eastAsia="Courier New" w:hAnsi="Courier New"/>
          <w:sz w:val="17"/>
          <w:szCs w:val="17"/>
          <w:color w:val="auto"/>
        </w:rPr>
        <w:t>[GRAPHIC OMITTED - LOGO]</w:t>
      </w:r>
    </w:p>
    <w:p>
      <w:pPr>
        <w:spacing w:after="0" w:line="190"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COMCAST CORPORATION</w:t>
      </w:r>
    </w:p>
    <w:p>
      <w:pPr>
        <w:jc w:val="center"/>
        <w:ind w:right="2259"/>
        <w:spacing w:after="0" w:line="238" w:lineRule="auto"/>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190" w:lineRule="exact"/>
        <w:rPr>
          <w:sz w:val="24"/>
          <w:szCs w:val="24"/>
          <w:color w:val="auto"/>
        </w:rPr>
      </w:pPr>
    </w:p>
    <w:p>
      <w:pPr>
        <w:ind w:left="700"/>
        <w:spacing w:after="0"/>
        <w:tabs>
          <w:tab w:leader="none" w:pos="6340" w:val="left"/>
        </w:tabs>
        <w:rPr>
          <w:sz w:val="20"/>
          <w:szCs w:val="20"/>
          <w:color w:val="auto"/>
        </w:rPr>
      </w:pPr>
      <w:r>
        <w:rPr>
          <w:rFonts w:ascii="Courier New" w:cs="Courier New" w:eastAsia="Courier New" w:hAnsi="Courier New"/>
          <w:sz w:val="17"/>
          <w:szCs w:val="17"/>
          <w:color w:val="auto"/>
        </w:rPr>
        <w:t>PENNSYLVANIA</w:t>
      </w:r>
      <w:r>
        <w:rPr>
          <w:sz w:val="20"/>
          <w:szCs w:val="20"/>
          <w:color w:val="auto"/>
        </w:rPr>
        <w:tab/>
      </w:r>
      <w:r>
        <w:rPr>
          <w:rFonts w:ascii="Courier New" w:cs="Courier New" w:eastAsia="Courier New" w:hAnsi="Courier New"/>
          <w:sz w:val="17"/>
          <w:szCs w:val="17"/>
          <w:color w:val="auto"/>
        </w:rPr>
        <w:t>23-1709202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4"/>
          <w:szCs w:val="24"/>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(State or other jurisdiction of (I.R.S. Employer incorporation or organization) Identification No.)</w:t>
      </w:r>
    </w:p>
    <w:p>
      <w:pPr>
        <w:spacing w:after="0" w:line="190"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1500 Market Street, Philadelphia, PA 19102-2148</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(Address of principal executive offices)</w:t>
      </w:r>
    </w:p>
    <w:p>
      <w:pPr>
        <w:jc w:val="center"/>
        <w:ind w:right="2259"/>
        <w:spacing w:after="0" w:line="238" w:lineRule="auto"/>
        <w:rPr>
          <w:sz w:val="20"/>
          <w:szCs w:val="20"/>
          <w:color w:val="auto"/>
        </w:rPr>
      </w:pPr>
      <w:r>
        <w:rPr>
          <w:rFonts w:ascii="Courier New" w:cs="Courier New" w:eastAsia="Courier New" w:hAnsi="Courier New"/>
          <w:sz w:val="17"/>
          <w:szCs w:val="17"/>
          <w:color w:val="auto"/>
        </w:rPr>
        <w:t>(Zip Code)</w:t>
      </w:r>
    </w:p>
    <w:p>
      <w:pPr>
        <w:spacing w:after="0" w:line="190" w:lineRule="exact"/>
        <w:rPr>
          <w:sz w:val="24"/>
          <w:szCs w:val="24"/>
          <w:color w:val="auto"/>
        </w:rPr>
      </w:pPr>
    </w:p>
    <w:p>
      <w:pPr>
        <w:spacing w:after="0"/>
        <w:tabs>
          <w:tab w:leader="none" w:pos="5260" w:val="left"/>
        </w:tabs>
        <w:rPr>
          <w:sz w:val="20"/>
          <w:szCs w:val="20"/>
          <w:color w:val="auto"/>
        </w:rPr>
      </w:pPr>
      <w:r>
        <w:rPr>
          <w:rFonts w:ascii="Courier New" w:cs="Courier New" w:eastAsia="Courier New" w:hAnsi="Courier New"/>
          <w:sz w:val="17"/>
          <w:szCs w:val="17"/>
          <w:color w:val="auto"/>
        </w:rPr>
        <w:t>Registrant's telephone number, including area code:</w:t>
      </w:r>
      <w:r>
        <w:rPr>
          <w:sz w:val="20"/>
          <w:szCs w:val="20"/>
          <w:color w:val="auto"/>
        </w:rPr>
        <w:tab/>
      </w:r>
      <w:r>
        <w:rPr>
          <w:rFonts w:ascii="Courier New" w:cs="Courier New" w:eastAsia="Courier New" w:hAnsi="Courier New"/>
          <w:sz w:val="16"/>
          <w:szCs w:val="16"/>
          <w:color w:val="auto"/>
        </w:rPr>
        <w:t>(215) 665-1700</w:t>
      </w:r>
    </w:p>
    <w:p>
      <w:pPr>
        <w:ind w:left="2680"/>
        <w:spacing w:after="0" w:line="238" w:lineRule="auto"/>
        <w:rPr>
          <w:sz w:val="20"/>
          <w:szCs w:val="20"/>
          <w:color w:val="auto"/>
        </w:rPr>
      </w:pPr>
      <w:r>
        <w:rPr>
          <w:rFonts w:ascii="Courier New" w:cs="Courier New" w:eastAsia="Courier New" w:hAnsi="Courier New"/>
          <w:sz w:val="17"/>
          <w:szCs w:val="17"/>
          <w:color w:val="auto"/>
        </w:rPr>
        <w:t>__________________________</w:t>
      </w:r>
    </w:p>
    <w:p>
      <w:pPr>
        <w:spacing w:after="0" w:line="197" w:lineRule="exact"/>
        <w:rPr>
          <w:sz w:val="24"/>
          <w:szCs w:val="24"/>
          <w:color w:val="auto"/>
        </w:rPr>
      </w:pPr>
    </w:p>
    <w:p>
      <w:pPr>
        <w:jc w:val="both"/>
        <w:ind w:right="2259"/>
        <w:spacing w:after="0" w:line="237"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ectPr>
          <w:pgSz w:w="11900" w:h="16838" w:orient="portrait"/>
          <w:cols w:equalWidth="0" w:num="1">
            <w:col w:w="10219"/>
          </w:cols>
          <w:pgMar w:left="240" w:top="237" w:right="1440" w:bottom="0" w:gutter="0" w:footer="0" w:header="0"/>
        </w:sectPr>
      </w:pPr>
    </w:p>
    <w:p>
      <w:pPr>
        <w:spacing w:after="0" w:line="197" w:lineRule="exact"/>
        <w:rPr>
          <w:sz w:val="24"/>
          <w:szCs w:val="24"/>
          <w:color w:val="auto"/>
        </w:rPr>
      </w:pPr>
    </w:p>
    <w:p>
      <w:pPr>
        <w:ind w:left="90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jc w:val="center"/>
        <w:ind w:right="4159"/>
        <w:spacing w:after="0"/>
        <w:rPr>
          <w:sz w:val="20"/>
          <w:szCs w:val="20"/>
          <w:color w:val="auto"/>
        </w:rPr>
      </w:pPr>
      <w:r>
        <w:rPr>
          <w:rFonts w:ascii="Courier New" w:cs="Courier New" w:eastAsia="Courier New" w:hAnsi="Courier New"/>
          <w:sz w:val="16"/>
          <w:szCs w:val="16"/>
          <w:color w:val="auto"/>
        </w:rPr>
        <w:t>No</w:t>
      </w:r>
    </w:p>
    <w:p>
      <w:pPr>
        <w:spacing w:after="0" w:line="10" w:lineRule="exact"/>
        <w:rPr>
          <w:sz w:val="24"/>
          <w:szCs w:val="24"/>
          <w:color w:val="auto"/>
        </w:rPr>
      </w:pPr>
    </w:p>
    <w:p>
      <w:pPr>
        <w:sectPr>
          <w:pgSz w:w="11900" w:h="16838" w:orient="portrait"/>
          <w:cols w:equalWidth="0" w:num="3">
            <w:col w:w="1200" w:space="200"/>
            <w:col w:w="3740" w:space="720"/>
            <w:col w:w="4359"/>
          </w:cols>
          <w:pgMar w:left="240" w:top="237" w:right="1440" w:bottom="0" w:gutter="0" w:footer="0" w:header="0"/>
          <w:type w:val="continuous"/>
        </w:sectPr>
      </w:pPr>
    </w:p>
    <w:p>
      <w:pPr>
        <w:ind w:left="13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4"/>
          <w:szCs w:val="24"/>
          <w:color w:val="auto"/>
        </w:rPr>
      </w:pPr>
    </w:p>
    <w:p>
      <w:pPr>
        <w:sectPr>
          <w:pgSz w:w="11900" w:h="16838" w:orient="portrait"/>
          <w:cols w:equalWidth="0" w:num="2">
            <w:col w:w="5440" w:space="720"/>
            <w:col w:w="4059"/>
          </w:cols>
          <w:pgMar w:left="240" w:top="237" w:right="1440" w:bottom="0" w:gutter="0" w:footer="0" w:header="0"/>
          <w:type w:val="continuous"/>
        </w:sectPr>
      </w:pPr>
    </w:p>
    <w:p>
      <w:pPr>
        <w:ind w:left="2680"/>
        <w:spacing w:after="0"/>
        <w:rPr>
          <w:sz w:val="20"/>
          <w:szCs w:val="20"/>
          <w:color w:val="auto"/>
        </w:rPr>
      </w:pPr>
      <w:r>
        <w:rPr>
          <w:rFonts w:ascii="Courier New" w:cs="Courier New" w:eastAsia="Courier New" w:hAnsi="Courier New"/>
          <w:sz w:val="17"/>
          <w:szCs w:val="17"/>
          <w:color w:val="auto"/>
        </w:rPr>
        <w:t>__________________________</w:t>
      </w:r>
    </w:p>
    <w:p>
      <w:pPr>
        <w:spacing w:after="0" w:line="196" w:lineRule="exact"/>
        <w:rPr>
          <w:sz w:val="24"/>
          <w:szCs w:val="24"/>
          <w:color w:val="auto"/>
        </w:rPr>
      </w:pPr>
    </w:p>
    <w:p>
      <w:pPr>
        <w:jc w:val="both"/>
        <w:ind w:right="2259"/>
        <w:spacing w:after="0" w:line="236" w:lineRule="auto"/>
        <w:rPr>
          <w:sz w:val="20"/>
          <w:szCs w:val="20"/>
          <w:color w:val="auto"/>
        </w:rPr>
      </w:pPr>
      <w:r>
        <w:rPr>
          <w:rFonts w:ascii="Courier New" w:cs="Courier New" w:eastAsia="Courier New" w:hAnsi="Courier New"/>
          <w:sz w:val="17"/>
          <w:szCs w:val="17"/>
          <w:color w:val="auto"/>
        </w:rPr>
        <w:t>As of September 30, 2001, there were 913,655,155 shares of Class A Special Common Stock, 21,829,422 shares of Class A Common Stock and 9,444,375 shares of Class B Common Stock outstanding.</w:t>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2159"/>
        <w:spacing w:after="0" w:line="238" w:lineRule="auto"/>
        <w:rPr>
          <w:sz w:val="20"/>
          <w:szCs w:val="20"/>
          <w:color w:val="auto"/>
        </w:rPr>
      </w:pPr>
      <w:r>
        <w:rPr>
          <w:rFonts w:ascii="Courier New" w:cs="Courier New" w:eastAsia="Courier New" w:hAnsi="Courier New"/>
          <w:sz w:val="17"/>
          <w:szCs w:val="17"/>
          <w:color w:val="auto"/>
        </w:rPr>
        <w:t>FORM 10-Q</w:t>
      </w:r>
    </w:p>
    <w:p>
      <w:pPr>
        <w:jc w:val="center"/>
        <w:ind w:right="2259"/>
        <w:spacing w:after="0" w:line="238" w:lineRule="auto"/>
        <w:rPr>
          <w:sz w:val="20"/>
          <w:szCs w:val="20"/>
          <w:color w:val="auto"/>
        </w:rPr>
      </w:pPr>
      <w:r>
        <w:rPr>
          <w:rFonts w:ascii="Courier New" w:cs="Courier New" w:eastAsia="Courier New" w:hAnsi="Courier New"/>
          <w:sz w:val="17"/>
          <w:szCs w:val="17"/>
          <w:color w:val="auto"/>
        </w:rPr>
        <w:t>QUARTER ENDED SEPTEMBER 30, 2001</w:t>
      </w:r>
    </w:p>
    <w:p>
      <w:pPr>
        <w:spacing w:after="0" w:line="190" w:lineRule="exact"/>
        <w:rPr>
          <w:sz w:val="24"/>
          <w:szCs w:val="24"/>
          <w:color w:val="auto"/>
        </w:rPr>
      </w:pPr>
    </w:p>
    <w:p>
      <w:pPr>
        <w:ind w:left="3180"/>
        <w:spacing w:after="0"/>
        <w:rPr>
          <w:sz w:val="20"/>
          <w:szCs w:val="20"/>
          <w:color w:val="auto"/>
        </w:rPr>
      </w:pPr>
      <w:r>
        <w:rPr>
          <w:rFonts w:ascii="Courier New" w:cs="Courier New" w:eastAsia="Courier New" w:hAnsi="Courier New"/>
          <w:sz w:val="17"/>
          <w:szCs w:val="17"/>
          <w:color w:val="auto"/>
        </w:rPr>
        <w:t>TABLE OF CONTENTS</w:t>
      </w:r>
    </w:p>
    <w:p>
      <w:pPr>
        <w:jc w:val="center"/>
        <w:ind w:left="3900"/>
        <w:spacing w:after="0" w:line="238" w:lineRule="auto"/>
        <w:rPr>
          <w:sz w:val="20"/>
          <w:szCs w:val="20"/>
          <w:color w:val="auto"/>
        </w:rPr>
      </w:pPr>
      <w:r>
        <w:rPr>
          <w:rFonts w:ascii="Courier New" w:cs="Courier New" w:eastAsia="Courier New" w:hAnsi="Courier New"/>
          <w:sz w:val="17"/>
          <w:szCs w:val="17"/>
          <w:color w:val="auto"/>
        </w:rPr>
        <w:t>Page</w:t>
      </w:r>
    </w:p>
    <w:p>
      <w:pPr>
        <w:spacing w:after="0" w:line="5" w:lineRule="exact"/>
        <w:rPr>
          <w:sz w:val="24"/>
          <w:szCs w:val="24"/>
          <w:color w:val="auto"/>
        </w:rPr>
      </w:pPr>
    </w:p>
    <w:p>
      <w:pPr>
        <w:jc w:val="center"/>
        <w:ind w:left="3900"/>
        <w:spacing w:after="0"/>
        <w:rPr>
          <w:sz w:val="20"/>
          <w:szCs w:val="20"/>
          <w:color w:val="auto"/>
        </w:rPr>
      </w:pPr>
      <w:r>
        <w:rPr>
          <w:rFonts w:ascii="Courier New" w:cs="Courier New" w:eastAsia="Courier New" w:hAnsi="Courier New"/>
          <w:sz w:val="16"/>
          <w:szCs w:val="16"/>
          <w:color w:val="auto"/>
        </w:rPr>
        <w:t>Number</w:t>
      </w:r>
    </w:p>
    <w:p>
      <w:pPr>
        <w:spacing w:after="0" w:line="10" w:lineRule="exact"/>
        <w:rPr>
          <w:sz w:val="24"/>
          <w:szCs w:val="24"/>
          <w:color w:val="auto"/>
        </w:rPr>
      </w:pPr>
    </w:p>
    <w:p>
      <w:pPr>
        <w:jc w:val="center"/>
        <w:ind w:left="39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37" w:right="1440" w:bottom="0" w:gutter="0" w:footer="0" w:header="0"/>
          <w:type w:val="continuous"/>
        </w:sectPr>
      </w:pP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PART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FINANCIAL INFORMATION</w:t>
      </w:r>
    </w:p>
    <w:p>
      <w:pPr>
        <w:spacing w:after="0" w:line="195" w:lineRule="exact"/>
        <w:rPr>
          <w:sz w:val="24"/>
          <w:szCs w:val="24"/>
          <w:color w:val="auto"/>
        </w:rPr>
      </w:pPr>
    </w:p>
    <w:p>
      <w:pPr>
        <w:sectPr>
          <w:pgSz w:w="11900" w:h="16838" w:orient="portrait"/>
          <w:cols w:equalWidth="0" w:num="2">
            <w:col w:w="700" w:space="200"/>
            <w:col w:w="9319"/>
          </w:cols>
          <w:pgMar w:left="240" w:top="237" w:right="1440" w:bottom="0" w:gutter="0" w:footer="0" w:header="0"/>
          <w:type w:val="continuous"/>
        </w:sectPr>
      </w:pPr>
    </w:p>
    <w:p>
      <w:pPr>
        <w:ind w:left="900"/>
        <w:spacing w:after="0"/>
        <w:rPr>
          <w:sz w:val="20"/>
          <w:szCs w:val="20"/>
          <w:color w:val="auto"/>
        </w:rPr>
      </w:pPr>
      <w:r>
        <w:rPr>
          <w:rFonts w:ascii="Courier New" w:cs="Courier New" w:eastAsia="Courier New" w:hAnsi="Courier New"/>
          <w:sz w:val="17"/>
          <w:szCs w:val="17"/>
          <w:color w:val="auto"/>
        </w:rPr>
        <w:t>ITEM 1. Financial Statements</w:t>
      </w:r>
    </w:p>
    <w:p>
      <w:pPr>
        <w:spacing w:after="0" w:line="190" w:lineRule="exact"/>
        <w:rPr>
          <w:sz w:val="24"/>
          <w:szCs w:val="24"/>
          <w:color w:val="auto"/>
        </w:rPr>
      </w:pPr>
    </w:p>
    <w:p>
      <w:pPr>
        <w:ind w:left="1700"/>
        <w:spacing w:after="0"/>
        <w:rPr>
          <w:sz w:val="20"/>
          <w:szCs w:val="20"/>
          <w:color w:val="auto"/>
        </w:rPr>
      </w:pPr>
      <w:r>
        <w:rPr>
          <w:rFonts w:ascii="Courier New" w:cs="Courier New" w:eastAsia="Courier New" w:hAnsi="Courier New"/>
          <w:sz w:val="17"/>
          <w:szCs w:val="17"/>
          <w:color w:val="auto"/>
        </w:rPr>
        <w:t>Condensed Consolidated Balance Sheet as of September 30,</w:t>
      </w:r>
    </w:p>
    <w:p>
      <w:pPr>
        <w:spacing w:after="0" w:line="5"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2001 and December 31, 2000 (Unaudited)........................2</w:t>
      </w:r>
    </w:p>
    <w:p>
      <w:pPr>
        <w:spacing w:after="0" w:line="201" w:lineRule="exact"/>
        <w:rPr>
          <w:sz w:val="24"/>
          <w:szCs w:val="24"/>
          <w:color w:val="auto"/>
        </w:rPr>
      </w:pPr>
    </w:p>
    <w:p>
      <w:pPr>
        <w:ind w:left="1700" w:right="2259"/>
        <w:spacing w:after="0" w:line="256" w:lineRule="auto"/>
        <w:rPr>
          <w:sz w:val="20"/>
          <w:szCs w:val="20"/>
          <w:color w:val="auto"/>
        </w:rPr>
      </w:pPr>
      <w:r>
        <w:rPr>
          <w:rFonts w:ascii="Courier New" w:cs="Courier New" w:eastAsia="Courier New" w:hAnsi="Courier New"/>
          <w:sz w:val="16"/>
          <w:szCs w:val="16"/>
          <w:color w:val="auto"/>
        </w:rPr>
        <w:t>Condensed Consolidated Statement of Operations and Retained Earnings (Accumulated Deficit) for the Three and Nine Months Ended September 30, 2001 and 2000 (Unaudited).................3</w:t>
      </w:r>
    </w:p>
    <w:p>
      <w:pPr>
        <w:spacing w:after="0" w:line="178" w:lineRule="exact"/>
        <w:rPr>
          <w:sz w:val="24"/>
          <w:szCs w:val="24"/>
          <w:color w:val="auto"/>
        </w:rPr>
      </w:pPr>
    </w:p>
    <w:p>
      <w:pPr>
        <w:ind w:left="1700"/>
        <w:spacing w:after="0"/>
        <w:rPr>
          <w:sz w:val="20"/>
          <w:szCs w:val="20"/>
          <w:color w:val="auto"/>
        </w:rPr>
      </w:pPr>
      <w:r>
        <w:rPr>
          <w:rFonts w:ascii="Courier New" w:cs="Courier New" w:eastAsia="Courier New" w:hAnsi="Courier New"/>
          <w:sz w:val="17"/>
          <w:szCs w:val="17"/>
          <w:color w:val="auto"/>
        </w:rPr>
        <w:t>Condensed Consolidated Statement of Cash Flows for the</w:t>
      </w:r>
    </w:p>
    <w:p>
      <w:pPr>
        <w:spacing w:after="0" w:line="5"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Nine Months Ended September 30, 2001 and 2000 (Unaudited).....4</w:t>
      </w:r>
    </w:p>
    <w:p>
      <w:pPr>
        <w:spacing w:after="0" w:line="201" w:lineRule="exact"/>
        <w:rPr>
          <w:sz w:val="24"/>
          <w:szCs w:val="24"/>
          <w:color w:val="auto"/>
        </w:rPr>
      </w:pPr>
    </w:p>
    <w:p>
      <w:pPr>
        <w:ind w:left="1700" w:right="2259"/>
        <w:spacing w:after="0" w:line="259" w:lineRule="auto"/>
        <w:rPr>
          <w:sz w:val="20"/>
          <w:szCs w:val="20"/>
          <w:color w:val="auto"/>
        </w:rPr>
      </w:pPr>
      <w:r>
        <w:rPr>
          <w:rFonts w:ascii="Courier New" w:cs="Courier New" w:eastAsia="Courier New" w:hAnsi="Courier New"/>
          <w:sz w:val="16"/>
          <w:szCs w:val="16"/>
          <w:color w:val="auto"/>
        </w:rPr>
        <w:t>Notes to Condensed Consolidated Financial Statements (Unaudited)..............................................5 - 16</w:t>
      </w:r>
    </w:p>
    <w:p>
      <w:pPr>
        <w:spacing w:after="0" w:line="176" w:lineRule="exact"/>
        <w:rPr>
          <w:sz w:val="24"/>
          <w:szCs w:val="24"/>
          <w:color w:val="auto"/>
        </w:rPr>
      </w:pPr>
    </w:p>
    <w:p>
      <w:pPr>
        <w:ind w:left="900"/>
        <w:spacing w:after="0"/>
        <w:rPr>
          <w:sz w:val="20"/>
          <w:szCs w:val="20"/>
          <w:color w:val="auto"/>
        </w:rPr>
      </w:pPr>
      <w:r>
        <w:rPr>
          <w:rFonts w:ascii="Courier New" w:cs="Courier New" w:eastAsia="Courier New" w:hAnsi="Courier New"/>
          <w:sz w:val="17"/>
          <w:szCs w:val="17"/>
          <w:color w:val="auto"/>
        </w:rPr>
        <w:t>ITEM 2. Management's Discussion and Analysis of Financial</w:t>
      </w:r>
    </w:p>
    <w:p>
      <w:pPr>
        <w:spacing w:after="0" w:line="5"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Condition and Results of Operations.....................17 - 24</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PART II. OTHER INFORMATION</w:t>
      </w:r>
    </w:p>
    <w:p>
      <w:pPr>
        <w:spacing w:after="0" w:line="196" w:lineRule="exact"/>
        <w:rPr>
          <w:sz w:val="24"/>
          <w:szCs w:val="24"/>
          <w:color w:val="auto"/>
        </w:rPr>
      </w:pPr>
    </w:p>
    <w:p>
      <w:pPr>
        <w:ind w:left="900"/>
        <w:spacing w:after="0"/>
        <w:rPr>
          <w:sz w:val="20"/>
          <w:szCs w:val="20"/>
          <w:color w:val="auto"/>
        </w:rPr>
      </w:pPr>
      <w:r>
        <w:rPr>
          <w:rFonts w:ascii="Courier New" w:cs="Courier New" w:eastAsia="Courier New" w:hAnsi="Courier New"/>
          <w:sz w:val="16"/>
          <w:szCs w:val="16"/>
          <w:color w:val="auto"/>
        </w:rPr>
        <w:t>ITEM 1. Legal Proceedings............................................25</w:t>
      </w:r>
    </w:p>
    <w:p>
      <w:pPr>
        <w:spacing w:after="0" w:line="201" w:lineRule="exact"/>
        <w:rPr>
          <w:sz w:val="24"/>
          <w:szCs w:val="24"/>
          <w:color w:val="auto"/>
        </w:rPr>
      </w:pPr>
    </w:p>
    <w:p>
      <w:pPr>
        <w:ind w:left="900"/>
        <w:spacing w:after="0"/>
        <w:rPr>
          <w:sz w:val="20"/>
          <w:szCs w:val="20"/>
          <w:color w:val="auto"/>
        </w:rPr>
      </w:pPr>
      <w:r>
        <w:rPr>
          <w:rFonts w:ascii="Courier New" w:cs="Courier New" w:eastAsia="Courier New" w:hAnsi="Courier New"/>
          <w:sz w:val="16"/>
          <w:szCs w:val="16"/>
          <w:color w:val="auto"/>
        </w:rPr>
        <w:t>ITEM 6. Exhibits and Reports on Form 8-K.............................25</w:t>
      </w:r>
    </w:p>
    <w:p>
      <w:pPr>
        <w:sectPr>
          <w:pgSz w:w="11900" w:h="16838" w:orient="portrait"/>
          <w:cols w:equalWidth="0" w:num="1">
            <w:col w:w="10219"/>
          </w:cols>
          <w:pgMar w:left="240" w:top="237" w:right="1440" w:bottom="0" w:gutter="0" w:footer="0" w:header="0"/>
          <w:type w:val="continuous"/>
        </w:sectPr>
      </w:pPr>
    </w:p>
    <w:bookmarkStart w:id="1" w:name="page2"/>
    <w:bookmarkEnd w:id="1"/>
    <w:p>
      <w:pPr>
        <w:jc w:val="right"/>
        <w:ind w:right="2259"/>
        <w:spacing w:after="0"/>
        <w:tabs>
          <w:tab w:leader="dot" w:pos="18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6"/>
          <w:szCs w:val="16"/>
          <w:color w:val="auto"/>
        </w:rPr>
        <w:t>26</w:t>
      </w:r>
    </w:p>
    <w:p>
      <w:pPr>
        <w:ind w:left="2280"/>
        <w:spacing w:after="0" w:line="238" w:lineRule="auto"/>
        <w:rPr>
          <w:sz w:val="20"/>
          <w:szCs w:val="20"/>
          <w:color w:val="auto"/>
        </w:rPr>
      </w:pPr>
      <w:r>
        <w:rPr>
          <w:rFonts w:ascii="Courier New" w:cs="Courier New" w:eastAsia="Courier New" w:hAnsi="Courier New"/>
          <w:sz w:val="17"/>
          <w:szCs w:val="17"/>
          <w:color w:val="auto"/>
        </w:rPr>
        <w:t>___________________________________</w:t>
      </w:r>
    </w:p>
    <w:p>
      <w:pPr>
        <w:spacing w:after="0" w:line="197" w:lineRule="exact"/>
        <w:rPr>
          <w:sz w:val="20"/>
          <w:szCs w:val="20"/>
          <w:color w:val="auto"/>
        </w:rPr>
      </w:pPr>
    </w:p>
    <w:p>
      <w:pPr>
        <w:jc w:val="both"/>
        <w:ind w:right="2259" w:firstLine="497"/>
        <w:spacing w:after="0" w:line="237" w:lineRule="auto"/>
        <w:rPr>
          <w:sz w:val="20"/>
          <w:szCs w:val="20"/>
          <w:color w:val="auto"/>
        </w:rPr>
      </w:pPr>
      <w:r>
        <w:rPr>
          <w:rFonts w:ascii="Courier New" w:cs="Courier New" w:eastAsia="Courier New" w:hAnsi="Courier New"/>
          <w:sz w:val="17"/>
          <w:szCs w:val="17"/>
          <w:color w:val="auto"/>
        </w:rPr>
        <w:t>This Quarterly Report on Form 10-Q is for the three months ended September 30, 2001. This Quarterly Report modifies and supersedes documents filed prior to this Quarterly Report. The SEC allows us to "incorporate by reference" information that we file with them,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In this Quarterly Report, "Comcast," "we," "us" and "our" refer to Comcast Corporation and its subsidiaries.</w:t>
      </w:r>
    </w:p>
    <w:p>
      <w:pPr>
        <w:spacing w:after="0" w:line="196" w:lineRule="exact"/>
        <w:rPr>
          <w:sz w:val="20"/>
          <w:szCs w:val="20"/>
          <w:color w:val="auto"/>
        </w:rPr>
      </w:pPr>
    </w:p>
    <w:p>
      <w:pPr>
        <w:ind w:left="500"/>
        <w:spacing w:after="0"/>
        <w:tabs>
          <w:tab w:leader="none" w:pos="1680" w:val="left"/>
          <w:tab w:leader="none" w:pos="2760" w:val="left"/>
          <w:tab w:leader="none" w:pos="3960" w:val="left"/>
          <w:tab w:leader="none" w:pos="5260" w:val="left"/>
        </w:tabs>
        <w:rPr>
          <w:sz w:val="20"/>
          <w:szCs w:val="20"/>
          <w:color w:val="auto"/>
        </w:rPr>
      </w:pPr>
      <w:r>
        <w:rPr>
          <w:rFonts w:ascii="Courier New" w:cs="Courier New" w:eastAsia="Courier New" w:hAnsi="Courier New"/>
          <w:sz w:val="17"/>
          <w:szCs w:val="17"/>
          <w:color w:val="auto"/>
        </w:rPr>
        <w:t>You should</w:t>
        <w:tab/>
        <w:t>carefully</w:t>
        <w:tab/>
        <w:t>review the</w:t>
        <w:tab/>
        <w:t>information</w:t>
      </w:r>
      <w:r>
        <w:rPr>
          <w:sz w:val="20"/>
          <w:szCs w:val="20"/>
          <w:color w:val="auto"/>
        </w:rPr>
        <w:tab/>
      </w:r>
      <w:r>
        <w:rPr>
          <w:rFonts w:ascii="Courier New" w:cs="Courier New" w:eastAsia="Courier New" w:hAnsi="Courier New"/>
          <w:sz w:val="16"/>
          <w:szCs w:val="16"/>
          <w:color w:val="auto"/>
        </w:rPr>
        <w:t>contained in this Quarterly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and in other reports or documents that we file from time to time with the</w:t>
      </w:r>
    </w:p>
    <w:p>
      <w:pPr>
        <w:spacing w:after="0" w:line="3" w:lineRule="exact"/>
        <w:rPr>
          <w:sz w:val="20"/>
          <w:szCs w:val="20"/>
          <w:color w:val="auto"/>
        </w:rPr>
      </w:pPr>
    </w:p>
    <w:p>
      <w:pPr>
        <w:spacing w:after="0"/>
        <w:tabs>
          <w:tab w:leader="none" w:pos="2360" w:val="left"/>
        </w:tabs>
        <w:rPr>
          <w:sz w:val="20"/>
          <w:szCs w:val="20"/>
          <w:color w:val="auto"/>
        </w:rPr>
      </w:pPr>
      <w:r>
        <w:rPr>
          <w:rFonts w:ascii="Courier New" w:cs="Courier New" w:eastAsia="Courier New" w:hAnsi="Courier New"/>
          <w:sz w:val="17"/>
          <w:szCs w:val="17"/>
          <w:color w:val="auto"/>
        </w:rPr>
        <w:t>SEC. In this Quarterly</w:t>
      </w:r>
      <w:r>
        <w:rPr>
          <w:sz w:val="20"/>
          <w:szCs w:val="20"/>
          <w:color w:val="auto"/>
        </w:rPr>
        <w:tab/>
      </w:r>
      <w:r>
        <w:rPr>
          <w:rFonts w:ascii="Courier New" w:cs="Courier New" w:eastAsia="Courier New" w:hAnsi="Courier New"/>
          <w:sz w:val="16"/>
          <w:szCs w:val="16"/>
          <w:color w:val="auto"/>
        </w:rPr>
        <w:t>Report, we state our beliefs of future events and of our</w:t>
      </w:r>
    </w:p>
    <w:p>
      <w:pPr>
        <w:spacing w:after="0"/>
        <w:tabs>
          <w:tab w:leader="none" w:pos="780" w:val="left"/>
          <w:tab w:leader="none" w:pos="1880" w:val="left"/>
          <w:tab w:leader="none" w:pos="3260" w:val="left"/>
        </w:tabs>
        <w:rPr>
          <w:sz w:val="20"/>
          <w:szCs w:val="20"/>
          <w:color w:val="auto"/>
        </w:rPr>
      </w:pPr>
      <w:r>
        <w:rPr>
          <w:rFonts w:ascii="Courier New" w:cs="Courier New" w:eastAsia="Courier New" w:hAnsi="Courier New"/>
          <w:sz w:val="17"/>
          <w:szCs w:val="17"/>
          <w:color w:val="auto"/>
        </w:rPr>
        <w:t>future</w:t>
        <w:tab/>
        <w:t>financial</w:t>
        <w:tab/>
        <w:t>performance.</w:t>
      </w:r>
      <w:r>
        <w:rPr>
          <w:sz w:val="20"/>
          <w:szCs w:val="20"/>
          <w:color w:val="auto"/>
        </w:rPr>
        <w:tab/>
      </w:r>
      <w:r>
        <w:rPr>
          <w:rFonts w:ascii="Courier New" w:cs="Courier New" w:eastAsia="Courier New" w:hAnsi="Courier New"/>
          <w:sz w:val="16"/>
          <w:szCs w:val="16"/>
          <w:color w:val="auto"/>
        </w:rPr>
        <w:t>In some cases, you can identify those so-called</w:t>
      </w:r>
    </w:p>
    <w:p>
      <w:pPr>
        <w:spacing w:after="0"/>
        <w:tabs>
          <w:tab w:leader="none" w:pos="1880" w:val="left"/>
          <w:tab w:leader="none" w:pos="3160" w:val="left"/>
          <w:tab w:leader="none" w:pos="3560" w:val="left"/>
          <w:tab w:leader="none" w:pos="4260" w:val="left"/>
          <w:tab w:leader="none" w:pos="4860" w:val="left"/>
          <w:tab w:leader="none" w:pos="5260" w:val="left"/>
          <w:tab w:leader="none" w:pos="6040" w:val="left"/>
          <w:tab w:leader="none" w:pos="7040" w:val="left"/>
        </w:tabs>
        <w:rPr>
          <w:sz w:val="20"/>
          <w:szCs w:val="20"/>
          <w:color w:val="auto"/>
        </w:rPr>
      </w:pPr>
      <w:r>
        <w:rPr>
          <w:rFonts w:ascii="Courier New" w:cs="Courier New" w:eastAsia="Courier New" w:hAnsi="Courier New"/>
          <w:sz w:val="17"/>
          <w:szCs w:val="17"/>
          <w:color w:val="auto"/>
        </w:rPr>
        <w:t>"forward-looking</w:t>
      </w:r>
      <w:r>
        <w:rPr>
          <w:sz w:val="20"/>
          <w:szCs w:val="20"/>
          <w:color w:val="auto"/>
        </w:rPr>
        <w:tab/>
      </w:r>
      <w:r>
        <w:rPr>
          <w:rFonts w:ascii="Courier New" w:cs="Courier New" w:eastAsia="Courier New" w:hAnsi="Courier New"/>
          <w:sz w:val="17"/>
          <w:szCs w:val="17"/>
          <w:color w:val="auto"/>
        </w:rPr>
        <w:t>statements"</w:t>
        <w:tab/>
        <w:t>by</w:t>
        <w:tab/>
        <w:t>words</w:t>
        <w:tab/>
        <w:t>such</w:t>
        <w:tab/>
        <w:t>as</w:t>
        <w:tab/>
        <w:t>"may,"</w:t>
        <w:tab/>
        <w:t>"will,"</w:t>
      </w:r>
      <w:r>
        <w:rPr>
          <w:sz w:val="20"/>
          <w:szCs w:val="20"/>
          <w:color w:val="auto"/>
        </w:rPr>
        <w:tab/>
      </w:r>
      <w:r>
        <w:rPr>
          <w:rFonts w:ascii="Courier New" w:cs="Courier New" w:eastAsia="Courier New" w:hAnsi="Courier New"/>
          <w:sz w:val="16"/>
          <w:szCs w:val="16"/>
          <w:color w:val="auto"/>
        </w:rPr>
        <w:t>"should,"</w:t>
      </w:r>
    </w:p>
    <w:p>
      <w:pPr>
        <w:spacing w:after="0"/>
        <w:tabs>
          <w:tab w:leader="none" w:pos="1180" w:val="left"/>
          <w:tab w:leader="none" w:pos="2260" w:val="left"/>
          <w:tab w:leader="none" w:pos="3960" w:val="left"/>
          <w:tab w:leader="none" w:pos="5360" w:val="left"/>
          <w:tab w:leader="none" w:pos="6840" w:val="left"/>
        </w:tabs>
        <w:rPr>
          <w:sz w:val="20"/>
          <w:szCs w:val="20"/>
          <w:color w:val="auto"/>
        </w:rPr>
      </w:pPr>
      <w:r>
        <w:rPr>
          <w:rFonts w:ascii="Courier New" w:cs="Courier New" w:eastAsia="Courier New" w:hAnsi="Courier New"/>
          <w:sz w:val="17"/>
          <w:szCs w:val="17"/>
          <w:color w:val="auto"/>
        </w:rPr>
        <w:t>"expects,"</w:t>
        <w:tab/>
        <w:t>"plans,"</w:t>
        <w:tab/>
        <w:t>"anticipates,"</w:t>
      </w:r>
      <w:r>
        <w:rPr>
          <w:sz w:val="20"/>
          <w:szCs w:val="20"/>
          <w:color w:val="auto"/>
        </w:rPr>
        <w:tab/>
      </w:r>
      <w:r>
        <w:rPr>
          <w:rFonts w:ascii="Courier New" w:cs="Courier New" w:eastAsia="Courier New" w:hAnsi="Courier New"/>
          <w:sz w:val="17"/>
          <w:szCs w:val="17"/>
          <w:color w:val="auto"/>
        </w:rPr>
        <w:t>"believes,"</w:t>
      </w:r>
      <w:r>
        <w:rPr>
          <w:sz w:val="20"/>
          <w:szCs w:val="20"/>
          <w:color w:val="auto"/>
        </w:rPr>
        <w:tab/>
      </w:r>
      <w:r>
        <w:rPr>
          <w:rFonts w:ascii="Courier New" w:cs="Courier New" w:eastAsia="Courier New" w:hAnsi="Courier New"/>
          <w:sz w:val="17"/>
          <w:szCs w:val="17"/>
          <w:color w:val="auto"/>
        </w:rPr>
        <w:t>"estimates,"</w:t>
      </w:r>
      <w:r>
        <w:rPr>
          <w:sz w:val="20"/>
          <w:szCs w:val="20"/>
          <w:color w:val="auto"/>
        </w:rPr>
        <w:tab/>
      </w:r>
      <w:r>
        <w:rPr>
          <w:rFonts w:ascii="Courier New" w:cs="Courier New" w:eastAsia="Courier New" w:hAnsi="Courier New"/>
          <w:sz w:val="16"/>
          <w:szCs w:val="16"/>
          <w:color w:val="auto"/>
        </w:rPr>
        <w:t>"predicts,"</w:t>
      </w:r>
    </w:p>
    <w:p>
      <w:pPr>
        <w:spacing w:after="0"/>
        <w:tabs>
          <w:tab w:leader="none" w:pos="1380" w:val="left"/>
          <w:tab w:leader="none" w:pos="6940" w:val="left"/>
        </w:tabs>
        <w:rPr>
          <w:sz w:val="20"/>
          <w:szCs w:val="20"/>
          <w:color w:val="auto"/>
        </w:rPr>
      </w:pPr>
      <w:r>
        <w:rPr>
          <w:rFonts w:ascii="Courier New" w:cs="Courier New" w:eastAsia="Courier New" w:hAnsi="Courier New"/>
          <w:sz w:val="17"/>
          <w:szCs w:val="17"/>
          <w:color w:val="auto"/>
        </w:rPr>
        <w:t>"potential,"</w:t>
        <w:tab/>
        <w:t>or "continue" or the negative of those words and other</w:t>
      </w:r>
      <w:r>
        <w:rPr>
          <w:sz w:val="20"/>
          <w:szCs w:val="20"/>
          <w:color w:val="auto"/>
        </w:rPr>
        <w:tab/>
      </w:r>
      <w:r>
        <w:rPr>
          <w:rFonts w:ascii="Courier New" w:cs="Courier New" w:eastAsia="Courier New" w:hAnsi="Courier New"/>
          <w:sz w:val="16"/>
          <w:szCs w:val="16"/>
          <w:color w:val="auto"/>
        </w:rPr>
        <w:t>comparable</w:t>
      </w:r>
    </w:p>
    <w:p>
      <w:pPr>
        <w:spacing w:after="0"/>
        <w:tabs>
          <w:tab w:leader="none" w:pos="780" w:val="left"/>
          <w:tab w:leader="none" w:pos="1280" w:val="left"/>
          <w:tab w:leader="none" w:pos="2960" w:val="left"/>
          <w:tab w:leader="none" w:pos="4160" w:val="left"/>
          <w:tab w:leader="none" w:pos="5360" w:val="left"/>
          <w:tab w:leader="none" w:pos="6740" w:val="left"/>
        </w:tabs>
        <w:rPr>
          <w:sz w:val="20"/>
          <w:szCs w:val="20"/>
          <w:color w:val="auto"/>
        </w:rPr>
      </w:pPr>
      <w:r>
        <w:rPr>
          <w:rFonts w:ascii="Courier New" w:cs="Courier New" w:eastAsia="Courier New" w:hAnsi="Courier New"/>
          <w:sz w:val="17"/>
          <w:szCs w:val="17"/>
          <w:color w:val="auto"/>
        </w:rPr>
        <w:t>words.</w:t>
        <w:tab/>
        <w:t>You</w:t>
        <w:tab/>
        <w:t>should be aware</w:t>
        <w:tab/>
        <w:t>that those</w:t>
        <w:tab/>
        <w:t>statements</w:t>
        <w:tab/>
        <w:t>are only our</w:t>
      </w:r>
      <w:r>
        <w:rPr>
          <w:sz w:val="20"/>
          <w:szCs w:val="20"/>
          <w:color w:val="auto"/>
        </w:rPr>
        <w:tab/>
      </w:r>
      <w:r>
        <w:rPr>
          <w:rFonts w:ascii="Courier New" w:cs="Courier New" w:eastAsia="Courier New" w:hAnsi="Courier New"/>
          <w:sz w:val="16"/>
          <w:szCs w:val="16"/>
          <w:color w:val="auto"/>
        </w:rPr>
        <w:t>predictions.</w:t>
      </w:r>
    </w:p>
    <w:p>
      <w:pPr>
        <w:spacing w:after="0"/>
        <w:tabs>
          <w:tab w:leader="none" w:pos="4860" w:val="left"/>
        </w:tabs>
        <w:rPr>
          <w:sz w:val="20"/>
          <w:szCs w:val="20"/>
          <w:color w:val="auto"/>
        </w:rPr>
      </w:pPr>
      <w:r>
        <w:rPr>
          <w:rFonts w:ascii="Courier New" w:cs="Courier New" w:eastAsia="Courier New" w:hAnsi="Courier New"/>
          <w:sz w:val="17"/>
          <w:szCs w:val="17"/>
          <w:color w:val="auto"/>
        </w:rPr>
        <w:t>Actual events or results may differ materially.</w:t>
      </w:r>
      <w:r>
        <w:rPr>
          <w:sz w:val="20"/>
          <w:szCs w:val="20"/>
          <w:color w:val="auto"/>
        </w:rPr>
        <w:tab/>
      </w:r>
      <w:r>
        <w:rPr>
          <w:rFonts w:ascii="Courier New" w:cs="Courier New" w:eastAsia="Courier New" w:hAnsi="Courier New"/>
          <w:sz w:val="16"/>
          <w:szCs w:val="16"/>
          <w:color w:val="auto"/>
        </w:rPr>
        <w:t>In evaluating those statements,</w:t>
      </w:r>
    </w:p>
    <w:p>
      <w:pPr>
        <w:spacing w:after="0"/>
        <w:tabs>
          <w:tab w:leader="none" w:pos="2460" w:val="left"/>
          <w:tab w:leader="none" w:pos="5160" w:val="left"/>
        </w:tabs>
        <w:rPr>
          <w:sz w:val="20"/>
          <w:szCs w:val="20"/>
          <w:color w:val="auto"/>
        </w:rPr>
      </w:pPr>
      <w:r>
        <w:rPr>
          <w:rFonts w:ascii="Courier New" w:cs="Courier New" w:eastAsia="Courier New" w:hAnsi="Courier New"/>
          <w:sz w:val="17"/>
          <w:szCs w:val="17"/>
          <w:color w:val="auto"/>
        </w:rPr>
        <w:t>you should specifically</w:t>
        <w:tab/>
        <w:t>consider various factors,</w:t>
      </w:r>
      <w:r>
        <w:rPr>
          <w:sz w:val="20"/>
          <w:szCs w:val="20"/>
          <w:color w:val="auto"/>
        </w:rPr>
        <w:tab/>
      </w:r>
      <w:r>
        <w:rPr>
          <w:rFonts w:ascii="Courier New" w:cs="Courier New" w:eastAsia="Courier New" w:hAnsi="Courier New"/>
          <w:sz w:val="16"/>
          <w:szCs w:val="16"/>
          <w:color w:val="auto"/>
        </w:rPr>
        <w:t>including the risks outlined</w:t>
      </w:r>
    </w:p>
    <w:p>
      <w:pPr>
        <w:spacing w:after="0" w:line="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6"/>
          <w:szCs w:val="16"/>
          <w:color w:val="auto"/>
        </w:rPr>
        <w:t>below.</w:t>
        <w:tab/>
        <w:t>Those factors may cause our actual results to differ materially from 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our forward-looking statements.</w:t>
      </w:r>
    </w:p>
    <w:p>
      <w:pPr>
        <w:spacing w:after="0" w:line="238" w:lineRule="auto"/>
        <w:rPr>
          <w:sz w:val="20"/>
          <w:szCs w:val="20"/>
          <w:color w:val="auto"/>
        </w:rPr>
      </w:pPr>
      <w:r>
        <w:rPr>
          <w:rFonts w:ascii="Courier New" w:cs="Courier New" w:eastAsia="Courier New" w:hAnsi="Courier New"/>
          <w:sz w:val="17"/>
          <w:szCs w:val="17"/>
          <w:color w:val="auto"/>
        </w:rPr>
        <w:t>Factors Affecting Future Operations</w:t>
      </w:r>
    </w:p>
    <w:p>
      <w:pPr>
        <w:spacing w:after="0" w:line="197" w:lineRule="exact"/>
        <w:rPr>
          <w:sz w:val="20"/>
          <w:szCs w:val="20"/>
          <w:color w:val="auto"/>
        </w:rPr>
      </w:pPr>
    </w:p>
    <w:p>
      <w:pPr>
        <w:jc w:val="both"/>
        <w:ind w:right="2259" w:firstLine="497"/>
        <w:spacing w:after="0" w:line="237" w:lineRule="auto"/>
        <w:rPr>
          <w:sz w:val="20"/>
          <w:szCs w:val="20"/>
          <w:color w:val="auto"/>
        </w:rPr>
      </w:pPr>
      <w:r>
        <w:rPr>
          <w:rFonts w:ascii="Courier New" w:cs="Courier New" w:eastAsia="Courier New" w:hAnsi="Courier New"/>
          <w:sz w:val="17"/>
          <w:szCs w:val="17"/>
          <w:color w:val="auto"/>
        </w:rPr>
        <w:t>We have acquired and we anticipate acquiring cable communications systems in new communities in which we do not have established relationships with the franchising authority, community leaders and cable subscribers. Further, a substantial number of new employees are being and must continue to be integrated into our business practices and operations. Our results of operations may be significantly affected by our ability to efficiently and effectively manage these changes.</w:t>
      </w:r>
    </w:p>
    <w:p>
      <w:pPr>
        <w:spacing w:after="0" w:line="19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 addition, our businesses may be affected by, among other things:</w:t>
      </w:r>
    </w:p>
    <w:p>
      <w:pPr>
        <w:spacing w:after="0" w:line="190" w:lineRule="exact"/>
        <w:rPr>
          <w:sz w:val="20"/>
          <w:szCs w:val="20"/>
          <w:color w:val="auto"/>
        </w:rPr>
      </w:pPr>
    </w:p>
    <w:p>
      <w:pPr>
        <w:ind w:left="1000" w:hanging="501"/>
        <w:spacing w:after="0"/>
        <w:tabs>
          <w:tab w:leader="none" w:pos="10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laws and regulations,</w:t>
      </w:r>
    </w:p>
    <w:p>
      <w:pPr>
        <w:ind w:left="1000" w:hanging="501"/>
        <w:spacing w:after="0" w:line="238" w:lineRule="auto"/>
        <w:tabs>
          <w:tab w:leader="none" w:pos="10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the competitive environment,</w:t>
      </w:r>
    </w:p>
    <w:p>
      <w:pPr>
        <w:ind w:left="1000" w:hanging="501"/>
        <w:spacing w:after="0" w:line="238" w:lineRule="auto"/>
        <w:tabs>
          <w:tab w:leader="none" w:pos="10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technology,</w:t>
      </w:r>
    </w:p>
    <w:p>
      <w:pPr>
        <w:ind w:left="1000" w:hanging="501"/>
        <w:spacing w:after="0" w:line="238" w:lineRule="auto"/>
        <w:tabs>
          <w:tab w:leader="none" w:pos="10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industry consolidation and mergers,</w:t>
      </w:r>
    </w:p>
    <w:p>
      <w:pPr>
        <w:ind w:left="1000" w:hanging="501"/>
        <w:spacing w:after="0" w:line="238" w:lineRule="auto"/>
        <w:tabs>
          <w:tab w:leader="none" w:pos="10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franchise related matters,</w:t>
      </w:r>
    </w:p>
    <w:p>
      <w:pPr>
        <w:spacing w:after="0" w:line="5" w:lineRule="exact"/>
        <w:rPr>
          <w:rFonts w:ascii="Courier New" w:cs="Courier New" w:eastAsia="Courier New" w:hAnsi="Courier New"/>
          <w:sz w:val="17"/>
          <w:szCs w:val="17"/>
          <w:color w:val="auto"/>
        </w:rPr>
      </w:pPr>
    </w:p>
    <w:p>
      <w:pPr>
        <w:jc w:val="both"/>
        <w:ind w:left="1000" w:right="2259" w:hanging="501"/>
        <w:spacing w:after="0" w:line="236" w:lineRule="auto"/>
        <w:tabs>
          <w:tab w:leader="none" w:pos="10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market conditions that may adversely affect the availability of debt and equity financing for working capital, capital expenditures or other purposes,</w:t>
      </w:r>
    </w:p>
    <w:p>
      <w:pPr>
        <w:spacing w:after="0" w:line="5" w:lineRule="exact"/>
        <w:rPr>
          <w:rFonts w:ascii="Courier New" w:cs="Courier New" w:eastAsia="Courier New" w:hAnsi="Courier New"/>
          <w:sz w:val="17"/>
          <w:szCs w:val="17"/>
          <w:color w:val="auto"/>
        </w:rPr>
      </w:pPr>
    </w:p>
    <w:p>
      <w:pPr>
        <w:ind w:left="1000" w:right="2259" w:hanging="501"/>
        <w:spacing w:after="0" w:line="235" w:lineRule="auto"/>
        <w:tabs>
          <w:tab w:leader="none" w:pos="10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demand for the programming content we distribute or the willingness of other video program distributors to carry our content, and</w:t>
      </w:r>
    </w:p>
    <w:p>
      <w:pPr>
        <w:ind w:left="1000" w:hanging="501"/>
        <w:spacing w:after="0" w:line="238" w:lineRule="auto"/>
        <w:tabs>
          <w:tab w:leader="none" w:pos="10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economic conditions.</w:t>
      </w:r>
    </w:p>
    <w:p>
      <w:pPr>
        <w:sectPr>
          <w:pgSz w:w="11900" w:h="16838" w:orient="portrait"/>
          <w:cols w:equalWidth="0" w:num="1">
            <w:col w:w="10219"/>
          </w:cols>
          <w:pgMar w:left="240" w:top="13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3"/>
        </w:trPr>
        <w:tc>
          <w:tcPr>
            <w:tcW w:w="700" w:type="dxa"/>
            <w:vAlign w:val="bottom"/>
          </w:tcPr>
          <w:p>
            <w:pPr>
              <w:spacing w:after="0"/>
              <w:rPr>
                <w:sz w:val="16"/>
                <w:szCs w:val="16"/>
                <w:color w:val="auto"/>
              </w:rPr>
            </w:pPr>
          </w:p>
        </w:tc>
        <w:tc>
          <w:tcPr>
            <w:tcW w:w="6860" w:type="dxa"/>
            <w:vAlign w:val="bottom"/>
          </w:tcPr>
          <w:p>
            <w:pPr>
              <w:jc w:val="center"/>
              <w:ind w:right="217"/>
              <w:spacing w:after="0"/>
              <w:rPr>
                <w:sz w:val="20"/>
                <w:szCs w:val="20"/>
                <w:color w:val="auto"/>
              </w:rPr>
            </w:pPr>
            <w:r>
              <w:rPr>
                <w:rFonts w:ascii="Courier New" w:cs="Courier New" w:eastAsia="Courier New" w:hAnsi="Courier New"/>
                <w:sz w:val="17"/>
                <w:szCs w:val="17"/>
                <w:color w:val="auto"/>
                <w:w w:val="98"/>
              </w:rPr>
              <w:t>COMCAST CORPORATION AND SUBSIDIARIES</w:t>
            </w:r>
          </w:p>
        </w:tc>
        <w:tc>
          <w:tcPr>
            <w:tcW w:w="208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1"/>
        </w:trPr>
        <w:tc>
          <w:tcPr>
            <w:tcW w:w="700" w:type="dxa"/>
            <w:vAlign w:val="bottom"/>
          </w:tcPr>
          <w:p>
            <w:pPr>
              <w:spacing w:after="0"/>
              <w:rPr>
                <w:sz w:val="16"/>
                <w:szCs w:val="16"/>
                <w:color w:val="auto"/>
              </w:rPr>
            </w:pPr>
          </w:p>
        </w:tc>
        <w:tc>
          <w:tcPr>
            <w:tcW w:w="6860" w:type="dxa"/>
            <w:vAlign w:val="bottom"/>
          </w:tcPr>
          <w:p>
            <w:pPr>
              <w:ind w:left="2880"/>
              <w:spacing w:after="0" w:line="191" w:lineRule="exact"/>
              <w:rPr>
                <w:sz w:val="20"/>
                <w:szCs w:val="20"/>
                <w:color w:val="auto"/>
              </w:rPr>
            </w:pPr>
            <w:r>
              <w:rPr>
                <w:rFonts w:ascii="Courier New" w:cs="Courier New" w:eastAsia="Courier New" w:hAnsi="Courier New"/>
                <w:sz w:val="17"/>
                <w:szCs w:val="17"/>
                <w:color w:val="auto"/>
              </w:rPr>
              <w:t>FORM 10-Q</w:t>
            </w:r>
          </w:p>
        </w:tc>
        <w:tc>
          <w:tcPr>
            <w:tcW w:w="208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1"/>
        </w:trPr>
        <w:tc>
          <w:tcPr>
            <w:tcW w:w="700" w:type="dxa"/>
            <w:vAlign w:val="bottom"/>
          </w:tcPr>
          <w:p>
            <w:pPr>
              <w:spacing w:after="0"/>
              <w:rPr>
                <w:sz w:val="16"/>
                <w:szCs w:val="16"/>
                <w:color w:val="auto"/>
              </w:rPr>
            </w:pPr>
          </w:p>
        </w:tc>
        <w:tc>
          <w:tcPr>
            <w:tcW w:w="6860" w:type="dxa"/>
            <w:vAlign w:val="bottom"/>
          </w:tcPr>
          <w:p>
            <w:pPr>
              <w:jc w:val="center"/>
              <w:ind w:right="217"/>
              <w:spacing w:after="0" w:line="191" w:lineRule="exact"/>
              <w:rPr>
                <w:sz w:val="20"/>
                <w:szCs w:val="20"/>
                <w:color w:val="auto"/>
              </w:rPr>
            </w:pPr>
            <w:r>
              <w:rPr>
                <w:rFonts w:ascii="Courier New" w:cs="Courier New" w:eastAsia="Courier New" w:hAnsi="Courier New"/>
                <w:sz w:val="17"/>
                <w:szCs w:val="17"/>
                <w:color w:val="auto"/>
                <w:w w:val="98"/>
              </w:rPr>
              <w:t>QUARTER ENDED SEPTEMBER 30, 2001</w:t>
            </w:r>
          </w:p>
        </w:tc>
        <w:tc>
          <w:tcPr>
            <w:tcW w:w="208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383"/>
        </w:trPr>
        <w:tc>
          <w:tcPr>
            <w:tcW w:w="700" w:type="dxa"/>
            <w:vAlign w:val="bottom"/>
          </w:tcPr>
          <w:p>
            <w:pPr>
              <w:spacing w:after="0"/>
              <w:rPr>
                <w:sz w:val="20"/>
                <w:szCs w:val="20"/>
                <w:color w:val="auto"/>
              </w:rPr>
            </w:pPr>
            <w:r>
              <w:rPr>
                <w:rFonts w:ascii="Courier New" w:cs="Courier New" w:eastAsia="Courier New" w:hAnsi="Courier New"/>
                <w:sz w:val="17"/>
                <w:szCs w:val="17"/>
                <w:color w:val="auto"/>
                <w:w w:val="95"/>
              </w:rPr>
              <w:t>PART I.</w:t>
            </w:r>
          </w:p>
        </w:tc>
        <w:tc>
          <w:tcPr>
            <w:tcW w:w="6860" w:type="dxa"/>
            <w:vAlign w:val="bottom"/>
          </w:tcPr>
          <w:p>
            <w:pPr>
              <w:ind w:left="300"/>
              <w:spacing w:after="0"/>
              <w:rPr>
                <w:sz w:val="20"/>
                <w:szCs w:val="20"/>
                <w:color w:val="auto"/>
              </w:rPr>
            </w:pPr>
            <w:r>
              <w:rPr>
                <w:rFonts w:ascii="Courier New" w:cs="Courier New" w:eastAsia="Courier New" w:hAnsi="Courier New"/>
                <w:sz w:val="17"/>
                <w:szCs w:val="17"/>
                <w:color w:val="auto"/>
              </w:rPr>
              <w:t>FINANCIAL INFORMATION</w:t>
            </w:r>
          </w:p>
        </w:tc>
        <w:tc>
          <w:tcPr>
            <w:tcW w:w="20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91"/>
        </w:trPr>
        <w:tc>
          <w:tcPr>
            <w:tcW w:w="700" w:type="dxa"/>
            <w:vAlign w:val="bottom"/>
          </w:tcPr>
          <w:p>
            <w:pPr>
              <w:spacing w:after="0" w:line="191" w:lineRule="exact"/>
              <w:rPr>
                <w:sz w:val="20"/>
                <w:szCs w:val="20"/>
                <w:color w:val="auto"/>
              </w:rPr>
            </w:pPr>
            <w:r>
              <w:rPr>
                <w:rFonts w:ascii="Courier New" w:cs="Courier New" w:eastAsia="Courier New" w:hAnsi="Courier New"/>
                <w:sz w:val="17"/>
                <w:szCs w:val="17"/>
                <w:color w:val="auto"/>
                <w:w w:val="95"/>
              </w:rPr>
              <w:t>-------</w:t>
            </w:r>
          </w:p>
        </w:tc>
        <w:tc>
          <w:tcPr>
            <w:tcW w:w="686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208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383"/>
        </w:trPr>
        <w:tc>
          <w:tcPr>
            <w:tcW w:w="700" w:type="dxa"/>
            <w:vAlign w:val="bottom"/>
          </w:tcPr>
          <w:p>
            <w:pPr>
              <w:spacing w:after="0"/>
              <w:rPr>
                <w:sz w:val="20"/>
                <w:szCs w:val="20"/>
                <w:color w:val="auto"/>
              </w:rPr>
            </w:pPr>
            <w:r>
              <w:rPr>
                <w:rFonts w:ascii="Courier New" w:cs="Courier New" w:eastAsia="Courier New" w:hAnsi="Courier New"/>
                <w:sz w:val="17"/>
                <w:szCs w:val="17"/>
                <w:color w:val="auto"/>
                <w:w w:val="95"/>
              </w:rPr>
              <w:t>ITEM 1.</w:t>
            </w:r>
          </w:p>
        </w:tc>
        <w:tc>
          <w:tcPr>
            <w:tcW w:w="6860" w:type="dxa"/>
            <w:vAlign w:val="bottom"/>
          </w:tcPr>
          <w:p>
            <w:pPr>
              <w:ind w:left="300"/>
              <w:spacing w:after="0"/>
              <w:rPr>
                <w:sz w:val="20"/>
                <w:szCs w:val="20"/>
                <w:color w:val="auto"/>
              </w:rPr>
            </w:pPr>
            <w:r>
              <w:rPr>
                <w:rFonts w:ascii="Courier New" w:cs="Courier New" w:eastAsia="Courier New" w:hAnsi="Courier New"/>
                <w:sz w:val="17"/>
                <w:szCs w:val="17"/>
                <w:color w:val="auto"/>
              </w:rPr>
              <w:t>FINANCIAL STATEMENTS</w:t>
            </w:r>
          </w:p>
        </w:tc>
        <w:tc>
          <w:tcPr>
            <w:tcW w:w="20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83"/>
        </w:trPr>
        <w:tc>
          <w:tcPr>
            <w:tcW w:w="700" w:type="dxa"/>
            <w:vAlign w:val="bottom"/>
          </w:tcPr>
          <w:p>
            <w:pPr>
              <w:spacing w:after="0"/>
              <w:rPr>
                <w:sz w:val="24"/>
                <w:szCs w:val="24"/>
                <w:color w:val="auto"/>
              </w:rPr>
            </w:pPr>
          </w:p>
        </w:tc>
        <w:tc>
          <w:tcPr>
            <w:tcW w:w="6860" w:type="dxa"/>
            <w:vAlign w:val="bottom"/>
          </w:tcPr>
          <w:p>
            <w:pPr>
              <w:jc w:val="center"/>
              <w:ind w:right="217"/>
              <w:spacing w:after="0"/>
              <w:rPr>
                <w:sz w:val="20"/>
                <w:szCs w:val="20"/>
                <w:color w:val="auto"/>
              </w:rPr>
            </w:pPr>
            <w:r>
              <w:rPr>
                <w:rFonts w:ascii="Courier New" w:cs="Courier New" w:eastAsia="Courier New" w:hAnsi="Courier New"/>
                <w:sz w:val="17"/>
                <w:szCs w:val="17"/>
                <w:color w:val="auto"/>
                <w:w w:val="98"/>
              </w:rPr>
              <w:t>CONDENSED CONSOLIDATED BALANCE SHEET</w:t>
            </w:r>
          </w:p>
        </w:tc>
        <w:tc>
          <w:tcPr>
            <w:tcW w:w="20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91"/>
        </w:trPr>
        <w:tc>
          <w:tcPr>
            <w:tcW w:w="700" w:type="dxa"/>
            <w:vAlign w:val="bottom"/>
          </w:tcPr>
          <w:p>
            <w:pPr>
              <w:spacing w:after="0"/>
              <w:rPr>
                <w:sz w:val="16"/>
                <w:szCs w:val="16"/>
                <w:color w:val="auto"/>
              </w:rPr>
            </w:pPr>
          </w:p>
        </w:tc>
        <w:tc>
          <w:tcPr>
            <w:tcW w:w="6860" w:type="dxa"/>
            <w:vAlign w:val="bottom"/>
          </w:tcPr>
          <w:p>
            <w:pPr>
              <w:ind w:left="2780"/>
              <w:spacing w:after="0" w:line="191" w:lineRule="exact"/>
              <w:rPr>
                <w:sz w:val="20"/>
                <w:szCs w:val="20"/>
                <w:color w:val="auto"/>
              </w:rPr>
            </w:pPr>
            <w:r>
              <w:rPr>
                <w:rFonts w:ascii="Courier New" w:cs="Courier New" w:eastAsia="Courier New" w:hAnsi="Courier New"/>
                <w:sz w:val="17"/>
                <w:szCs w:val="17"/>
                <w:color w:val="auto"/>
              </w:rPr>
              <w:t>(Unaudited)</w:t>
            </w:r>
          </w:p>
        </w:tc>
        <w:tc>
          <w:tcPr>
            <w:tcW w:w="208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765"/>
        </w:trPr>
        <w:tc>
          <w:tcPr>
            <w:tcW w:w="70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39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6"/>
              </w:rPr>
              <w:t>(Dollars in millions, except share data)</w:t>
            </w:r>
          </w:p>
        </w:tc>
      </w:tr>
      <w:tr>
        <w:trPr>
          <w:trHeight w:val="191"/>
        </w:trPr>
        <w:tc>
          <w:tcPr>
            <w:tcW w:w="70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0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September 30,</w:t>
            </w:r>
          </w:p>
        </w:tc>
        <w:tc>
          <w:tcPr>
            <w:tcW w:w="1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December 31,</w:t>
            </w:r>
          </w:p>
        </w:tc>
      </w:tr>
      <w:tr>
        <w:trPr>
          <w:trHeight w:val="191"/>
        </w:trPr>
        <w:tc>
          <w:tcPr>
            <w:tcW w:w="70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080" w:type="dxa"/>
            <w:vAlign w:val="bottom"/>
          </w:tcPr>
          <w:p>
            <w:pPr>
              <w:jc w:val="right"/>
              <w:ind w:right="697"/>
              <w:spacing w:after="0" w:line="191" w:lineRule="exact"/>
              <w:rPr>
                <w:sz w:val="20"/>
                <w:szCs w:val="20"/>
                <w:color w:val="auto"/>
              </w:rPr>
            </w:pPr>
            <w:r>
              <w:rPr>
                <w:rFonts w:ascii="Courier New" w:cs="Courier New" w:eastAsia="Courier New" w:hAnsi="Courier New"/>
                <w:sz w:val="17"/>
                <w:szCs w:val="17"/>
                <w:color w:val="auto"/>
              </w:rPr>
              <w:t>2001</w:t>
            </w:r>
          </w:p>
        </w:tc>
        <w:tc>
          <w:tcPr>
            <w:tcW w:w="1880" w:type="dxa"/>
            <w:vAlign w:val="bottom"/>
          </w:tcPr>
          <w:p>
            <w:pPr>
              <w:jc w:val="right"/>
              <w:ind w:right="797"/>
              <w:spacing w:after="0" w:line="191" w:lineRule="exact"/>
              <w:rPr>
                <w:sz w:val="20"/>
                <w:szCs w:val="20"/>
                <w:color w:val="auto"/>
              </w:rPr>
            </w:pPr>
            <w:r>
              <w:rPr>
                <w:rFonts w:ascii="Courier New" w:cs="Courier New" w:eastAsia="Courier New" w:hAnsi="Courier New"/>
                <w:sz w:val="17"/>
                <w:szCs w:val="17"/>
                <w:color w:val="auto"/>
              </w:rPr>
              <w:t>2000</w:t>
            </w:r>
          </w:p>
        </w:tc>
      </w:tr>
      <w:tr>
        <w:trPr>
          <w:trHeight w:val="191"/>
        </w:trPr>
        <w:tc>
          <w:tcPr>
            <w:tcW w:w="70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70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6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91"/>
        </w:trPr>
        <w:tc>
          <w:tcPr>
            <w:tcW w:w="70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68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1"/>
        </w:trPr>
        <w:tc>
          <w:tcPr>
            <w:tcW w:w="75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CURRENT ASSETS</w:t>
            </w:r>
          </w:p>
        </w:tc>
        <w:tc>
          <w:tcPr>
            <w:tcW w:w="208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1"/>
        </w:trPr>
        <w:tc>
          <w:tcPr>
            <w:tcW w:w="756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w w:val="92"/>
              </w:rPr>
              <w:t>Cash and cash equivalents....................................................</w:t>
            </w: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$658.4</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$651.5</w:t>
            </w:r>
          </w:p>
        </w:tc>
      </w:tr>
      <w:tr>
        <w:trPr>
          <w:trHeight w:val="191"/>
        </w:trPr>
        <w:tc>
          <w:tcPr>
            <w:tcW w:w="756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w w:val="92"/>
              </w:rPr>
              <w:t>Investments..................................................................</w:t>
            </w: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1,271.9</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3,059.7</w:t>
            </w:r>
          </w:p>
        </w:tc>
      </w:tr>
      <w:tr>
        <w:trPr>
          <w:trHeight w:val="191"/>
        </w:trPr>
        <w:tc>
          <w:tcPr>
            <w:tcW w:w="756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Accounts receivable, less allowance for doubtful accounts of</w:t>
            </w:r>
          </w:p>
        </w:tc>
        <w:tc>
          <w:tcPr>
            <w:tcW w:w="208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1"/>
        </w:trPr>
        <w:tc>
          <w:tcPr>
            <w:tcW w:w="756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2"/>
              </w:rPr>
              <w:t>$152.1 and $141.7..........................................................</w:t>
            </w: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829.7</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891.9</w:t>
            </w:r>
          </w:p>
        </w:tc>
      </w:tr>
      <w:tr>
        <w:trPr>
          <w:trHeight w:val="191"/>
        </w:trPr>
        <w:tc>
          <w:tcPr>
            <w:tcW w:w="756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w w:val="92"/>
              </w:rPr>
              <w:t>Inventories, net.............................................................</w:t>
            </w: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504.3</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438.5</w:t>
            </w:r>
          </w:p>
        </w:tc>
      </w:tr>
      <w:tr>
        <w:trPr>
          <w:trHeight w:val="191"/>
        </w:trPr>
        <w:tc>
          <w:tcPr>
            <w:tcW w:w="756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w w:val="92"/>
              </w:rPr>
              <w:t>Other current assets.........................................................</w:t>
            </w: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165.5</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102.8</w:t>
            </w:r>
          </w:p>
        </w:tc>
      </w:tr>
      <w:tr>
        <w:trPr>
          <w:trHeight w:val="191"/>
        </w:trPr>
        <w:tc>
          <w:tcPr>
            <w:tcW w:w="70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00" w:type="dxa"/>
            <w:vAlign w:val="bottom"/>
          </w:tcPr>
          <w:p>
            <w:pPr>
              <w:spacing w:after="0"/>
              <w:rPr>
                <w:sz w:val="16"/>
                <w:szCs w:val="16"/>
                <w:color w:val="auto"/>
              </w:rPr>
            </w:pPr>
          </w:p>
        </w:tc>
        <w:tc>
          <w:tcPr>
            <w:tcW w:w="6860" w:type="dxa"/>
            <w:vAlign w:val="bottom"/>
          </w:tcPr>
          <w:p>
            <w:pPr>
              <w:spacing w:after="0" w:line="191" w:lineRule="exact"/>
              <w:rPr>
                <w:sz w:val="20"/>
                <w:szCs w:val="20"/>
                <w:color w:val="auto"/>
              </w:rPr>
            </w:pPr>
            <w:r>
              <w:rPr>
                <w:rFonts w:ascii="Courier New" w:cs="Courier New" w:eastAsia="Courier New" w:hAnsi="Courier New"/>
                <w:sz w:val="17"/>
                <w:szCs w:val="17"/>
                <w:color w:val="auto"/>
                <w:w w:val="91"/>
              </w:rPr>
              <w:t>Total current assets.....................................................</w:t>
            </w: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3,429.8</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5,144.4</w:t>
            </w:r>
          </w:p>
        </w:tc>
      </w:tr>
      <w:tr>
        <w:trPr>
          <w:trHeight w:val="191"/>
        </w:trPr>
        <w:tc>
          <w:tcPr>
            <w:tcW w:w="70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5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2"/>
              </w:rPr>
              <w:t>INVESTMENTS.....................................................................</w:t>
            </w: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3,302.3</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2,661.9</w:t>
            </w:r>
          </w:p>
        </w:tc>
      </w:tr>
      <w:tr>
        <w:trPr>
          <w:trHeight w:val="191"/>
        </w:trPr>
        <w:tc>
          <w:tcPr>
            <w:tcW w:w="70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5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2"/>
              </w:rPr>
              <w:t>PROPERTY AND EQUIPMENT..........................................................</w:t>
            </w: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8,989.6</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6,799.2</w:t>
            </w:r>
          </w:p>
        </w:tc>
      </w:tr>
      <w:tr>
        <w:trPr>
          <w:trHeight w:val="191"/>
        </w:trPr>
        <w:tc>
          <w:tcPr>
            <w:tcW w:w="756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w w:val="92"/>
              </w:rPr>
              <w:t>Accumulated depreciation.....................................................</w:t>
            </w:r>
          </w:p>
        </w:tc>
        <w:tc>
          <w:tcPr>
            <w:tcW w:w="20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(2,207.5)</w:t>
            </w:r>
          </w:p>
        </w:tc>
        <w:tc>
          <w:tcPr>
            <w:tcW w:w="18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(1,596.5)</w:t>
            </w:r>
          </w:p>
        </w:tc>
      </w:tr>
      <w:tr>
        <w:trPr>
          <w:trHeight w:val="191"/>
        </w:trPr>
        <w:tc>
          <w:tcPr>
            <w:tcW w:w="70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56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w w:val="92"/>
              </w:rPr>
              <w:t>Property and equipment, net..................................................</w:t>
            </w: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6,782.1</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5,202.7</w:t>
            </w:r>
          </w:p>
        </w:tc>
      </w:tr>
      <w:tr>
        <w:trPr>
          <w:trHeight w:val="191"/>
        </w:trPr>
        <w:tc>
          <w:tcPr>
            <w:tcW w:w="70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5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2"/>
              </w:rPr>
              <w:t>DEFERRED CHARGES AND OTHER ASSETS...............................................</w:t>
            </w: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30,919.3</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26,865.9</w:t>
            </w:r>
          </w:p>
        </w:tc>
      </w:tr>
      <w:tr>
        <w:trPr>
          <w:trHeight w:val="191"/>
        </w:trPr>
        <w:tc>
          <w:tcPr>
            <w:tcW w:w="756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w w:val="92"/>
              </w:rPr>
              <w:t>Accumulated amortization.....................................................</w:t>
            </w:r>
          </w:p>
        </w:tc>
        <w:tc>
          <w:tcPr>
            <w:tcW w:w="20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(5,652.1)</w:t>
            </w:r>
          </w:p>
        </w:tc>
        <w:tc>
          <w:tcPr>
            <w:tcW w:w="18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(4,130.4)</w:t>
            </w:r>
          </w:p>
        </w:tc>
      </w:tr>
      <w:tr>
        <w:trPr>
          <w:trHeight w:val="191"/>
        </w:trPr>
        <w:tc>
          <w:tcPr>
            <w:tcW w:w="70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56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w w:val="92"/>
              </w:rPr>
              <w:t>Deferred charges and other assets, net.......................................</w:t>
            </w: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25,267.2</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22,735.5</w:t>
            </w:r>
          </w:p>
        </w:tc>
      </w:tr>
      <w:tr>
        <w:trPr>
          <w:trHeight w:val="191"/>
        </w:trPr>
        <w:tc>
          <w:tcPr>
            <w:tcW w:w="70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0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$38,781.4</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$35,744.5</w:t>
            </w:r>
          </w:p>
        </w:tc>
      </w:tr>
      <w:tr>
        <w:trPr>
          <w:trHeight w:val="191"/>
        </w:trPr>
        <w:tc>
          <w:tcPr>
            <w:tcW w:w="70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5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LIABILITIES AND STOCKHOLDERS' EQUITY</w:t>
            </w:r>
          </w:p>
        </w:tc>
        <w:tc>
          <w:tcPr>
            <w:tcW w:w="208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1"/>
        </w:trPr>
        <w:tc>
          <w:tcPr>
            <w:tcW w:w="75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w:t>
            </w:r>
          </w:p>
        </w:tc>
        <w:tc>
          <w:tcPr>
            <w:tcW w:w="208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1"/>
        </w:trPr>
        <w:tc>
          <w:tcPr>
            <w:tcW w:w="75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CURRENT LIABILITIES</w:t>
            </w:r>
          </w:p>
        </w:tc>
        <w:tc>
          <w:tcPr>
            <w:tcW w:w="208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1"/>
        </w:trPr>
        <w:tc>
          <w:tcPr>
            <w:tcW w:w="756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w w:val="92"/>
              </w:rPr>
              <w:t>Accounts payable and accrued expenses........................................</w:t>
            </w: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$3,294.0</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$2,852.9</w:t>
            </w:r>
          </w:p>
        </w:tc>
      </w:tr>
      <w:tr>
        <w:trPr>
          <w:trHeight w:val="191"/>
        </w:trPr>
        <w:tc>
          <w:tcPr>
            <w:tcW w:w="756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w w:val="92"/>
              </w:rPr>
              <w:t>Accrued interest.............................................................</w:t>
            </w: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191.5</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105.5</w:t>
            </w:r>
          </w:p>
        </w:tc>
      </w:tr>
      <w:tr>
        <w:trPr>
          <w:trHeight w:val="191"/>
        </w:trPr>
        <w:tc>
          <w:tcPr>
            <w:tcW w:w="756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w w:val="92"/>
              </w:rPr>
              <w:t>Deferred income taxes........................................................</w:t>
            </w: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194.6</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789.9</w:t>
            </w:r>
          </w:p>
        </w:tc>
      </w:tr>
      <w:tr>
        <w:trPr>
          <w:trHeight w:val="191"/>
        </w:trPr>
        <w:tc>
          <w:tcPr>
            <w:tcW w:w="756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w w:val="92"/>
              </w:rPr>
              <w:t>Current portion of long-term debt............................................</w:t>
            </w: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554.4</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293.9</w:t>
            </w:r>
          </w:p>
        </w:tc>
      </w:tr>
      <w:tr>
        <w:trPr>
          <w:trHeight w:val="191"/>
        </w:trPr>
        <w:tc>
          <w:tcPr>
            <w:tcW w:w="70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00" w:type="dxa"/>
            <w:vAlign w:val="bottom"/>
          </w:tcPr>
          <w:p>
            <w:pPr>
              <w:spacing w:after="0"/>
              <w:rPr>
                <w:sz w:val="16"/>
                <w:szCs w:val="16"/>
                <w:color w:val="auto"/>
              </w:rPr>
            </w:pPr>
          </w:p>
        </w:tc>
        <w:tc>
          <w:tcPr>
            <w:tcW w:w="6860" w:type="dxa"/>
            <w:vAlign w:val="bottom"/>
          </w:tcPr>
          <w:p>
            <w:pPr>
              <w:spacing w:after="0" w:line="191" w:lineRule="exact"/>
              <w:rPr>
                <w:sz w:val="20"/>
                <w:szCs w:val="20"/>
                <w:color w:val="auto"/>
              </w:rPr>
            </w:pPr>
            <w:r>
              <w:rPr>
                <w:rFonts w:ascii="Courier New" w:cs="Courier New" w:eastAsia="Courier New" w:hAnsi="Courier New"/>
                <w:sz w:val="17"/>
                <w:szCs w:val="17"/>
                <w:color w:val="auto"/>
                <w:w w:val="91"/>
              </w:rPr>
              <w:t>Total current liabilities................................................</w:t>
            </w: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4,234.5</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4,042.2</w:t>
            </w:r>
          </w:p>
        </w:tc>
      </w:tr>
      <w:tr>
        <w:trPr>
          <w:trHeight w:val="191"/>
        </w:trPr>
        <w:tc>
          <w:tcPr>
            <w:tcW w:w="70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5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2"/>
              </w:rPr>
              <w:t>LONG-TERM DEBT, less current portion............................................</w:t>
            </w: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11,494.8</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10,517.4</w:t>
            </w:r>
          </w:p>
        </w:tc>
      </w:tr>
      <w:tr>
        <w:trPr>
          <w:trHeight w:val="191"/>
        </w:trPr>
        <w:tc>
          <w:tcPr>
            <w:tcW w:w="70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5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2"/>
              </w:rPr>
              <w:t>DEFERRED INCOME TAXES...........................................................</w:t>
            </w: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6,453.1</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5,786.7</w:t>
            </w:r>
          </w:p>
        </w:tc>
      </w:tr>
      <w:tr>
        <w:trPr>
          <w:trHeight w:val="191"/>
        </w:trPr>
        <w:tc>
          <w:tcPr>
            <w:tcW w:w="70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5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2"/>
              </w:rPr>
              <w:t>MINORITY INTEREST AND OTHER.....................................................</w:t>
            </w: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1,760.2</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1,257.2</w:t>
            </w:r>
          </w:p>
        </w:tc>
      </w:tr>
      <w:tr>
        <w:trPr>
          <w:trHeight w:val="191"/>
        </w:trPr>
        <w:tc>
          <w:tcPr>
            <w:tcW w:w="70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5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COMMITMENTS AND CONTINGENCIES (NOTE 9)</w:t>
            </w:r>
          </w:p>
        </w:tc>
        <w:tc>
          <w:tcPr>
            <w:tcW w:w="208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1"/>
        </w:trPr>
        <w:tc>
          <w:tcPr>
            <w:tcW w:w="9640" w:type="dxa"/>
            <w:vAlign w:val="bottom"/>
            <w:gridSpan w:val="3"/>
          </w:tcPr>
          <w:p>
            <w:pPr>
              <w:spacing w:after="0" w:line="191" w:lineRule="exact"/>
              <w:rPr>
                <w:sz w:val="20"/>
                <w:szCs w:val="20"/>
                <w:color w:val="auto"/>
              </w:rPr>
            </w:pPr>
            <w:r>
              <w:rPr>
                <w:rFonts w:ascii="Courier New" w:cs="Courier New" w:eastAsia="Courier New" w:hAnsi="Courier New"/>
                <w:sz w:val="17"/>
                <w:szCs w:val="17"/>
                <w:color w:val="auto"/>
              </w:rPr>
              <w:t>COMMON EQUITY PUT OPTIONS.......................................................</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54.6</w:t>
            </w:r>
          </w:p>
        </w:tc>
      </w:tr>
      <w:tr>
        <w:trPr>
          <w:trHeight w:val="191"/>
        </w:trPr>
        <w:tc>
          <w:tcPr>
            <w:tcW w:w="70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5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STOCKHOLDERS' EQUITY</w:t>
            </w:r>
          </w:p>
        </w:tc>
        <w:tc>
          <w:tcPr>
            <w:tcW w:w="208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1"/>
        </w:trPr>
        <w:tc>
          <w:tcPr>
            <w:tcW w:w="756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Preferred stock - authorized, 20,000,000 shares</w:t>
            </w:r>
          </w:p>
        </w:tc>
        <w:tc>
          <w:tcPr>
            <w:tcW w:w="208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1"/>
        </w:trPr>
        <w:tc>
          <w:tcPr>
            <w:tcW w:w="756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rPr>
              <w:t>5.25% series B mandatorily redeemable convertible, $1,000 par value;</w:t>
            </w:r>
          </w:p>
        </w:tc>
        <w:tc>
          <w:tcPr>
            <w:tcW w:w="208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1"/>
        </w:trPr>
        <w:tc>
          <w:tcPr>
            <w:tcW w:w="9640" w:type="dxa"/>
            <w:vAlign w:val="bottom"/>
            <w:gridSpan w:val="3"/>
          </w:tcPr>
          <w:p>
            <w:pPr>
              <w:ind w:left="500"/>
              <w:spacing w:after="0" w:line="191" w:lineRule="exact"/>
              <w:rPr>
                <w:sz w:val="20"/>
                <w:szCs w:val="20"/>
                <w:color w:val="auto"/>
              </w:rPr>
            </w:pPr>
            <w:r>
              <w:rPr>
                <w:rFonts w:ascii="Courier New" w:cs="Courier New" w:eastAsia="Courier New" w:hAnsi="Courier New"/>
                <w:sz w:val="17"/>
                <w:szCs w:val="17"/>
                <w:color w:val="auto"/>
              </w:rPr>
              <w:t>issued, zero and 59,450 at redemption value................................</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59.5</w:t>
            </w:r>
          </w:p>
        </w:tc>
      </w:tr>
      <w:tr>
        <w:trPr>
          <w:trHeight w:val="191"/>
        </w:trPr>
        <w:tc>
          <w:tcPr>
            <w:tcW w:w="756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Class A special common stock, $1 par value - authorized, 2,500,000,000</w:t>
            </w:r>
          </w:p>
        </w:tc>
        <w:tc>
          <w:tcPr>
            <w:tcW w:w="208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1"/>
        </w:trPr>
        <w:tc>
          <w:tcPr>
            <w:tcW w:w="756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rPr>
              <w:t>shares; issued, 936,980,066 and 931,340,103; outstanding, 913,655,155</w:t>
            </w:r>
          </w:p>
        </w:tc>
        <w:tc>
          <w:tcPr>
            <w:tcW w:w="208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1"/>
        </w:trPr>
        <w:tc>
          <w:tcPr>
            <w:tcW w:w="756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2"/>
              </w:rPr>
              <w:t>and 908,015,192............................................................</w:t>
            </w: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913.7</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908.0</w:t>
            </w:r>
          </w:p>
        </w:tc>
      </w:tr>
      <w:tr>
        <w:trPr>
          <w:trHeight w:val="191"/>
        </w:trPr>
        <w:tc>
          <w:tcPr>
            <w:tcW w:w="756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Class A common stock, $1 par value - authorized,</w:t>
            </w:r>
          </w:p>
        </w:tc>
        <w:tc>
          <w:tcPr>
            <w:tcW w:w="208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1"/>
        </w:trPr>
        <w:tc>
          <w:tcPr>
            <w:tcW w:w="756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2"/>
              </w:rPr>
              <w:t>200,000,000 shares; issued, 21,829,422 and 21,832,250......................</w:t>
            </w: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21.8</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21.8</w:t>
            </w:r>
          </w:p>
        </w:tc>
      </w:tr>
      <w:tr>
        <w:trPr>
          <w:trHeight w:val="191"/>
        </w:trPr>
        <w:tc>
          <w:tcPr>
            <w:tcW w:w="756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Class B common stock, $1 par value - authorized,</w:t>
            </w:r>
          </w:p>
        </w:tc>
        <w:tc>
          <w:tcPr>
            <w:tcW w:w="208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1"/>
        </w:trPr>
        <w:tc>
          <w:tcPr>
            <w:tcW w:w="756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2"/>
              </w:rPr>
              <w:t>50,000,000 shares; issued, 9,444,375.......................................</w:t>
            </w: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9.4</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9.4</w:t>
            </w:r>
          </w:p>
        </w:tc>
      </w:tr>
      <w:tr>
        <w:trPr>
          <w:trHeight w:val="191"/>
        </w:trPr>
        <w:tc>
          <w:tcPr>
            <w:tcW w:w="756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w w:val="92"/>
              </w:rPr>
              <w:t>Additional capital...........................................................</w:t>
            </w: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11,742.6</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11,598.8</w:t>
            </w:r>
          </w:p>
        </w:tc>
      </w:tr>
      <w:tr>
        <w:trPr>
          <w:trHeight w:val="191"/>
        </w:trPr>
        <w:tc>
          <w:tcPr>
            <w:tcW w:w="756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w w:val="92"/>
              </w:rPr>
              <w:t>Retained earnings............................................................</w:t>
            </w: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1,952.0</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1,056.5</w:t>
            </w:r>
          </w:p>
        </w:tc>
      </w:tr>
      <w:tr>
        <w:trPr>
          <w:trHeight w:val="191"/>
        </w:trPr>
        <w:tc>
          <w:tcPr>
            <w:tcW w:w="756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w w:val="92"/>
              </w:rPr>
              <w:t>Accumulated other comprehensive income.......................................</w:t>
            </w: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199.3</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432.4</w:t>
            </w:r>
          </w:p>
        </w:tc>
      </w:tr>
      <w:tr>
        <w:trPr>
          <w:trHeight w:val="191"/>
        </w:trPr>
        <w:tc>
          <w:tcPr>
            <w:tcW w:w="70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00" w:type="dxa"/>
            <w:vAlign w:val="bottom"/>
          </w:tcPr>
          <w:p>
            <w:pPr>
              <w:spacing w:after="0"/>
              <w:rPr>
                <w:sz w:val="16"/>
                <w:szCs w:val="16"/>
                <w:color w:val="auto"/>
              </w:rPr>
            </w:pPr>
          </w:p>
        </w:tc>
        <w:tc>
          <w:tcPr>
            <w:tcW w:w="6860" w:type="dxa"/>
            <w:vAlign w:val="bottom"/>
          </w:tcPr>
          <w:p>
            <w:pPr>
              <w:spacing w:after="0" w:line="191" w:lineRule="exact"/>
              <w:rPr>
                <w:sz w:val="20"/>
                <w:szCs w:val="20"/>
                <w:color w:val="auto"/>
              </w:rPr>
            </w:pPr>
            <w:r>
              <w:rPr>
                <w:rFonts w:ascii="Courier New" w:cs="Courier New" w:eastAsia="Courier New" w:hAnsi="Courier New"/>
                <w:sz w:val="17"/>
                <w:szCs w:val="17"/>
                <w:color w:val="auto"/>
                <w:w w:val="91"/>
              </w:rPr>
              <w:t>Total stockholders' equity...............................................</w:t>
            </w: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14,838.8</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14,086.4</w:t>
            </w:r>
          </w:p>
        </w:tc>
      </w:tr>
      <w:tr>
        <w:trPr>
          <w:trHeight w:val="191"/>
        </w:trPr>
        <w:tc>
          <w:tcPr>
            <w:tcW w:w="70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0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$38,781.4</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$35,744.5</w:t>
            </w:r>
          </w:p>
        </w:tc>
      </w:tr>
      <w:tr>
        <w:trPr>
          <w:trHeight w:val="191"/>
        </w:trPr>
        <w:tc>
          <w:tcPr>
            <w:tcW w:w="70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1520"/>
          </w:cols>
          <w:pgMar w:left="240" w:top="683" w:right="139"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ectPr>
          <w:pgSz w:w="11900" w:h="16838" w:orient="portrait"/>
          <w:cols w:equalWidth="0" w:num="1">
            <w:col w:w="10219"/>
          </w:cols>
          <w:pgMar w:left="240" w:top="333" w:right="1440" w:bottom="1440" w:gutter="0" w:footer="0" w:header="0"/>
        </w:sect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33" w:right="1440" w:bottom="1440" w:gutter="0" w:footer="0" w:header="0"/>
          <w:type w:val="continuous"/>
        </w:sectPr>
      </w:pPr>
    </w:p>
    <w:bookmarkStart w:id="4" w:name="page5"/>
    <w:bookmarkEnd w:id="4"/>
    <w:p>
      <w:pPr>
        <w:jc w:val="center"/>
        <w:ind w:right="3560"/>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3460"/>
        <w:spacing w:after="0" w:line="238" w:lineRule="auto"/>
        <w:rPr>
          <w:sz w:val="20"/>
          <w:szCs w:val="20"/>
          <w:color w:val="auto"/>
        </w:rPr>
      </w:pPr>
      <w:r>
        <w:rPr>
          <w:rFonts w:ascii="Courier New" w:cs="Courier New" w:eastAsia="Courier New" w:hAnsi="Courier New"/>
          <w:sz w:val="17"/>
          <w:szCs w:val="17"/>
          <w:color w:val="auto"/>
        </w:rPr>
        <w:t>FORM 10-Q</w:t>
      </w:r>
    </w:p>
    <w:p>
      <w:pPr>
        <w:jc w:val="center"/>
        <w:ind w:right="3560"/>
        <w:spacing w:after="0" w:line="238" w:lineRule="auto"/>
        <w:rPr>
          <w:sz w:val="20"/>
          <w:szCs w:val="20"/>
          <w:color w:val="auto"/>
        </w:rPr>
      </w:pPr>
      <w:r>
        <w:rPr>
          <w:rFonts w:ascii="Courier New" w:cs="Courier New" w:eastAsia="Courier New" w:hAnsi="Courier New"/>
          <w:sz w:val="17"/>
          <w:szCs w:val="17"/>
          <w:color w:val="auto"/>
        </w:rPr>
        <w:t>QUARTER ENDED SEPTEMBER 30, 2001</w:t>
      </w:r>
    </w:p>
    <w:p>
      <w:pPr>
        <w:ind w:left="1500"/>
        <w:spacing w:after="0"/>
        <w:rPr>
          <w:sz w:val="20"/>
          <w:szCs w:val="20"/>
          <w:color w:val="auto"/>
        </w:rPr>
      </w:pPr>
      <w:r>
        <w:rPr>
          <w:rFonts w:ascii="Courier New" w:cs="Courier New" w:eastAsia="Courier New" w:hAnsi="Courier New"/>
          <w:sz w:val="17"/>
          <w:szCs w:val="17"/>
          <w:color w:val="auto"/>
        </w:rPr>
        <w:t>CONDENSED CONSOLIDATED STATEMENT OF OPERATIONS AND</w:t>
      </w:r>
    </w:p>
    <w:p>
      <w:pPr>
        <w:ind w:left="2100"/>
        <w:spacing w:after="0" w:line="237" w:lineRule="auto"/>
        <w:rPr>
          <w:sz w:val="20"/>
          <w:szCs w:val="20"/>
          <w:color w:val="auto"/>
        </w:rPr>
      </w:pPr>
      <w:r>
        <w:rPr>
          <w:rFonts w:ascii="Courier New" w:cs="Courier New" w:eastAsia="Courier New" w:hAnsi="Courier New"/>
          <w:sz w:val="17"/>
          <w:szCs w:val="17"/>
          <w:color w:val="auto"/>
        </w:rPr>
        <w:t>RETAINED EARNINGS (ACCUMULATED DEFICIT)</w:t>
      </w:r>
    </w:p>
    <w:p>
      <w:pPr>
        <w:ind w:left="3480"/>
        <w:spacing w:after="0" w:line="238" w:lineRule="auto"/>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160" w:type="dxa"/>
            <w:vAlign w:val="bottom"/>
          </w:tcPr>
          <w:p>
            <w:pPr>
              <w:spacing w:after="0"/>
              <w:rPr>
                <w:sz w:val="16"/>
                <w:szCs w:val="16"/>
                <w:color w:val="auto"/>
              </w:rPr>
            </w:pPr>
          </w:p>
        </w:tc>
        <w:tc>
          <w:tcPr>
            <w:tcW w:w="3280" w:type="dxa"/>
            <w:vAlign w:val="bottom"/>
            <w:gridSpan w:val="3"/>
          </w:tcPr>
          <w:p>
            <w:pPr>
              <w:jc w:val="right"/>
              <w:ind w:right="17"/>
              <w:spacing w:after="0"/>
              <w:rPr>
                <w:sz w:val="20"/>
                <w:szCs w:val="20"/>
                <w:color w:val="auto"/>
              </w:rPr>
            </w:pPr>
            <w:r>
              <w:rPr>
                <w:rFonts w:ascii="Courier New" w:cs="Courier New" w:eastAsia="Courier New" w:hAnsi="Courier New"/>
                <w:sz w:val="17"/>
                <w:szCs w:val="17"/>
                <w:color w:val="auto"/>
                <w:w w:val="96"/>
              </w:rPr>
              <w:t>(Amounts in millions, except per</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w w:val="94"/>
              </w:rPr>
              <w:t>share data)</w:t>
            </w:r>
          </w:p>
        </w:tc>
      </w:tr>
      <w:tr>
        <w:trPr>
          <w:trHeight w:val="191"/>
        </w:trPr>
        <w:tc>
          <w:tcPr>
            <w:tcW w:w="7160" w:type="dxa"/>
            <w:vAlign w:val="bottom"/>
          </w:tcPr>
          <w:p>
            <w:pPr>
              <w:spacing w:after="0"/>
              <w:rPr>
                <w:sz w:val="16"/>
                <w:szCs w:val="16"/>
                <w:color w:val="auto"/>
              </w:rPr>
            </w:pPr>
          </w:p>
        </w:tc>
        <w:tc>
          <w:tcPr>
            <w:tcW w:w="2280" w:type="dxa"/>
            <w:vAlign w:val="bottom"/>
            <w:gridSpan w:val="2"/>
          </w:tcPr>
          <w:p>
            <w:pPr>
              <w:jc w:val="right"/>
              <w:ind w:right="97"/>
              <w:spacing w:after="0" w:line="191" w:lineRule="exact"/>
              <w:rPr>
                <w:sz w:val="20"/>
                <w:szCs w:val="20"/>
                <w:color w:val="auto"/>
              </w:rPr>
            </w:pPr>
            <w:r>
              <w:rPr>
                <w:rFonts w:ascii="Courier New" w:cs="Courier New" w:eastAsia="Courier New" w:hAnsi="Courier New"/>
                <w:sz w:val="17"/>
                <w:szCs w:val="17"/>
                <w:color w:val="auto"/>
              </w:rPr>
              <w:t>Three Months Ended</w:t>
            </w:r>
          </w:p>
        </w:tc>
        <w:tc>
          <w:tcPr>
            <w:tcW w:w="2080" w:type="dxa"/>
            <w:vAlign w:val="bottom"/>
            <w:gridSpan w:val="2"/>
          </w:tcPr>
          <w:p>
            <w:pPr>
              <w:jc w:val="right"/>
              <w:ind w:right="197"/>
              <w:spacing w:after="0" w:line="191" w:lineRule="exact"/>
              <w:rPr>
                <w:sz w:val="20"/>
                <w:szCs w:val="20"/>
                <w:color w:val="auto"/>
              </w:rPr>
            </w:pPr>
            <w:r>
              <w:rPr>
                <w:rFonts w:ascii="Courier New" w:cs="Courier New" w:eastAsia="Courier New" w:hAnsi="Courier New"/>
                <w:sz w:val="17"/>
                <w:szCs w:val="17"/>
                <w:color w:val="auto"/>
              </w:rPr>
              <w:t>Nine Months Ended</w:t>
            </w:r>
          </w:p>
        </w:tc>
      </w:tr>
      <w:tr>
        <w:trPr>
          <w:trHeight w:val="191"/>
        </w:trPr>
        <w:tc>
          <w:tcPr>
            <w:tcW w:w="7160" w:type="dxa"/>
            <w:vAlign w:val="bottom"/>
          </w:tcPr>
          <w:p>
            <w:pPr>
              <w:spacing w:after="0"/>
              <w:rPr>
                <w:sz w:val="16"/>
                <w:szCs w:val="16"/>
                <w:color w:val="auto"/>
              </w:rPr>
            </w:pPr>
          </w:p>
        </w:tc>
        <w:tc>
          <w:tcPr>
            <w:tcW w:w="2280" w:type="dxa"/>
            <w:vAlign w:val="bottom"/>
            <w:gridSpan w:val="2"/>
          </w:tcPr>
          <w:p>
            <w:pPr>
              <w:jc w:val="right"/>
              <w:ind w:right="297"/>
              <w:spacing w:after="0" w:line="191" w:lineRule="exact"/>
              <w:rPr>
                <w:sz w:val="20"/>
                <w:szCs w:val="20"/>
                <w:color w:val="auto"/>
              </w:rPr>
            </w:pPr>
            <w:r>
              <w:rPr>
                <w:rFonts w:ascii="Courier New" w:cs="Courier New" w:eastAsia="Courier New" w:hAnsi="Courier New"/>
                <w:sz w:val="17"/>
                <w:szCs w:val="17"/>
                <w:color w:val="auto"/>
              </w:rPr>
              <w:t>September 30,</w:t>
            </w:r>
          </w:p>
        </w:tc>
        <w:tc>
          <w:tcPr>
            <w:tcW w:w="2080" w:type="dxa"/>
            <w:vAlign w:val="bottom"/>
            <w:gridSpan w:val="2"/>
          </w:tcPr>
          <w:p>
            <w:pPr>
              <w:jc w:val="right"/>
              <w:ind w:right="397"/>
              <w:spacing w:after="0" w:line="191" w:lineRule="exact"/>
              <w:rPr>
                <w:sz w:val="20"/>
                <w:szCs w:val="20"/>
                <w:color w:val="auto"/>
              </w:rPr>
            </w:pPr>
            <w:r>
              <w:rPr>
                <w:rFonts w:ascii="Courier New" w:cs="Courier New" w:eastAsia="Courier New" w:hAnsi="Courier New"/>
                <w:sz w:val="17"/>
                <w:szCs w:val="17"/>
                <w:color w:val="auto"/>
              </w:rPr>
              <w:t>September 30,</w:t>
            </w:r>
          </w:p>
        </w:tc>
      </w:tr>
      <w:tr>
        <w:trPr>
          <w:trHeight w:val="191"/>
        </w:trPr>
        <w:tc>
          <w:tcPr>
            <w:tcW w:w="7160" w:type="dxa"/>
            <w:vAlign w:val="bottom"/>
          </w:tcPr>
          <w:p>
            <w:pPr>
              <w:spacing w:after="0"/>
              <w:rPr>
                <w:sz w:val="16"/>
                <w:szCs w:val="16"/>
                <w:color w:val="auto"/>
              </w:rPr>
            </w:pPr>
          </w:p>
        </w:tc>
        <w:tc>
          <w:tcPr>
            <w:tcW w:w="13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2001</w:t>
            </w:r>
          </w:p>
        </w:tc>
        <w:tc>
          <w:tcPr>
            <w:tcW w:w="9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2000</w:t>
            </w: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2001</w:t>
            </w:r>
          </w:p>
        </w:tc>
        <w:tc>
          <w:tcPr>
            <w:tcW w:w="1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2000</w:t>
            </w:r>
          </w:p>
        </w:tc>
      </w:tr>
      <w:tr>
        <w:trPr>
          <w:trHeight w:val="191"/>
        </w:trPr>
        <w:tc>
          <w:tcPr>
            <w:tcW w:w="7160" w:type="dxa"/>
            <w:vAlign w:val="bottom"/>
          </w:tcPr>
          <w:p>
            <w:pPr>
              <w:spacing w:after="0"/>
              <w:rPr>
                <w:sz w:val="16"/>
                <w:szCs w:val="16"/>
                <w:color w:val="auto"/>
              </w:rPr>
            </w:pPr>
          </w:p>
        </w:tc>
        <w:tc>
          <w:tcPr>
            <w:tcW w:w="22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2080" w:type="dxa"/>
            <w:vAlign w:val="bottom"/>
            <w:gridSpan w:val="2"/>
          </w:tcPr>
          <w:p>
            <w:pPr>
              <w:jc w:val="right"/>
              <w:ind w:right="97"/>
              <w:spacing w:after="0" w:line="191" w:lineRule="exact"/>
              <w:rPr>
                <w:sz w:val="20"/>
                <w:szCs w:val="20"/>
                <w:color w:val="auto"/>
              </w:rPr>
            </w:pPr>
            <w:r>
              <w:rPr>
                <w:rFonts w:ascii="Courier New" w:cs="Courier New" w:eastAsia="Courier New" w:hAnsi="Courier New"/>
                <w:sz w:val="17"/>
                <w:szCs w:val="17"/>
                <w:color w:val="auto"/>
                <w:w w:val="96"/>
              </w:rPr>
              <w:t>--------- ---------</w:t>
            </w:r>
          </w:p>
        </w:tc>
      </w:tr>
      <w:tr>
        <w:trPr>
          <w:trHeight w:val="383"/>
        </w:trPr>
        <w:tc>
          <w:tcPr>
            <w:tcW w:w="716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1"/>
        </w:trPr>
        <w:tc>
          <w:tcPr>
            <w:tcW w:w="71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3"/>
              </w:rPr>
              <w:t>Service revenues.......................................................</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$1,460.4</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$1,139.7</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$4,195.0</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$3,399.1</w:t>
            </w:r>
          </w:p>
        </w:tc>
      </w:tr>
      <w:tr>
        <w:trPr>
          <w:trHeight w:val="191"/>
        </w:trPr>
        <w:tc>
          <w:tcPr>
            <w:tcW w:w="71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3"/>
              </w:rPr>
              <w:t>Net sales from electronic retailing....................................</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895.1</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820.3</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2,655.1</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2,411.9</w:t>
            </w:r>
          </w:p>
        </w:tc>
      </w:tr>
      <w:tr>
        <w:trPr>
          <w:trHeight w:val="191"/>
        </w:trPr>
        <w:tc>
          <w:tcPr>
            <w:tcW w:w="7160" w:type="dxa"/>
            <w:vAlign w:val="bottom"/>
          </w:tcPr>
          <w:p>
            <w:pPr>
              <w:spacing w:after="0"/>
              <w:rPr>
                <w:sz w:val="16"/>
                <w:szCs w:val="16"/>
                <w:color w:val="auto"/>
              </w:rPr>
            </w:pPr>
          </w:p>
        </w:tc>
        <w:tc>
          <w:tcPr>
            <w:tcW w:w="22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716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2,355.5</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1,960.0</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6,850.1</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5,811.0</w:t>
            </w:r>
          </w:p>
        </w:tc>
      </w:tr>
      <w:tr>
        <w:trPr>
          <w:trHeight w:val="191"/>
        </w:trPr>
        <w:tc>
          <w:tcPr>
            <w:tcW w:w="7160" w:type="dxa"/>
            <w:vAlign w:val="bottom"/>
          </w:tcPr>
          <w:p>
            <w:pPr>
              <w:spacing w:after="0"/>
              <w:rPr>
                <w:sz w:val="16"/>
                <w:szCs w:val="16"/>
                <w:color w:val="auto"/>
              </w:rPr>
            </w:pPr>
          </w:p>
        </w:tc>
        <w:tc>
          <w:tcPr>
            <w:tcW w:w="22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2080" w:type="dxa"/>
            <w:vAlign w:val="bottom"/>
            <w:gridSpan w:val="2"/>
          </w:tcPr>
          <w:p>
            <w:pPr>
              <w:jc w:val="right"/>
              <w:ind w:right="97"/>
              <w:spacing w:after="0" w:line="191" w:lineRule="exact"/>
              <w:rPr>
                <w:sz w:val="20"/>
                <w:szCs w:val="20"/>
                <w:color w:val="auto"/>
              </w:rPr>
            </w:pPr>
            <w:r>
              <w:rPr>
                <w:rFonts w:ascii="Courier New" w:cs="Courier New" w:eastAsia="Courier New" w:hAnsi="Courier New"/>
                <w:sz w:val="17"/>
                <w:szCs w:val="17"/>
                <w:color w:val="auto"/>
                <w:w w:val="96"/>
              </w:rPr>
              <w:t>--------- ---------</w:t>
            </w:r>
          </w:p>
        </w:tc>
      </w:tr>
      <w:tr>
        <w:trPr>
          <w:trHeight w:val="191"/>
        </w:trPr>
        <w:tc>
          <w:tcPr>
            <w:tcW w:w="7160" w:type="dxa"/>
            <w:vAlign w:val="bottom"/>
          </w:tcPr>
          <w:p>
            <w:pPr>
              <w:spacing w:after="0" w:line="191" w:lineRule="exact"/>
              <w:rPr>
                <w:sz w:val="20"/>
                <w:szCs w:val="20"/>
                <w:color w:val="auto"/>
              </w:rPr>
            </w:pPr>
            <w:r>
              <w:rPr>
                <w:rFonts w:ascii="Courier New" w:cs="Courier New" w:eastAsia="Courier New" w:hAnsi="Courier New"/>
                <w:sz w:val="17"/>
                <w:szCs w:val="17"/>
                <w:color w:val="auto"/>
              </w:rPr>
              <w:t>COSTS AND EXPENSES</w:t>
            </w: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71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3"/>
              </w:rPr>
              <w:t>Operating..............................................................</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679.1</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516.5</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1,991.6</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1,594.4</w:t>
            </w:r>
          </w:p>
        </w:tc>
      </w:tr>
      <w:tr>
        <w:trPr>
          <w:trHeight w:val="191"/>
        </w:trPr>
        <w:tc>
          <w:tcPr>
            <w:tcW w:w="71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3"/>
              </w:rPr>
              <w:t>Cost of goods sold from electronic retailing...........................</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573.8</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529.2</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1,685.6</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1,544.4</w:t>
            </w:r>
          </w:p>
        </w:tc>
      </w:tr>
      <w:tr>
        <w:trPr>
          <w:trHeight w:val="191"/>
        </w:trPr>
        <w:tc>
          <w:tcPr>
            <w:tcW w:w="71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3"/>
              </w:rPr>
              <w:t>Selling, general and administrative....................................</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396.8</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308.6</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1,125.8</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876.8</w:t>
            </w:r>
          </w:p>
        </w:tc>
      </w:tr>
      <w:tr>
        <w:trPr>
          <w:trHeight w:val="191"/>
        </w:trPr>
        <w:tc>
          <w:tcPr>
            <w:tcW w:w="71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3"/>
              </w:rPr>
              <w:t>Depreciation...........................................................</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288.2</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223.2</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760.4</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599.9</w:t>
            </w:r>
          </w:p>
        </w:tc>
      </w:tr>
      <w:tr>
        <w:trPr>
          <w:trHeight w:val="191"/>
        </w:trPr>
        <w:tc>
          <w:tcPr>
            <w:tcW w:w="71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3"/>
              </w:rPr>
              <w:t>Amortization...........................................................</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595.8</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438.9</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1,698.7</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1,242.3</w:t>
            </w:r>
          </w:p>
        </w:tc>
      </w:tr>
      <w:tr>
        <w:trPr>
          <w:trHeight w:val="191"/>
        </w:trPr>
        <w:tc>
          <w:tcPr>
            <w:tcW w:w="7160" w:type="dxa"/>
            <w:vAlign w:val="bottom"/>
          </w:tcPr>
          <w:p>
            <w:pPr>
              <w:spacing w:after="0"/>
              <w:rPr>
                <w:sz w:val="16"/>
                <w:szCs w:val="16"/>
                <w:color w:val="auto"/>
              </w:rPr>
            </w:pPr>
          </w:p>
        </w:tc>
        <w:tc>
          <w:tcPr>
            <w:tcW w:w="22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716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2,533.7</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2,016.4</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7,262.1</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5,857.8</w:t>
            </w:r>
          </w:p>
        </w:tc>
      </w:tr>
      <w:tr>
        <w:trPr>
          <w:trHeight w:val="191"/>
        </w:trPr>
        <w:tc>
          <w:tcPr>
            <w:tcW w:w="7160" w:type="dxa"/>
            <w:vAlign w:val="bottom"/>
          </w:tcPr>
          <w:p>
            <w:pPr>
              <w:spacing w:after="0"/>
              <w:rPr>
                <w:sz w:val="16"/>
                <w:szCs w:val="16"/>
                <w:color w:val="auto"/>
              </w:rPr>
            </w:pPr>
          </w:p>
        </w:tc>
        <w:tc>
          <w:tcPr>
            <w:tcW w:w="22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7160" w:type="dxa"/>
            <w:vAlign w:val="bottom"/>
          </w:tcPr>
          <w:p>
            <w:pPr>
              <w:spacing w:after="0" w:line="191" w:lineRule="exact"/>
              <w:rPr>
                <w:sz w:val="20"/>
                <w:szCs w:val="20"/>
                <w:color w:val="auto"/>
              </w:rPr>
            </w:pPr>
            <w:r>
              <w:rPr>
                <w:rFonts w:ascii="Courier New" w:cs="Courier New" w:eastAsia="Courier New" w:hAnsi="Courier New"/>
                <w:sz w:val="17"/>
                <w:szCs w:val="17"/>
                <w:color w:val="auto"/>
                <w:w w:val="93"/>
              </w:rPr>
              <w:t>OPERATING LOSS.............................................................</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(178.2)</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(56.4)</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(412.0)</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(46.8)</w:t>
            </w:r>
          </w:p>
        </w:tc>
      </w:tr>
      <w:tr>
        <w:trPr>
          <w:trHeight w:val="191"/>
        </w:trPr>
        <w:tc>
          <w:tcPr>
            <w:tcW w:w="716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INCOME (EXPENSE)</w:t>
            </w: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71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3"/>
              </w:rPr>
              <w:t>Interest expense.......................................................</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(190.7)</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(175.2)</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(549.2)</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(507.0)</w:t>
            </w:r>
          </w:p>
        </w:tc>
      </w:tr>
      <w:tr>
        <w:trPr>
          <w:trHeight w:val="191"/>
        </w:trPr>
        <w:tc>
          <w:tcPr>
            <w:tcW w:w="71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3"/>
              </w:rPr>
              <w:t>Investment income......................................................</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328.3</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65.4</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1,045.7</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1,024.8</w:t>
            </w:r>
          </w:p>
        </w:tc>
      </w:tr>
      <w:tr>
        <w:trPr>
          <w:trHeight w:val="191"/>
        </w:trPr>
        <w:tc>
          <w:tcPr>
            <w:tcW w:w="850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Income related to indexed debt.........................................</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1,064.0</w:t>
            </w:r>
          </w:p>
        </w:tc>
        <w:tc>
          <w:tcPr>
            <w:tcW w:w="1000" w:type="dxa"/>
            <w:vAlign w:val="bottom"/>
          </w:tcPr>
          <w:p>
            <w:pPr>
              <w:spacing w:after="0"/>
              <w:rPr>
                <w:sz w:val="16"/>
                <w:szCs w:val="16"/>
                <w:color w:val="auto"/>
              </w:rPr>
            </w:pP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666.0</w:t>
            </w:r>
          </w:p>
        </w:tc>
      </w:tr>
      <w:tr>
        <w:trPr>
          <w:trHeight w:val="191"/>
        </w:trPr>
        <w:tc>
          <w:tcPr>
            <w:tcW w:w="71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3"/>
              </w:rPr>
              <w:t>Equity in net losses of affiliates.....................................</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(19.5)</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(26.1)</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(7.7)</w:t>
            </w:r>
          </w:p>
        </w:tc>
      </w:tr>
      <w:tr>
        <w:trPr>
          <w:trHeight w:val="191"/>
        </w:trPr>
        <w:tc>
          <w:tcPr>
            <w:tcW w:w="71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3"/>
              </w:rPr>
              <w:t>Other income (expense).................................................</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(7.0)</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1,133.1</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1,180.9</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1,124.5</w:t>
            </w:r>
          </w:p>
        </w:tc>
      </w:tr>
      <w:tr>
        <w:trPr>
          <w:trHeight w:val="191"/>
        </w:trPr>
        <w:tc>
          <w:tcPr>
            <w:tcW w:w="7160" w:type="dxa"/>
            <w:vAlign w:val="bottom"/>
          </w:tcPr>
          <w:p>
            <w:pPr>
              <w:spacing w:after="0"/>
              <w:rPr>
                <w:sz w:val="16"/>
                <w:szCs w:val="16"/>
                <w:color w:val="auto"/>
              </w:rPr>
            </w:pPr>
          </w:p>
        </w:tc>
        <w:tc>
          <w:tcPr>
            <w:tcW w:w="22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716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111.1</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2,083.6</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1,651.3</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2,300.6</w:t>
            </w:r>
          </w:p>
        </w:tc>
      </w:tr>
      <w:tr>
        <w:trPr>
          <w:trHeight w:val="191"/>
        </w:trPr>
        <w:tc>
          <w:tcPr>
            <w:tcW w:w="7160" w:type="dxa"/>
            <w:vAlign w:val="bottom"/>
          </w:tcPr>
          <w:p>
            <w:pPr>
              <w:spacing w:after="0"/>
              <w:rPr>
                <w:sz w:val="16"/>
                <w:szCs w:val="16"/>
                <w:color w:val="auto"/>
              </w:rPr>
            </w:pPr>
          </w:p>
        </w:tc>
        <w:tc>
          <w:tcPr>
            <w:tcW w:w="22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2080" w:type="dxa"/>
            <w:vAlign w:val="bottom"/>
            <w:gridSpan w:val="2"/>
          </w:tcPr>
          <w:p>
            <w:pPr>
              <w:jc w:val="right"/>
              <w:ind w:right="97"/>
              <w:spacing w:after="0" w:line="191" w:lineRule="exact"/>
              <w:rPr>
                <w:sz w:val="20"/>
                <w:szCs w:val="20"/>
                <w:color w:val="auto"/>
              </w:rPr>
            </w:pPr>
            <w:r>
              <w:rPr>
                <w:rFonts w:ascii="Courier New" w:cs="Courier New" w:eastAsia="Courier New" w:hAnsi="Courier New"/>
                <w:sz w:val="17"/>
                <w:szCs w:val="17"/>
                <w:color w:val="auto"/>
                <w:w w:val="96"/>
              </w:rPr>
              <w:t>--------- ---------</w:t>
            </w:r>
          </w:p>
        </w:tc>
      </w:tr>
      <w:tr>
        <w:trPr>
          <w:trHeight w:val="191"/>
        </w:trPr>
        <w:tc>
          <w:tcPr>
            <w:tcW w:w="716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(LOSS) BEFORE INCOME TAXES, MINORITY INTEREST, EXTRAORDINARY</w:t>
            </w: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71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3"/>
              </w:rPr>
              <w:t>ITEMS AND CUMULATIVE EFFECT OF ACCOUNTING CHANGE.......................</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(67.1)</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2,027.2</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1,239.3</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2,253.8</w:t>
            </w:r>
          </w:p>
        </w:tc>
      </w:tr>
      <w:tr>
        <w:trPr>
          <w:trHeight w:val="191"/>
        </w:trPr>
        <w:tc>
          <w:tcPr>
            <w:tcW w:w="7160" w:type="dxa"/>
            <w:vAlign w:val="bottom"/>
          </w:tcPr>
          <w:p>
            <w:pPr>
              <w:spacing w:after="0" w:line="191" w:lineRule="exact"/>
              <w:rPr>
                <w:sz w:val="20"/>
                <w:szCs w:val="20"/>
                <w:color w:val="auto"/>
              </w:rPr>
            </w:pPr>
            <w:r>
              <w:rPr>
                <w:rFonts w:ascii="Courier New" w:cs="Courier New" w:eastAsia="Courier New" w:hAnsi="Courier New"/>
                <w:sz w:val="17"/>
                <w:szCs w:val="17"/>
                <w:color w:val="auto"/>
                <w:w w:val="93"/>
              </w:rPr>
              <w:t>INCOME TAX EXPENSE.........................................................</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(13.5)</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(752.3)</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(602.9)</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(905.6)</w:t>
            </w:r>
          </w:p>
        </w:tc>
      </w:tr>
      <w:tr>
        <w:trPr>
          <w:trHeight w:val="191"/>
        </w:trPr>
        <w:tc>
          <w:tcPr>
            <w:tcW w:w="7160" w:type="dxa"/>
            <w:vAlign w:val="bottom"/>
          </w:tcPr>
          <w:p>
            <w:pPr>
              <w:spacing w:after="0"/>
              <w:rPr>
                <w:sz w:val="16"/>
                <w:szCs w:val="16"/>
                <w:color w:val="auto"/>
              </w:rPr>
            </w:pPr>
          </w:p>
        </w:tc>
        <w:tc>
          <w:tcPr>
            <w:tcW w:w="22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2080" w:type="dxa"/>
            <w:vAlign w:val="bottom"/>
            <w:gridSpan w:val="2"/>
          </w:tcPr>
          <w:p>
            <w:pPr>
              <w:jc w:val="right"/>
              <w:ind w:right="97"/>
              <w:spacing w:after="0" w:line="191" w:lineRule="exact"/>
              <w:rPr>
                <w:sz w:val="20"/>
                <w:szCs w:val="20"/>
                <w:color w:val="auto"/>
              </w:rPr>
            </w:pPr>
            <w:r>
              <w:rPr>
                <w:rFonts w:ascii="Courier New" w:cs="Courier New" w:eastAsia="Courier New" w:hAnsi="Courier New"/>
                <w:sz w:val="17"/>
                <w:szCs w:val="17"/>
                <w:color w:val="auto"/>
                <w:w w:val="96"/>
              </w:rPr>
              <w:t>--------- ---------</w:t>
            </w:r>
          </w:p>
        </w:tc>
      </w:tr>
      <w:tr>
        <w:trPr>
          <w:trHeight w:val="191"/>
        </w:trPr>
        <w:tc>
          <w:tcPr>
            <w:tcW w:w="716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(LOSS) BEFORE MINORITY INTEREST, EXTRAORDINARY ITEMS AND</w:t>
            </w: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71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3"/>
              </w:rPr>
              <w:t>CUMULATIVE EFFECT OF ACCOUNTING CHANGE.................................</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(80.6)</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1,274.9</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636.4</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1,348.2</w:t>
            </w:r>
          </w:p>
        </w:tc>
      </w:tr>
      <w:tr>
        <w:trPr>
          <w:trHeight w:val="191"/>
        </w:trPr>
        <w:tc>
          <w:tcPr>
            <w:tcW w:w="7160" w:type="dxa"/>
            <w:vAlign w:val="bottom"/>
          </w:tcPr>
          <w:p>
            <w:pPr>
              <w:spacing w:after="0" w:line="191" w:lineRule="exact"/>
              <w:rPr>
                <w:sz w:val="20"/>
                <w:szCs w:val="20"/>
                <w:color w:val="auto"/>
              </w:rPr>
            </w:pPr>
            <w:r>
              <w:rPr>
                <w:rFonts w:ascii="Courier New" w:cs="Courier New" w:eastAsia="Courier New" w:hAnsi="Courier New"/>
                <w:sz w:val="17"/>
                <w:szCs w:val="17"/>
                <w:color w:val="auto"/>
                <w:w w:val="93"/>
              </w:rPr>
              <w:t>MINORITY INTEREST..........................................................</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(26.2)</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(25.8)</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(89.8)</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(86.7)</w:t>
            </w:r>
          </w:p>
        </w:tc>
      </w:tr>
      <w:tr>
        <w:trPr>
          <w:trHeight w:val="191"/>
        </w:trPr>
        <w:tc>
          <w:tcPr>
            <w:tcW w:w="7160" w:type="dxa"/>
            <w:vAlign w:val="bottom"/>
          </w:tcPr>
          <w:p>
            <w:pPr>
              <w:spacing w:after="0"/>
              <w:rPr>
                <w:sz w:val="16"/>
                <w:szCs w:val="16"/>
                <w:color w:val="auto"/>
              </w:rPr>
            </w:pPr>
          </w:p>
        </w:tc>
        <w:tc>
          <w:tcPr>
            <w:tcW w:w="22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2080" w:type="dxa"/>
            <w:vAlign w:val="bottom"/>
            <w:gridSpan w:val="2"/>
          </w:tcPr>
          <w:p>
            <w:pPr>
              <w:jc w:val="right"/>
              <w:ind w:right="97"/>
              <w:spacing w:after="0" w:line="191" w:lineRule="exact"/>
              <w:rPr>
                <w:sz w:val="20"/>
                <w:szCs w:val="20"/>
                <w:color w:val="auto"/>
              </w:rPr>
            </w:pPr>
            <w:r>
              <w:rPr>
                <w:rFonts w:ascii="Courier New" w:cs="Courier New" w:eastAsia="Courier New" w:hAnsi="Courier New"/>
                <w:sz w:val="17"/>
                <w:szCs w:val="17"/>
                <w:color w:val="auto"/>
                <w:w w:val="96"/>
              </w:rPr>
              <w:t>--------- ---------</w:t>
            </w:r>
          </w:p>
        </w:tc>
      </w:tr>
      <w:tr>
        <w:trPr>
          <w:trHeight w:val="191"/>
        </w:trPr>
        <w:tc>
          <w:tcPr>
            <w:tcW w:w="716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(LOSS) BEFORE EXTRAORDINARY ITEMS AND CUMULATIVE EFFECT</w:t>
            </w: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71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3"/>
              </w:rPr>
              <w:t>OF ACCOUNTING CHANGE...................................................</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(106.8)</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1,249.1</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546.6</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1,261.5</w:t>
            </w:r>
          </w:p>
        </w:tc>
      </w:tr>
      <w:tr>
        <w:trPr>
          <w:trHeight w:val="191"/>
        </w:trPr>
        <w:tc>
          <w:tcPr>
            <w:tcW w:w="85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EXTRAORDINARY ITEMS........................................................</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(18.5)</w:t>
            </w:r>
          </w:p>
        </w:tc>
      </w:tr>
      <w:tr>
        <w:trPr>
          <w:trHeight w:val="191"/>
        </w:trPr>
        <w:tc>
          <w:tcPr>
            <w:tcW w:w="85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CUMULATIVE EFFECT OF ACCOUNTING CHANGE.....................................</w:t>
            </w:r>
          </w:p>
        </w:tc>
        <w:tc>
          <w:tcPr>
            <w:tcW w:w="9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384.5</w:t>
            </w:r>
          </w:p>
        </w:tc>
        <w:tc>
          <w:tcPr>
            <w:tcW w:w="1080" w:type="dxa"/>
            <w:vAlign w:val="bottom"/>
          </w:tcPr>
          <w:p>
            <w:pPr>
              <w:spacing w:after="0"/>
              <w:rPr>
                <w:sz w:val="16"/>
                <w:szCs w:val="16"/>
                <w:color w:val="auto"/>
              </w:rPr>
            </w:pPr>
          </w:p>
        </w:tc>
      </w:tr>
      <w:tr>
        <w:trPr>
          <w:trHeight w:val="191"/>
        </w:trPr>
        <w:tc>
          <w:tcPr>
            <w:tcW w:w="7160" w:type="dxa"/>
            <w:vAlign w:val="bottom"/>
          </w:tcPr>
          <w:p>
            <w:pPr>
              <w:spacing w:after="0"/>
              <w:rPr>
                <w:sz w:val="16"/>
                <w:szCs w:val="16"/>
                <w:color w:val="auto"/>
              </w:rPr>
            </w:pPr>
          </w:p>
        </w:tc>
        <w:tc>
          <w:tcPr>
            <w:tcW w:w="22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2080" w:type="dxa"/>
            <w:vAlign w:val="bottom"/>
            <w:gridSpan w:val="2"/>
          </w:tcPr>
          <w:p>
            <w:pPr>
              <w:jc w:val="right"/>
              <w:ind w:right="97"/>
              <w:spacing w:after="0" w:line="191" w:lineRule="exact"/>
              <w:rPr>
                <w:sz w:val="20"/>
                <w:szCs w:val="20"/>
                <w:color w:val="auto"/>
              </w:rPr>
            </w:pPr>
            <w:r>
              <w:rPr>
                <w:rFonts w:ascii="Courier New" w:cs="Courier New" w:eastAsia="Courier New" w:hAnsi="Courier New"/>
                <w:sz w:val="17"/>
                <w:szCs w:val="17"/>
                <w:color w:val="auto"/>
                <w:w w:val="96"/>
              </w:rPr>
              <w:t>--------- ---------</w:t>
            </w:r>
          </w:p>
        </w:tc>
      </w:tr>
      <w:tr>
        <w:trPr>
          <w:trHeight w:val="191"/>
        </w:trPr>
        <w:tc>
          <w:tcPr>
            <w:tcW w:w="7160" w:type="dxa"/>
            <w:vAlign w:val="bottom"/>
          </w:tcPr>
          <w:p>
            <w:pPr>
              <w:spacing w:after="0" w:line="191" w:lineRule="exact"/>
              <w:rPr>
                <w:sz w:val="20"/>
                <w:szCs w:val="20"/>
                <w:color w:val="auto"/>
              </w:rPr>
            </w:pPr>
            <w:r>
              <w:rPr>
                <w:rFonts w:ascii="Courier New" w:cs="Courier New" w:eastAsia="Courier New" w:hAnsi="Courier New"/>
                <w:sz w:val="17"/>
                <w:szCs w:val="17"/>
                <w:color w:val="auto"/>
                <w:w w:val="93"/>
              </w:rPr>
              <w:t>NET INCOME (LOSS)..........................................................</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(106.8)</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1,246.8</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929.6</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1,243.0</w:t>
            </w:r>
          </w:p>
        </w:tc>
      </w:tr>
      <w:tr>
        <w:trPr>
          <w:trHeight w:val="191"/>
        </w:trPr>
        <w:tc>
          <w:tcPr>
            <w:tcW w:w="85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PREFERRED DIVIDENDS........................................................</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(7.6)</w:t>
            </w:r>
          </w:p>
        </w:tc>
        <w:tc>
          <w:tcPr>
            <w:tcW w:w="1000" w:type="dxa"/>
            <w:vAlign w:val="bottom"/>
          </w:tcPr>
          <w:p>
            <w:pPr>
              <w:spacing w:after="0"/>
              <w:rPr>
                <w:sz w:val="16"/>
                <w:szCs w:val="16"/>
                <w:color w:val="auto"/>
              </w:rPr>
            </w:pP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(22.7)</w:t>
            </w:r>
          </w:p>
        </w:tc>
      </w:tr>
      <w:tr>
        <w:trPr>
          <w:trHeight w:val="191"/>
        </w:trPr>
        <w:tc>
          <w:tcPr>
            <w:tcW w:w="7160" w:type="dxa"/>
            <w:vAlign w:val="bottom"/>
          </w:tcPr>
          <w:p>
            <w:pPr>
              <w:spacing w:after="0"/>
              <w:rPr>
                <w:sz w:val="16"/>
                <w:szCs w:val="16"/>
                <w:color w:val="auto"/>
              </w:rPr>
            </w:pPr>
          </w:p>
        </w:tc>
        <w:tc>
          <w:tcPr>
            <w:tcW w:w="22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7160" w:type="dxa"/>
            <w:vAlign w:val="bottom"/>
          </w:tcPr>
          <w:p>
            <w:pPr>
              <w:spacing w:after="0" w:line="191" w:lineRule="exact"/>
              <w:rPr>
                <w:sz w:val="20"/>
                <w:szCs w:val="20"/>
                <w:color w:val="auto"/>
              </w:rPr>
            </w:pPr>
            <w:r>
              <w:rPr>
                <w:rFonts w:ascii="Courier New" w:cs="Courier New" w:eastAsia="Courier New" w:hAnsi="Courier New"/>
                <w:sz w:val="17"/>
                <w:szCs w:val="17"/>
                <w:color w:val="auto"/>
                <w:w w:val="93"/>
              </w:rPr>
              <w:t>NET INCOME (LOSS) FOR COMMON STOCKHOLDERS..................................</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($106.8)</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$1,239.2</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$929.6</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$1,220.3</w:t>
            </w:r>
          </w:p>
        </w:tc>
      </w:tr>
      <w:tr>
        <w:trPr>
          <w:trHeight w:val="191"/>
        </w:trPr>
        <w:tc>
          <w:tcPr>
            <w:tcW w:w="7160" w:type="dxa"/>
            <w:vAlign w:val="bottom"/>
          </w:tcPr>
          <w:p>
            <w:pPr>
              <w:spacing w:after="0"/>
              <w:rPr>
                <w:sz w:val="16"/>
                <w:szCs w:val="16"/>
                <w:color w:val="auto"/>
              </w:rPr>
            </w:pPr>
          </w:p>
        </w:tc>
        <w:tc>
          <w:tcPr>
            <w:tcW w:w="22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2080" w:type="dxa"/>
            <w:vAlign w:val="bottom"/>
            <w:gridSpan w:val="2"/>
          </w:tcPr>
          <w:p>
            <w:pPr>
              <w:jc w:val="right"/>
              <w:ind w:right="97"/>
              <w:spacing w:after="0" w:line="191" w:lineRule="exact"/>
              <w:rPr>
                <w:sz w:val="20"/>
                <w:szCs w:val="20"/>
                <w:color w:val="auto"/>
              </w:rPr>
            </w:pPr>
            <w:r>
              <w:rPr>
                <w:rFonts w:ascii="Courier New" w:cs="Courier New" w:eastAsia="Courier New" w:hAnsi="Courier New"/>
                <w:sz w:val="17"/>
                <w:szCs w:val="17"/>
                <w:color w:val="auto"/>
                <w:w w:val="96"/>
              </w:rPr>
              <w:t>========= =========</w:t>
            </w:r>
          </w:p>
        </w:tc>
      </w:tr>
      <w:tr>
        <w:trPr>
          <w:trHeight w:val="191"/>
        </w:trPr>
        <w:tc>
          <w:tcPr>
            <w:tcW w:w="7160" w:type="dxa"/>
            <w:vAlign w:val="bottom"/>
          </w:tcPr>
          <w:p>
            <w:pPr>
              <w:spacing w:after="0" w:line="191" w:lineRule="exact"/>
              <w:rPr>
                <w:sz w:val="20"/>
                <w:szCs w:val="20"/>
                <w:color w:val="auto"/>
              </w:rPr>
            </w:pPr>
            <w:r>
              <w:rPr>
                <w:rFonts w:ascii="Courier New" w:cs="Courier New" w:eastAsia="Courier New" w:hAnsi="Courier New"/>
                <w:sz w:val="17"/>
                <w:szCs w:val="17"/>
                <w:color w:val="auto"/>
              </w:rPr>
              <w:t>RETAINED EARNINGS (ACCUMULATED DEFICIT)</w:t>
            </w: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71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3"/>
              </w:rPr>
              <w:t>Beginning of period....................................................</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$2,075.8</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($878.2)</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$1,056.5</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($619.8)</w:t>
            </w:r>
          </w:p>
        </w:tc>
      </w:tr>
      <w:tr>
        <w:trPr>
          <w:trHeight w:val="191"/>
        </w:trPr>
        <w:tc>
          <w:tcPr>
            <w:tcW w:w="71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3"/>
              </w:rPr>
              <w:t>Net income (loss)......................................................</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(106.8)</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1,246.8</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929.6</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1,243.0</w:t>
            </w:r>
          </w:p>
        </w:tc>
      </w:tr>
      <w:tr>
        <w:trPr>
          <w:trHeight w:val="191"/>
        </w:trPr>
        <w:tc>
          <w:tcPr>
            <w:tcW w:w="71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3"/>
              </w:rPr>
              <w:t>Retirement of common stock.............................................</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(17.0)</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(60.2)</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(34.1)</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(314.8)</w:t>
            </w:r>
          </w:p>
        </w:tc>
      </w:tr>
      <w:tr>
        <w:trPr>
          <w:trHeight w:val="191"/>
        </w:trPr>
        <w:tc>
          <w:tcPr>
            <w:tcW w:w="7160" w:type="dxa"/>
            <w:vAlign w:val="bottom"/>
          </w:tcPr>
          <w:p>
            <w:pPr>
              <w:spacing w:after="0"/>
              <w:rPr>
                <w:sz w:val="16"/>
                <w:szCs w:val="16"/>
                <w:color w:val="auto"/>
              </w:rPr>
            </w:pPr>
          </w:p>
        </w:tc>
        <w:tc>
          <w:tcPr>
            <w:tcW w:w="22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71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3"/>
              </w:rPr>
              <w:t>End of period..........................................................</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$1,952.0</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$308.4</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$1,952.0</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$308.4</w:t>
            </w:r>
          </w:p>
        </w:tc>
      </w:tr>
      <w:tr>
        <w:trPr>
          <w:trHeight w:val="191"/>
        </w:trPr>
        <w:tc>
          <w:tcPr>
            <w:tcW w:w="7160" w:type="dxa"/>
            <w:vAlign w:val="bottom"/>
          </w:tcPr>
          <w:p>
            <w:pPr>
              <w:spacing w:after="0"/>
              <w:rPr>
                <w:sz w:val="16"/>
                <w:szCs w:val="16"/>
                <w:color w:val="auto"/>
              </w:rPr>
            </w:pPr>
          </w:p>
        </w:tc>
        <w:tc>
          <w:tcPr>
            <w:tcW w:w="22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2080" w:type="dxa"/>
            <w:vAlign w:val="bottom"/>
            <w:gridSpan w:val="2"/>
          </w:tcPr>
          <w:p>
            <w:pPr>
              <w:jc w:val="right"/>
              <w:ind w:right="97"/>
              <w:spacing w:after="0" w:line="191" w:lineRule="exact"/>
              <w:rPr>
                <w:sz w:val="20"/>
                <w:szCs w:val="20"/>
                <w:color w:val="auto"/>
              </w:rPr>
            </w:pPr>
            <w:r>
              <w:rPr>
                <w:rFonts w:ascii="Courier New" w:cs="Courier New" w:eastAsia="Courier New" w:hAnsi="Courier New"/>
                <w:sz w:val="17"/>
                <w:szCs w:val="17"/>
                <w:color w:val="auto"/>
                <w:w w:val="96"/>
              </w:rPr>
              <w:t>========= =========</w:t>
            </w:r>
          </w:p>
        </w:tc>
      </w:tr>
      <w:tr>
        <w:trPr>
          <w:trHeight w:val="191"/>
        </w:trPr>
        <w:tc>
          <w:tcPr>
            <w:tcW w:w="7160" w:type="dxa"/>
            <w:vAlign w:val="bottom"/>
          </w:tcPr>
          <w:p>
            <w:pPr>
              <w:spacing w:after="0" w:line="191" w:lineRule="exact"/>
              <w:rPr>
                <w:sz w:val="20"/>
                <w:szCs w:val="20"/>
                <w:color w:val="auto"/>
              </w:rPr>
            </w:pPr>
            <w:r>
              <w:rPr>
                <w:rFonts w:ascii="Courier New" w:cs="Courier New" w:eastAsia="Courier New" w:hAnsi="Courier New"/>
                <w:sz w:val="17"/>
                <w:szCs w:val="17"/>
                <w:color w:val="auto"/>
              </w:rPr>
              <w:t>BASIC EARNINGS (LOSS) FOR COMMON STOCKHOLDERS PER COMMON SHARE</w:t>
            </w: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71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Income (loss) before extraordinary items and cumulative effect</w:t>
            </w: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716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w w:val="92"/>
              </w:rPr>
              <w:t>of accounting change................................................</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($0.11)</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$1.37</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$0.58</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$1.40</w:t>
            </w:r>
          </w:p>
        </w:tc>
      </w:tr>
      <w:tr>
        <w:trPr>
          <w:trHeight w:val="191"/>
        </w:trPr>
        <w:tc>
          <w:tcPr>
            <w:tcW w:w="850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Extraordinary items....................................................</w:t>
            </w: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(0.02)</w:t>
            </w:r>
          </w:p>
        </w:tc>
      </w:tr>
      <w:tr>
        <w:trPr>
          <w:trHeight w:val="191"/>
        </w:trPr>
        <w:tc>
          <w:tcPr>
            <w:tcW w:w="850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Cumulative effect of accounting change.................................</w:t>
            </w:r>
          </w:p>
        </w:tc>
        <w:tc>
          <w:tcPr>
            <w:tcW w:w="9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0.40</w:t>
            </w:r>
          </w:p>
        </w:tc>
        <w:tc>
          <w:tcPr>
            <w:tcW w:w="1080" w:type="dxa"/>
            <w:vAlign w:val="bottom"/>
          </w:tcPr>
          <w:p>
            <w:pPr>
              <w:spacing w:after="0"/>
              <w:rPr>
                <w:sz w:val="16"/>
                <w:szCs w:val="16"/>
                <w:color w:val="auto"/>
              </w:rPr>
            </w:pPr>
          </w:p>
        </w:tc>
      </w:tr>
      <w:tr>
        <w:trPr>
          <w:trHeight w:val="191"/>
        </w:trPr>
        <w:tc>
          <w:tcPr>
            <w:tcW w:w="7160" w:type="dxa"/>
            <w:vAlign w:val="bottom"/>
          </w:tcPr>
          <w:p>
            <w:pPr>
              <w:spacing w:after="0"/>
              <w:rPr>
                <w:sz w:val="16"/>
                <w:szCs w:val="16"/>
                <w:color w:val="auto"/>
              </w:rPr>
            </w:pPr>
          </w:p>
        </w:tc>
        <w:tc>
          <w:tcPr>
            <w:tcW w:w="22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2080" w:type="dxa"/>
            <w:vAlign w:val="bottom"/>
            <w:gridSpan w:val="2"/>
          </w:tcPr>
          <w:p>
            <w:pPr>
              <w:jc w:val="right"/>
              <w:ind w:right="97"/>
              <w:spacing w:after="0" w:line="191" w:lineRule="exact"/>
              <w:rPr>
                <w:sz w:val="20"/>
                <w:szCs w:val="20"/>
                <w:color w:val="auto"/>
              </w:rPr>
            </w:pPr>
            <w:r>
              <w:rPr>
                <w:rFonts w:ascii="Courier New" w:cs="Courier New" w:eastAsia="Courier New" w:hAnsi="Courier New"/>
                <w:sz w:val="17"/>
                <w:szCs w:val="17"/>
                <w:color w:val="auto"/>
                <w:w w:val="96"/>
              </w:rPr>
              <w:t>--------- ---------</w:t>
            </w:r>
          </w:p>
        </w:tc>
      </w:tr>
      <w:tr>
        <w:trPr>
          <w:trHeight w:val="191"/>
        </w:trPr>
        <w:tc>
          <w:tcPr>
            <w:tcW w:w="716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w w:val="92"/>
              </w:rPr>
              <w:t>Net income (loss)...................................................</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($0.11)</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$1.37</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$0.98</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$1.38</w:t>
            </w:r>
          </w:p>
        </w:tc>
      </w:tr>
      <w:tr>
        <w:trPr>
          <w:trHeight w:val="191"/>
        </w:trPr>
        <w:tc>
          <w:tcPr>
            <w:tcW w:w="7160" w:type="dxa"/>
            <w:vAlign w:val="bottom"/>
          </w:tcPr>
          <w:p>
            <w:pPr>
              <w:spacing w:after="0"/>
              <w:rPr>
                <w:sz w:val="16"/>
                <w:szCs w:val="16"/>
                <w:color w:val="auto"/>
              </w:rPr>
            </w:pPr>
          </w:p>
        </w:tc>
        <w:tc>
          <w:tcPr>
            <w:tcW w:w="22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7160" w:type="dxa"/>
            <w:vAlign w:val="bottom"/>
          </w:tcPr>
          <w:p>
            <w:pPr>
              <w:spacing w:after="0" w:line="191" w:lineRule="exact"/>
              <w:rPr>
                <w:sz w:val="20"/>
                <w:szCs w:val="20"/>
                <w:color w:val="auto"/>
              </w:rPr>
            </w:pPr>
            <w:r>
              <w:rPr>
                <w:rFonts w:ascii="Courier New" w:cs="Courier New" w:eastAsia="Courier New" w:hAnsi="Courier New"/>
                <w:sz w:val="17"/>
                <w:szCs w:val="17"/>
                <w:color w:val="auto"/>
                <w:w w:val="93"/>
              </w:rPr>
              <w:t>BASIC WEIGHTED AVERAGE NUMBER OF COMMON SHARES OUTSTANDING.................</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951.5</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908.8</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949.3</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885.1</w:t>
            </w:r>
          </w:p>
        </w:tc>
      </w:tr>
      <w:tr>
        <w:trPr>
          <w:trHeight w:val="191"/>
        </w:trPr>
        <w:tc>
          <w:tcPr>
            <w:tcW w:w="7160" w:type="dxa"/>
            <w:vAlign w:val="bottom"/>
          </w:tcPr>
          <w:p>
            <w:pPr>
              <w:spacing w:after="0"/>
              <w:rPr>
                <w:sz w:val="16"/>
                <w:szCs w:val="16"/>
                <w:color w:val="auto"/>
              </w:rPr>
            </w:pPr>
          </w:p>
        </w:tc>
        <w:tc>
          <w:tcPr>
            <w:tcW w:w="22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2080" w:type="dxa"/>
            <w:vAlign w:val="bottom"/>
            <w:gridSpan w:val="2"/>
          </w:tcPr>
          <w:p>
            <w:pPr>
              <w:jc w:val="right"/>
              <w:ind w:right="97"/>
              <w:spacing w:after="0" w:line="191" w:lineRule="exact"/>
              <w:rPr>
                <w:sz w:val="20"/>
                <w:szCs w:val="20"/>
                <w:color w:val="auto"/>
              </w:rPr>
            </w:pPr>
            <w:r>
              <w:rPr>
                <w:rFonts w:ascii="Courier New" w:cs="Courier New" w:eastAsia="Courier New" w:hAnsi="Courier New"/>
                <w:sz w:val="17"/>
                <w:szCs w:val="17"/>
                <w:color w:val="auto"/>
                <w:w w:val="96"/>
              </w:rPr>
              <w:t>========= =========</w:t>
            </w:r>
          </w:p>
        </w:tc>
      </w:tr>
      <w:tr>
        <w:trPr>
          <w:trHeight w:val="191"/>
        </w:trPr>
        <w:tc>
          <w:tcPr>
            <w:tcW w:w="7160" w:type="dxa"/>
            <w:vAlign w:val="bottom"/>
          </w:tcPr>
          <w:p>
            <w:pPr>
              <w:spacing w:after="0" w:line="191" w:lineRule="exact"/>
              <w:rPr>
                <w:sz w:val="20"/>
                <w:szCs w:val="20"/>
                <w:color w:val="auto"/>
              </w:rPr>
            </w:pPr>
            <w:r>
              <w:rPr>
                <w:rFonts w:ascii="Courier New" w:cs="Courier New" w:eastAsia="Courier New" w:hAnsi="Courier New"/>
                <w:sz w:val="17"/>
                <w:szCs w:val="17"/>
                <w:color w:val="auto"/>
              </w:rPr>
              <w:t>DILUTED EARNINGS (LOSS) FOR COMMON STOCKHOLDERS PER COMMON SHARE</w:t>
            </w: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71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Income (loss) before extraordinary items and cumulative effect</w:t>
            </w: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716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of accounting change</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($0.11)</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$1.29</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$0.56</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$1.34</w:t>
            </w:r>
          </w:p>
        </w:tc>
      </w:tr>
      <w:tr>
        <w:trPr>
          <w:trHeight w:val="191"/>
        </w:trPr>
        <w:tc>
          <w:tcPr>
            <w:tcW w:w="850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Extraordinary items....................................................</w:t>
            </w: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(0.02)</w:t>
            </w:r>
          </w:p>
        </w:tc>
      </w:tr>
      <w:tr>
        <w:trPr>
          <w:trHeight w:val="191"/>
        </w:trPr>
        <w:tc>
          <w:tcPr>
            <w:tcW w:w="850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Cumulative effect of accounting change.................................</w:t>
            </w:r>
          </w:p>
        </w:tc>
        <w:tc>
          <w:tcPr>
            <w:tcW w:w="9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0.40</w:t>
            </w:r>
          </w:p>
        </w:tc>
        <w:tc>
          <w:tcPr>
            <w:tcW w:w="1080" w:type="dxa"/>
            <w:vAlign w:val="bottom"/>
          </w:tcPr>
          <w:p>
            <w:pPr>
              <w:spacing w:after="0"/>
              <w:rPr>
                <w:sz w:val="16"/>
                <w:szCs w:val="16"/>
                <w:color w:val="auto"/>
              </w:rPr>
            </w:pPr>
          </w:p>
        </w:tc>
      </w:tr>
      <w:tr>
        <w:trPr>
          <w:trHeight w:val="191"/>
        </w:trPr>
        <w:tc>
          <w:tcPr>
            <w:tcW w:w="7160" w:type="dxa"/>
            <w:vAlign w:val="bottom"/>
          </w:tcPr>
          <w:p>
            <w:pPr>
              <w:spacing w:after="0"/>
              <w:rPr>
                <w:sz w:val="16"/>
                <w:szCs w:val="16"/>
                <w:color w:val="auto"/>
              </w:rPr>
            </w:pPr>
          </w:p>
        </w:tc>
        <w:tc>
          <w:tcPr>
            <w:tcW w:w="22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2080" w:type="dxa"/>
            <w:vAlign w:val="bottom"/>
            <w:gridSpan w:val="2"/>
          </w:tcPr>
          <w:p>
            <w:pPr>
              <w:jc w:val="right"/>
              <w:ind w:right="97"/>
              <w:spacing w:after="0" w:line="191" w:lineRule="exact"/>
              <w:rPr>
                <w:sz w:val="20"/>
                <w:szCs w:val="20"/>
                <w:color w:val="auto"/>
              </w:rPr>
            </w:pPr>
            <w:r>
              <w:rPr>
                <w:rFonts w:ascii="Courier New" w:cs="Courier New" w:eastAsia="Courier New" w:hAnsi="Courier New"/>
                <w:sz w:val="17"/>
                <w:szCs w:val="17"/>
                <w:color w:val="auto"/>
                <w:w w:val="96"/>
              </w:rPr>
              <w:t>--------- ---------</w:t>
            </w:r>
          </w:p>
        </w:tc>
      </w:tr>
      <w:tr>
        <w:trPr>
          <w:trHeight w:val="191"/>
        </w:trPr>
        <w:tc>
          <w:tcPr>
            <w:tcW w:w="716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w w:val="92"/>
              </w:rPr>
              <w:t>Net income (loss)...................................................</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($0.11)</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$1.29</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$0.96</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$1.32</w:t>
            </w:r>
          </w:p>
        </w:tc>
      </w:tr>
      <w:tr>
        <w:trPr>
          <w:trHeight w:val="191"/>
        </w:trPr>
        <w:tc>
          <w:tcPr>
            <w:tcW w:w="7160" w:type="dxa"/>
            <w:vAlign w:val="bottom"/>
          </w:tcPr>
          <w:p>
            <w:pPr>
              <w:spacing w:after="0"/>
              <w:rPr>
                <w:sz w:val="16"/>
                <w:szCs w:val="16"/>
                <w:color w:val="auto"/>
              </w:rPr>
            </w:pPr>
          </w:p>
        </w:tc>
        <w:tc>
          <w:tcPr>
            <w:tcW w:w="22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w w:val="95"/>
              </w:rPr>
              <w:t>=========</w:t>
            </w:r>
          </w:p>
        </w:tc>
      </w:tr>
    </w:tbl>
    <w:p>
      <w:pPr>
        <w:sectPr>
          <w:pgSz w:w="11900" w:h="16838" w:orient="portrait"/>
          <w:cols w:equalWidth="0" w:num="1">
            <w:col w:w="11520"/>
          </w:cols>
          <w:pgMar w:left="240" w:top="683" w:right="139" w:bottom="0" w:gutter="0" w:footer="0" w:header="0"/>
        </w:sectPr>
      </w:pPr>
    </w:p>
    <w:bookmarkStart w:id="5" w:name="page6"/>
    <w:bookmarkEnd w:id="5"/>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DILUTED WEIGHTED AVERAGE NUMBER OF COMMON SHARES OUTSTANDING...............</w:t>
      </w:r>
    </w:p>
    <w:p>
      <w:pPr>
        <w:spacing w:after="0" w:line="20" w:lineRule="exact"/>
        <w:rPr>
          <w:sz w:val="20"/>
          <w:szCs w:val="20"/>
          <w:color w:val="auto"/>
        </w:rPr>
      </w:pPr>
      <w:r>
        <w:rPr>
          <w:sz w:val="20"/>
          <w:szCs w:val="20"/>
          <w:color w:val="auto"/>
        </w:rPr>
        <w:br w:type="column"/>
      </w:r>
    </w:p>
    <w:p>
      <w:pPr>
        <w:ind w:left="400"/>
        <w:spacing w:after="0"/>
        <w:tabs>
          <w:tab w:leader="none" w:pos="1380" w:val="left"/>
          <w:tab w:leader="none" w:pos="2360" w:val="left"/>
          <w:tab w:leader="none" w:pos="3360" w:val="left"/>
        </w:tabs>
        <w:rPr>
          <w:sz w:val="20"/>
          <w:szCs w:val="20"/>
          <w:color w:val="auto"/>
        </w:rPr>
      </w:pPr>
      <w:r>
        <w:rPr>
          <w:rFonts w:ascii="Courier New" w:cs="Courier New" w:eastAsia="Courier New" w:hAnsi="Courier New"/>
          <w:sz w:val="17"/>
          <w:szCs w:val="17"/>
          <w:color w:val="auto"/>
        </w:rPr>
        <w:t>951.5</w:t>
      </w:r>
      <w:r>
        <w:rPr>
          <w:sz w:val="20"/>
          <w:szCs w:val="20"/>
          <w:color w:val="auto"/>
        </w:rPr>
        <w:tab/>
      </w:r>
      <w:r>
        <w:rPr>
          <w:rFonts w:ascii="Courier New" w:cs="Courier New" w:eastAsia="Courier New" w:hAnsi="Courier New"/>
          <w:sz w:val="17"/>
          <w:szCs w:val="17"/>
          <w:color w:val="auto"/>
        </w:rPr>
        <w:t>965.6</w:t>
      </w:r>
      <w:r>
        <w:rPr>
          <w:sz w:val="20"/>
          <w:szCs w:val="20"/>
          <w:color w:val="auto"/>
        </w:rPr>
        <w:tab/>
      </w:r>
      <w:r>
        <w:rPr>
          <w:rFonts w:ascii="Courier New" w:cs="Courier New" w:eastAsia="Courier New" w:hAnsi="Courier New"/>
          <w:sz w:val="17"/>
          <w:szCs w:val="17"/>
          <w:color w:val="auto"/>
        </w:rPr>
        <w:t>964.7</w:t>
      </w:r>
      <w:r>
        <w:rPr>
          <w:sz w:val="20"/>
          <w:szCs w:val="20"/>
          <w:color w:val="auto"/>
        </w:rPr>
        <w:tab/>
      </w:r>
      <w:r>
        <w:rPr>
          <w:rFonts w:ascii="Courier New" w:cs="Courier New" w:eastAsia="Courier New" w:hAnsi="Courier New"/>
          <w:sz w:val="16"/>
          <w:szCs w:val="16"/>
          <w:color w:val="auto"/>
        </w:rPr>
        <w:t>943.1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200" w:lineRule="exact"/>
        <w:rPr>
          <w:sz w:val="20"/>
          <w:szCs w:val="20"/>
          <w:color w:val="auto"/>
        </w:rPr>
      </w:pPr>
    </w:p>
    <w:p>
      <w:pPr>
        <w:sectPr>
          <w:pgSz w:w="11900" w:h="16838" w:orient="portrait"/>
          <w:cols w:equalWidth="0" w:num="2">
            <w:col w:w="7460" w:space="0"/>
            <w:col w:w="3880"/>
          </w:cols>
          <w:pgMar w:left="240" w:top="135" w:right="319" w:bottom="1440" w:gutter="0" w:footer="0" w:header="0"/>
        </w:sectPr>
      </w:pP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1340"/>
          </w:cols>
          <w:pgMar w:left="240" w:top="135" w:right="319" w:bottom="1440" w:gutter="0" w:footer="0" w:header="0"/>
          <w:type w:val="continuous"/>
        </w:sectPr>
      </w:pPr>
    </w:p>
    <w:bookmarkStart w:id="6" w:name="page7"/>
    <w:bookmarkEnd w:id="6"/>
    <w:p>
      <w:pPr>
        <w:jc w:val="center"/>
        <w:ind w:right="3280"/>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3180"/>
        <w:spacing w:after="0" w:line="238" w:lineRule="auto"/>
        <w:rPr>
          <w:sz w:val="20"/>
          <w:szCs w:val="20"/>
          <w:color w:val="auto"/>
        </w:rPr>
      </w:pPr>
      <w:r>
        <w:rPr>
          <w:rFonts w:ascii="Courier New" w:cs="Courier New" w:eastAsia="Courier New" w:hAnsi="Courier New"/>
          <w:sz w:val="17"/>
          <w:szCs w:val="17"/>
          <w:color w:val="auto"/>
        </w:rPr>
        <w:t>FORM 10-Q</w:t>
      </w:r>
    </w:p>
    <w:p>
      <w:pPr>
        <w:jc w:val="center"/>
        <w:ind w:right="3280"/>
        <w:spacing w:after="0" w:line="238" w:lineRule="auto"/>
        <w:rPr>
          <w:sz w:val="20"/>
          <w:szCs w:val="20"/>
          <w:color w:val="auto"/>
        </w:rPr>
      </w:pPr>
      <w:r>
        <w:rPr>
          <w:rFonts w:ascii="Courier New" w:cs="Courier New" w:eastAsia="Courier New" w:hAnsi="Courier New"/>
          <w:sz w:val="17"/>
          <w:szCs w:val="17"/>
          <w:color w:val="auto"/>
        </w:rPr>
        <w:t>QUARTER ENDED SEPTEMBER 30, 2001</w:t>
      </w:r>
    </w:p>
    <w:p>
      <w:pPr>
        <w:jc w:val="center"/>
        <w:ind w:right="3280"/>
        <w:spacing w:after="0"/>
        <w:rPr>
          <w:sz w:val="20"/>
          <w:szCs w:val="20"/>
          <w:color w:val="auto"/>
        </w:rPr>
      </w:pPr>
      <w:r>
        <w:rPr>
          <w:rFonts w:ascii="Courier New" w:cs="Courier New" w:eastAsia="Courier New" w:hAnsi="Courier New"/>
          <w:sz w:val="17"/>
          <w:szCs w:val="17"/>
          <w:color w:val="auto"/>
        </w:rPr>
        <w:t>CONDENSED CONSOLIDATED STATEMENT OF CASH FLOWS</w:t>
      </w:r>
    </w:p>
    <w:p>
      <w:pPr>
        <w:jc w:val="center"/>
        <w:ind w:right="3180"/>
        <w:spacing w:after="0" w:line="237" w:lineRule="auto"/>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60" w:type="dxa"/>
            <w:vAlign w:val="bottom"/>
          </w:tcPr>
          <w:p>
            <w:pPr>
              <w:spacing w:after="0"/>
              <w:rPr>
                <w:sz w:val="16"/>
                <w:szCs w:val="16"/>
                <w:color w:val="auto"/>
              </w:rPr>
            </w:pPr>
          </w:p>
        </w:tc>
        <w:tc>
          <w:tcPr>
            <w:tcW w:w="13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(Dollars</w:t>
            </w:r>
          </w:p>
        </w:tc>
        <w:tc>
          <w:tcPr>
            <w:tcW w:w="1880" w:type="dxa"/>
            <w:vAlign w:val="bottom"/>
          </w:tcPr>
          <w:p>
            <w:pPr>
              <w:spacing w:after="0"/>
              <w:rPr>
                <w:sz w:val="20"/>
                <w:szCs w:val="20"/>
                <w:color w:val="auto"/>
              </w:rPr>
            </w:pPr>
            <w:r>
              <w:rPr>
                <w:rFonts w:ascii="Courier New" w:cs="Courier New" w:eastAsia="Courier New" w:hAnsi="Courier New"/>
                <w:sz w:val="17"/>
                <w:szCs w:val="17"/>
                <w:color w:val="auto"/>
              </w:rPr>
              <w:t>in millions)</w:t>
            </w:r>
          </w:p>
        </w:tc>
      </w:tr>
      <w:tr>
        <w:trPr>
          <w:trHeight w:val="191"/>
        </w:trPr>
        <w:tc>
          <w:tcPr>
            <w:tcW w:w="806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Nine Months</w:t>
            </w:r>
          </w:p>
        </w:tc>
        <w:tc>
          <w:tcPr>
            <w:tcW w:w="1880" w:type="dxa"/>
            <w:vAlign w:val="bottom"/>
          </w:tcPr>
          <w:p>
            <w:pPr>
              <w:spacing w:after="0" w:line="191" w:lineRule="exact"/>
              <w:rPr>
                <w:sz w:val="20"/>
                <w:szCs w:val="20"/>
                <w:color w:val="auto"/>
              </w:rPr>
            </w:pPr>
            <w:r>
              <w:rPr>
                <w:rFonts w:ascii="Courier New" w:cs="Courier New" w:eastAsia="Courier New" w:hAnsi="Courier New"/>
                <w:sz w:val="17"/>
                <w:szCs w:val="17"/>
                <w:color w:val="auto"/>
                <w:w w:val="95"/>
              </w:rPr>
              <w:t>Ended September 30,</w:t>
            </w:r>
          </w:p>
        </w:tc>
      </w:tr>
      <w:tr>
        <w:trPr>
          <w:trHeight w:val="191"/>
        </w:trPr>
        <w:tc>
          <w:tcPr>
            <w:tcW w:w="8060" w:type="dxa"/>
            <w:vAlign w:val="bottom"/>
          </w:tcPr>
          <w:p>
            <w:pPr>
              <w:spacing w:after="0"/>
              <w:rPr>
                <w:sz w:val="16"/>
                <w:szCs w:val="16"/>
                <w:color w:val="auto"/>
              </w:rPr>
            </w:pP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2001</w:t>
            </w:r>
          </w:p>
        </w:tc>
        <w:tc>
          <w:tcPr>
            <w:tcW w:w="18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2000</w:t>
            </w:r>
          </w:p>
        </w:tc>
      </w:tr>
      <w:tr>
        <w:trPr>
          <w:trHeight w:val="191"/>
        </w:trPr>
        <w:tc>
          <w:tcPr>
            <w:tcW w:w="806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8060" w:type="dxa"/>
            <w:vAlign w:val="bottom"/>
          </w:tcPr>
          <w:p>
            <w:pPr>
              <w:jc w:val="right"/>
              <w:ind w:right="5977"/>
              <w:spacing w:after="0"/>
              <w:rPr>
                <w:sz w:val="20"/>
                <w:szCs w:val="20"/>
                <w:color w:val="auto"/>
              </w:rPr>
            </w:pPr>
            <w:r>
              <w:rPr>
                <w:rFonts w:ascii="Courier New" w:cs="Courier New" w:eastAsia="Courier New" w:hAnsi="Courier New"/>
                <w:sz w:val="17"/>
                <w:szCs w:val="17"/>
                <w:color w:val="auto"/>
                <w:w w:val="97"/>
              </w:rPr>
              <w:t>OPERATING ACTIVITIES</w:t>
            </w:r>
          </w:p>
        </w:tc>
        <w:tc>
          <w:tcPr>
            <w:tcW w:w="13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91"/>
        </w:trPr>
        <w:tc>
          <w:tcPr>
            <w:tcW w:w="8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Net income...................................................................</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$929.6</w:t>
            </w:r>
          </w:p>
        </w:tc>
        <w:tc>
          <w:tcPr>
            <w:tcW w:w="1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$1,243.0</w:t>
            </w:r>
          </w:p>
        </w:tc>
      </w:tr>
      <w:tr>
        <w:trPr>
          <w:trHeight w:val="191"/>
        </w:trPr>
        <w:tc>
          <w:tcPr>
            <w:tcW w:w="8060" w:type="dxa"/>
            <w:vAlign w:val="bottom"/>
          </w:tcPr>
          <w:p>
            <w:pPr>
              <w:jc w:val="right"/>
              <w:ind w:right="2117"/>
              <w:spacing w:after="0" w:line="191" w:lineRule="exact"/>
              <w:rPr>
                <w:sz w:val="20"/>
                <w:szCs w:val="20"/>
                <w:color w:val="auto"/>
              </w:rPr>
            </w:pPr>
            <w:r>
              <w:rPr>
                <w:rFonts w:ascii="Courier New" w:cs="Courier New" w:eastAsia="Courier New" w:hAnsi="Courier New"/>
                <w:sz w:val="17"/>
                <w:szCs w:val="17"/>
                <w:color w:val="auto"/>
              </w:rPr>
              <w:t>Adjustments to reconcile net income to net cash provided</w:t>
            </w:r>
          </w:p>
        </w:tc>
        <w:tc>
          <w:tcPr>
            <w:tcW w:w="130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1"/>
        </w:trPr>
        <w:tc>
          <w:tcPr>
            <w:tcW w:w="8060" w:type="dxa"/>
            <w:vAlign w:val="bottom"/>
          </w:tcPr>
          <w:p>
            <w:pPr>
              <w:jc w:val="right"/>
              <w:ind w:right="5197"/>
              <w:spacing w:after="0" w:line="191" w:lineRule="exact"/>
              <w:rPr>
                <w:sz w:val="20"/>
                <w:szCs w:val="20"/>
                <w:color w:val="auto"/>
              </w:rPr>
            </w:pPr>
            <w:r>
              <w:rPr>
                <w:rFonts w:ascii="Courier New" w:cs="Courier New" w:eastAsia="Courier New" w:hAnsi="Courier New"/>
                <w:sz w:val="17"/>
                <w:szCs w:val="17"/>
                <w:color w:val="auto"/>
              </w:rPr>
              <w:t>by operating activities:</w:t>
            </w:r>
          </w:p>
        </w:tc>
        <w:tc>
          <w:tcPr>
            <w:tcW w:w="130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1"/>
        </w:trPr>
        <w:tc>
          <w:tcPr>
            <w:tcW w:w="8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Depreciation...............................................................</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760.4</w:t>
            </w:r>
          </w:p>
        </w:tc>
        <w:tc>
          <w:tcPr>
            <w:tcW w:w="1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599.9</w:t>
            </w:r>
          </w:p>
        </w:tc>
      </w:tr>
      <w:tr>
        <w:trPr>
          <w:trHeight w:val="191"/>
        </w:trPr>
        <w:tc>
          <w:tcPr>
            <w:tcW w:w="8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Amortization...............................................................</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1,698.7</w:t>
            </w:r>
          </w:p>
        </w:tc>
        <w:tc>
          <w:tcPr>
            <w:tcW w:w="1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1,242.3</w:t>
            </w:r>
          </w:p>
        </w:tc>
      </w:tr>
      <w:tr>
        <w:trPr>
          <w:trHeight w:val="191"/>
        </w:trPr>
        <w:tc>
          <w:tcPr>
            <w:tcW w:w="8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Non-cash interest expense (income), net....................................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31.2</w:t>
            </w:r>
          </w:p>
        </w:tc>
        <w:tc>
          <w:tcPr>
            <w:tcW w:w="1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(29.9)</w:t>
            </w:r>
          </w:p>
        </w:tc>
      </w:tr>
      <w:tr>
        <w:trPr>
          <w:trHeight w:val="191"/>
        </w:trPr>
        <w:tc>
          <w:tcPr>
            <w:tcW w:w="8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Non-cash income related to indexed debt....................................</w:t>
            </w:r>
          </w:p>
        </w:tc>
        <w:tc>
          <w:tcPr>
            <w:tcW w:w="1300" w:type="dxa"/>
            <w:vAlign w:val="bottom"/>
          </w:tcPr>
          <w:p>
            <w:pPr>
              <w:spacing w:after="0"/>
              <w:rPr>
                <w:sz w:val="16"/>
                <w:szCs w:val="16"/>
                <w:color w:val="auto"/>
              </w:rPr>
            </w:pPr>
          </w:p>
        </w:tc>
        <w:tc>
          <w:tcPr>
            <w:tcW w:w="1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(666.0)</w:t>
            </w:r>
          </w:p>
        </w:tc>
      </w:tr>
      <w:tr>
        <w:trPr>
          <w:trHeight w:val="191"/>
        </w:trPr>
        <w:tc>
          <w:tcPr>
            <w:tcW w:w="8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Equity in net losses of affiliates.........................................</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26.1</w:t>
            </w:r>
          </w:p>
        </w:tc>
        <w:tc>
          <w:tcPr>
            <w:tcW w:w="1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7.7</w:t>
            </w:r>
          </w:p>
        </w:tc>
      </w:tr>
      <w:tr>
        <w:trPr>
          <w:trHeight w:val="191"/>
        </w:trPr>
        <w:tc>
          <w:tcPr>
            <w:tcW w:w="8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Gains on investments and other income, net.................................</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(2,172.8)</w:t>
            </w:r>
          </w:p>
        </w:tc>
        <w:tc>
          <w:tcPr>
            <w:tcW w:w="1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(2,036.8)</w:t>
            </w:r>
          </w:p>
        </w:tc>
      </w:tr>
      <w:tr>
        <w:trPr>
          <w:trHeight w:val="191"/>
        </w:trPr>
        <w:tc>
          <w:tcPr>
            <w:tcW w:w="8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Minority interest..........................................................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89.8</w:t>
            </w:r>
          </w:p>
        </w:tc>
        <w:tc>
          <w:tcPr>
            <w:tcW w:w="1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86.7</w:t>
            </w:r>
          </w:p>
        </w:tc>
      </w:tr>
      <w:tr>
        <w:trPr>
          <w:trHeight w:val="191"/>
        </w:trPr>
        <w:tc>
          <w:tcPr>
            <w:tcW w:w="8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Extraordinary items........................................................</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w:t>
            </w:r>
          </w:p>
        </w:tc>
        <w:tc>
          <w:tcPr>
            <w:tcW w:w="1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18.5</w:t>
            </w:r>
          </w:p>
        </w:tc>
      </w:tr>
      <w:tr>
        <w:trPr>
          <w:trHeight w:val="191"/>
        </w:trPr>
        <w:tc>
          <w:tcPr>
            <w:tcW w:w="8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Cumulative effect of accounting change.....................................</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(384.5)</w:t>
            </w:r>
          </w:p>
        </w:tc>
        <w:tc>
          <w:tcPr>
            <w:tcW w:w="1880" w:type="dxa"/>
            <w:vAlign w:val="bottom"/>
          </w:tcPr>
          <w:p>
            <w:pPr>
              <w:spacing w:after="0"/>
              <w:rPr>
                <w:sz w:val="16"/>
                <w:szCs w:val="16"/>
                <w:color w:val="auto"/>
              </w:rPr>
            </w:pPr>
          </w:p>
        </w:tc>
      </w:tr>
      <w:tr>
        <w:trPr>
          <w:trHeight w:val="191"/>
        </w:trPr>
        <w:tc>
          <w:tcPr>
            <w:tcW w:w="8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Deferred income taxes and other............................................</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(128.7)</w:t>
            </w:r>
          </w:p>
        </w:tc>
        <w:tc>
          <w:tcPr>
            <w:tcW w:w="1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558.2</w:t>
            </w:r>
          </w:p>
        </w:tc>
      </w:tr>
      <w:tr>
        <w:trPr>
          <w:trHeight w:val="191"/>
        </w:trPr>
        <w:tc>
          <w:tcPr>
            <w:tcW w:w="806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806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851.3</w:t>
            </w:r>
          </w:p>
        </w:tc>
        <w:tc>
          <w:tcPr>
            <w:tcW w:w="1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1,023.6</w:t>
            </w:r>
          </w:p>
        </w:tc>
      </w:tr>
      <w:tr>
        <w:trPr>
          <w:trHeight w:val="191"/>
        </w:trPr>
        <w:tc>
          <w:tcPr>
            <w:tcW w:w="8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Changes in working capital.................................................</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403.4</w:t>
            </w:r>
          </w:p>
        </w:tc>
        <w:tc>
          <w:tcPr>
            <w:tcW w:w="1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(208.9)</w:t>
            </w:r>
          </w:p>
        </w:tc>
      </w:tr>
      <w:tr>
        <w:trPr>
          <w:trHeight w:val="191"/>
        </w:trPr>
        <w:tc>
          <w:tcPr>
            <w:tcW w:w="806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8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Net cash provided by operating activities............................</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1,254.7</w:t>
            </w:r>
          </w:p>
        </w:tc>
        <w:tc>
          <w:tcPr>
            <w:tcW w:w="1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814.7</w:t>
            </w:r>
          </w:p>
        </w:tc>
      </w:tr>
      <w:tr>
        <w:trPr>
          <w:trHeight w:val="191"/>
        </w:trPr>
        <w:tc>
          <w:tcPr>
            <w:tcW w:w="806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8060" w:type="dxa"/>
            <w:vAlign w:val="bottom"/>
          </w:tcPr>
          <w:p>
            <w:pPr>
              <w:jc w:val="right"/>
              <w:ind w:right="5977"/>
              <w:spacing w:after="0" w:line="191" w:lineRule="exact"/>
              <w:rPr>
                <w:sz w:val="20"/>
                <w:szCs w:val="20"/>
                <w:color w:val="auto"/>
              </w:rPr>
            </w:pPr>
            <w:r>
              <w:rPr>
                <w:rFonts w:ascii="Courier New" w:cs="Courier New" w:eastAsia="Courier New" w:hAnsi="Courier New"/>
                <w:sz w:val="17"/>
                <w:szCs w:val="17"/>
                <w:color w:val="auto"/>
                <w:w w:val="97"/>
              </w:rPr>
              <w:t>FINANCING ACTIVITIES</w:t>
            </w:r>
          </w:p>
        </w:tc>
        <w:tc>
          <w:tcPr>
            <w:tcW w:w="130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1"/>
        </w:trPr>
        <w:tc>
          <w:tcPr>
            <w:tcW w:w="8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Proceeds from borrowings.....................................................</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5,030.9</w:t>
            </w:r>
          </w:p>
        </w:tc>
        <w:tc>
          <w:tcPr>
            <w:tcW w:w="1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3,189.3</w:t>
            </w:r>
          </w:p>
        </w:tc>
      </w:tr>
      <w:tr>
        <w:trPr>
          <w:trHeight w:val="191"/>
        </w:trPr>
        <w:tc>
          <w:tcPr>
            <w:tcW w:w="8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Retirements and repayments of debt...........................................</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(3,791.1)</w:t>
            </w:r>
          </w:p>
        </w:tc>
        <w:tc>
          <w:tcPr>
            <w:tcW w:w="1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(3,991.6)</w:t>
            </w:r>
          </w:p>
        </w:tc>
      </w:tr>
      <w:tr>
        <w:trPr>
          <w:trHeight w:val="191"/>
        </w:trPr>
        <w:tc>
          <w:tcPr>
            <w:tcW w:w="8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Issuances of common stock and sales of put options on common stock...........</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23.2</w:t>
            </w:r>
          </w:p>
        </w:tc>
        <w:tc>
          <w:tcPr>
            <w:tcW w:w="1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23.8</w:t>
            </w:r>
          </w:p>
        </w:tc>
      </w:tr>
      <w:tr>
        <w:trPr>
          <w:trHeight w:val="191"/>
        </w:trPr>
        <w:tc>
          <w:tcPr>
            <w:tcW w:w="8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Repurchases of common stock..................................................</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(27.1)</w:t>
            </w:r>
          </w:p>
        </w:tc>
        <w:tc>
          <w:tcPr>
            <w:tcW w:w="1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(290.3)</w:t>
            </w:r>
          </w:p>
        </w:tc>
      </w:tr>
      <w:tr>
        <w:trPr>
          <w:trHeight w:val="191"/>
        </w:trPr>
        <w:tc>
          <w:tcPr>
            <w:tcW w:w="8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Deferred financing costs.....................................................</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(22.5)</w:t>
            </w:r>
          </w:p>
        </w:tc>
        <w:tc>
          <w:tcPr>
            <w:tcW w:w="1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(34.4)</w:t>
            </w:r>
          </w:p>
        </w:tc>
      </w:tr>
      <w:tr>
        <w:trPr>
          <w:trHeight w:val="191"/>
        </w:trPr>
        <w:tc>
          <w:tcPr>
            <w:tcW w:w="806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8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Net cash provided by (used in) financing activities..................</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1,213.4</w:t>
            </w:r>
          </w:p>
        </w:tc>
        <w:tc>
          <w:tcPr>
            <w:tcW w:w="1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(1,103.2)</w:t>
            </w:r>
          </w:p>
        </w:tc>
      </w:tr>
      <w:tr>
        <w:trPr>
          <w:trHeight w:val="191"/>
        </w:trPr>
        <w:tc>
          <w:tcPr>
            <w:tcW w:w="806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8060" w:type="dxa"/>
            <w:vAlign w:val="bottom"/>
          </w:tcPr>
          <w:p>
            <w:pPr>
              <w:jc w:val="right"/>
              <w:ind w:right="5977"/>
              <w:spacing w:after="0" w:line="191" w:lineRule="exact"/>
              <w:rPr>
                <w:sz w:val="20"/>
                <w:szCs w:val="20"/>
                <w:color w:val="auto"/>
              </w:rPr>
            </w:pPr>
            <w:r>
              <w:rPr>
                <w:rFonts w:ascii="Courier New" w:cs="Courier New" w:eastAsia="Courier New" w:hAnsi="Courier New"/>
                <w:sz w:val="17"/>
                <w:szCs w:val="17"/>
                <w:color w:val="auto"/>
                <w:w w:val="97"/>
              </w:rPr>
              <w:t>INVESTING ACTIVITIES</w:t>
            </w:r>
          </w:p>
        </w:tc>
        <w:tc>
          <w:tcPr>
            <w:tcW w:w="130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1"/>
        </w:trPr>
        <w:tc>
          <w:tcPr>
            <w:tcW w:w="8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Acquisitions, net of cash acquired...........................................</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(917.5)</w:t>
            </w:r>
          </w:p>
        </w:tc>
        <w:tc>
          <w:tcPr>
            <w:tcW w:w="1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(161.0)</w:t>
            </w:r>
          </w:p>
        </w:tc>
      </w:tr>
      <w:tr>
        <w:trPr>
          <w:trHeight w:val="191"/>
        </w:trPr>
        <w:tc>
          <w:tcPr>
            <w:tcW w:w="8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Proceeds from sales of (purchases of) short-term investments, net............</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(173.3)</w:t>
            </w:r>
          </w:p>
        </w:tc>
        <w:tc>
          <w:tcPr>
            <w:tcW w:w="1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904.6</w:t>
            </w:r>
          </w:p>
        </w:tc>
      </w:tr>
      <w:tr>
        <w:trPr>
          <w:trHeight w:val="191"/>
        </w:trPr>
        <w:tc>
          <w:tcPr>
            <w:tcW w:w="8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Purchases of investments.....................................................</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(238.7)</w:t>
            </w:r>
          </w:p>
        </w:tc>
        <w:tc>
          <w:tcPr>
            <w:tcW w:w="1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(353.3)</w:t>
            </w:r>
          </w:p>
        </w:tc>
      </w:tr>
      <w:tr>
        <w:trPr>
          <w:trHeight w:val="191"/>
        </w:trPr>
        <w:tc>
          <w:tcPr>
            <w:tcW w:w="8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Increase in notes receivable.................................................</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(400.0)</w:t>
            </w:r>
          </w:p>
        </w:tc>
        <w:tc>
          <w:tcPr>
            <w:tcW w:w="1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(50.0)</w:t>
            </w:r>
          </w:p>
        </w:tc>
      </w:tr>
      <w:tr>
        <w:trPr>
          <w:trHeight w:val="191"/>
        </w:trPr>
        <w:tc>
          <w:tcPr>
            <w:tcW w:w="8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Proceeds from sales of investments...........................................</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1,151.5</w:t>
            </w:r>
          </w:p>
        </w:tc>
        <w:tc>
          <w:tcPr>
            <w:tcW w:w="1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992.8</w:t>
            </w:r>
          </w:p>
        </w:tc>
      </w:tr>
      <w:tr>
        <w:trPr>
          <w:trHeight w:val="191"/>
        </w:trPr>
        <w:tc>
          <w:tcPr>
            <w:tcW w:w="8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Capital expenditures.........................................................</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(1,691.2)</w:t>
            </w:r>
          </w:p>
        </w:tc>
        <w:tc>
          <w:tcPr>
            <w:tcW w:w="1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(1,056.0)</w:t>
            </w:r>
          </w:p>
        </w:tc>
      </w:tr>
      <w:tr>
        <w:trPr>
          <w:trHeight w:val="191"/>
        </w:trPr>
        <w:tc>
          <w:tcPr>
            <w:tcW w:w="8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Additions to deferred charges................................................</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(192.0)</w:t>
            </w:r>
          </w:p>
        </w:tc>
        <w:tc>
          <w:tcPr>
            <w:tcW w:w="1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(334.9)</w:t>
            </w:r>
          </w:p>
        </w:tc>
      </w:tr>
      <w:tr>
        <w:trPr>
          <w:trHeight w:val="191"/>
        </w:trPr>
        <w:tc>
          <w:tcPr>
            <w:tcW w:w="806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8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Net cash used in investing activities................................</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(2,461.2)</w:t>
            </w:r>
          </w:p>
        </w:tc>
        <w:tc>
          <w:tcPr>
            <w:tcW w:w="1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(57.8)</w:t>
            </w:r>
          </w:p>
        </w:tc>
      </w:tr>
      <w:tr>
        <w:trPr>
          <w:trHeight w:val="191"/>
        </w:trPr>
        <w:tc>
          <w:tcPr>
            <w:tcW w:w="806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8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INCREASE (DECREASE) IN CASH AND CASH EQUIVALENTS ...............................</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6.9</w:t>
            </w:r>
          </w:p>
        </w:tc>
        <w:tc>
          <w:tcPr>
            <w:tcW w:w="1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(346.3)</w:t>
            </w:r>
          </w:p>
        </w:tc>
      </w:tr>
      <w:tr>
        <w:trPr>
          <w:trHeight w:val="191"/>
        </w:trPr>
        <w:tc>
          <w:tcPr>
            <w:tcW w:w="8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CASH AND CASH EQUIVALENTS, beginning of period..................................</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651.5</w:t>
            </w:r>
          </w:p>
        </w:tc>
        <w:tc>
          <w:tcPr>
            <w:tcW w:w="1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922.2</w:t>
            </w:r>
          </w:p>
        </w:tc>
      </w:tr>
      <w:tr>
        <w:trPr>
          <w:trHeight w:val="191"/>
        </w:trPr>
        <w:tc>
          <w:tcPr>
            <w:tcW w:w="806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8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CASH AND CASH EQUIVALENTS, end of period........................................</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$658.4</w:t>
            </w:r>
          </w:p>
        </w:tc>
        <w:tc>
          <w:tcPr>
            <w:tcW w:w="1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$575.9</w:t>
            </w:r>
          </w:p>
        </w:tc>
      </w:tr>
      <w:tr>
        <w:trPr>
          <w:trHeight w:val="191"/>
        </w:trPr>
        <w:tc>
          <w:tcPr>
            <w:tcW w:w="806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condensed consolidated financial statements.</w:t>
      </w:r>
    </w:p>
    <w:p>
      <w:pPr>
        <w:spacing w:after="0" w:line="1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1240"/>
          </w:cols>
          <w:pgMar w:left="240" w:top="683" w:right="419" w:bottom="1440" w:gutter="0" w:footer="0" w:header="0"/>
        </w:sectPr>
      </w:pPr>
    </w:p>
    <w:bookmarkStart w:id="7" w:name="page8"/>
    <w:bookmarkEnd w:id="7"/>
    <w:p>
      <w:pPr>
        <w:jc w:val="center"/>
        <w:ind w:right="2259"/>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2159"/>
        <w:spacing w:after="0" w:line="238" w:lineRule="auto"/>
        <w:rPr>
          <w:sz w:val="20"/>
          <w:szCs w:val="20"/>
          <w:color w:val="auto"/>
        </w:rPr>
      </w:pPr>
      <w:r>
        <w:rPr>
          <w:rFonts w:ascii="Courier New" w:cs="Courier New" w:eastAsia="Courier New" w:hAnsi="Courier New"/>
          <w:sz w:val="17"/>
          <w:szCs w:val="17"/>
          <w:color w:val="auto"/>
        </w:rPr>
        <w:t>FORM 10-Q</w:t>
      </w:r>
    </w:p>
    <w:p>
      <w:pPr>
        <w:jc w:val="center"/>
        <w:ind w:right="2259"/>
        <w:spacing w:after="0" w:line="238" w:lineRule="auto"/>
        <w:rPr>
          <w:sz w:val="20"/>
          <w:szCs w:val="20"/>
          <w:color w:val="auto"/>
        </w:rPr>
      </w:pPr>
      <w:r>
        <w:rPr>
          <w:rFonts w:ascii="Courier New" w:cs="Courier New" w:eastAsia="Courier New" w:hAnsi="Courier New"/>
          <w:sz w:val="17"/>
          <w:szCs w:val="17"/>
          <w:color w:val="auto"/>
        </w:rPr>
        <w:t>QUARTER ENDED SEPTEMBER 30, 2001</w:t>
      </w:r>
    </w:p>
    <w:p>
      <w:pPr>
        <w:jc w:val="center"/>
        <w:ind w:right="2259"/>
        <w:spacing w:after="0"/>
        <w:rPr>
          <w:sz w:val="20"/>
          <w:szCs w:val="20"/>
          <w:color w:val="auto"/>
        </w:rPr>
      </w:pPr>
      <w:r>
        <w:rPr>
          <w:rFonts w:ascii="Courier New" w:cs="Courier New" w:eastAsia="Courier New" w:hAnsi="Courier New"/>
          <w:sz w:val="17"/>
          <w:szCs w:val="17"/>
          <w:color w:val="auto"/>
        </w:rPr>
        <w:t>NOTES TO CONDENSED CONSOLIDATED FINANCIAL STATEMENTS</w:t>
      </w:r>
    </w:p>
    <w:p>
      <w:pPr>
        <w:jc w:val="center"/>
        <w:ind w:right="2159"/>
        <w:spacing w:after="0" w:line="237" w:lineRule="auto"/>
        <w:rPr>
          <w:sz w:val="20"/>
          <w:szCs w:val="20"/>
          <w:color w:val="auto"/>
        </w:rPr>
      </w:pPr>
      <w:r>
        <w:rPr>
          <w:rFonts w:ascii="Courier New" w:cs="Courier New" w:eastAsia="Courier New" w:hAnsi="Courier New"/>
          <w:sz w:val="17"/>
          <w:szCs w:val="17"/>
          <w:color w:val="auto"/>
        </w:rPr>
        <w:t>(Unaudited)</w:t>
      </w:r>
    </w:p>
    <w:p>
      <w:pPr>
        <w:spacing w:after="0" w:line="190" w:lineRule="exact"/>
        <w:rPr>
          <w:sz w:val="20"/>
          <w:szCs w:val="20"/>
          <w:color w:val="auto"/>
        </w:rPr>
      </w:pPr>
    </w:p>
    <w:p>
      <w:pPr>
        <w:ind w:left="500" w:hanging="498"/>
        <w:spacing w:after="0"/>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CONDENSED CONSOLIDATED FINANCIAL STATEMENTS</w:t>
      </w:r>
    </w:p>
    <w:p>
      <w:pPr>
        <w:spacing w:after="0" w:line="189"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Basis of Presentation</w:t>
      </w:r>
    </w:p>
    <w:p>
      <w:pPr>
        <w:spacing w:after="0" w:line="5" w:lineRule="exact"/>
        <w:rPr>
          <w:rFonts w:ascii="Courier New" w:cs="Courier New" w:eastAsia="Courier New" w:hAnsi="Courier New"/>
          <w:sz w:val="17"/>
          <w:szCs w:val="17"/>
          <w:color w:val="auto"/>
        </w:rPr>
      </w:pPr>
    </w:p>
    <w:p>
      <w:pPr>
        <w:jc w:val="both"/>
        <w:ind w:left="500" w:right="225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Comcast Corporation and its subsidiaries (the "Company") has prepared these unaudited condensed consolidated financial statements based upon Securities and Exchange Commission rules that permit reduced disclosure for interim periods.</w:t>
      </w:r>
    </w:p>
    <w:p>
      <w:pPr>
        <w:spacing w:after="0" w:line="198" w:lineRule="exact"/>
        <w:rPr>
          <w:rFonts w:ascii="Courier New" w:cs="Courier New" w:eastAsia="Courier New" w:hAnsi="Courier New"/>
          <w:sz w:val="17"/>
          <w:szCs w:val="17"/>
          <w:color w:val="auto"/>
        </w:rPr>
      </w:pPr>
    </w:p>
    <w:p>
      <w:pPr>
        <w:jc w:val="both"/>
        <w:ind w:left="500" w:right="2259"/>
        <w:spacing w:after="0" w:line="254"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These financial statements include all adjustments that are necessary for a fair presentation of the Company's results of operations and financial condition for the interim periods shown including normal recurring accruals and other items. The results of operations for the interim periods presented are not necessarily indicative of results for the full year.</w:t>
      </w:r>
    </w:p>
    <w:p>
      <w:pPr>
        <w:spacing w:after="0" w:line="188" w:lineRule="exact"/>
        <w:rPr>
          <w:rFonts w:ascii="Courier New" w:cs="Courier New" w:eastAsia="Courier New" w:hAnsi="Courier New"/>
          <w:sz w:val="17"/>
          <w:szCs w:val="17"/>
          <w:color w:val="auto"/>
        </w:rPr>
      </w:pPr>
    </w:p>
    <w:p>
      <w:pPr>
        <w:jc w:val="both"/>
        <w:ind w:left="500" w:right="225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 a more complete discussion of the Company's accounting policies and certain other information, refer to the financial statements included in the Company's Annual Report on Form 10-K for the year ended December 31, 2000.</w:t>
      </w:r>
    </w:p>
    <w:p>
      <w:pPr>
        <w:spacing w:after="0" w:line="192" w:lineRule="exact"/>
        <w:rPr>
          <w:rFonts w:ascii="Courier New" w:cs="Courier New" w:eastAsia="Courier New" w:hAnsi="Courier New"/>
          <w:sz w:val="17"/>
          <w:szCs w:val="17"/>
          <w:color w:val="auto"/>
        </w:rPr>
      </w:pPr>
    </w:p>
    <w:p>
      <w:pPr>
        <w:ind w:left="500" w:hanging="498"/>
        <w:spacing w:after="0"/>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RECENT ACCOUNTING PRONOUNCEMENTS</w:t>
      </w:r>
    </w:p>
    <w:p>
      <w:pPr>
        <w:spacing w:after="0" w:line="189"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SFAS No. 133, As Amended</w:t>
      </w:r>
    </w:p>
    <w:p>
      <w:pPr>
        <w:spacing w:after="0" w:line="5" w:lineRule="exact"/>
        <w:rPr>
          <w:rFonts w:ascii="Courier New" w:cs="Courier New" w:eastAsia="Courier New" w:hAnsi="Courier New"/>
          <w:sz w:val="17"/>
          <w:szCs w:val="17"/>
          <w:color w:val="auto"/>
        </w:rPr>
      </w:pPr>
    </w:p>
    <w:p>
      <w:pPr>
        <w:jc w:val="both"/>
        <w:ind w:left="500"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On January 1, 2001, the Company adopted Statement of Financial Accounting Standards ("SFAS") No. 133, "Accounting for Derivative Instruments and Hedging Activities", as amended. SFAS No. 133 establishes accounting and reporting standards for derivatives and hedging activities. SFAS No. 133 requires that all derivative instruments be reported on the balance sheet at their fair values.</w:t>
      </w:r>
    </w:p>
    <w:p>
      <w:pPr>
        <w:spacing w:after="0" w:line="197" w:lineRule="exact"/>
        <w:rPr>
          <w:rFonts w:ascii="Courier New" w:cs="Courier New" w:eastAsia="Courier New" w:hAnsi="Courier New"/>
          <w:sz w:val="17"/>
          <w:szCs w:val="17"/>
          <w:color w:val="auto"/>
        </w:rPr>
      </w:pPr>
    </w:p>
    <w:p>
      <w:pPr>
        <w:jc w:val="both"/>
        <w:ind w:left="500"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 derivative instruments designated and effective as fair value hedges, changes in the fair value of the derivative instrument will be substantially offset in the statement of operations by changes in the fair value of the hedged item. For derivative instruments designated as cash flow hedges, the effective portion of any hedge is reported in other comprehensive income until it is recognized in earnings during the same period in which the hedged item affects earnings. The ineffective portion of all hedges will be recognized in current earnings each period. Changes in the fair value of derivative instruments that are not designated as a hedge will be recorded each period in current earnings.</w:t>
      </w:r>
    </w:p>
    <w:p>
      <w:pPr>
        <w:spacing w:after="0" w:line="202" w:lineRule="exact"/>
        <w:rPr>
          <w:rFonts w:ascii="Courier New" w:cs="Courier New" w:eastAsia="Courier New" w:hAnsi="Courier New"/>
          <w:sz w:val="17"/>
          <w:szCs w:val="17"/>
          <w:color w:val="auto"/>
        </w:rPr>
      </w:pPr>
    </w:p>
    <w:p>
      <w:pPr>
        <w:jc w:val="both"/>
        <w:ind w:left="500" w:right="225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Upon adoption of SFAS No. 133, the Company recognized as income a cumulative effect of accounting change, net of related income taxes, of $384.5 million and a cumulative decrease in other comprehensive income, net of related income taxes, of $127.0 million.</w:t>
      </w:r>
    </w:p>
    <w:p>
      <w:pPr>
        <w:spacing w:after="0" w:line="198" w:lineRule="exact"/>
        <w:rPr>
          <w:rFonts w:ascii="Courier New" w:cs="Courier New" w:eastAsia="Courier New" w:hAnsi="Courier New"/>
          <w:sz w:val="17"/>
          <w:szCs w:val="17"/>
          <w:color w:val="auto"/>
        </w:rPr>
      </w:pPr>
    </w:p>
    <w:p>
      <w:pPr>
        <w:jc w:val="both"/>
        <w:ind w:left="500"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increase in income consisted of a $400.2 million adjustment to record the debt component of indexed debt at a discount from its value at maturity (see Note 6) and $191.3 million principally related to the reclassification of gains previously recognized as a component of accumulated other comprehensive income on the Company's equity derivative instruments, net of related deferred income taxes.</w:t>
      </w:r>
    </w:p>
    <w:p>
      <w:pPr>
        <w:spacing w:after="0" w:line="197" w:lineRule="exact"/>
        <w:rPr>
          <w:rFonts w:ascii="Courier New" w:cs="Courier New" w:eastAsia="Courier New" w:hAnsi="Courier New"/>
          <w:sz w:val="17"/>
          <w:szCs w:val="17"/>
          <w:color w:val="auto"/>
        </w:rPr>
      </w:pPr>
    </w:p>
    <w:p>
      <w:pPr>
        <w:ind w:left="500" w:right="2259"/>
        <w:spacing w:after="0" w:line="23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decrease in other comprehensive income consisted principally of the reclassification of the gains noted above.</w:t>
      </w:r>
    </w:p>
    <w:p>
      <w:pPr>
        <w:spacing w:after="0" w:line="190"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SFAS No's. 141 and 142</w:t>
      </w:r>
    </w:p>
    <w:p>
      <w:pPr>
        <w:spacing w:after="0" w:line="5" w:lineRule="exact"/>
        <w:rPr>
          <w:rFonts w:ascii="Courier New" w:cs="Courier New" w:eastAsia="Courier New" w:hAnsi="Courier New"/>
          <w:sz w:val="17"/>
          <w:szCs w:val="17"/>
          <w:color w:val="auto"/>
        </w:rPr>
      </w:pPr>
    </w:p>
    <w:p>
      <w:pPr>
        <w:jc w:val="both"/>
        <w:ind w:left="500"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Financial Accounting Standards Board ("FASB") issued SFAS No. 141, "Business Combinations" and SFAS No. 142, "Goodwill and Other Intangible Assets" in June 2001. These statements address how intangible assets that are acquired individually, with a group of other assets or in connection with a business combination should be accounted for in financial statements upon and subsequent to their acquisition. The new statements require that all business combinations initiated after June 30, 2001 be accounted for using the purchase method and establish specific criteria for the recognition of intangible assets separately from goodwill.</w:t>
      </w:r>
    </w:p>
    <w:p>
      <w:pPr>
        <w:spacing w:after="0" w:line="200" w:lineRule="exact"/>
        <w:rPr>
          <w:rFonts w:ascii="Courier New" w:cs="Courier New" w:eastAsia="Courier New" w:hAnsi="Courier New"/>
          <w:sz w:val="17"/>
          <w:szCs w:val="17"/>
          <w:color w:val="auto"/>
        </w:rPr>
      </w:pPr>
    </w:p>
    <w:p>
      <w:pPr>
        <w:jc w:val="both"/>
        <w:ind w:left="500" w:right="2259"/>
        <w:spacing w:after="0" w:line="256"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The Company adopted SFAS No. 141 on July 1, 2001, as required by the new statement. The Company does not expect the adoption of SFAS No. 141 to have a material impact on its financial position or its results of operations.</w:t>
      </w:r>
    </w:p>
    <w:p>
      <w:pPr>
        <w:spacing w:after="0" w:line="37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83" w:right="1440" w:bottom="671" w:gutter="0" w:footer="0" w:header="0"/>
        </w:sectPr>
      </w:pPr>
    </w:p>
    <w:bookmarkStart w:id="8" w:name="page9"/>
    <w:bookmarkEnd w:id="8"/>
    <w:p>
      <w:pPr>
        <w:jc w:val="center"/>
        <w:ind w:right="100"/>
        <w:spacing w:after="0"/>
        <w:rPr>
          <w:sz w:val="20"/>
          <w:szCs w:val="20"/>
          <w:color w:val="auto"/>
        </w:rPr>
      </w:pPr>
      <w:r>
        <w:rPr>
          <w:rFonts w:ascii="Courier New" w:cs="Courier New" w:eastAsia="Courier New" w:hAnsi="Courier New"/>
          <w:sz w:val="17"/>
          <w:szCs w:val="17"/>
          <w:color w:val="auto"/>
        </w:rPr>
        <w:t>COMCAST CORPORATION AND SUBSIDIARIES</w:t>
      </w:r>
    </w:p>
    <w:p>
      <w:pPr>
        <w:jc w:val="center"/>
        <w:spacing w:after="0" w:line="238" w:lineRule="auto"/>
        <w:rPr>
          <w:sz w:val="20"/>
          <w:szCs w:val="20"/>
          <w:color w:val="auto"/>
        </w:rPr>
      </w:pPr>
      <w:r>
        <w:rPr>
          <w:rFonts w:ascii="Courier New" w:cs="Courier New" w:eastAsia="Courier New" w:hAnsi="Courier New"/>
          <w:sz w:val="17"/>
          <w:szCs w:val="17"/>
          <w:color w:val="auto"/>
        </w:rPr>
        <w:t>FORM 10-Q</w:t>
      </w:r>
    </w:p>
    <w:p>
      <w:pPr>
        <w:jc w:val="center"/>
        <w:ind w:right="100"/>
        <w:spacing w:after="0" w:line="238" w:lineRule="auto"/>
        <w:rPr>
          <w:sz w:val="20"/>
          <w:szCs w:val="20"/>
          <w:color w:val="auto"/>
        </w:rPr>
      </w:pPr>
      <w:r>
        <w:rPr>
          <w:rFonts w:ascii="Courier New" w:cs="Courier New" w:eastAsia="Courier New" w:hAnsi="Courier New"/>
          <w:sz w:val="17"/>
          <w:szCs w:val="17"/>
          <w:color w:val="auto"/>
        </w:rPr>
        <w:t>QUARTER ENDED SEPTEMBER 30, 2001</w:t>
      </w:r>
    </w:p>
    <w:p>
      <w:pPr>
        <w:jc w:val="center"/>
        <w:ind w:right="100"/>
        <w:spacing w:after="0"/>
        <w:rPr>
          <w:sz w:val="20"/>
          <w:szCs w:val="20"/>
          <w:color w:val="auto"/>
        </w:rPr>
      </w:pPr>
      <w:r>
        <w:rPr>
          <w:rFonts w:ascii="Courier New" w:cs="Courier New" w:eastAsia="Courier New" w:hAnsi="Courier New"/>
          <w:sz w:val="17"/>
          <w:szCs w:val="17"/>
          <w:color w:val="auto"/>
        </w:rPr>
        <w:t>NOTES TO CONDENSED CONSOLIDATED FINANCIAL STATEMENTS - CONTINUED</w:t>
      </w:r>
    </w:p>
    <w:p>
      <w:pPr>
        <w:jc w:val="center"/>
        <w:spacing w:after="0" w:line="237" w:lineRule="auto"/>
        <w:rPr>
          <w:sz w:val="20"/>
          <w:szCs w:val="20"/>
          <w:color w:val="auto"/>
        </w:rPr>
      </w:pPr>
      <w:r>
        <w:rPr>
          <w:rFonts w:ascii="Courier New" w:cs="Courier New" w:eastAsia="Courier New" w:hAnsi="Courier New"/>
          <w:sz w:val="17"/>
          <w:szCs w:val="17"/>
          <w:color w:val="auto"/>
        </w:rPr>
        <w:t>(Unaudited)</w:t>
      </w:r>
    </w:p>
    <w:p>
      <w:pPr>
        <w:spacing w:after="0" w:line="197" w:lineRule="exact"/>
        <w:rPr>
          <w:sz w:val="20"/>
          <w:szCs w:val="20"/>
          <w:color w:val="auto"/>
        </w:rPr>
      </w:pPr>
    </w:p>
    <w:p>
      <w:pPr>
        <w:jc w:val="both"/>
        <w:ind w:left="500" w:right="100"/>
        <w:spacing w:after="0" w:line="237" w:lineRule="auto"/>
        <w:rPr>
          <w:sz w:val="20"/>
          <w:szCs w:val="20"/>
          <w:color w:val="auto"/>
        </w:rPr>
      </w:pPr>
      <w:r>
        <w:rPr>
          <w:rFonts w:ascii="Courier New" w:cs="Courier New" w:eastAsia="Courier New" w:hAnsi="Courier New"/>
          <w:sz w:val="17"/>
          <w:szCs w:val="17"/>
          <w:color w:val="auto"/>
        </w:rPr>
        <w:t>The Company will adopt SFAS No. 142 on January 1, 2002, as required by the new statement. Upon adoption, the Company will no longer amortize goodwill and other indefinite lived intangible assets, which consist primarily of cable franchise operating rights. The Company will be required to test its goodwill and intangible assets that are determined to have an indefinite life for impairment at least annually. Other than in those periods in which the Company may record an asset impairment, the Company expects that the adoption of SFAS No. 142 will result in increased income as a result of reduced amortization expense.</w:t>
      </w:r>
    </w:p>
    <w:p>
      <w:pPr>
        <w:spacing w:after="0" w:line="201" w:lineRule="exact"/>
        <w:rPr>
          <w:sz w:val="20"/>
          <w:szCs w:val="20"/>
          <w:color w:val="auto"/>
        </w:rPr>
      </w:pPr>
    </w:p>
    <w:p>
      <w:pPr>
        <w:jc w:val="both"/>
        <w:ind w:left="500" w:right="100"/>
        <w:spacing w:after="0" w:line="236" w:lineRule="auto"/>
        <w:rPr>
          <w:sz w:val="20"/>
          <w:szCs w:val="20"/>
          <w:color w:val="auto"/>
        </w:rPr>
      </w:pPr>
      <w:r>
        <w:rPr>
          <w:rFonts w:ascii="Courier New" w:cs="Courier New" w:eastAsia="Courier New" w:hAnsi="Courier New"/>
          <w:sz w:val="17"/>
          <w:szCs w:val="17"/>
          <w:color w:val="auto"/>
        </w:rPr>
        <w:t>Based on the Company's preliminary evaluation, the estimated pro forma effect of adoption of SFAS No. 142 would be to decrease amortization expense by approximately $1.5 billion for the nine months ended September 30, 2001 and $2.0 billion for the year ended December 31, 2001.</w:t>
      </w:r>
    </w:p>
    <w:p>
      <w:pPr>
        <w:spacing w:after="0" w:line="19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SFAS No. 143</w:t>
      </w:r>
    </w:p>
    <w:p>
      <w:pPr>
        <w:spacing w:after="0" w:line="5" w:lineRule="exact"/>
        <w:rPr>
          <w:sz w:val="20"/>
          <w:szCs w:val="20"/>
          <w:color w:val="auto"/>
        </w:rPr>
      </w:pPr>
    </w:p>
    <w:p>
      <w:pPr>
        <w:jc w:val="both"/>
        <w:ind w:left="500" w:right="100"/>
        <w:spacing w:after="0" w:line="237" w:lineRule="auto"/>
        <w:rPr>
          <w:sz w:val="20"/>
          <w:szCs w:val="20"/>
          <w:color w:val="auto"/>
        </w:rPr>
      </w:pPr>
      <w:r>
        <w:rPr>
          <w:rFonts w:ascii="Courier New" w:cs="Courier New" w:eastAsia="Courier New" w:hAnsi="Courier New"/>
          <w:sz w:val="17"/>
          <w:szCs w:val="17"/>
          <w:color w:val="auto"/>
        </w:rPr>
        <w:t>The FASB issued SFAS No. 143, "Accounting for Asset Retirement Obligations," in June 2001. SFAS No. 143 addresses financial accounting and reporting for obligations associated with the retirement of tangible long-lived assets and the associated asset retirement costs. SFAS No. 143 is effective for fiscal years beginning after June 15, 2002. While the Company is currently evaluating the impact the adoption of SFAS No. 143 will have on its financial position and results of operations, it does not expect such impact to be material.</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SFAS No. 144</w:t>
      </w:r>
    </w:p>
    <w:p>
      <w:pPr>
        <w:spacing w:after="0" w:line="5" w:lineRule="exact"/>
        <w:rPr>
          <w:sz w:val="20"/>
          <w:szCs w:val="20"/>
          <w:color w:val="auto"/>
        </w:rPr>
      </w:pPr>
    </w:p>
    <w:p>
      <w:pPr>
        <w:jc w:val="both"/>
        <w:ind w:left="500" w:right="100"/>
        <w:spacing w:after="0" w:line="237" w:lineRule="auto"/>
        <w:rPr>
          <w:sz w:val="20"/>
          <w:szCs w:val="20"/>
          <w:color w:val="auto"/>
        </w:rPr>
      </w:pPr>
      <w:r>
        <w:rPr>
          <w:rFonts w:ascii="Courier New" w:cs="Courier New" w:eastAsia="Courier New" w:hAnsi="Courier New"/>
          <w:sz w:val="17"/>
          <w:szCs w:val="17"/>
          <w:color w:val="auto"/>
        </w:rPr>
        <w:t>The FASB issued SFAS No. 144, "Accounting for the Impairment or Disposal of Long-Lived Assets," in August 2001. SFAS No. 144, which addresses financial accounting and reporting for the impairment of long-lived assets and for long-lived assets to be disposed of, supercedes SFAS No. 121 and is effective for fiscal years beginning after December 15, 2001. While the Company is currently evaluating the impact the adoption of SFAS No. 144 will have on its financial position and results of operations, it does not expect such impact to be material.</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EITF 00-25</w:t>
      </w:r>
    </w:p>
    <w:p>
      <w:pPr>
        <w:spacing w:after="0" w:line="5" w:lineRule="exact"/>
        <w:rPr>
          <w:sz w:val="20"/>
          <w:szCs w:val="20"/>
          <w:color w:val="auto"/>
        </w:rPr>
      </w:pPr>
    </w:p>
    <w:p>
      <w:pPr>
        <w:jc w:val="both"/>
        <w:ind w:left="500" w:right="100"/>
        <w:spacing w:after="0" w:line="253" w:lineRule="auto"/>
        <w:rPr>
          <w:sz w:val="20"/>
          <w:szCs w:val="20"/>
          <w:color w:val="auto"/>
        </w:rPr>
      </w:pPr>
      <w:r>
        <w:rPr>
          <w:rFonts w:ascii="Courier New" w:cs="Courier New" w:eastAsia="Courier New" w:hAnsi="Courier New"/>
          <w:sz w:val="16"/>
          <w:szCs w:val="16"/>
          <w:color w:val="auto"/>
        </w:rPr>
        <w:t>In April 2001, the Emerging Issues Task Force ("EITF") of the FASB reached a consensus on EITF 00-25, "Vendor Income Statement Characterization of Consideration Paid to a Reseller of the Vendor's Products." EITF 00-25 requires that consideration paid to customers should be classified as a reduction of revenue unless certain criteria are met. Certain of the Company's programming networks have paid or may pay distribution fees to cable television and satellite broadcast systems for carriage of their programming. The Company currently classifies these distribution fees as expense in its statement of operations. Upon adoption of EITF 00-25, the Company will reclassify certain of these distribution fees from expense to a revenue reduction for all periods presented in its statement of operations. The change in classification will have no impact on the Company's reported operating loss or financial position. The Company will adopt EITF 00-25 on January 1, 2002. The effect of the reclassification of cable television and satellite broadcast distribution fees from expense to a reduction of revenue is to decrease the amounts reported in the Company's statement of operations as follows (in millions):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40" w:type="dxa"/>
            <w:vAlign w:val="bottom"/>
          </w:tcPr>
          <w:p>
            <w:pPr>
              <w:spacing w:after="0"/>
              <w:rPr>
                <w:sz w:val="16"/>
                <w:szCs w:val="16"/>
                <w:color w:val="auto"/>
              </w:rPr>
            </w:pPr>
          </w:p>
        </w:tc>
        <w:tc>
          <w:tcPr>
            <w:tcW w:w="2080" w:type="dxa"/>
            <w:vAlign w:val="bottom"/>
            <w:gridSpan w:val="2"/>
          </w:tcPr>
          <w:p>
            <w:pPr>
              <w:jc w:val="right"/>
              <w:ind w:right="557"/>
              <w:spacing w:after="0"/>
              <w:rPr>
                <w:sz w:val="20"/>
                <w:szCs w:val="20"/>
                <w:color w:val="auto"/>
              </w:rPr>
            </w:pPr>
            <w:r>
              <w:rPr>
                <w:rFonts w:ascii="Courier New" w:cs="Courier New" w:eastAsia="Courier New" w:hAnsi="Courier New"/>
                <w:sz w:val="17"/>
                <w:szCs w:val="17"/>
                <w:color w:val="auto"/>
              </w:rPr>
              <w:t>Three Months</w:t>
            </w:r>
          </w:p>
        </w:tc>
        <w:tc>
          <w:tcPr>
            <w:tcW w:w="2140" w:type="dxa"/>
            <w:vAlign w:val="bottom"/>
            <w:gridSpan w:val="2"/>
          </w:tcPr>
          <w:p>
            <w:pPr>
              <w:jc w:val="right"/>
              <w:ind w:right="317"/>
              <w:spacing w:after="0"/>
              <w:rPr>
                <w:sz w:val="20"/>
                <w:szCs w:val="20"/>
                <w:color w:val="auto"/>
              </w:rPr>
            </w:pPr>
            <w:r>
              <w:rPr>
                <w:rFonts w:ascii="Courier New" w:cs="Courier New" w:eastAsia="Courier New" w:hAnsi="Courier New"/>
                <w:sz w:val="17"/>
                <w:szCs w:val="17"/>
                <w:color w:val="auto"/>
              </w:rPr>
              <w:t>Nine Months</w:t>
            </w:r>
          </w:p>
        </w:tc>
      </w:tr>
      <w:tr>
        <w:trPr>
          <w:trHeight w:val="191"/>
        </w:trPr>
        <w:tc>
          <w:tcPr>
            <w:tcW w:w="384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Ended</w:t>
            </w:r>
          </w:p>
        </w:tc>
        <w:tc>
          <w:tcPr>
            <w:tcW w:w="940" w:type="dxa"/>
            <w:vAlign w:val="bottom"/>
          </w:tcPr>
          <w:p>
            <w:pPr>
              <w:spacing w:after="0"/>
              <w:rPr>
                <w:sz w:val="16"/>
                <w:szCs w:val="16"/>
                <w:color w:val="auto"/>
              </w:rPr>
            </w:pP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Ended</w:t>
            </w:r>
          </w:p>
        </w:tc>
        <w:tc>
          <w:tcPr>
            <w:tcW w:w="700" w:type="dxa"/>
            <w:vAlign w:val="bottom"/>
          </w:tcPr>
          <w:p>
            <w:pPr>
              <w:spacing w:after="0"/>
              <w:rPr>
                <w:sz w:val="16"/>
                <w:szCs w:val="16"/>
                <w:color w:val="auto"/>
              </w:rPr>
            </w:pPr>
          </w:p>
        </w:tc>
      </w:tr>
      <w:tr>
        <w:trPr>
          <w:trHeight w:val="191"/>
        </w:trPr>
        <w:tc>
          <w:tcPr>
            <w:tcW w:w="384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September</w:t>
            </w:r>
          </w:p>
        </w:tc>
        <w:tc>
          <w:tcPr>
            <w:tcW w:w="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30,</w:t>
            </w: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September</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30,</w:t>
            </w:r>
          </w:p>
        </w:tc>
      </w:tr>
      <w:tr>
        <w:trPr>
          <w:trHeight w:val="191"/>
        </w:trPr>
        <w:tc>
          <w:tcPr>
            <w:tcW w:w="3840" w:type="dxa"/>
            <w:vAlign w:val="bottom"/>
          </w:tcPr>
          <w:p>
            <w:pPr>
              <w:spacing w:after="0"/>
              <w:rPr>
                <w:sz w:val="16"/>
                <w:szCs w:val="16"/>
                <w:color w:val="auto"/>
              </w:rPr>
            </w:pPr>
          </w:p>
        </w:tc>
        <w:tc>
          <w:tcPr>
            <w:tcW w:w="11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2001</w:t>
            </w:r>
          </w:p>
        </w:tc>
        <w:tc>
          <w:tcPr>
            <w:tcW w:w="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2000</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2001</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2000</w:t>
            </w:r>
          </w:p>
        </w:tc>
      </w:tr>
      <w:tr>
        <w:trPr>
          <w:trHeight w:val="191"/>
        </w:trPr>
        <w:tc>
          <w:tcPr>
            <w:tcW w:w="3840" w:type="dxa"/>
            <w:vAlign w:val="bottom"/>
          </w:tcPr>
          <w:p>
            <w:pPr>
              <w:spacing w:after="0"/>
              <w:rPr>
                <w:sz w:val="16"/>
                <w:szCs w:val="16"/>
                <w:color w:val="auto"/>
              </w:rPr>
            </w:pPr>
          </w:p>
        </w:tc>
        <w:tc>
          <w:tcPr>
            <w:tcW w:w="11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4"/>
              </w:rPr>
              <w:t>------</w:t>
            </w:r>
          </w:p>
        </w:tc>
        <w:tc>
          <w:tcPr>
            <w:tcW w:w="14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574"/>
        </w:trPr>
        <w:tc>
          <w:tcPr>
            <w:tcW w:w="3840" w:type="dxa"/>
            <w:vAlign w:val="bottom"/>
          </w:tcPr>
          <w:p>
            <w:pPr>
              <w:spacing w:after="0"/>
              <w:rPr>
                <w:sz w:val="20"/>
                <w:szCs w:val="20"/>
                <w:color w:val="auto"/>
              </w:rPr>
            </w:pPr>
            <w:r>
              <w:rPr>
                <w:rFonts w:ascii="Courier New" w:cs="Courier New" w:eastAsia="Courier New" w:hAnsi="Courier New"/>
                <w:sz w:val="17"/>
                <w:szCs w:val="17"/>
                <w:color w:val="auto"/>
                <w:w w:val="98"/>
              </w:rPr>
              <w:t>Service revenues......................</w:t>
            </w:r>
          </w:p>
        </w:tc>
        <w:tc>
          <w:tcPr>
            <w:tcW w:w="11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$6.5</w:t>
            </w:r>
          </w:p>
        </w:tc>
        <w:tc>
          <w:tcPr>
            <w:tcW w:w="9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$5.8</w:t>
            </w:r>
          </w:p>
        </w:tc>
        <w:tc>
          <w:tcPr>
            <w:tcW w:w="14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$23.1</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$11.5</w:t>
            </w:r>
          </w:p>
        </w:tc>
      </w:tr>
      <w:tr>
        <w:trPr>
          <w:trHeight w:val="191"/>
        </w:trPr>
        <w:tc>
          <w:tcPr>
            <w:tcW w:w="3840" w:type="dxa"/>
            <w:vAlign w:val="bottom"/>
          </w:tcPr>
          <w:p>
            <w:pPr>
              <w:spacing w:after="0" w:line="191" w:lineRule="exact"/>
              <w:rPr>
                <w:sz w:val="20"/>
                <w:szCs w:val="20"/>
                <w:color w:val="auto"/>
              </w:rPr>
            </w:pPr>
            <w:r>
              <w:rPr>
                <w:rFonts w:ascii="Courier New" w:cs="Courier New" w:eastAsia="Courier New" w:hAnsi="Courier New"/>
                <w:sz w:val="17"/>
                <w:szCs w:val="17"/>
                <w:color w:val="auto"/>
              </w:rPr>
              <w:t>Selling, general and administrative</w:t>
            </w: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38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8"/>
              </w:rPr>
              <w:t>expense............................</w:t>
            </w:r>
          </w:p>
        </w:tc>
        <w:tc>
          <w:tcPr>
            <w:tcW w:w="11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$1.1</w:t>
            </w: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$1.4</w:t>
            </w:r>
          </w:p>
        </w:tc>
        <w:tc>
          <w:tcPr>
            <w:tcW w:w="14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$3.6</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$4.3</w:t>
            </w:r>
          </w:p>
        </w:tc>
      </w:tr>
      <w:tr>
        <w:trPr>
          <w:trHeight w:val="191"/>
        </w:trPr>
        <w:tc>
          <w:tcPr>
            <w:tcW w:w="38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Amortization expense..................</w:t>
            </w:r>
          </w:p>
        </w:tc>
        <w:tc>
          <w:tcPr>
            <w:tcW w:w="11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$5.4</w:t>
            </w: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$4.4</w:t>
            </w:r>
          </w:p>
        </w:tc>
        <w:tc>
          <w:tcPr>
            <w:tcW w:w="14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$19.5</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$7.2</w:t>
            </w:r>
          </w:p>
        </w:tc>
      </w:tr>
      <w:tr>
        <w:trPr>
          <w:trHeight w:val="765"/>
        </w:trPr>
        <w:tc>
          <w:tcPr>
            <w:tcW w:w="3840" w:type="dxa"/>
            <w:vAlign w:val="bottom"/>
          </w:tcPr>
          <w:p>
            <w:pPr>
              <w:spacing w:after="0"/>
              <w:rPr>
                <w:sz w:val="24"/>
                <w:szCs w:val="24"/>
                <w:color w:val="auto"/>
              </w:rPr>
            </w:pPr>
          </w:p>
        </w:tc>
        <w:tc>
          <w:tcPr>
            <w:tcW w:w="1140" w:type="dxa"/>
            <w:vAlign w:val="bottom"/>
          </w:tcPr>
          <w:p>
            <w:pPr>
              <w:ind w:left="140"/>
              <w:spacing w:after="0"/>
              <w:rPr>
                <w:sz w:val="20"/>
                <w:szCs w:val="20"/>
                <w:color w:val="auto"/>
              </w:rPr>
            </w:pPr>
            <w:r>
              <w:rPr>
                <w:rFonts w:ascii="Courier New" w:cs="Courier New" w:eastAsia="Courier New" w:hAnsi="Courier New"/>
                <w:sz w:val="17"/>
                <w:szCs w:val="17"/>
                <w:color w:val="auto"/>
              </w:rPr>
              <w:t>6</w:t>
            </w: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Year Ended</w:t>
      </w:r>
    </w:p>
    <w:tbl>
      <w:tblPr>
        <w:tblLayout w:type="fixed"/>
        <w:tblInd w:w="0" w:type="dxa"/>
        <w:tblCellMar>
          <w:top w:w="0" w:type="dxa"/>
          <w:left w:w="0" w:type="dxa"/>
          <w:bottom w:w="0" w:type="dxa"/>
          <w:right w:w="0" w:type="dxa"/>
        </w:tblCellMar>
      </w:tblPr>
      <w:tr>
        <w:trPr>
          <w:trHeight w:val="191"/>
        </w:trPr>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December</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31,</w:t>
            </w:r>
          </w:p>
        </w:tc>
      </w:tr>
      <w:tr>
        <w:trPr>
          <w:trHeight w:val="191"/>
        </w:trPr>
        <w:tc>
          <w:tcPr>
            <w:tcW w:w="10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2000</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1999</w:t>
            </w:r>
          </w:p>
        </w:tc>
      </w:tr>
      <w:tr>
        <w:trPr>
          <w:trHeight w:val="191"/>
        </w:trPr>
        <w:tc>
          <w:tcPr>
            <w:tcW w:w="10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w w:val="95"/>
              </w:rPr>
              <w:t>-------</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574"/>
        </w:trPr>
        <w:tc>
          <w:tcPr>
            <w:tcW w:w="1080" w:type="dxa"/>
            <w:vAlign w:val="bottom"/>
          </w:tcPr>
          <w:p>
            <w:pPr>
              <w:jc w:val="right"/>
              <w:ind w:right="297"/>
              <w:spacing w:after="0"/>
              <w:rPr>
                <w:sz w:val="20"/>
                <w:szCs w:val="20"/>
                <w:color w:val="auto"/>
              </w:rPr>
            </w:pPr>
            <w:r>
              <w:rPr>
                <w:rFonts w:ascii="Courier New" w:cs="Courier New" w:eastAsia="Courier New" w:hAnsi="Courier New"/>
                <w:sz w:val="17"/>
                <w:szCs w:val="17"/>
                <w:color w:val="auto"/>
              </w:rPr>
              <w:t>$17.3</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$4.6</w:t>
            </w:r>
          </w:p>
        </w:tc>
      </w:tr>
      <w:tr>
        <w:trPr>
          <w:trHeight w:val="383"/>
        </w:trPr>
        <w:tc>
          <w:tcPr>
            <w:tcW w:w="1080" w:type="dxa"/>
            <w:vAlign w:val="bottom"/>
          </w:tcPr>
          <w:p>
            <w:pPr>
              <w:jc w:val="right"/>
              <w:ind w:right="297"/>
              <w:spacing w:after="0"/>
              <w:rPr>
                <w:sz w:val="20"/>
                <w:szCs w:val="20"/>
                <w:color w:val="auto"/>
              </w:rPr>
            </w:pPr>
            <w:r>
              <w:rPr>
                <w:rFonts w:ascii="Courier New" w:cs="Courier New" w:eastAsia="Courier New" w:hAnsi="Courier New"/>
                <w:sz w:val="17"/>
                <w:szCs w:val="17"/>
                <w:color w:val="auto"/>
              </w:rPr>
              <w:t>$5.3</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$4.2</w:t>
            </w:r>
          </w:p>
        </w:tc>
      </w:tr>
      <w:tr>
        <w:trPr>
          <w:trHeight w:val="191"/>
        </w:trPr>
        <w:tc>
          <w:tcPr>
            <w:tcW w:w="10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$12.0</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$0.4</w:t>
            </w:r>
          </w:p>
        </w:tc>
      </w:tr>
    </w:tbl>
    <w:p>
      <w:pPr>
        <w:sectPr>
          <w:pgSz w:w="11900" w:h="16838" w:orient="portrait"/>
          <w:cols w:equalWidth="0" w:num="2">
            <w:col w:w="8060" w:space="600"/>
            <w:col w:w="1780"/>
          </w:cols>
          <w:pgMar w:left="240" w:top="683" w:right="1219" w:bottom="671" w:gutter="0" w:footer="0" w:header="0"/>
        </w:sectPr>
      </w:pPr>
    </w:p>
    <w:bookmarkStart w:id="9" w:name="page10"/>
    <w:bookmarkEnd w:id="9"/>
    <w:p>
      <w:pPr>
        <w:jc w:val="center"/>
        <w:ind w:right="2480"/>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2380"/>
        <w:spacing w:after="0" w:line="238" w:lineRule="auto"/>
        <w:rPr>
          <w:sz w:val="20"/>
          <w:szCs w:val="20"/>
          <w:color w:val="auto"/>
        </w:rPr>
      </w:pPr>
      <w:r>
        <w:rPr>
          <w:rFonts w:ascii="Courier New" w:cs="Courier New" w:eastAsia="Courier New" w:hAnsi="Courier New"/>
          <w:sz w:val="17"/>
          <w:szCs w:val="17"/>
          <w:color w:val="auto"/>
        </w:rPr>
        <w:t>FORM 10-Q</w:t>
      </w:r>
    </w:p>
    <w:p>
      <w:pPr>
        <w:jc w:val="center"/>
        <w:ind w:right="2480"/>
        <w:spacing w:after="0" w:line="238" w:lineRule="auto"/>
        <w:rPr>
          <w:sz w:val="20"/>
          <w:szCs w:val="20"/>
          <w:color w:val="auto"/>
        </w:rPr>
      </w:pPr>
      <w:r>
        <w:rPr>
          <w:rFonts w:ascii="Courier New" w:cs="Courier New" w:eastAsia="Courier New" w:hAnsi="Courier New"/>
          <w:sz w:val="17"/>
          <w:szCs w:val="17"/>
          <w:color w:val="auto"/>
        </w:rPr>
        <w:t>QUARTER ENDED SEPTEMBER 30, 2001</w:t>
      </w:r>
    </w:p>
    <w:p>
      <w:pPr>
        <w:jc w:val="center"/>
        <w:ind w:right="2480"/>
        <w:spacing w:after="0"/>
        <w:rPr>
          <w:sz w:val="20"/>
          <w:szCs w:val="20"/>
          <w:color w:val="auto"/>
        </w:rPr>
      </w:pPr>
      <w:r>
        <w:rPr>
          <w:rFonts w:ascii="Courier New" w:cs="Courier New" w:eastAsia="Courier New" w:hAnsi="Courier New"/>
          <w:sz w:val="17"/>
          <w:szCs w:val="17"/>
          <w:color w:val="auto"/>
        </w:rPr>
        <w:t>NOTES TO CONDENSED CONSOLIDATED FINANCIAL STATEMENTS - CONTINUED</w:t>
      </w:r>
    </w:p>
    <w:p>
      <w:pPr>
        <w:jc w:val="center"/>
        <w:ind w:right="2380"/>
        <w:spacing w:after="0" w:line="237" w:lineRule="auto"/>
        <w:rPr>
          <w:sz w:val="20"/>
          <w:szCs w:val="20"/>
          <w:color w:val="auto"/>
        </w:rPr>
      </w:pPr>
      <w:r>
        <w:rPr>
          <w:rFonts w:ascii="Courier New" w:cs="Courier New" w:eastAsia="Courier New" w:hAnsi="Courier New"/>
          <w:sz w:val="17"/>
          <w:szCs w:val="17"/>
          <w:color w:val="auto"/>
        </w:rPr>
        <w:t>(Unaudited)</w:t>
      </w:r>
    </w:p>
    <w:p>
      <w:pPr>
        <w:spacing w:after="0" w:line="190" w:lineRule="exact"/>
        <w:rPr>
          <w:sz w:val="20"/>
          <w:szCs w:val="20"/>
          <w:color w:val="auto"/>
        </w:rPr>
      </w:pPr>
    </w:p>
    <w:p>
      <w:pPr>
        <w:ind w:left="500" w:hanging="498"/>
        <w:spacing w:after="0"/>
        <w:tabs>
          <w:tab w:leader="none" w:pos="5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(LOSS) PER SHARE</w:t>
      </w:r>
    </w:p>
    <w:p>
      <w:pPr>
        <w:spacing w:after="0" w:line="196" w:lineRule="exact"/>
        <w:rPr>
          <w:rFonts w:ascii="Courier New" w:cs="Courier New" w:eastAsia="Courier New" w:hAnsi="Courier New"/>
          <w:sz w:val="17"/>
          <w:szCs w:val="17"/>
          <w:color w:val="auto"/>
        </w:rPr>
      </w:pPr>
    </w:p>
    <w:p>
      <w:pPr>
        <w:jc w:val="both"/>
        <w:ind w:left="500" w:right="2480"/>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(loss) for common stockholders per common share is computed by dividing net income (loss), after deduction of preferred stock dividends, when applicable, by the weighted average number of common shares outstanding during the period on a basic and diluted basis.</w:t>
      </w:r>
    </w:p>
    <w:p>
      <w:pPr>
        <w:spacing w:after="0" w:line="198" w:lineRule="exact"/>
        <w:rPr>
          <w:rFonts w:ascii="Courier New" w:cs="Courier New" w:eastAsia="Courier New" w:hAnsi="Courier New"/>
          <w:sz w:val="17"/>
          <w:szCs w:val="17"/>
          <w:color w:val="auto"/>
        </w:rPr>
      </w:pPr>
    </w:p>
    <w:p>
      <w:pPr>
        <w:jc w:val="both"/>
        <w:ind w:left="500" w:right="2480"/>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table reconciles the numerator and denominator of the computations of diluted earnings (loss) for common stockholders per common share ("Diluted EPS") for the interim periods presented.</w:t>
      </w:r>
    </w:p>
    <w:p>
      <w:pPr>
        <w:spacing w:after="0" w:line="200" w:lineRule="exact"/>
        <w:rPr>
          <w:sz w:val="20"/>
          <w:szCs w:val="20"/>
          <w:color w:val="auto"/>
        </w:rPr>
      </w:pPr>
    </w:p>
    <w:p>
      <w:pPr>
        <w:spacing w:after="0" w:line="373"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5420" w:type="dxa"/>
            <w:vAlign w:val="bottom"/>
          </w:tcPr>
          <w:p>
            <w:pPr>
              <w:spacing w:after="0"/>
              <w:rPr>
                <w:sz w:val="16"/>
                <w:szCs w:val="16"/>
                <w:color w:val="auto"/>
              </w:rPr>
            </w:pPr>
          </w:p>
        </w:tc>
        <w:tc>
          <w:tcPr>
            <w:tcW w:w="4520" w:type="dxa"/>
            <w:vAlign w:val="bottom"/>
            <w:gridSpan w:val="4"/>
          </w:tcPr>
          <w:p>
            <w:pPr>
              <w:ind w:left="140"/>
              <w:spacing w:after="0"/>
              <w:rPr>
                <w:sz w:val="20"/>
                <w:szCs w:val="20"/>
                <w:color w:val="auto"/>
              </w:rPr>
            </w:pPr>
            <w:r>
              <w:rPr>
                <w:rFonts w:ascii="Courier New" w:cs="Courier New" w:eastAsia="Courier New" w:hAnsi="Courier New"/>
                <w:sz w:val="17"/>
                <w:szCs w:val="17"/>
                <w:color w:val="auto"/>
                <w:w w:val="97"/>
              </w:rPr>
              <w:t>(Amounts in millions, except per share data)</w:t>
            </w:r>
          </w:p>
        </w:tc>
      </w:tr>
      <w:tr>
        <w:trPr>
          <w:trHeight w:val="191"/>
        </w:trPr>
        <w:tc>
          <w:tcPr>
            <w:tcW w:w="5420" w:type="dxa"/>
            <w:vAlign w:val="bottom"/>
          </w:tcPr>
          <w:p>
            <w:pPr>
              <w:spacing w:after="0"/>
              <w:rPr>
                <w:sz w:val="16"/>
                <w:szCs w:val="16"/>
                <w:color w:val="auto"/>
              </w:rPr>
            </w:pPr>
          </w:p>
        </w:tc>
        <w:tc>
          <w:tcPr>
            <w:tcW w:w="228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Three Months Ended</w:t>
            </w:r>
          </w:p>
        </w:tc>
        <w:tc>
          <w:tcPr>
            <w:tcW w:w="22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Nine Months Ended</w:t>
            </w:r>
          </w:p>
        </w:tc>
      </w:tr>
      <w:tr>
        <w:trPr>
          <w:trHeight w:val="191"/>
        </w:trPr>
        <w:tc>
          <w:tcPr>
            <w:tcW w:w="5420" w:type="dxa"/>
            <w:vAlign w:val="bottom"/>
          </w:tcPr>
          <w:p>
            <w:pPr>
              <w:spacing w:after="0"/>
              <w:rPr>
                <w:sz w:val="16"/>
                <w:szCs w:val="16"/>
                <w:color w:val="auto"/>
              </w:rPr>
            </w:pPr>
          </w:p>
        </w:tc>
        <w:tc>
          <w:tcPr>
            <w:tcW w:w="2280" w:type="dxa"/>
            <w:vAlign w:val="bottom"/>
            <w:gridSpan w:val="2"/>
          </w:tcPr>
          <w:p>
            <w:pPr>
              <w:ind w:left="340"/>
              <w:spacing w:after="0" w:line="191" w:lineRule="exact"/>
              <w:rPr>
                <w:sz w:val="20"/>
                <w:szCs w:val="20"/>
                <w:color w:val="auto"/>
              </w:rPr>
            </w:pPr>
            <w:r>
              <w:rPr>
                <w:rFonts w:ascii="Courier New" w:cs="Courier New" w:eastAsia="Courier New" w:hAnsi="Courier New"/>
                <w:sz w:val="17"/>
                <w:szCs w:val="17"/>
                <w:color w:val="auto"/>
              </w:rPr>
              <w:t>September 30,</w:t>
            </w:r>
          </w:p>
        </w:tc>
        <w:tc>
          <w:tcPr>
            <w:tcW w:w="224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September 30,</w:t>
            </w:r>
          </w:p>
        </w:tc>
      </w:tr>
      <w:tr>
        <w:trPr>
          <w:trHeight w:val="191"/>
        </w:trPr>
        <w:tc>
          <w:tcPr>
            <w:tcW w:w="5420" w:type="dxa"/>
            <w:vAlign w:val="bottom"/>
          </w:tcPr>
          <w:p>
            <w:pPr>
              <w:spacing w:after="0"/>
              <w:rPr>
                <w:sz w:val="16"/>
                <w:szCs w:val="16"/>
                <w:color w:val="auto"/>
              </w:rPr>
            </w:pPr>
          </w:p>
        </w:tc>
        <w:tc>
          <w:tcPr>
            <w:tcW w:w="120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2001</w:t>
            </w:r>
          </w:p>
        </w:tc>
        <w:tc>
          <w:tcPr>
            <w:tcW w:w="10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2000</w:t>
            </w:r>
          </w:p>
        </w:tc>
        <w:tc>
          <w:tcPr>
            <w:tcW w:w="116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2001</w:t>
            </w:r>
          </w:p>
        </w:tc>
        <w:tc>
          <w:tcPr>
            <w:tcW w:w="10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2000</w:t>
            </w:r>
          </w:p>
        </w:tc>
      </w:tr>
      <w:tr>
        <w:trPr>
          <w:trHeight w:val="191"/>
        </w:trPr>
        <w:tc>
          <w:tcPr>
            <w:tcW w:w="5420" w:type="dxa"/>
            <w:vAlign w:val="bottom"/>
          </w:tcPr>
          <w:p>
            <w:pPr>
              <w:spacing w:after="0"/>
              <w:rPr>
                <w:sz w:val="16"/>
                <w:szCs w:val="16"/>
                <w:color w:val="auto"/>
              </w:rPr>
            </w:pPr>
          </w:p>
        </w:tc>
        <w:tc>
          <w:tcPr>
            <w:tcW w:w="12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420" w:type="dxa"/>
            <w:vAlign w:val="bottom"/>
          </w:tcPr>
          <w:p>
            <w:pPr>
              <w:spacing w:after="0"/>
              <w:rPr>
                <w:sz w:val="20"/>
                <w:szCs w:val="20"/>
                <w:color w:val="auto"/>
              </w:rPr>
            </w:pPr>
            <w:r>
              <w:rPr>
                <w:rFonts w:ascii="Courier New" w:cs="Courier New" w:eastAsia="Courier New" w:hAnsi="Courier New"/>
                <w:sz w:val="17"/>
                <w:szCs w:val="17"/>
                <w:color w:val="auto"/>
                <w:w w:val="99"/>
              </w:rPr>
              <w:t>Net income (loss) for common stockholders............</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($106.8)</w:t>
            </w:r>
          </w:p>
        </w:tc>
        <w:tc>
          <w:tcPr>
            <w:tcW w:w="10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$1,239.2</w:t>
            </w:r>
          </w:p>
        </w:tc>
        <w:tc>
          <w:tcPr>
            <w:tcW w:w="11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$929.6</w:t>
            </w:r>
          </w:p>
        </w:tc>
        <w:tc>
          <w:tcPr>
            <w:tcW w:w="10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$1,220.3</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Preferred dividends..................................</w:t>
            </w:r>
          </w:p>
        </w:tc>
        <w:tc>
          <w:tcPr>
            <w:tcW w:w="1200" w:type="dxa"/>
            <w:vAlign w:val="bottom"/>
          </w:tcPr>
          <w:p>
            <w:pPr>
              <w:spacing w:after="0"/>
              <w:rPr>
                <w:sz w:val="16"/>
                <w:szCs w:val="16"/>
                <w:color w:val="auto"/>
              </w:rPr>
            </w:pPr>
          </w:p>
        </w:tc>
        <w:tc>
          <w:tcPr>
            <w:tcW w:w="10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7.6</w:t>
            </w:r>
          </w:p>
        </w:tc>
        <w:tc>
          <w:tcPr>
            <w:tcW w:w="1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22.7</w:t>
            </w:r>
          </w:p>
        </w:tc>
      </w:tr>
      <w:tr>
        <w:trPr>
          <w:trHeight w:val="191"/>
        </w:trPr>
        <w:tc>
          <w:tcPr>
            <w:tcW w:w="5420" w:type="dxa"/>
            <w:vAlign w:val="bottom"/>
          </w:tcPr>
          <w:p>
            <w:pPr>
              <w:spacing w:after="0"/>
              <w:rPr>
                <w:sz w:val="16"/>
                <w:szCs w:val="16"/>
                <w:color w:val="auto"/>
              </w:rPr>
            </w:pPr>
          </w:p>
        </w:tc>
        <w:tc>
          <w:tcPr>
            <w:tcW w:w="12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income (loss) for common stockholders used</w:t>
            </w: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5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9"/>
              </w:rPr>
              <w:t>for Diluted EPS....................................</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($106.8)</w:t>
            </w:r>
          </w:p>
        </w:tc>
        <w:tc>
          <w:tcPr>
            <w:tcW w:w="10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$1,246.8</w:t>
            </w:r>
          </w:p>
        </w:tc>
        <w:tc>
          <w:tcPr>
            <w:tcW w:w="11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$929.6</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$1,243.0</w:t>
            </w:r>
          </w:p>
        </w:tc>
      </w:tr>
      <w:tr>
        <w:trPr>
          <w:trHeight w:val="191"/>
        </w:trPr>
        <w:tc>
          <w:tcPr>
            <w:tcW w:w="5420" w:type="dxa"/>
            <w:vAlign w:val="bottom"/>
          </w:tcPr>
          <w:p>
            <w:pPr>
              <w:spacing w:after="0"/>
              <w:rPr>
                <w:sz w:val="16"/>
                <w:szCs w:val="16"/>
                <w:color w:val="auto"/>
              </w:rPr>
            </w:pPr>
          </w:p>
        </w:tc>
        <w:tc>
          <w:tcPr>
            <w:tcW w:w="12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rPr>
              <w:t>Basic weighted average number of common shares</w:t>
            </w: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5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9"/>
              </w:rPr>
              <w:t>outstanding........................................</w:t>
            </w:r>
          </w:p>
        </w:tc>
        <w:tc>
          <w:tcPr>
            <w:tcW w:w="12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951.5</w:t>
            </w:r>
          </w:p>
        </w:tc>
        <w:tc>
          <w:tcPr>
            <w:tcW w:w="10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908.8</w:t>
            </w:r>
          </w:p>
        </w:tc>
        <w:tc>
          <w:tcPr>
            <w:tcW w:w="11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949.3</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885.1</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rPr>
              <w:t>Dilutive securities:</w:t>
            </w: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5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9"/>
              </w:rPr>
              <w:t>Series B convertible preferred stock...............</w:t>
            </w:r>
          </w:p>
        </w:tc>
        <w:tc>
          <w:tcPr>
            <w:tcW w:w="1200" w:type="dxa"/>
            <w:vAlign w:val="bottom"/>
          </w:tcPr>
          <w:p>
            <w:pPr>
              <w:spacing w:after="0"/>
              <w:rPr>
                <w:sz w:val="16"/>
                <w:szCs w:val="16"/>
                <w:color w:val="auto"/>
              </w:rPr>
            </w:pPr>
          </w:p>
        </w:tc>
        <w:tc>
          <w:tcPr>
            <w:tcW w:w="10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42.5</w:t>
            </w:r>
          </w:p>
        </w:tc>
        <w:tc>
          <w:tcPr>
            <w:tcW w:w="11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42.5</w:t>
            </w:r>
          </w:p>
        </w:tc>
      </w:tr>
      <w:tr>
        <w:trPr>
          <w:trHeight w:val="191"/>
        </w:trPr>
        <w:tc>
          <w:tcPr>
            <w:tcW w:w="5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9"/>
              </w:rPr>
              <w:t>Stock option and restricted stock plans............</w:t>
            </w:r>
          </w:p>
        </w:tc>
        <w:tc>
          <w:tcPr>
            <w:tcW w:w="1200" w:type="dxa"/>
            <w:vAlign w:val="bottom"/>
          </w:tcPr>
          <w:p>
            <w:pPr>
              <w:spacing w:after="0"/>
              <w:rPr>
                <w:sz w:val="16"/>
                <w:szCs w:val="16"/>
                <w:color w:val="auto"/>
              </w:rPr>
            </w:pPr>
          </w:p>
        </w:tc>
        <w:tc>
          <w:tcPr>
            <w:tcW w:w="10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14.0</w:t>
            </w:r>
          </w:p>
        </w:tc>
        <w:tc>
          <w:tcPr>
            <w:tcW w:w="11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14.0</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15.4</w:t>
            </w:r>
          </w:p>
        </w:tc>
      </w:tr>
      <w:tr>
        <w:trPr>
          <w:trHeight w:val="191"/>
        </w:trPr>
        <w:tc>
          <w:tcPr>
            <w:tcW w:w="5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9"/>
              </w:rPr>
              <w:t>Put options on Class A Special Common Stock........</w:t>
            </w:r>
          </w:p>
        </w:tc>
        <w:tc>
          <w:tcPr>
            <w:tcW w:w="1200" w:type="dxa"/>
            <w:vAlign w:val="bottom"/>
          </w:tcPr>
          <w:p>
            <w:pPr>
              <w:spacing w:after="0"/>
              <w:rPr>
                <w:sz w:val="16"/>
                <w:szCs w:val="16"/>
                <w:color w:val="auto"/>
              </w:rPr>
            </w:pPr>
          </w:p>
        </w:tc>
        <w:tc>
          <w:tcPr>
            <w:tcW w:w="10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0.3</w:t>
            </w:r>
          </w:p>
        </w:tc>
        <w:tc>
          <w:tcPr>
            <w:tcW w:w="1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0.1</w:t>
            </w:r>
          </w:p>
        </w:tc>
      </w:tr>
      <w:tr>
        <w:trPr>
          <w:trHeight w:val="191"/>
        </w:trPr>
        <w:tc>
          <w:tcPr>
            <w:tcW w:w="5420" w:type="dxa"/>
            <w:vAlign w:val="bottom"/>
          </w:tcPr>
          <w:p>
            <w:pPr>
              <w:spacing w:after="0"/>
              <w:rPr>
                <w:sz w:val="16"/>
                <w:szCs w:val="16"/>
                <w:color w:val="auto"/>
              </w:rPr>
            </w:pPr>
          </w:p>
        </w:tc>
        <w:tc>
          <w:tcPr>
            <w:tcW w:w="12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rPr>
              <w:t>Diluted weighted average number of common shares</w:t>
            </w: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5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9"/>
              </w:rPr>
              <w:t>outstanding........................................</w:t>
            </w:r>
          </w:p>
        </w:tc>
        <w:tc>
          <w:tcPr>
            <w:tcW w:w="12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951.5</w:t>
            </w:r>
          </w:p>
        </w:tc>
        <w:tc>
          <w:tcPr>
            <w:tcW w:w="10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965.6</w:t>
            </w:r>
          </w:p>
        </w:tc>
        <w:tc>
          <w:tcPr>
            <w:tcW w:w="11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964.7</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943.1</w:t>
            </w:r>
          </w:p>
        </w:tc>
      </w:tr>
      <w:tr>
        <w:trPr>
          <w:trHeight w:val="191"/>
        </w:trPr>
        <w:tc>
          <w:tcPr>
            <w:tcW w:w="5420" w:type="dxa"/>
            <w:vAlign w:val="bottom"/>
          </w:tcPr>
          <w:p>
            <w:pPr>
              <w:spacing w:after="0"/>
              <w:rPr>
                <w:sz w:val="16"/>
                <w:szCs w:val="16"/>
                <w:color w:val="auto"/>
              </w:rPr>
            </w:pPr>
          </w:p>
        </w:tc>
        <w:tc>
          <w:tcPr>
            <w:tcW w:w="12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rPr>
              <w:t>Diluted earnings (loss) for common stockholders</w:t>
            </w: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5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9"/>
              </w:rPr>
              <w:t>per common share...................................</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($0.11)</w:t>
            </w:r>
          </w:p>
        </w:tc>
        <w:tc>
          <w:tcPr>
            <w:tcW w:w="10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$1.29</w:t>
            </w:r>
          </w:p>
        </w:tc>
        <w:tc>
          <w:tcPr>
            <w:tcW w:w="11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$0.96</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$1.32</w:t>
            </w:r>
          </w:p>
        </w:tc>
      </w:tr>
      <w:tr>
        <w:trPr>
          <w:trHeight w:val="191"/>
        </w:trPr>
        <w:tc>
          <w:tcPr>
            <w:tcW w:w="5420" w:type="dxa"/>
            <w:vAlign w:val="bottom"/>
          </w:tcPr>
          <w:p>
            <w:pPr>
              <w:spacing w:after="0"/>
              <w:rPr>
                <w:sz w:val="16"/>
                <w:szCs w:val="16"/>
                <w:color w:val="auto"/>
              </w:rPr>
            </w:pPr>
          </w:p>
        </w:tc>
        <w:tc>
          <w:tcPr>
            <w:tcW w:w="12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jc w:val="both"/>
        <w:ind w:left="500" w:right="2480"/>
        <w:spacing w:after="0" w:line="237" w:lineRule="auto"/>
        <w:rPr>
          <w:sz w:val="20"/>
          <w:szCs w:val="20"/>
          <w:color w:val="auto"/>
        </w:rPr>
      </w:pPr>
      <w:r>
        <w:rPr>
          <w:rFonts w:ascii="Courier New" w:cs="Courier New" w:eastAsia="Courier New" w:hAnsi="Courier New"/>
          <w:sz w:val="17"/>
          <w:szCs w:val="17"/>
          <w:color w:val="auto"/>
        </w:rPr>
        <w:t>In December 2000 and January 2001, the Company issued $1.478 billion aggregate principal amount at maturity of Zero Coupon Convertible Debentures due 2020 (the "Zero Coupon Debentures" - see Note 6). The Zero Coupon Debentures may be converted at any time prior to maturity if the closing sale price of the Company's Class A Special Common Stock is greater than 110% of the accreted conversion price (as defined). The Zero Coupon Debentures were excluded from the computation of Diluted EPS for the interim periods in 2001 as the weighted average closing sale price of the Company's Class A Special Common Stock was not greater than 110% of the accreted conversion price.</w:t>
      </w:r>
    </w:p>
    <w:p>
      <w:pPr>
        <w:spacing w:after="0" w:line="202" w:lineRule="exact"/>
        <w:rPr>
          <w:sz w:val="20"/>
          <w:szCs w:val="20"/>
          <w:color w:val="auto"/>
        </w:rPr>
      </w:pPr>
    </w:p>
    <w:p>
      <w:pPr>
        <w:jc w:val="both"/>
        <w:ind w:left="500" w:right="2480"/>
        <w:spacing w:after="0" w:line="236" w:lineRule="auto"/>
        <w:rPr>
          <w:sz w:val="20"/>
          <w:szCs w:val="20"/>
          <w:color w:val="auto"/>
        </w:rPr>
      </w:pPr>
      <w:r>
        <w:rPr>
          <w:rFonts w:ascii="Courier New" w:cs="Courier New" w:eastAsia="Courier New" w:hAnsi="Courier New"/>
          <w:sz w:val="17"/>
          <w:szCs w:val="17"/>
          <w:color w:val="auto"/>
        </w:rPr>
        <w:t>Potentially dilutive securities related to the Company's stock options and restricted stock plans were excluded from the computation of Diluted EPS for the three months ended September 30, 2001 because their effect on loss for common stockholders per common share was antidilutive.</w:t>
      </w:r>
    </w:p>
    <w:p>
      <w:pPr>
        <w:spacing w:after="0" w:line="192" w:lineRule="exact"/>
        <w:rPr>
          <w:sz w:val="20"/>
          <w:szCs w:val="20"/>
          <w:color w:val="auto"/>
        </w:rPr>
      </w:pPr>
    </w:p>
    <w:p>
      <w:pPr>
        <w:ind w:left="500" w:hanging="498"/>
        <w:spacing w:after="0"/>
        <w:tabs>
          <w:tab w:leader="none" w:pos="5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ACQUISITIONS AND OTHER SIGNIFICANT EVENTS</w:t>
      </w:r>
    </w:p>
    <w:p>
      <w:pPr>
        <w:spacing w:after="0" w:line="189"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Adelphia Cable Systems Exchange</w:t>
      </w:r>
    </w:p>
    <w:p>
      <w:pPr>
        <w:spacing w:after="0" w:line="5" w:lineRule="exact"/>
        <w:rPr>
          <w:rFonts w:ascii="Courier New" w:cs="Courier New" w:eastAsia="Courier New" w:hAnsi="Courier New"/>
          <w:sz w:val="17"/>
          <w:szCs w:val="17"/>
          <w:color w:val="auto"/>
        </w:rPr>
      </w:pPr>
    </w:p>
    <w:p>
      <w:pPr>
        <w:jc w:val="both"/>
        <w:ind w:left="500" w:right="2480"/>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On January 1, 2001, the Company completed its cable systems exchange with Adelphia Communications Corporation ("Adelphia"). The Company received cable systems serving approximately 445,000 subscribers from Adelphia and Adelphia received certain of the Company's cable systems serving approximately 441,000 subscribers. The Company recorded to other income a pre-tax gain of $1.199 billion representing the difference</w:t>
      </w:r>
    </w:p>
    <w:p>
      <w:pPr>
        <w:spacing w:after="0" w:line="19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440"/>
          </w:cols>
          <w:pgMar w:left="240" w:top="683" w:right="1219" w:bottom="1440" w:gutter="0" w:footer="0" w:header="0"/>
        </w:sectPr>
      </w:pPr>
    </w:p>
    <w:bookmarkStart w:id="10" w:name="page11"/>
    <w:bookmarkEnd w:id="10"/>
    <w:p>
      <w:pPr>
        <w:jc w:val="center"/>
        <w:ind w:right="2759"/>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2659"/>
        <w:spacing w:after="0" w:line="238" w:lineRule="auto"/>
        <w:rPr>
          <w:sz w:val="20"/>
          <w:szCs w:val="20"/>
          <w:color w:val="auto"/>
        </w:rPr>
      </w:pPr>
      <w:r>
        <w:rPr>
          <w:rFonts w:ascii="Courier New" w:cs="Courier New" w:eastAsia="Courier New" w:hAnsi="Courier New"/>
          <w:sz w:val="17"/>
          <w:szCs w:val="17"/>
          <w:color w:val="auto"/>
        </w:rPr>
        <w:t>FORM 10-Q</w:t>
      </w:r>
    </w:p>
    <w:p>
      <w:pPr>
        <w:jc w:val="center"/>
        <w:ind w:right="2759"/>
        <w:spacing w:after="0" w:line="238" w:lineRule="auto"/>
        <w:rPr>
          <w:sz w:val="20"/>
          <w:szCs w:val="20"/>
          <w:color w:val="auto"/>
        </w:rPr>
      </w:pPr>
      <w:r>
        <w:rPr>
          <w:rFonts w:ascii="Courier New" w:cs="Courier New" w:eastAsia="Courier New" w:hAnsi="Courier New"/>
          <w:sz w:val="17"/>
          <w:szCs w:val="17"/>
          <w:color w:val="auto"/>
        </w:rPr>
        <w:t>QUARTER ENDED SEPTEMBER 30, 2001</w:t>
      </w:r>
    </w:p>
    <w:p>
      <w:pPr>
        <w:jc w:val="center"/>
        <w:ind w:right="2759"/>
        <w:spacing w:after="0"/>
        <w:rPr>
          <w:sz w:val="20"/>
          <w:szCs w:val="20"/>
          <w:color w:val="auto"/>
        </w:rPr>
      </w:pPr>
      <w:r>
        <w:rPr>
          <w:rFonts w:ascii="Courier New" w:cs="Courier New" w:eastAsia="Courier New" w:hAnsi="Courier New"/>
          <w:sz w:val="17"/>
          <w:szCs w:val="17"/>
          <w:color w:val="auto"/>
        </w:rPr>
        <w:t>NOTES TO CONDENSED CONSOLIDATED FINANCIAL STATEMENTS - CONTINUED</w:t>
      </w:r>
    </w:p>
    <w:p>
      <w:pPr>
        <w:jc w:val="center"/>
        <w:ind w:right="2659"/>
        <w:spacing w:after="0" w:line="237" w:lineRule="auto"/>
        <w:rPr>
          <w:sz w:val="20"/>
          <w:szCs w:val="20"/>
          <w:color w:val="auto"/>
        </w:rPr>
      </w:pPr>
      <w:r>
        <w:rPr>
          <w:rFonts w:ascii="Courier New" w:cs="Courier New" w:eastAsia="Courier New" w:hAnsi="Courier New"/>
          <w:sz w:val="17"/>
          <w:szCs w:val="17"/>
          <w:color w:val="auto"/>
        </w:rPr>
        <w:t>(Unaudited)</w:t>
      </w:r>
    </w:p>
    <w:p>
      <w:pPr>
        <w:spacing w:after="0" w:line="197" w:lineRule="exact"/>
        <w:rPr>
          <w:sz w:val="20"/>
          <w:szCs w:val="20"/>
          <w:color w:val="auto"/>
        </w:rPr>
      </w:pPr>
    </w:p>
    <w:p>
      <w:pPr>
        <w:jc w:val="both"/>
        <w:ind w:right="2259"/>
        <w:spacing w:after="0" w:line="235" w:lineRule="auto"/>
        <w:rPr>
          <w:sz w:val="20"/>
          <w:szCs w:val="20"/>
          <w:color w:val="auto"/>
        </w:rPr>
      </w:pPr>
      <w:r>
        <w:rPr>
          <w:rFonts w:ascii="Courier New" w:cs="Courier New" w:eastAsia="Courier New" w:hAnsi="Courier New"/>
          <w:sz w:val="17"/>
          <w:szCs w:val="17"/>
          <w:color w:val="auto"/>
        </w:rPr>
        <w:t>between the estimated fair value as of the closing date of the transaction and the Company's cost basis in the systems exchanged.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Home Team Sports Acquisition</w:t>
      </w:r>
    </w:p>
    <w:p>
      <w:pPr>
        <w:spacing w:after="0" w:line="5" w:lineRule="exact"/>
        <w:rPr>
          <w:sz w:val="20"/>
          <w:szCs w:val="20"/>
          <w:color w:val="auto"/>
        </w:rPr>
      </w:pPr>
    </w:p>
    <w:p>
      <w:pPr>
        <w:jc w:val="both"/>
        <w:ind w:right="2259"/>
        <w:spacing w:after="0" w:line="237" w:lineRule="auto"/>
        <w:rPr>
          <w:sz w:val="20"/>
          <w:szCs w:val="20"/>
          <w:color w:val="auto"/>
        </w:rPr>
      </w:pPr>
      <w:r>
        <w:rPr>
          <w:rFonts w:ascii="Courier New" w:cs="Courier New" w:eastAsia="Courier New" w:hAnsi="Courier New"/>
          <w:sz w:val="17"/>
          <w:szCs w:val="17"/>
          <w:color w:val="auto"/>
        </w:rPr>
        <w:t>On February 14, 2001, the Company acquired Home Team Sports (now known as Comcast SportsNet - MidAtlantic), a regional sports programming network serving approximately 4.8 million homes in the Mid-Atlantic region, from Viacom, Inc. ("Viacom") and Affiliated Regional Communications, Ltd. (an affiliate of Fox Cable Network Services, LLC ("Fox")). The Company agreed to increase the distribution of certain of Viacom's and Fox's programming networks on certain of the Company's cable systems. The estimated fair value of Home Team Sports as of the closing date of the acquisition was $240.0 million.</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Cable Systems Acquisition</w:t>
      </w:r>
    </w:p>
    <w:p>
      <w:pPr>
        <w:spacing w:after="0" w:line="5" w:lineRule="exact"/>
        <w:rPr>
          <w:sz w:val="20"/>
          <w:szCs w:val="20"/>
          <w:color w:val="auto"/>
        </w:rPr>
      </w:pPr>
    </w:p>
    <w:p>
      <w:pPr>
        <w:jc w:val="both"/>
        <w:ind w:right="2259"/>
        <w:spacing w:after="0" w:line="237" w:lineRule="auto"/>
        <w:rPr>
          <w:sz w:val="20"/>
          <w:szCs w:val="20"/>
          <w:color w:val="auto"/>
        </w:rPr>
      </w:pPr>
      <w:r>
        <w:rPr>
          <w:rFonts w:ascii="Courier New" w:cs="Courier New" w:eastAsia="Courier New" w:hAnsi="Courier New"/>
          <w:sz w:val="17"/>
          <w:szCs w:val="17"/>
          <w:color w:val="auto"/>
        </w:rPr>
        <w:t>On April 30, 2001, the Company acquired cable systems serving approximately 585,000 subscribers from AT&amp;T Corp. ("AT&amp;T") in exchange for approximately 63.9 million shares of AT&amp;T common stock then held by the Company. The market value of the AT&amp;T shares was approximately $1.423 billion, based on the price of the AT&amp;T common stock on the closing date of the transaction. Under the terms of the agreement between the Company and AT&amp;T, however, approximately 39.6 million shares of the AT&amp;T common stock included in the exchange were valued at $54.41 per share for purposes of the exchange. The transaction is expected to qualify as tax free to both the Company and to AT&amp;T.</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Acquisition of Controlling Interest in the Golf Channel</w:t>
      </w:r>
    </w:p>
    <w:p>
      <w:pPr>
        <w:spacing w:after="0" w:line="5" w:lineRule="exact"/>
        <w:rPr>
          <w:sz w:val="20"/>
          <w:szCs w:val="20"/>
          <w:color w:val="auto"/>
        </w:rPr>
      </w:pPr>
    </w:p>
    <w:p>
      <w:pPr>
        <w:jc w:val="both"/>
        <w:ind w:right="2259"/>
        <w:spacing w:after="0" w:line="237" w:lineRule="auto"/>
        <w:rPr>
          <w:sz w:val="20"/>
          <w:szCs w:val="20"/>
          <w:color w:val="auto"/>
        </w:rPr>
      </w:pPr>
      <w:r>
        <w:rPr>
          <w:rFonts w:ascii="Courier New" w:cs="Courier New" w:eastAsia="Courier New" w:hAnsi="Courier New"/>
          <w:sz w:val="17"/>
          <w:szCs w:val="17"/>
          <w:color w:val="auto"/>
        </w:rPr>
        <w:t>On June 8, 2001, the Company acquired the approximate 30.8% interest in The Golf Channel ("TGC") held by Fox Entertainment Group, Inc. ("Fox Entertainment"), a subsidiary of The News Corporation Limited ("News Corp."). In addition, Fox and News Corp. agreed to a five-year non-competition agreement. The Company paid aggregate consideration of $364.9 million in cash. The Company previously accounted for TGC under the equity method. The Company now owns approximately 91.0% of TGC and consolidates TGC.</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Baltimore, Maryland System Acquisition</w:t>
      </w:r>
    </w:p>
    <w:p>
      <w:pPr>
        <w:spacing w:after="0" w:line="5" w:lineRule="exact"/>
        <w:rPr>
          <w:sz w:val="20"/>
          <w:szCs w:val="20"/>
          <w:color w:val="auto"/>
        </w:rPr>
      </w:pPr>
    </w:p>
    <w:p>
      <w:pPr>
        <w:jc w:val="both"/>
        <w:ind w:right="2259"/>
        <w:spacing w:after="0" w:line="236" w:lineRule="auto"/>
        <w:rPr>
          <w:sz w:val="20"/>
          <w:szCs w:val="20"/>
          <w:color w:val="auto"/>
        </w:rPr>
      </w:pPr>
      <w:r>
        <w:rPr>
          <w:rFonts w:ascii="Courier New" w:cs="Courier New" w:eastAsia="Courier New" w:hAnsi="Courier New"/>
          <w:sz w:val="17"/>
          <w:szCs w:val="17"/>
          <w:color w:val="auto"/>
        </w:rPr>
        <w:t>On June 30, 2001, the Company acquired the cable system serving approximately 112,000 subscribers in Baltimore, Maryland from AT&amp;T for $518.7 million in cash. The purchase price is subject to adjustment.</w:t>
      </w:r>
    </w:p>
    <w:p>
      <w:pPr>
        <w:spacing w:after="0" w:line="197" w:lineRule="exact"/>
        <w:rPr>
          <w:sz w:val="20"/>
          <w:szCs w:val="20"/>
          <w:color w:val="auto"/>
        </w:rPr>
      </w:pPr>
    </w:p>
    <w:p>
      <w:pPr>
        <w:jc w:val="both"/>
        <w:ind w:right="2259"/>
        <w:spacing w:after="0" w:line="237" w:lineRule="auto"/>
        <w:rPr>
          <w:sz w:val="20"/>
          <w:szCs w:val="20"/>
          <w:color w:val="auto"/>
        </w:rPr>
      </w:pPr>
      <w:r>
        <w:rPr>
          <w:rFonts w:ascii="Courier New" w:cs="Courier New" w:eastAsia="Courier New" w:hAnsi="Courier New"/>
          <w:sz w:val="17"/>
          <w:szCs w:val="17"/>
          <w:color w:val="auto"/>
        </w:rPr>
        <w:t>The Company accounted for the acquisitions under the purchase method of accounting. As such, the Company's results include the operating results of the acquired businesses from the dates of acquisition. The Company's cable systems exchange with Adelphia, the Home Team Sports acquisition and the AT&amp;T cable systems acquisition had no significant impact on the Company's statement of cash flows during 2001 due to their noncash nature. The allocations of the purchase price for the 2001 acquisitions are preliminary pending completion of final appraisals (see Note 8).</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 to Acquire Outdoor Life Network</w:t>
      </w:r>
    </w:p>
    <w:p>
      <w:pPr>
        <w:spacing w:after="0" w:line="5" w:lineRule="exact"/>
        <w:rPr>
          <w:sz w:val="20"/>
          <w:szCs w:val="20"/>
          <w:color w:val="auto"/>
        </w:rPr>
      </w:pPr>
    </w:p>
    <w:p>
      <w:pPr>
        <w:jc w:val="both"/>
        <w:ind w:right="2259"/>
        <w:spacing w:after="0" w:line="254" w:lineRule="auto"/>
        <w:rPr>
          <w:sz w:val="20"/>
          <w:szCs w:val="20"/>
          <w:color w:val="auto"/>
        </w:rPr>
      </w:pPr>
      <w:r>
        <w:rPr>
          <w:rFonts w:ascii="Courier New" w:cs="Courier New" w:eastAsia="Courier New" w:hAnsi="Courier New"/>
          <w:sz w:val="16"/>
          <w:szCs w:val="16"/>
          <w:color w:val="auto"/>
        </w:rPr>
        <w:t>During the third quarter of 2001, the Company exercised its option to acquire from Fox Entertainment the approximate 83.2% interest in Outdoor Life Network ("OLN") not previously owned by the Company. Upon closing of the acquisition on October 30, 2001, the Company exchanged its 14.5% interest in the Speedvision Network ("SVN"), together with a previously made loan, with Fox Entertainment for Fox Entertainment's interest in OLN. The Company no longer owns any interest in SVN and now owns 100% of OLN. The Company will consolidate OLN beginning in the fourth quarter of 2001.</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Offer to Acquire AT&amp;T Broadband</w:t>
      </w:r>
    </w:p>
    <w:p>
      <w:pPr>
        <w:spacing w:after="0" w:line="5" w:lineRule="exact"/>
        <w:rPr>
          <w:sz w:val="20"/>
          <w:szCs w:val="20"/>
          <w:color w:val="auto"/>
        </w:rPr>
      </w:pPr>
    </w:p>
    <w:p>
      <w:pPr>
        <w:jc w:val="both"/>
        <w:ind w:right="2259"/>
        <w:spacing w:after="0" w:line="237" w:lineRule="auto"/>
        <w:rPr>
          <w:sz w:val="20"/>
          <w:szCs w:val="20"/>
          <w:color w:val="auto"/>
        </w:rPr>
      </w:pPr>
      <w:r>
        <w:rPr>
          <w:rFonts w:ascii="Courier New" w:cs="Courier New" w:eastAsia="Courier New" w:hAnsi="Courier New"/>
          <w:sz w:val="17"/>
          <w:szCs w:val="17"/>
          <w:color w:val="auto"/>
        </w:rPr>
        <w:t>On July 8, 2001, the Company made an unsolicited proposal to acquire the core broadband assets of AT&amp;T ("AT&amp;T Broadband") by issuing 1.0525 billion shares of the Company's common stock and assuming $13.5 billion of AT&amp;T debt. On July 18, 2001, AT&amp;T announced that it had rejected the Company's proposal and authorized the exploration of financial and strategic alternatives relating to AT&amp;T Broadband. On September 28, 2001, the Company entered into a reciprocal confidentiality agreement with AT&amp;T that will permit the exchange of</w:t>
      </w:r>
    </w:p>
    <w:p>
      <w:pPr>
        <w:spacing w:after="0" w:line="193"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9719"/>
          </w:cols>
          <w:pgMar w:left="740" w:top="683" w:right="1440" w:bottom="862" w:gutter="0" w:footer="0" w:header="0"/>
        </w:sectPr>
      </w:pPr>
    </w:p>
    <w:bookmarkStart w:id="11" w:name="page12"/>
    <w:bookmarkEnd w:id="11"/>
    <w:p>
      <w:pPr>
        <w:jc w:val="center"/>
        <w:ind w:right="2759"/>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2659"/>
        <w:spacing w:after="0" w:line="238" w:lineRule="auto"/>
        <w:rPr>
          <w:sz w:val="20"/>
          <w:szCs w:val="20"/>
          <w:color w:val="auto"/>
        </w:rPr>
      </w:pPr>
      <w:r>
        <w:rPr>
          <w:rFonts w:ascii="Courier New" w:cs="Courier New" w:eastAsia="Courier New" w:hAnsi="Courier New"/>
          <w:sz w:val="17"/>
          <w:szCs w:val="17"/>
          <w:color w:val="auto"/>
        </w:rPr>
        <w:t>FORM 10-Q</w:t>
      </w:r>
    </w:p>
    <w:p>
      <w:pPr>
        <w:jc w:val="center"/>
        <w:ind w:right="2759"/>
        <w:spacing w:after="0" w:line="238" w:lineRule="auto"/>
        <w:rPr>
          <w:sz w:val="20"/>
          <w:szCs w:val="20"/>
          <w:color w:val="auto"/>
        </w:rPr>
      </w:pPr>
      <w:r>
        <w:rPr>
          <w:rFonts w:ascii="Courier New" w:cs="Courier New" w:eastAsia="Courier New" w:hAnsi="Courier New"/>
          <w:sz w:val="17"/>
          <w:szCs w:val="17"/>
          <w:color w:val="auto"/>
        </w:rPr>
        <w:t>QUARTER ENDED SEPTEMBER 30, 2001</w:t>
      </w:r>
    </w:p>
    <w:p>
      <w:pPr>
        <w:jc w:val="center"/>
        <w:ind w:right="2759"/>
        <w:spacing w:after="0"/>
        <w:rPr>
          <w:sz w:val="20"/>
          <w:szCs w:val="20"/>
          <w:color w:val="auto"/>
        </w:rPr>
      </w:pPr>
      <w:r>
        <w:rPr>
          <w:rFonts w:ascii="Courier New" w:cs="Courier New" w:eastAsia="Courier New" w:hAnsi="Courier New"/>
          <w:sz w:val="17"/>
          <w:szCs w:val="17"/>
          <w:color w:val="auto"/>
        </w:rPr>
        <w:t>NOTES TO CONDENSED CONSOLIDATED FINANCIAL STATEMENTS - CONTINUED</w:t>
      </w:r>
    </w:p>
    <w:p>
      <w:pPr>
        <w:jc w:val="center"/>
        <w:ind w:right="2659"/>
        <w:spacing w:after="0" w:line="237" w:lineRule="auto"/>
        <w:rPr>
          <w:sz w:val="20"/>
          <w:szCs w:val="20"/>
          <w:color w:val="auto"/>
        </w:rPr>
      </w:pPr>
      <w:r>
        <w:rPr>
          <w:rFonts w:ascii="Courier New" w:cs="Courier New" w:eastAsia="Courier New" w:hAnsi="Courier New"/>
          <w:sz w:val="17"/>
          <w:szCs w:val="17"/>
          <w:color w:val="auto"/>
        </w:rPr>
        <w:t>(Unaudited)</w:t>
      </w:r>
    </w:p>
    <w:p>
      <w:pPr>
        <w:spacing w:after="0" w:line="197" w:lineRule="exact"/>
        <w:rPr>
          <w:sz w:val="20"/>
          <w:szCs w:val="20"/>
          <w:color w:val="auto"/>
        </w:rPr>
      </w:pPr>
    </w:p>
    <w:p>
      <w:pPr>
        <w:jc w:val="both"/>
        <w:ind w:right="2259"/>
        <w:spacing w:after="0" w:line="236" w:lineRule="auto"/>
        <w:rPr>
          <w:sz w:val="20"/>
          <w:szCs w:val="20"/>
          <w:color w:val="auto"/>
        </w:rPr>
      </w:pPr>
      <w:r>
        <w:rPr>
          <w:rFonts w:ascii="Courier New" w:cs="Courier New" w:eastAsia="Courier New" w:hAnsi="Courier New"/>
          <w:sz w:val="17"/>
          <w:szCs w:val="17"/>
          <w:color w:val="auto"/>
        </w:rPr>
        <w:t>information between the two companies. There can be no assurance that any transaction relating to AT&amp;T Broadband will occur, or, if a transaction does occur, what the terms of the transaction would be.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Excite@Home Services</w:t>
      </w:r>
    </w:p>
    <w:p>
      <w:pPr>
        <w:spacing w:after="0" w:line="5" w:lineRule="exact"/>
        <w:rPr>
          <w:sz w:val="20"/>
          <w:szCs w:val="20"/>
          <w:color w:val="auto"/>
        </w:rPr>
      </w:pPr>
    </w:p>
    <w:p>
      <w:pPr>
        <w:jc w:val="both"/>
        <w:ind w:right="2259"/>
        <w:spacing w:after="0" w:line="237" w:lineRule="auto"/>
        <w:rPr>
          <w:sz w:val="20"/>
          <w:szCs w:val="20"/>
          <w:color w:val="auto"/>
        </w:rPr>
      </w:pPr>
      <w:r>
        <w:rPr>
          <w:rFonts w:ascii="Courier New" w:cs="Courier New" w:eastAsia="Courier New" w:hAnsi="Courier New"/>
          <w:sz w:val="17"/>
          <w:szCs w:val="17"/>
          <w:color w:val="auto"/>
        </w:rPr>
        <w:t>On September 28, 2001, Excite@Home Corporation ("Excite@Home"), the Company's provider of high-speed Internet access services, filed for protection under Chapter 11 of the U.S. Bankruptcy Code. Subsequent to this filing, the Company and Excite@Home entered into an amendment to the Company's distribution agreement under which Excite@Home agreed to continue to provide high-speed Internet access services to existing and new customers through November 30, 2001. While there can be no assurance that further developments in this bankruptcy proceeding will not adversely affect the Company's ability to provide high-speed Internet access, the Company believes that it will be able to continue to provide such services to existing and new customers through and following November 30, 2001. Further, while there can be no assurance that future developments will not result in additional short-term costs for the Company, the Company believes that such costs will not have a material adverse effect on the Company's financial results.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Unaudited Pro Forma Information</w:t>
      </w:r>
    </w:p>
    <w:p>
      <w:pPr>
        <w:spacing w:after="0" w:line="5" w:lineRule="exact"/>
        <w:rPr>
          <w:sz w:val="20"/>
          <w:szCs w:val="20"/>
          <w:color w:val="auto"/>
        </w:rPr>
      </w:pPr>
    </w:p>
    <w:p>
      <w:pPr>
        <w:jc w:val="both"/>
        <w:ind w:right="2259"/>
        <w:spacing w:after="0" w:line="254" w:lineRule="auto"/>
        <w:rPr>
          <w:sz w:val="20"/>
          <w:szCs w:val="20"/>
          <w:color w:val="auto"/>
        </w:rPr>
      </w:pPr>
      <w:r>
        <w:rPr>
          <w:rFonts w:ascii="Courier New" w:cs="Courier New" w:eastAsia="Courier New" w:hAnsi="Courier New"/>
          <w:sz w:val="16"/>
          <w:szCs w:val="16"/>
          <w:color w:val="auto"/>
        </w:rPr>
        <w:t>The following unaudited pro forma information has been presented as if the acquisitions and cable systems exchanges made by the Company in 2001 and 2000 each occurred on January 1, 2000. For a discussion of the Company's 2000 acquisitions and cable systems exchange, refer to the financial statements included in the Company's Annual Report on Form 10-K for the year ended December 31, 2000.This information is based on historical results of operations and has been adjusted for acquisition costs. This information is not necessarily indicative of what the results would have been had the Company operated the entities acquired since January 1, 2000.</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1100" w:type="dxa"/>
        <w:tblCellMar>
          <w:top w:w="0" w:type="dxa"/>
          <w:left w:w="0" w:type="dxa"/>
          <w:bottom w:w="0" w:type="dxa"/>
          <w:right w:w="0" w:type="dxa"/>
        </w:tblCellMar>
      </w:tblPr>
      <w:tr>
        <w:trPr>
          <w:trHeight w:val="193"/>
        </w:trPr>
        <w:tc>
          <w:tcPr>
            <w:tcW w:w="5320" w:type="dxa"/>
            <w:vAlign w:val="bottom"/>
          </w:tcPr>
          <w:p>
            <w:pPr>
              <w:spacing w:after="0"/>
              <w:rPr>
                <w:sz w:val="16"/>
                <w:szCs w:val="16"/>
                <w:color w:val="auto"/>
              </w:rPr>
            </w:pPr>
          </w:p>
        </w:tc>
        <w:tc>
          <w:tcPr>
            <w:tcW w:w="3120" w:type="dxa"/>
            <w:vAlign w:val="bottom"/>
            <w:gridSpan w:val="2"/>
          </w:tcPr>
          <w:p>
            <w:pPr>
              <w:jc w:val="right"/>
              <w:ind w:right="417"/>
              <w:spacing w:after="0"/>
              <w:rPr>
                <w:sz w:val="20"/>
                <w:szCs w:val="20"/>
                <w:color w:val="auto"/>
              </w:rPr>
            </w:pPr>
            <w:r>
              <w:rPr>
                <w:rFonts w:ascii="Courier New" w:cs="Courier New" w:eastAsia="Courier New" w:hAnsi="Courier New"/>
                <w:sz w:val="17"/>
                <w:szCs w:val="17"/>
                <w:color w:val="auto"/>
              </w:rPr>
              <w:t>(Amounts in millions,</w:t>
            </w:r>
          </w:p>
        </w:tc>
      </w:tr>
      <w:tr>
        <w:trPr>
          <w:trHeight w:val="191"/>
        </w:trPr>
        <w:tc>
          <w:tcPr>
            <w:tcW w:w="5320" w:type="dxa"/>
            <w:vAlign w:val="bottom"/>
          </w:tcPr>
          <w:p>
            <w:pPr>
              <w:spacing w:after="0"/>
              <w:rPr>
                <w:sz w:val="16"/>
                <w:szCs w:val="16"/>
                <w:color w:val="auto"/>
              </w:rPr>
            </w:pPr>
          </w:p>
        </w:tc>
        <w:tc>
          <w:tcPr>
            <w:tcW w:w="312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except per share data)</w:t>
            </w:r>
          </w:p>
        </w:tc>
      </w:tr>
      <w:tr>
        <w:trPr>
          <w:trHeight w:val="191"/>
        </w:trPr>
        <w:tc>
          <w:tcPr>
            <w:tcW w:w="5320" w:type="dxa"/>
            <w:vAlign w:val="bottom"/>
          </w:tcPr>
          <w:p>
            <w:pPr>
              <w:spacing w:after="0"/>
              <w:rPr>
                <w:sz w:val="16"/>
                <w:szCs w:val="16"/>
                <w:color w:val="auto"/>
              </w:rPr>
            </w:pPr>
          </w:p>
        </w:tc>
        <w:tc>
          <w:tcPr>
            <w:tcW w:w="31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8"/>
              </w:rPr>
              <w:t>Nine Months Ended September 30,</w:t>
            </w:r>
          </w:p>
        </w:tc>
      </w:tr>
      <w:tr>
        <w:trPr>
          <w:trHeight w:val="191"/>
        </w:trPr>
        <w:tc>
          <w:tcPr>
            <w:tcW w:w="5320" w:type="dxa"/>
            <w:vAlign w:val="bottom"/>
          </w:tcPr>
          <w:p>
            <w:pPr>
              <w:spacing w:after="0"/>
              <w:rPr>
                <w:sz w:val="16"/>
                <w:szCs w:val="16"/>
                <w:color w:val="auto"/>
              </w:rPr>
            </w:pPr>
          </w:p>
        </w:tc>
        <w:tc>
          <w:tcPr>
            <w:tcW w:w="16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2001</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2000</w:t>
            </w:r>
          </w:p>
        </w:tc>
      </w:tr>
      <w:tr>
        <w:trPr>
          <w:trHeight w:val="191"/>
        </w:trPr>
        <w:tc>
          <w:tcPr>
            <w:tcW w:w="5320" w:type="dxa"/>
            <w:vAlign w:val="bottom"/>
          </w:tcPr>
          <w:p>
            <w:pPr>
              <w:spacing w:after="0"/>
              <w:rPr>
                <w:sz w:val="16"/>
                <w:szCs w:val="16"/>
                <w:color w:val="auto"/>
              </w:rPr>
            </w:pPr>
          </w:p>
        </w:tc>
        <w:tc>
          <w:tcPr>
            <w:tcW w:w="16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5320" w:type="dxa"/>
            <w:vAlign w:val="bottom"/>
          </w:tcPr>
          <w:p>
            <w:pPr>
              <w:spacing w:after="0"/>
              <w:rPr>
                <w:sz w:val="20"/>
                <w:szCs w:val="20"/>
                <w:color w:val="auto"/>
              </w:rPr>
            </w:pPr>
            <w:r>
              <w:rPr>
                <w:rFonts w:ascii="Courier New" w:cs="Courier New" w:eastAsia="Courier New" w:hAnsi="Courier New"/>
                <w:sz w:val="17"/>
                <w:szCs w:val="17"/>
                <w:color w:val="auto"/>
                <w:w w:val="98"/>
              </w:rPr>
              <w:t>Revenues.............................................</w:t>
            </w:r>
          </w:p>
        </w:tc>
        <w:tc>
          <w:tcPr>
            <w:tcW w:w="16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$7,043.6</w:t>
            </w:r>
          </w:p>
        </w:tc>
        <w:tc>
          <w:tcPr>
            <w:tcW w:w="14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$6,402.4</w:t>
            </w:r>
          </w:p>
        </w:tc>
      </w:tr>
      <w:tr>
        <w:trPr>
          <w:trHeight w:val="191"/>
        </w:trPr>
        <w:tc>
          <w:tcPr>
            <w:tcW w:w="532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extraordinary items and</w:t>
            </w:r>
          </w:p>
        </w:tc>
        <w:tc>
          <w:tcPr>
            <w:tcW w:w="16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1"/>
        </w:trPr>
        <w:tc>
          <w:tcPr>
            <w:tcW w:w="53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cumulative effect of accounting change.............</w:t>
            </w:r>
          </w:p>
        </w:tc>
        <w:tc>
          <w:tcPr>
            <w:tcW w:w="16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$535.6</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$1,036.7</w:t>
            </w:r>
          </w:p>
        </w:tc>
      </w:tr>
      <w:tr>
        <w:trPr>
          <w:trHeight w:val="191"/>
        </w:trPr>
        <w:tc>
          <w:tcPr>
            <w:tcW w:w="53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Net income...........................................</w:t>
            </w:r>
          </w:p>
        </w:tc>
        <w:tc>
          <w:tcPr>
            <w:tcW w:w="16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$918.6</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$1,018.2</w:t>
            </w:r>
          </w:p>
        </w:tc>
      </w:tr>
      <w:tr>
        <w:trPr>
          <w:trHeight w:val="191"/>
        </w:trPr>
        <w:tc>
          <w:tcPr>
            <w:tcW w:w="53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Diluted EPS..........................................</w:t>
            </w:r>
          </w:p>
        </w:tc>
        <w:tc>
          <w:tcPr>
            <w:tcW w:w="16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$0.95</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$1.07</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Income</w:t>
      </w:r>
    </w:p>
    <w:p>
      <w:pPr>
        <w:spacing w:after="0" w:line="5" w:lineRule="exact"/>
        <w:rPr>
          <w:sz w:val="20"/>
          <w:szCs w:val="20"/>
          <w:color w:val="auto"/>
        </w:rPr>
      </w:pPr>
    </w:p>
    <w:p>
      <w:pPr>
        <w:jc w:val="both"/>
        <w:ind w:right="2259"/>
        <w:spacing w:after="0" w:line="237" w:lineRule="auto"/>
        <w:rPr>
          <w:sz w:val="20"/>
          <w:szCs w:val="20"/>
          <w:color w:val="auto"/>
        </w:rPr>
      </w:pPr>
      <w:r>
        <w:rPr>
          <w:rFonts w:ascii="Courier New" w:cs="Courier New" w:eastAsia="Courier New" w:hAnsi="Courier New"/>
          <w:sz w:val="17"/>
          <w:szCs w:val="17"/>
          <w:color w:val="auto"/>
        </w:rPr>
        <w:t>In August 2000, the Company obtained the right to exchange its Excite@Home Series A Common Stock (the "Excite@Home Stock") with AT&amp;T and waived certain of its Excite@Home Board level and shareholder rights under a stockholders agreement (the "Share Exchange Agreement"- see Note 5). The Company also agreed to cause its existing appointee to the Excite@Home Board of Directors to resign. In connection with the transaction, the Company recorded to other income a pre-tax gain of $1.045 billion, representing the estimated fair value of the investment as of the closing date.</w:t>
      </w:r>
    </w:p>
    <w:p>
      <w:pPr>
        <w:spacing w:after="0" w:line="201" w:lineRule="exact"/>
        <w:rPr>
          <w:sz w:val="20"/>
          <w:szCs w:val="20"/>
          <w:color w:val="auto"/>
        </w:rPr>
      </w:pPr>
    </w:p>
    <w:p>
      <w:pPr>
        <w:jc w:val="both"/>
        <w:ind w:right="2259"/>
        <w:spacing w:after="0" w:line="254" w:lineRule="auto"/>
        <w:rPr>
          <w:sz w:val="20"/>
          <w:szCs w:val="20"/>
          <w:color w:val="auto"/>
        </w:rPr>
      </w:pPr>
      <w:r>
        <w:rPr>
          <w:rFonts w:ascii="Courier New" w:cs="Courier New" w:eastAsia="Courier New" w:hAnsi="Courier New"/>
          <w:sz w:val="16"/>
          <w:szCs w:val="16"/>
          <w:color w:val="auto"/>
        </w:rPr>
        <w:t>In August 2000, the Company exchanged all of the capital stock of a wholly owned subsidiary which held certain wireless licenses for approximately 3.2 million shares of AT&amp;T common stock. In connection with the exchange, the Company recorded to other income a pre-tax gain of $98.1 million, representing the difference between the fair value of the AT&amp;T shares received of $100.0 million and the Company's cost basis in the subsidiary.</w:t>
      </w:r>
    </w:p>
    <w:p>
      <w:pPr>
        <w:spacing w:after="0" w:line="181"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9719"/>
          </w:cols>
          <w:pgMar w:left="740" w:top="683" w:right="1440" w:bottom="1440" w:gutter="0" w:footer="0" w:header="0"/>
        </w:sectPr>
      </w:pPr>
    </w:p>
    <w:bookmarkStart w:id="12" w:name="page13"/>
    <w:bookmarkEnd w:id="12"/>
    <w:p>
      <w:pPr>
        <w:jc w:val="center"/>
        <w:ind w:right="2780"/>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2680"/>
        <w:spacing w:after="0" w:line="238" w:lineRule="auto"/>
        <w:rPr>
          <w:sz w:val="20"/>
          <w:szCs w:val="20"/>
          <w:color w:val="auto"/>
        </w:rPr>
      </w:pPr>
      <w:r>
        <w:rPr>
          <w:rFonts w:ascii="Courier New" w:cs="Courier New" w:eastAsia="Courier New" w:hAnsi="Courier New"/>
          <w:sz w:val="17"/>
          <w:szCs w:val="17"/>
          <w:color w:val="auto"/>
        </w:rPr>
        <w:t>FORM 10-Q</w:t>
      </w:r>
    </w:p>
    <w:p>
      <w:pPr>
        <w:jc w:val="center"/>
        <w:ind w:right="2780"/>
        <w:spacing w:after="0" w:line="238" w:lineRule="auto"/>
        <w:rPr>
          <w:sz w:val="20"/>
          <w:szCs w:val="20"/>
          <w:color w:val="auto"/>
        </w:rPr>
      </w:pPr>
      <w:r>
        <w:rPr>
          <w:rFonts w:ascii="Courier New" w:cs="Courier New" w:eastAsia="Courier New" w:hAnsi="Courier New"/>
          <w:sz w:val="17"/>
          <w:szCs w:val="17"/>
          <w:color w:val="auto"/>
        </w:rPr>
        <w:t>QUARTER ENDED SEPTEMBER 30, 2001</w:t>
      </w:r>
    </w:p>
    <w:p>
      <w:pPr>
        <w:jc w:val="center"/>
        <w:ind w:right="2780"/>
        <w:spacing w:after="0"/>
        <w:rPr>
          <w:sz w:val="20"/>
          <w:szCs w:val="20"/>
          <w:color w:val="auto"/>
        </w:rPr>
      </w:pPr>
      <w:r>
        <w:rPr>
          <w:rFonts w:ascii="Courier New" w:cs="Courier New" w:eastAsia="Courier New" w:hAnsi="Courier New"/>
          <w:sz w:val="17"/>
          <w:szCs w:val="17"/>
          <w:color w:val="auto"/>
        </w:rPr>
        <w:t>NOTES TO CONDENSED CONSOLIDATED FINANCIAL STATEMENTS - CONTINUED</w:t>
      </w:r>
    </w:p>
    <w:p>
      <w:pPr>
        <w:jc w:val="center"/>
        <w:ind w:right="2680"/>
        <w:spacing w:after="0" w:line="237" w:lineRule="auto"/>
        <w:rPr>
          <w:sz w:val="20"/>
          <w:szCs w:val="20"/>
          <w:color w:val="auto"/>
        </w:rPr>
      </w:pPr>
      <w:r>
        <w:rPr>
          <w:rFonts w:ascii="Courier New" w:cs="Courier New" w:eastAsia="Courier New" w:hAnsi="Courier New"/>
          <w:sz w:val="17"/>
          <w:szCs w:val="17"/>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420" w:type="dxa"/>
            <w:vAlign w:val="bottom"/>
          </w:tcPr>
          <w:p>
            <w:pPr>
              <w:jc w:val="right"/>
              <w:ind w:right="5737"/>
              <w:spacing w:after="0"/>
              <w:rPr>
                <w:sz w:val="20"/>
                <w:szCs w:val="20"/>
                <w:color w:val="auto"/>
              </w:rPr>
            </w:pPr>
            <w:r>
              <w:rPr>
                <w:rFonts w:ascii="Courier New" w:cs="Courier New" w:eastAsia="Courier New" w:hAnsi="Courier New"/>
                <w:sz w:val="17"/>
                <w:szCs w:val="17"/>
                <w:color w:val="auto"/>
                <w:w w:val="96"/>
              </w:rPr>
              <w:t>5.   INVESTMENTS</w:t>
            </w:r>
          </w:p>
        </w:tc>
        <w:tc>
          <w:tcPr>
            <w:tcW w:w="18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765"/>
        </w:trPr>
        <w:tc>
          <w:tcPr>
            <w:tcW w:w="7420" w:type="dxa"/>
            <w:vAlign w:val="bottom"/>
          </w:tcPr>
          <w:p>
            <w:pPr>
              <w:spacing w:after="0"/>
              <w:rPr>
                <w:sz w:val="24"/>
                <w:szCs w:val="24"/>
                <w:color w:val="auto"/>
              </w:rPr>
            </w:pPr>
          </w:p>
        </w:tc>
        <w:tc>
          <w:tcPr>
            <w:tcW w:w="18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September 30,</w:t>
            </w:r>
          </w:p>
        </w:tc>
        <w:tc>
          <w:tcPr>
            <w:tcW w:w="14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December 31,</w:t>
            </w:r>
          </w:p>
        </w:tc>
      </w:tr>
      <w:tr>
        <w:trPr>
          <w:trHeight w:val="191"/>
        </w:trPr>
        <w:tc>
          <w:tcPr>
            <w:tcW w:w="7420" w:type="dxa"/>
            <w:vAlign w:val="bottom"/>
          </w:tcPr>
          <w:p>
            <w:pPr>
              <w:spacing w:after="0"/>
              <w:rPr>
                <w:sz w:val="16"/>
                <w:szCs w:val="16"/>
                <w:color w:val="auto"/>
              </w:rPr>
            </w:pPr>
          </w:p>
        </w:tc>
        <w:tc>
          <w:tcPr>
            <w:tcW w:w="18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2001</w:t>
            </w:r>
          </w:p>
        </w:tc>
        <w:tc>
          <w:tcPr>
            <w:tcW w:w="14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2000</w:t>
            </w:r>
          </w:p>
        </w:tc>
      </w:tr>
      <w:tr>
        <w:trPr>
          <w:trHeight w:val="191"/>
        </w:trPr>
        <w:tc>
          <w:tcPr>
            <w:tcW w:w="7420" w:type="dxa"/>
            <w:vAlign w:val="bottom"/>
          </w:tcPr>
          <w:p>
            <w:pPr>
              <w:spacing w:after="0"/>
              <w:rPr>
                <w:sz w:val="16"/>
                <w:szCs w:val="16"/>
                <w:color w:val="auto"/>
              </w:rPr>
            </w:pPr>
          </w:p>
        </w:tc>
        <w:tc>
          <w:tcPr>
            <w:tcW w:w="33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r>
      <w:tr>
        <w:trPr>
          <w:trHeight w:val="191"/>
        </w:trPr>
        <w:tc>
          <w:tcPr>
            <w:tcW w:w="7420" w:type="dxa"/>
            <w:vAlign w:val="bottom"/>
          </w:tcPr>
          <w:p>
            <w:pPr>
              <w:spacing w:after="0"/>
              <w:rPr>
                <w:sz w:val="16"/>
                <w:szCs w:val="16"/>
                <w:color w:val="auto"/>
              </w:rPr>
            </w:pPr>
          </w:p>
        </w:tc>
        <w:tc>
          <w:tcPr>
            <w:tcW w:w="332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(Dollars in millions)</w:t>
            </w:r>
          </w:p>
        </w:tc>
      </w:tr>
      <w:tr>
        <w:trPr>
          <w:trHeight w:val="574"/>
        </w:trPr>
        <w:tc>
          <w:tcPr>
            <w:tcW w:w="7420" w:type="dxa"/>
            <w:vAlign w:val="bottom"/>
          </w:tcPr>
          <w:p>
            <w:pPr>
              <w:jc w:val="right"/>
              <w:ind w:right="4557"/>
              <w:spacing w:after="0"/>
              <w:rPr>
                <w:sz w:val="20"/>
                <w:szCs w:val="20"/>
                <w:color w:val="auto"/>
              </w:rPr>
            </w:pPr>
            <w:r>
              <w:rPr>
                <w:rFonts w:ascii="Courier New" w:cs="Courier New" w:eastAsia="Courier New" w:hAnsi="Courier New"/>
                <w:sz w:val="17"/>
                <w:szCs w:val="17"/>
                <w:color w:val="auto"/>
              </w:rPr>
              <w:t>Fair value method</w:t>
            </w:r>
          </w:p>
        </w:tc>
        <w:tc>
          <w:tcPr>
            <w:tcW w:w="18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1"/>
        </w:trPr>
        <w:tc>
          <w:tcPr>
            <w:tcW w:w="742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AT&amp;T Corp............................................</w:t>
            </w:r>
          </w:p>
        </w:tc>
        <w:tc>
          <w:tcPr>
            <w:tcW w:w="1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$1,611.8</w:t>
            </w:r>
          </w:p>
        </w:tc>
        <w:tc>
          <w:tcPr>
            <w:tcW w:w="1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$1,174.3</w:t>
            </w:r>
          </w:p>
        </w:tc>
      </w:tr>
      <w:tr>
        <w:trPr>
          <w:trHeight w:val="191"/>
        </w:trPr>
        <w:tc>
          <w:tcPr>
            <w:tcW w:w="742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Sprint Corp. PCS Group...............................</w:t>
            </w:r>
          </w:p>
        </w:tc>
        <w:tc>
          <w:tcPr>
            <w:tcW w:w="1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2,216.3</w:t>
            </w:r>
          </w:p>
        </w:tc>
        <w:tc>
          <w:tcPr>
            <w:tcW w:w="1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2,149.8</w:t>
            </w:r>
          </w:p>
        </w:tc>
      </w:tr>
      <w:tr>
        <w:trPr>
          <w:trHeight w:val="191"/>
        </w:trPr>
        <w:tc>
          <w:tcPr>
            <w:tcW w:w="742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Other................................................</w:t>
            </w:r>
          </w:p>
        </w:tc>
        <w:tc>
          <w:tcPr>
            <w:tcW w:w="1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172.5</w:t>
            </w:r>
          </w:p>
        </w:tc>
        <w:tc>
          <w:tcPr>
            <w:tcW w:w="1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1,873.0</w:t>
            </w:r>
          </w:p>
        </w:tc>
      </w:tr>
      <w:tr>
        <w:trPr>
          <w:trHeight w:val="191"/>
        </w:trPr>
        <w:tc>
          <w:tcPr>
            <w:tcW w:w="7420" w:type="dxa"/>
            <w:vAlign w:val="bottom"/>
          </w:tcPr>
          <w:p>
            <w:pPr>
              <w:spacing w:after="0"/>
              <w:rPr>
                <w:sz w:val="16"/>
                <w:szCs w:val="16"/>
                <w:color w:val="auto"/>
              </w:rPr>
            </w:pPr>
          </w:p>
        </w:tc>
        <w:tc>
          <w:tcPr>
            <w:tcW w:w="1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420" w:type="dxa"/>
            <w:vAlign w:val="bottom"/>
          </w:tcPr>
          <w:p>
            <w:pPr>
              <w:spacing w:after="0"/>
              <w:rPr>
                <w:sz w:val="16"/>
                <w:szCs w:val="16"/>
                <w:color w:val="auto"/>
              </w:rPr>
            </w:pPr>
          </w:p>
        </w:tc>
        <w:tc>
          <w:tcPr>
            <w:tcW w:w="1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4,000.6</w:t>
            </w:r>
          </w:p>
        </w:tc>
        <w:tc>
          <w:tcPr>
            <w:tcW w:w="1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5,197.1</w:t>
            </w:r>
          </w:p>
        </w:tc>
      </w:tr>
      <w:tr>
        <w:trPr>
          <w:trHeight w:val="191"/>
        </w:trPr>
        <w:tc>
          <w:tcPr>
            <w:tcW w:w="742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Cost method.................................................</w:t>
            </w:r>
          </w:p>
        </w:tc>
        <w:tc>
          <w:tcPr>
            <w:tcW w:w="1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345.1</w:t>
            </w:r>
          </w:p>
        </w:tc>
        <w:tc>
          <w:tcPr>
            <w:tcW w:w="1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128.4</w:t>
            </w:r>
          </w:p>
        </w:tc>
      </w:tr>
      <w:tr>
        <w:trPr>
          <w:trHeight w:val="191"/>
        </w:trPr>
        <w:tc>
          <w:tcPr>
            <w:tcW w:w="742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Equity method...............................................</w:t>
            </w:r>
          </w:p>
        </w:tc>
        <w:tc>
          <w:tcPr>
            <w:tcW w:w="1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228.5</w:t>
            </w:r>
          </w:p>
        </w:tc>
        <w:tc>
          <w:tcPr>
            <w:tcW w:w="1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396.1</w:t>
            </w:r>
          </w:p>
        </w:tc>
      </w:tr>
      <w:tr>
        <w:trPr>
          <w:trHeight w:val="191"/>
        </w:trPr>
        <w:tc>
          <w:tcPr>
            <w:tcW w:w="7420" w:type="dxa"/>
            <w:vAlign w:val="bottom"/>
          </w:tcPr>
          <w:p>
            <w:pPr>
              <w:spacing w:after="0"/>
              <w:rPr>
                <w:sz w:val="16"/>
                <w:szCs w:val="16"/>
                <w:color w:val="auto"/>
              </w:rPr>
            </w:pPr>
          </w:p>
        </w:tc>
        <w:tc>
          <w:tcPr>
            <w:tcW w:w="1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42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Total investments....................................</w:t>
            </w:r>
          </w:p>
        </w:tc>
        <w:tc>
          <w:tcPr>
            <w:tcW w:w="1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4,574.2</w:t>
            </w:r>
          </w:p>
        </w:tc>
        <w:tc>
          <w:tcPr>
            <w:tcW w:w="1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5,721.6</w:t>
            </w:r>
          </w:p>
        </w:tc>
      </w:tr>
      <w:tr>
        <w:trPr>
          <w:trHeight w:val="383"/>
        </w:trPr>
        <w:tc>
          <w:tcPr>
            <w:tcW w:w="742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Less, current investments...................................</w:t>
            </w:r>
          </w:p>
        </w:tc>
        <w:tc>
          <w:tcPr>
            <w:tcW w:w="18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1,271.9</w:t>
            </w:r>
          </w:p>
        </w:tc>
        <w:tc>
          <w:tcPr>
            <w:tcW w:w="14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3,059.7</w:t>
            </w:r>
          </w:p>
        </w:tc>
      </w:tr>
      <w:tr>
        <w:trPr>
          <w:trHeight w:val="191"/>
        </w:trPr>
        <w:tc>
          <w:tcPr>
            <w:tcW w:w="7420" w:type="dxa"/>
            <w:vAlign w:val="bottom"/>
          </w:tcPr>
          <w:p>
            <w:pPr>
              <w:spacing w:after="0"/>
              <w:rPr>
                <w:sz w:val="16"/>
                <w:szCs w:val="16"/>
                <w:color w:val="auto"/>
              </w:rPr>
            </w:pPr>
          </w:p>
        </w:tc>
        <w:tc>
          <w:tcPr>
            <w:tcW w:w="1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42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Non-current investments.....................................</w:t>
            </w:r>
          </w:p>
        </w:tc>
        <w:tc>
          <w:tcPr>
            <w:tcW w:w="1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$3,302.3</w:t>
            </w:r>
          </w:p>
        </w:tc>
        <w:tc>
          <w:tcPr>
            <w:tcW w:w="1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$2,661.9</w:t>
            </w:r>
          </w:p>
        </w:tc>
      </w:tr>
      <w:tr>
        <w:trPr>
          <w:trHeight w:val="191"/>
        </w:trPr>
        <w:tc>
          <w:tcPr>
            <w:tcW w:w="7420" w:type="dxa"/>
            <w:vAlign w:val="bottom"/>
          </w:tcPr>
          <w:p>
            <w:pPr>
              <w:spacing w:after="0"/>
              <w:rPr>
                <w:sz w:val="16"/>
                <w:szCs w:val="16"/>
                <w:color w:val="auto"/>
              </w:rPr>
            </w:pPr>
          </w:p>
        </w:tc>
        <w:tc>
          <w:tcPr>
            <w:tcW w:w="1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Fair Value Method</w:t>
      </w:r>
    </w:p>
    <w:p>
      <w:pPr>
        <w:spacing w:after="0" w:line="5" w:lineRule="exact"/>
        <w:rPr>
          <w:sz w:val="20"/>
          <w:szCs w:val="20"/>
          <w:color w:val="auto"/>
        </w:rPr>
      </w:pPr>
    </w:p>
    <w:p>
      <w:pPr>
        <w:jc w:val="both"/>
        <w:ind w:left="500" w:right="2780"/>
        <w:spacing w:after="0" w:line="237" w:lineRule="auto"/>
        <w:rPr>
          <w:sz w:val="20"/>
          <w:szCs w:val="20"/>
          <w:color w:val="auto"/>
        </w:rPr>
      </w:pPr>
      <w:r>
        <w:rPr>
          <w:rFonts w:ascii="Courier New" w:cs="Courier New" w:eastAsia="Courier New" w:hAnsi="Courier New"/>
          <w:sz w:val="17"/>
          <w:szCs w:val="17"/>
          <w:color w:val="auto"/>
        </w:rPr>
        <w:t>The Company holds unrestricted equity investments in certain publicly traded companies which it accounts for as available for sale or trading securities. The unrealized pre-tax gains on available for sale investments as of September 30, 2001 and December 31, 2000 of $341.5 million and $707.1 million, respectively, have been reported in the Company's balance sheet principally as a component of accumulated other comprehensive income, net of related deferred income taxes of $119.5 million and $240.0 million, respectively.</w:t>
      </w:r>
    </w:p>
    <w:p>
      <w:pPr>
        <w:spacing w:after="0" w:line="200" w:lineRule="exact"/>
        <w:rPr>
          <w:sz w:val="20"/>
          <w:szCs w:val="20"/>
          <w:color w:val="auto"/>
        </w:rPr>
      </w:pPr>
    </w:p>
    <w:p>
      <w:pPr>
        <w:jc w:val="both"/>
        <w:ind w:left="500" w:right="2780"/>
        <w:spacing w:after="0" w:line="253" w:lineRule="auto"/>
        <w:rPr>
          <w:sz w:val="20"/>
          <w:szCs w:val="20"/>
          <w:color w:val="auto"/>
        </w:rPr>
      </w:pPr>
      <w:r>
        <w:rPr>
          <w:rFonts w:ascii="Courier New" w:cs="Courier New" w:eastAsia="Courier New" w:hAnsi="Courier New"/>
          <w:sz w:val="16"/>
          <w:szCs w:val="16"/>
          <w:color w:val="auto"/>
        </w:rPr>
        <w:t>In June 2001, the Company and AT&amp;T entered into an Amended and Restated Share Issuance Agreement (the "Share Issuance Agreement"). AT&amp;T issued to the Company approximately 80.3 million unregistered shares of AT&amp;T common stock and the Company agreed to settle its right under the Share Exchange Agreement (see Note 4 - Other Income) to exchange an aggregate 31.2 million Excite@Home shares and warrants held by the Company for shares of AT&amp;T common stock. The Company has registration rights, subject to customary restrictions, which allow the Company to require AT&amp;T to register the AT&amp;T shares received. Under the terms of the Share Issuance Agreement, the Company retained the Excite@Home shares and warrants held by it. The Company recorded to investment income a pre-tax gain of $296.3 million, representing the fair value of the increased consideration received by the Company to settle its right under the Share Exchange Agreement.</w:t>
      </w:r>
    </w:p>
    <w:p>
      <w:pPr>
        <w:spacing w:after="0" w:line="187"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Derivatives</w:t>
      </w:r>
    </w:p>
    <w:p>
      <w:pPr>
        <w:spacing w:after="0" w:line="5" w:lineRule="exact"/>
        <w:rPr>
          <w:sz w:val="20"/>
          <w:szCs w:val="20"/>
          <w:color w:val="auto"/>
        </w:rPr>
      </w:pPr>
    </w:p>
    <w:p>
      <w:pPr>
        <w:jc w:val="both"/>
        <w:ind w:left="500" w:right="2780"/>
        <w:spacing w:after="0" w:line="236" w:lineRule="auto"/>
        <w:rPr>
          <w:sz w:val="20"/>
          <w:szCs w:val="20"/>
          <w:color w:val="auto"/>
        </w:rPr>
      </w:pPr>
      <w:r>
        <w:rPr>
          <w:rFonts w:ascii="Courier New" w:cs="Courier New" w:eastAsia="Courier New" w:hAnsi="Courier New"/>
          <w:sz w:val="17"/>
          <w:szCs w:val="17"/>
          <w:color w:val="auto"/>
        </w:rPr>
        <w:t>The Company uses derivative financial instruments to manage its exposure to fluctuations in interest rates, securities prices and certain foreign currencies. The Company also invests in businesses, to some degree, through the purchase of equity call option or call warrant agreements.</w:t>
      </w:r>
    </w:p>
    <w:p>
      <w:pPr>
        <w:spacing w:after="0" w:line="199" w:lineRule="exact"/>
        <w:rPr>
          <w:sz w:val="20"/>
          <w:szCs w:val="20"/>
          <w:color w:val="auto"/>
        </w:rPr>
      </w:pPr>
    </w:p>
    <w:p>
      <w:pPr>
        <w:jc w:val="both"/>
        <w:ind w:left="500" w:right="2780"/>
        <w:spacing w:after="0" w:line="237" w:lineRule="auto"/>
        <w:rPr>
          <w:sz w:val="20"/>
          <w:szCs w:val="20"/>
          <w:color w:val="auto"/>
        </w:rPr>
      </w:pPr>
      <w:r>
        <w:rPr>
          <w:rFonts w:ascii="Courier New" w:cs="Courier New" w:eastAsia="Courier New" w:hAnsi="Courier New"/>
          <w:sz w:val="17"/>
          <w:szCs w:val="17"/>
          <w:color w:val="auto"/>
        </w:rPr>
        <w:t>In August 2001, the Company entered into a ten year prepaid forward sale (the "Prepaid Forward") of 4.0 million shares of Sprint PCS common stock held by the Company with a fair value of approximately $98 million and the Company received $78.3 million in cash. At maturity, the counterparty is entitled to receive between 2.5 million and 4.0 million shares of Sprint PCS common stock, or an equivalent amount of cash at the Company's option, based upon the market value of Sprint PCS common stock at that time. The Company split the Prepaid Forward into its liability and derivative components and recorded the Prepaid Forward obligation in other long-term liabilities.</w:t>
      </w:r>
    </w:p>
    <w:p>
      <w:pPr>
        <w:spacing w:after="0" w:line="202" w:lineRule="exact"/>
        <w:rPr>
          <w:sz w:val="20"/>
          <w:szCs w:val="20"/>
          <w:color w:val="auto"/>
        </w:rPr>
      </w:pPr>
    </w:p>
    <w:p>
      <w:pPr>
        <w:jc w:val="both"/>
        <w:ind w:left="500" w:right="2780"/>
        <w:spacing w:after="0" w:line="236" w:lineRule="auto"/>
        <w:rPr>
          <w:sz w:val="20"/>
          <w:szCs w:val="20"/>
          <w:color w:val="auto"/>
        </w:rPr>
      </w:pPr>
      <w:r>
        <w:rPr>
          <w:rFonts w:ascii="Courier New" w:cs="Courier New" w:eastAsia="Courier New" w:hAnsi="Courier New"/>
          <w:sz w:val="17"/>
          <w:szCs w:val="17"/>
          <w:color w:val="auto"/>
        </w:rPr>
        <w:t>The unrealized pre-tax losses on cash flow hedges as of September 30, 2001 of $4.7 million have been reported in the Company's balance sheet as a component of accumulated other comprehensive income, net of related deferred income taxes of $1.6 million.</w:t>
      </w:r>
    </w:p>
    <w:p>
      <w:pPr>
        <w:spacing w:after="0" w:line="38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740"/>
          </w:cols>
          <w:pgMar w:left="240" w:top="683" w:right="919" w:bottom="97" w:gutter="0" w:footer="0" w:header="0"/>
        </w:sectPr>
      </w:pPr>
    </w:p>
    <w:bookmarkStart w:id="13" w:name="page14"/>
    <w:bookmarkEnd w:id="13"/>
    <w:p>
      <w:pPr>
        <w:jc w:val="center"/>
        <w:ind w:right="3080"/>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2980"/>
        <w:spacing w:after="0" w:line="238" w:lineRule="auto"/>
        <w:rPr>
          <w:sz w:val="20"/>
          <w:szCs w:val="20"/>
          <w:color w:val="auto"/>
        </w:rPr>
      </w:pPr>
      <w:r>
        <w:rPr>
          <w:rFonts w:ascii="Courier New" w:cs="Courier New" w:eastAsia="Courier New" w:hAnsi="Courier New"/>
          <w:sz w:val="17"/>
          <w:szCs w:val="17"/>
          <w:color w:val="auto"/>
        </w:rPr>
        <w:t>FORM 10-Q</w:t>
      </w:r>
    </w:p>
    <w:p>
      <w:pPr>
        <w:jc w:val="center"/>
        <w:ind w:right="3080"/>
        <w:spacing w:after="0" w:line="238" w:lineRule="auto"/>
        <w:rPr>
          <w:sz w:val="20"/>
          <w:szCs w:val="20"/>
          <w:color w:val="auto"/>
        </w:rPr>
      </w:pPr>
      <w:r>
        <w:rPr>
          <w:rFonts w:ascii="Courier New" w:cs="Courier New" w:eastAsia="Courier New" w:hAnsi="Courier New"/>
          <w:sz w:val="17"/>
          <w:szCs w:val="17"/>
          <w:color w:val="auto"/>
        </w:rPr>
        <w:t>QUARTER ENDED SEPTEMBER 30, 2001</w:t>
      </w:r>
    </w:p>
    <w:p>
      <w:pPr>
        <w:jc w:val="center"/>
        <w:ind w:right="3080"/>
        <w:spacing w:after="0"/>
        <w:rPr>
          <w:sz w:val="20"/>
          <w:szCs w:val="20"/>
          <w:color w:val="auto"/>
        </w:rPr>
      </w:pPr>
      <w:r>
        <w:rPr>
          <w:rFonts w:ascii="Courier New" w:cs="Courier New" w:eastAsia="Courier New" w:hAnsi="Courier New"/>
          <w:sz w:val="17"/>
          <w:szCs w:val="17"/>
          <w:color w:val="auto"/>
        </w:rPr>
        <w:t>NOTES TO CONDENSED CONSOLIDATED FINANCIAL STATEMENTS - CONTINUED</w:t>
      </w:r>
    </w:p>
    <w:p>
      <w:pPr>
        <w:jc w:val="center"/>
        <w:ind w:right="2980"/>
        <w:spacing w:after="0" w:line="237" w:lineRule="auto"/>
        <w:rPr>
          <w:sz w:val="20"/>
          <w:szCs w:val="20"/>
          <w:color w:val="auto"/>
        </w:rPr>
      </w:pPr>
      <w:r>
        <w:rPr>
          <w:rFonts w:ascii="Courier New" w:cs="Courier New" w:eastAsia="Courier New" w:hAnsi="Courier New"/>
          <w:sz w:val="17"/>
          <w:szCs w:val="17"/>
          <w:color w:val="auto"/>
        </w:rPr>
        <w:t>(Unaudited)</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Investment Income</w:t>
      </w:r>
    </w:p>
    <w:p>
      <w:pPr>
        <w:spacing w:after="0" w:line="5" w:lineRule="exact"/>
        <w:rPr>
          <w:sz w:val="20"/>
          <w:szCs w:val="20"/>
          <w:color w:val="auto"/>
        </w:rPr>
      </w:pPr>
    </w:p>
    <w:p>
      <w:pPr>
        <w:jc w:val="both"/>
        <w:ind w:left="500" w:right="3080"/>
        <w:spacing w:after="0" w:line="235" w:lineRule="auto"/>
        <w:rPr>
          <w:sz w:val="20"/>
          <w:szCs w:val="20"/>
          <w:color w:val="auto"/>
        </w:rPr>
      </w:pPr>
      <w:r>
        <w:rPr>
          <w:rFonts w:ascii="Courier New" w:cs="Courier New" w:eastAsia="Courier New" w:hAnsi="Courier New"/>
          <w:sz w:val="17"/>
          <w:szCs w:val="17"/>
          <w:color w:val="auto"/>
        </w:rPr>
        <w:t>Investment income for the interim periods includes the following (in millions):</w:t>
      </w:r>
    </w:p>
    <w:p>
      <w:pPr>
        <w:spacing w:after="0" w:line="200" w:lineRule="exact"/>
        <w:rPr>
          <w:sz w:val="20"/>
          <w:szCs w:val="20"/>
          <w:color w:val="auto"/>
        </w:rPr>
      </w:pPr>
    </w:p>
    <w:p>
      <w:pPr>
        <w:spacing w:after="0" w:line="373"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5760" w:type="dxa"/>
            <w:vAlign w:val="bottom"/>
          </w:tcPr>
          <w:p>
            <w:pPr>
              <w:spacing w:after="0"/>
              <w:rPr>
                <w:sz w:val="16"/>
                <w:szCs w:val="16"/>
                <w:color w:val="auto"/>
              </w:rPr>
            </w:pPr>
          </w:p>
        </w:tc>
        <w:tc>
          <w:tcPr>
            <w:tcW w:w="2300" w:type="dxa"/>
            <w:vAlign w:val="bottom"/>
            <w:gridSpan w:val="2"/>
          </w:tcPr>
          <w:p>
            <w:pPr>
              <w:jc w:val="right"/>
              <w:ind w:right="317"/>
              <w:spacing w:after="0"/>
              <w:rPr>
                <w:sz w:val="20"/>
                <w:szCs w:val="20"/>
                <w:color w:val="auto"/>
              </w:rPr>
            </w:pPr>
            <w:r>
              <w:rPr>
                <w:rFonts w:ascii="Courier New" w:cs="Courier New" w:eastAsia="Courier New" w:hAnsi="Courier New"/>
                <w:sz w:val="17"/>
                <w:szCs w:val="17"/>
                <w:color w:val="auto"/>
              </w:rPr>
              <w:t>Three Months Ended</w:t>
            </w:r>
          </w:p>
        </w:tc>
        <w:tc>
          <w:tcPr>
            <w:tcW w:w="248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Nine Months Ended</w:t>
            </w:r>
          </w:p>
        </w:tc>
      </w:tr>
      <w:tr>
        <w:trPr>
          <w:trHeight w:val="191"/>
        </w:trPr>
        <w:tc>
          <w:tcPr>
            <w:tcW w:w="5760" w:type="dxa"/>
            <w:vAlign w:val="bottom"/>
          </w:tcPr>
          <w:p>
            <w:pPr>
              <w:spacing w:after="0"/>
              <w:rPr>
                <w:sz w:val="16"/>
                <w:szCs w:val="16"/>
                <w:color w:val="auto"/>
              </w:rPr>
            </w:pPr>
          </w:p>
        </w:tc>
        <w:tc>
          <w:tcPr>
            <w:tcW w:w="2300" w:type="dxa"/>
            <w:vAlign w:val="bottom"/>
            <w:gridSpan w:val="2"/>
          </w:tcPr>
          <w:p>
            <w:pPr>
              <w:jc w:val="right"/>
              <w:ind w:right="617"/>
              <w:spacing w:after="0" w:line="191" w:lineRule="exact"/>
              <w:rPr>
                <w:sz w:val="20"/>
                <w:szCs w:val="20"/>
                <w:color w:val="auto"/>
              </w:rPr>
            </w:pPr>
            <w:r>
              <w:rPr>
                <w:rFonts w:ascii="Courier New" w:cs="Courier New" w:eastAsia="Courier New" w:hAnsi="Courier New"/>
                <w:sz w:val="17"/>
                <w:szCs w:val="17"/>
                <w:color w:val="auto"/>
              </w:rPr>
              <w:t>September 30,</w:t>
            </w:r>
          </w:p>
        </w:tc>
        <w:tc>
          <w:tcPr>
            <w:tcW w:w="248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September 30,</w:t>
            </w:r>
          </w:p>
        </w:tc>
      </w:tr>
      <w:tr>
        <w:trPr>
          <w:trHeight w:val="191"/>
        </w:trPr>
        <w:tc>
          <w:tcPr>
            <w:tcW w:w="5760" w:type="dxa"/>
            <w:vAlign w:val="bottom"/>
          </w:tcPr>
          <w:p>
            <w:pPr>
              <w:spacing w:after="0"/>
              <w:rPr>
                <w:sz w:val="16"/>
                <w:szCs w:val="16"/>
                <w:color w:val="auto"/>
              </w:rPr>
            </w:pPr>
          </w:p>
        </w:tc>
        <w:tc>
          <w:tcPr>
            <w:tcW w:w="106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2001</w:t>
            </w:r>
          </w:p>
        </w:tc>
        <w:tc>
          <w:tcPr>
            <w:tcW w:w="1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2000</w:t>
            </w:r>
          </w:p>
        </w:tc>
        <w:tc>
          <w:tcPr>
            <w:tcW w:w="13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2001</w:t>
            </w:r>
          </w:p>
        </w:tc>
        <w:tc>
          <w:tcPr>
            <w:tcW w:w="11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2000</w:t>
            </w:r>
          </w:p>
        </w:tc>
      </w:tr>
      <w:tr>
        <w:trPr>
          <w:trHeight w:val="191"/>
        </w:trPr>
        <w:tc>
          <w:tcPr>
            <w:tcW w:w="5760" w:type="dxa"/>
            <w:vAlign w:val="bottom"/>
          </w:tcPr>
          <w:p>
            <w:pPr>
              <w:spacing w:after="0"/>
              <w:rPr>
                <w:sz w:val="16"/>
                <w:szCs w:val="16"/>
                <w:color w:val="auto"/>
              </w:rPr>
            </w:pPr>
          </w:p>
        </w:tc>
        <w:tc>
          <w:tcPr>
            <w:tcW w:w="10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5"/>
              </w:rPr>
              <w:t>--------</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760" w:type="dxa"/>
            <w:vAlign w:val="bottom"/>
          </w:tcPr>
          <w:p>
            <w:pPr>
              <w:jc w:val="right"/>
              <w:spacing w:after="0"/>
              <w:rPr>
                <w:sz w:val="20"/>
                <w:szCs w:val="20"/>
                <w:color w:val="auto"/>
              </w:rPr>
            </w:pPr>
            <w:r>
              <w:rPr>
                <w:rFonts w:ascii="Courier New" w:cs="Courier New" w:eastAsia="Courier New" w:hAnsi="Courier New"/>
                <w:sz w:val="17"/>
                <w:szCs w:val="17"/>
                <w:color w:val="auto"/>
                <w:w w:val="97"/>
              </w:rPr>
              <w:t>Interest and dividend income..............................</w:t>
            </w:r>
          </w:p>
        </w:tc>
        <w:tc>
          <w:tcPr>
            <w:tcW w:w="106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$25.6</w:t>
            </w:r>
          </w:p>
        </w:tc>
        <w:tc>
          <w:tcPr>
            <w:tcW w:w="12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$37.9</w:t>
            </w:r>
          </w:p>
        </w:tc>
        <w:tc>
          <w:tcPr>
            <w:tcW w:w="13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$60.6</w:t>
            </w:r>
          </w:p>
        </w:tc>
        <w:tc>
          <w:tcPr>
            <w:tcW w:w="11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$143.1</w:t>
            </w:r>
          </w:p>
        </w:tc>
      </w:tr>
      <w:tr>
        <w:trPr>
          <w:trHeight w:val="191"/>
        </w:trPr>
        <w:tc>
          <w:tcPr>
            <w:tcW w:w="5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Gains on sales and exchanges of investments...............</w:t>
            </w:r>
          </w:p>
        </w:tc>
        <w:tc>
          <w:tcPr>
            <w:tcW w:w="10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17.2</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27.5</w:t>
            </w:r>
          </w:p>
        </w:tc>
        <w:tc>
          <w:tcPr>
            <w:tcW w:w="13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476.8</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889.1</w:t>
            </w:r>
          </w:p>
        </w:tc>
      </w:tr>
      <w:tr>
        <w:trPr>
          <w:trHeight w:val="191"/>
        </w:trPr>
        <w:tc>
          <w:tcPr>
            <w:tcW w:w="5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Investment impairment losses..............................</w:t>
            </w: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(15.7)</w:t>
            </w:r>
          </w:p>
        </w:tc>
        <w:tc>
          <w:tcPr>
            <w:tcW w:w="1240" w:type="dxa"/>
            <w:vAlign w:val="bottom"/>
          </w:tcPr>
          <w:p>
            <w:pPr>
              <w:spacing w:after="0"/>
              <w:rPr>
                <w:sz w:val="16"/>
                <w:szCs w:val="16"/>
                <w:color w:val="auto"/>
              </w:rPr>
            </w:pPr>
          </w:p>
        </w:tc>
        <w:tc>
          <w:tcPr>
            <w:tcW w:w="13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(954.8)</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(7.4)</w:t>
            </w:r>
          </w:p>
        </w:tc>
      </w:tr>
      <w:tr>
        <w:trPr>
          <w:trHeight w:val="191"/>
        </w:trPr>
        <w:tc>
          <w:tcPr>
            <w:tcW w:w="5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Reclassification of unrealized gains......................</w:t>
            </w:r>
          </w:p>
        </w:tc>
        <w:tc>
          <w:tcPr>
            <w:tcW w:w="10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237.9</w:t>
            </w:r>
          </w:p>
        </w:tc>
        <w:tc>
          <w:tcPr>
            <w:tcW w:w="1240" w:type="dxa"/>
            <w:vAlign w:val="bottom"/>
          </w:tcPr>
          <w:p>
            <w:pPr>
              <w:spacing w:after="0"/>
              <w:rPr>
                <w:sz w:val="16"/>
                <w:szCs w:val="16"/>
                <w:color w:val="auto"/>
              </w:rPr>
            </w:pPr>
          </w:p>
        </w:tc>
        <w:tc>
          <w:tcPr>
            <w:tcW w:w="13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1,330.3</w:t>
            </w:r>
          </w:p>
        </w:tc>
        <w:tc>
          <w:tcPr>
            <w:tcW w:w="1100" w:type="dxa"/>
            <w:vAlign w:val="bottom"/>
          </w:tcPr>
          <w:p>
            <w:pPr>
              <w:spacing w:after="0"/>
              <w:rPr>
                <w:sz w:val="16"/>
                <w:szCs w:val="16"/>
                <w:color w:val="auto"/>
              </w:rPr>
            </w:pPr>
          </w:p>
        </w:tc>
      </w:tr>
      <w:tr>
        <w:trPr>
          <w:trHeight w:val="191"/>
        </w:trPr>
        <w:tc>
          <w:tcPr>
            <w:tcW w:w="5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Unrealized gain on Sprint PCS common stock................</w:t>
            </w:r>
          </w:p>
        </w:tc>
        <w:tc>
          <w:tcPr>
            <w:tcW w:w="10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154.5</w:t>
            </w:r>
          </w:p>
        </w:tc>
        <w:tc>
          <w:tcPr>
            <w:tcW w:w="1240" w:type="dxa"/>
            <w:vAlign w:val="bottom"/>
          </w:tcPr>
          <w:p>
            <w:pPr>
              <w:spacing w:after="0"/>
              <w:rPr>
                <w:sz w:val="16"/>
                <w:szCs w:val="16"/>
                <w:color w:val="auto"/>
              </w:rPr>
            </w:pPr>
          </w:p>
        </w:tc>
        <w:tc>
          <w:tcPr>
            <w:tcW w:w="13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420.1</w:t>
            </w:r>
          </w:p>
        </w:tc>
        <w:tc>
          <w:tcPr>
            <w:tcW w:w="1100" w:type="dxa"/>
            <w:vAlign w:val="bottom"/>
          </w:tcPr>
          <w:p>
            <w:pPr>
              <w:spacing w:after="0"/>
              <w:rPr>
                <w:sz w:val="16"/>
                <w:szCs w:val="16"/>
                <w:color w:val="auto"/>
              </w:rPr>
            </w:pPr>
          </w:p>
        </w:tc>
      </w:tr>
      <w:tr>
        <w:trPr>
          <w:trHeight w:val="191"/>
        </w:trPr>
        <w:tc>
          <w:tcPr>
            <w:tcW w:w="5760" w:type="dxa"/>
            <w:vAlign w:val="bottom"/>
          </w:tcPr>
          <w:p>
            <w:pPr>
              <w:spacing w:after="0" w:line="191" w:lineRule="exact"/>
              <w:rPr>
                <w:sz w:val="20"/>
                <w:szCs w:val="20"/>
                <w:color w:val="auto"/>
              </w:rPr>
            </w:pPr>
            <w:r>
              <w:rPr>
                <w:rFonts w:ascii="Courier New" w:cs="Courier New" w:eastAsia="Courier New" w:hAnsi="Courier New"/>
                <w:sz w:val="17"/>
                <w:szCs w:val="17"/>
                <w:color w:val="auto"/>
              </w:rPr>
              <w:t>Mark to market adjustments on derivatives related</w:t>
            </w:r>
          </w:p>
        </w:tc>
        <w:tc>
          <w:tcPr>
            <w:tcW w:w="1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 Sprint PCS common stock...........................</w:t>
            </w: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(120.2)</w:t>
            </w:r>
          </w:p>
        </w:tc>
        <w:tc>
          <w:tcPr>
            <w:tcW w:w="1240" w:type="dxa"/>
            <w:vAlign w:val="bottom"/>
          </w:tcPr>
          <w:p>
            <w:pPr>
              <w:spacing w:after="0"/>
              <w:rPr>
                <w:sz w:val="16"/>
                <w:szCs w:val="16"/>
                <w:color w:val="auto"/>
              </w:rPr>
            </w:pPr>
          </w:p>
        </w:tc>
        <w:tc>
          <w:tcPr>
            <w:tcW w:w="13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(311.7)</w:t>
            </w:r>
          </w:p>
        </w:tc>
        <w:tc>
          <w:tcPr>
            <w:tcW w:w="1100" w:type="dxa"/>
            <w:vAlign w:val="bottom"/>
          </w:tcPr>
          <w:p>
            <w:pPr>
              <w:spacing w:after="0"/>
              <w:rPr>
                <w:sz w:val="16"/>
                <w:szCs w:val="16"/>
                <w:color w:val="auto"/>
              </w:rPr>
            </w:pPr>
          </w:p>
        </w:tc>
      </w:tr>
      <w:tr>
        <w:trPr>
          <w:trHeight w:val="191"/>
        </w:trPr>
        <w:tc>
          <w:tcPr>
            <w:tcW w:w="5760" w:type="dxa"/>
            <w:vAlign w:val="bottom"/>
          </w:tcPr>
          <w:p>
            <w:pPr>
              <w:spacing w:after="0" w:line="191" w:lineRule="exact"/>
              <w:rPr>
                <w:sz w:val="20"/>
                <w:szCs w:val="20"/>
                <w:color w:val="auto"/>
              </w:rPr>
            </w:pPr>
            <w:r>
              <w:rPr>
                <w:rFonts w:ascii="Courier New" w:cs="Courier New" w:eastAsia="Courier New" w:hAnsi="Courier New"/>
                <w:sz w:val="17"/>
                <w:szCs w:val="17"/>
                <w:color w:val="auto"/>
              </w:rPr>
              <w:t>Mark to market adjustments on derivatives and</w:t>
            </w:r>
          </w:p>
        </w:tc>
        <w:tc>
          <w:tcPr>
            <w:tcW w:w="1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hedged items.........................................</w:t>
            </w:r>
          </w:p>
        </w:tc>
        <w:tc>
          <w:tcPr>
            <w:tcW w:w="10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29.0</w:t>
            </w:r>
          </w:p>
        </w:tc>
        <w:tc>
          <w:tcPr>
            <w:tcW w:w="1240" w:type="dxa"/>
            <w:vAlign w:val="bottom"/>
          </w:tcPr>
          <w:p>
            <w:pPr>
              <w:spacing w:after="0"/>
              <w:rPr>
                <w:sz w:val="16"/>
                <w:szCs w:val="16"/>
                <w:color w:val="auto"/>
              </w:rPr>
            </w:pPr>
          </w:p>
        </w:tc>
        <w:tc>
          <w:tcPr>
            <w:tcW w:w="13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24.4</w:t>
            </w:r>
          </w:p>
        </w:tc>
        <w:tc>
          <w:tcPr>
            <w:tcW w:w="1100" w:type="dxa"/>
            <w:vAlign w:val="bottom"/>
          </w:tcPr>
          <w:p>
            <w:pPr>
              <w:spacing w:after="0"/>
              <w:rPr>
                <w:sz w:val="16"/>
                <w:szCs w:val="16"/>
                <w:color w:val="auto"/>
              </w:rPr>
            </w:pPr>
          </w:p>
        </w:tc>
      </w:tr>
      <w:tr>
        <w:trPr>
          <w:trHeight w:val="191"/>
        </w:trPr>
        <w:tc>
          <w:tcPr>
            <w:tcW w:w="5760" w:type="dxa"/>
            <w:vAlign w:val="bottom"/>
          </w:tcPr>
          <w:p>
            <w:pPr>
              <w:spacing w:after="0"/>
              <w:rPr>
                <w:sz w:val="16"/>
                <w:szCs w:val="16"/>
                <w:color w:val="auto"/>
              </w:rPr>
            </w:pPr>
          </w:p>
        </w:tc>
        <w:tc>
          <w:tcPr>
            <w:tcW w:w="10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5"/>
              </w:rPr>
              <w:t>--------</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760" w:type="dxa"/>
            <w:vAlign w:val="bottom"/>
          </w:tcPr>
          <w:p>
            <w:pPr>
              <w:jc w:val="right"/>
              <w:spacing w:after="0"/>
              <w:rPr>
                <w:sz w:val="20"/>
                <w:szCs w:val="20"/>
                <w:color w:val="auto"/>
              </w:rPr>
            </w:pPr>
            <w:r>
              <w:rPr>
                <w:rFonts w:ascii="Courier New" w:cs="Courier New" w:eastAsia="Courier New" w:hAnsi="Courier New"/>
                <w:sz w:val="17"/>
                <w:szCs w:val="17"/>
                <w:color w:val="auto"/>
              </w:rPr>
              <w:t>Investment income....................................</w:t>
            </w:r>
          </w:p>
        </w:tc>
        <w:tc>
          <w:tcPr>
            <w:tcW w:w="106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$328.3</w:t>
            </w:r>
          </w:p>
        </w:tc>
        <w:tc>
          <w:tcPr>
            <w:tcW w:w="12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$65.4</w:t>
            </w:r>
          </w:p>
        </w:tc>
        <w:tc>
          <w:tcPr>
            <w:tcW w:w="13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$1,045.7</w:t>
            </w:r>
          </w:p>
        </w:tc>
        <w:tc>
          <w:tcPr>
            <w:tcW w:w="11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$1,024.8</w:t>
            </w:r>
          </w:p>
        </w:tc>
      </w:tr>
      <w:tr>
        <w:trPr>
          <w:trHeight w:val="191"/>
        </w:trPr>
        <w:tc>
          <w:tcPr>
            <w:tcW w:w="5760" w:type="dxa"/>
            <w:vAlign w:val="bottom"/>
          </w:tcPr>
          <w:p>
            <w:pPr>
              <w:spacing w:after="0"/>
              <w:rPr>
                <w:sz w:val="16"/>
                <w:szCs w:val="16"/>
                <w:color w:val="auto"/>
              </w:rPr>
            </w:pPr>
          </w:p>
        </w:tc>
        <w:tc>
          <w:tcPr>
            <w:tcW w:w="10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5"/>
              </w:rPr>
              <w:t>========</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jc w:val="both"/>
        <w:ind w:left="500" w:right="3080"/>
        <w:spacing w:after="0" w:line="236" w:lineRule="auto"/>
        <w:rPr>
          <w:sz w:val="20"/>
          <w:szCs w:val="20"/>
          <w:color w:val="auto"/>
        </w:rPr>
      </w:pPr>
      <w:r>
        <w:rPr>
          <w:rFonts w:ascii="Courier New" w:cs="Courier New" w:eastAsia="Courier New" w:hAnsi="Courier New"/>
          <w:sz w:val="17"/>
          <w:szCs w:val="17"/>
          <w:color w:val="auto"/>
        </w:rPr>
        <w:t>The investment impairment loss for the nine months ended September 30, 2001 relates principally to an other than temporary decline in the Company's investment in AT&amp;T, a portion of which was exchanged on April 30, 2001 (see Note 4 - AT&amp;T Cable Systems Acquisition).</w:t>
      </w:r>
    </w:p>
    <w:p>
      <w:pPr>
        <w:spacing w:after="0" w:line="199" w:lineRule="exact"/>
        <w:rPr>
          <w:sz w:val="20"/>
          <w:szCs w:val="20"/>
          <w:color w:val="auto"/>
        </w:rPr>
      </w:pPr>
    </w:p>
    <w:p>
      <w:pPr>
        <w:jc w:val="both"/>
        <w:ind w:left="500" w:right="3080"/>
        <w:spacing w:after="0" w:line="253" w:lineRule="auto"/>
        <w:rPr>
          <w:sz w:val="20"/>
          <w:szCs w:val="20"/>
          <w:color w:val="auto"/>
        </w:rPr>
      </w:pPr>
      <w:r>
        <w:rPr>
          <w:rFonts w:ascii="Courier New" w:cs="Courier New" w:eastAsia="Courier New" w:hAnsi="Courier New"/>
          <w:sz w:val="16"/>
          <w:szCs w:val="16"/>
          <w:color w:val="auto"/>
        </w:rPr>
        <w:t>During the three months ended September 30, 2001, the Company wrote-off its investment in Excite@Home common stock based upon a decline in the investment that was considered other than temporary. In connection with the realization of this impairment loss, the Company reclassified to investment income the accumulated unrealized gain of $237.9 million on the Company's investment in Excite@Home common stock which was previously recorded as a component of accumulated other comprehensive income. The Company recorded this accumulated unrealized gain prior to the Company's designation of its right under the Share Exchange Agreement as a hedge of the Company's investment in the Excite@Home common stock (see Note 4 - Other Income).</w:t>
      </w:r>
    </w:p>
    <w:p>
      <w:pPr>
        <w:spacing w:after="0" w:line="193" w:lineRule="exact"/>
        <w:rPr>
          <w:sz w:val="20"/>
          <w:szCs w:val="20"/>
          <w:color w:val="auto"/>
        </w:rPr>
      </w:pPr>
    </w:p>
    <w:p>
      <w:pPr>
        <w:jc w:val="both"/>
        <w:ind w:left="500" w:right="3080"/>
        <w:spacing w:after="0" w:line="237" w:lineRule="auto"/>
        <w:rPr>
          <w:sz w:val="20"/>
          <w:szCs w:val="20"/>
          <w:color w:val="auto"/>
        </w:rPr>
      </w:pPr>
      <w:r>
        <w:rPr>
          <w:rFonts w:ascii="Courier New" w:cs="Courier New" w:eastAsia="Courier New" w:hAnsi="Courier New"/>
          <w:sz w:val="17"/>
          <w:szCs w:val="17"/>
          <w:color w:val="auto"/>
        </w:rPr>
        <w:t>The Company reclassified its investment in Sprint PCS from an available for sale security to a trading security in connection with the adoption of SFAS No. 133. As a result, the Company reclassified to investment income the accumulated unrealized gain of $1.092 billion on the Company's investment in Sprint PCS which was previously recorded as a component of accumulated other comprehensive income.</w:t>
      </w:r>
    </w:p>
    <w:p>
      <w:pPr>
        <w:spacing w:after="0" w:line="191" w:lineRule="exact"/>
        <w:rPr>
          <w:sz w:val="20"/>
          <w:szCs w:val="20"/>
          <w:color w:val="auto"/>
        </w:rPr>
      </w:pPr>
    </w:p>
    <w:p>
      <w:pPr>
        <w:ind w:left="500" w:hanging="498"/>
        <w:spacing w:after="0"/>
        <w:tabs>
          <w:tab w:leader="none" w:pos="5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LONG-TERM DEBT</w:t>
      </w:r>
    </w:p>
    <w:p>
      <w:pPr>
        <w:spacing w:after="0" w:line="189"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Senior Notes Offerings</w:t>
      </w:r>
    </w:p>
    <w:p>
      <w:pPr>
        <w:spacing w:after="0" w:line="5" w:lineRule="exact"/>
        <w:rPr>
          <w:rFonts w:ascii="Courier New" w:cs="Courier New" w:eastAsia="Courier New" w:hAnsi="Courier New"/>
          <w:sz w:val="17"/>
          <w:szCs w:val="17"/>
          <w:color w:val="auto"/>
        </w:rPr>
      </w:pPr>
    </w:p>
    <w:p>
      <w:pPr>
        <w:jc w:val="both"/>
        <w:ind w:left="500" w:right="3080"/>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Comcast Cable Communications, Inc. ("Comcast Cable"), a wholly owned subsidiary of the Company, sold an aggregate of $3.0 billion of public debt during the nine months ended September 30, 2001 consisting of the following (dollars in millions):</w:t>
      </w:r>
    </w:p>
    <w:p>
      <w:pPr>
        <w:spacing w:after="0" w:line="384" w:lineRule="exact"/>
        <w:rPr>
          <w:sz w:val="20"/>
          <w:szCs w:val="20"/>
          <w:color w:val="auto"/>
        </w:rPr>
      </w:pPr>
    </w:p>
    <w:tbl>
      <w:tblPr>
        <w:tblLayout w:type="fixed"/>
        <w:tblInd w:w="800" w:type="dxa"/>
        <w:tblCellMar>
          <w:top w:w="0" w:type="dxa"/>
          <w:left w:w="0" w:type="dxa"/>
          <w:bottom w:w="0" w:type="dxa"/>
          <w:right w:w="0" w:type="dxa"/>
        </w:tblCellMar>
      </w:tblPr>
      <w:tr>
        <w:trPr>
          <w:trHeight w:val="193"/>
        </w:trPr>
        <w:tc>
          <w:tcPr>
            <w:tcW w:w="1940" w:type="dxa"/>
            <w:vAlign w:val="bottom"/>
          </w:tcPr>
          <w:p>
            <w:pPr>
              <w:ind w:left="100"/>
              <w:spacing w:after="0"/>
              <w:rPr>
                <w:sz w:val="20"/>
                <w:szCs w:val="20"/>
                <w:color w:val="auto"/>
              </w:rPr>
            </w:pPr>
            <w:r>
              <w:rPr>
                <w:rFonts w:ascii="Courier New" w:cs="Courier New" w:eastAsia="Courier New" w:hAnsi="Courier New"/>
                <w:sz w:val="17"/>
                <w:szCs w:val="17"/>
                <w:color w:val="auto"/>
              </w:rPr>
              <w:t>Issue Date</w:t>
            </w:r>
          </w:p>
        </w:tc>
        <w:tc>
          <w:tcPr>
            <w:tcW w:w="2380" w:type="dxa"/>
            <w:vAlign w:val="bottom"/>
          </w:tcPr>
          <w:p>
            <w:pPr>
              <w:jc w:val="right"/>
              <w:ind w:right="557"/>
              <w:spacing w:after="0"/>
              <w:rPr>
                <w:sz w:val="20"/>
                <w:szCs w:val="20"/>
                <w:color w:val="auto"/>
              </w:rPr>
            </w:pPr>
            <w:r>
              <w:rPr>
                <w:rFonts w:ascii="Courier New" w:cs="Courier New" w:eastAsia="Courier New" w:hAnsi="Courier New"/>
                <w:sz w:val="17"/>
                <w:szCs w:val="17"/>
                <w:color w:val="auto"/>
              </w:rPr>
              <w:t>Amount</w:t>
            </w:r>
          </w:p>
        </w:tc>
        <w:tc>
          <w:tcPr>
            <w:tcW w:w="13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Rate</w:t>
            </w:r>
          </w:p>
        </w:tc>
        <w:tc>
          <w:tcPr>
            <w:tcW w:w="1000" w:type="dxa"/>
            <w:vAlign w:val="bottom"/>
          </w:tcPr>
          <w:p>
            <w:pPr>
              <w:ind w:left="200"/>
              <w:spacing w:after="0"/>
              <w:rPr>
                <w:sz w:val="20"/>
                <w:szCs w:val="20"/>
                <w:color w:val="auto"/>
              </w:rPr>
            </w:pPr>
            <w:r>
              <w:rPr>
                <w:rFonts w:ascii="Courier New" w:cs="Courier New" w:eastAsia="Courier New" w:hAnsi="Courier New"/>
                <w:sz w:val="17"/>
                <w:szCs w:val="17"/>
                <w:color w:val="auto"/>
                <w:w w:val="95"/>
              </w:rPr>
              <w:t>Maturity</w:t>
            </w:r>
          </w:p>
        </w:tc>
      </w:tr>
      <w:tr>
        <w:trPr>
          <w:trHeight w:val="191"/>
        </w:trPr>
        <w:tc>
          <w:tcPr>
            <w:tcW w:w="1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c>
          <w:tcPr>
            <w:tcW w:w="2380" w:type="dxa"/>
            <w:vAlign w:val="bottom"/>
          </w:tcPr>
          <w:p>
            <w:pPr>
              <w:ind w:left="1140"/>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center"/>
              <w:ind w:left="117"/>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383"/>
        </w:trPr>
        <w:tc>
          <w:tcPr>
            <w:tcW w:w="1940" w:type="dxa"/>
            <w:vAlign w:val="bottom"/>
          </w:tcPr>
          <w:p>
            <w:pPr>
              <w:spacing w:after="0"/>
              <w:rPr>
                <w:sz w:val="20"/>
                <w:szCs w:val="20"/>
                <w:color w:val="auto"/>
              </w:rPr>
            </w:pPr>
            <w:r>
              <w:rPr>
                <w:rFonts w:ascii="Courier New" w:cs="Courier New" w:eastAsia="Courier New" w:hAnsi="Courier New"/>
                <w:sz w:val="17"/>
                <w:szCs w:val="17"/>
                <w:color w:val="auto"/>
              </w:rPr>
              <w:t>January 2001</w:t>
            </w:r>
          </w:p>
        </w:tc>
        <w:tc>
          <w:tcPr>
            <w:tcW w:w="238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$500.0</w:t>
            </w:r>
          </w:p>
        </w:tc>
        <w:tc>
          <w:tcPr>
            <w:tcW w:w="13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6.375%</w:t>
            </w:r>
          </w:p>
        </w:tc>
        <w:tc>
          <w:tcPr>
            <w:tcW w:w="1000" w:type="dxa"/>
            <w:vAlign w:val="bottom"/>
          </w:tcPr>
          <w:p>
            <w:pPr>
              <w:jc w:val="center"/>
              <w:ind w:left="117"/>
              <w:spacing w:after="0"/>
              <w:rPr>
                <w:sz w:val="20"/>
                <w:szCs w:val="20"/>
                <w:color w:val="auto"/>
              </w:rPr>
            </w:pPr>
            <w:r>
              <w:rPr>
                <w:rFonts w:ascii="Courier New" w:cs="Courier New" w:eastAsia="Courier New" w:hAnsi="Courier New"/>
                <w:sz w:val="17"/>
                <w:szCs w:val="17"/>
                <w:color w:val="auto"/>
                <w:w w:val="97"/>
              </w:rPr>
              <w:t>2006</w:t>
            </w: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January 2001</w:t>
            </w:r>
          </w:p>
        </w:tc>
        <w:tc>
          <w:tcPr>
            <w:tcW w:w="23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1,000.0</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6.75%</w:t>
            </w:r>
          </w:p>
        </w:tc>
        <w:tc>
          <w:tcPr>
            <w:tcW w:w="1000" w:type="dxa"/>
            <w:vAlign w:val="bottom"/>
          </w:tcPr>
          <w:p>
            <w:pPr>
              <w:jc w:val="center"/>
              <w:ind w:left="117"/>
              <w:spacing w:after="0" w:line="191" w:lineRule="exact"/>
              <w:rPr>
                <w:sz w:val="20"/>
                <w:szCs w:val="20"/>
                <w:color w:val="auto"/>
              </w:rPr>
            </w:pPr>
            <w:r>
              <w:rPr>
                <w:rFonts w:ascii="Courier New" w:cs="Courier New" w:eastAsia="Courier New" w:hAnsi="Courier New"/>
                <w:sz w:val="17"/>
                <w:szCs w:val="17"/>
                <w:color w:val="auto"/>
                <w:w w:val="97"/>
              </w:rPr>
              <w:t>2011</w:t>
            </w: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May/June 2001</w:t>
            </w:r>
          </w:p>
        </w:tc>
        <w:tc>
          <w:tcPr>
            <w:tcW w:w="23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750.0</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6.875%</w:t>
            </w:r>
          </w:p>
        </w:tc>
        <w:tc>
          <w:tcPr>
            <w:tcW w:w="1000" w:type="dxa"/>
            <w:vAlign w:val="bottom"/>
          </w:tcPr>
          <w:p>
            <w:pPr>
              <w:jc w:val="center"/>
              <w:ind w:left="117"/>
              <w:spacing w:after="0" w:line="191" w:lineRule="exact"/>
              <w:rPr>
                <w:sz w:val="20"/>
                <w:szCs w:val="20"/>
                <w:color w:val="auto"/>
              </w:rPr>
            </w:pPr>
            <w:r>
              <w:rPr>
                <w:rFonts w:ascii="Courier New" w:cs="Courier New" w:eastAsia="Courier New" w:hAnsi="Courier New"/>
                <w:sz w:val="17"/>
                <w:szCs w:val="17"/>
                <w:color w:val="auto"/>
                <w:w w:val="97"/>
              </w:rPr>
              <w:t>2009</w:t>
            </w: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May/June 2001</w:t>
            </w:r>
          </w:p>
        </w:tc>
        <w:tc>
          <w:tcPr>
            <w:tcW w:w="23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750.0</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7.125%</w:t>
            </w:r>
          </w:p>
        </w:tc>
        <w:tc>
          <w:tcPr>
            <w:tcW w:w="1000" w:type="dxa"/>
            <w:vAlign w:val="bottom"/>
          </w:tcPr>
          <w:p>
            <w:pPr>
              <w:jc w:val="center"/>
              <w:ind w:left="117"/>
              <w:spacing w:after="0" w:line="191" w:lineRule="exact"/>
              <w:rPr>
                <w:sz w:val="20"/>
                <w:szCs w:val="20"/>
                <w:color w:val="auto"/>
              </w:rPr>
            </w:pPr>
            <w:r>
              <w:rPr>
                <w:rFonts w:ascii="Courier New" w:cs="Courier New" w:eastAsia="Courier New" w:hAnsi="Courier New"/>
                <w:sz w:val="17"/>
                <w:szCs w:val="17"/>
                <w:color w:val="auto"/>
                <w:w w:val="97"/>
              </w:rPr>
              <w:t>2013</w:t>
            </w:r>
          </w:p>
        </w:tc>
      </w:tr>
      <w:tr>
        <w:trPr>
          <w:trHeight w:val="191"/>
        </w:trPr>
        <w:tc>
          <w:tcPr>
            <w:tcW w:w="1940" w:type="dxa"/>
            <w:vAlign w:val="bottom"/>
          </w:tcPr>
          <w:p>
            <w:pPr>
              <w:spacing w:after="0"/>
              <w:rPr>
                <w:sz w:val="16"/>
                <w:szCs w:val="16"/>
                <w:color w:val="auto"/>
              </w:rPr>
            </w:pPr>
          </w:p>
        </w:tc>
        <w:tc>
          <w:tcPr>
            <w:tcW w:w="23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w:t>
            </w:r>
          </w:p>
        </w:tc>
        <w:tc>
          <w:tcPr>
            <w:tcW w:w="23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$3,000.0</w:t>
            </w:r>
          </w:p>
        </w:tc>
        <w:tc>
          <w:tcPr>
            <w:tcW w:w="1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1940" w:type="dxa"/>
            <w:vAlign w:val="bottom"/>
          </w:tcPr>
          <w:p>
            <w:pPr>
              <w:spacing w:after="0"/>
              <w:rPr>
                <w:sz w:val="16"/>
                <w:szCs w:val="16"/>
                <w:color w:val="auto"/>
              </w:rPr>
            </w:pPr>
          </w:p>
        </w:tc>
        <w:tc>
          <w:tcPr>
            <w:tcW w:w="23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574"/>
        </w:trPr>
        <w:tc>
          <w:tcPr>
            <w:tcW w:w="1940" w:type="dxa"/>
            <w:vAlign w:val="bottom"/>
          </w:tcPr>
          <w:p>
            <w:pPr>
              <w:spacing w:after="0"/>
              <w:rPr>
                <w:sz w:val="24"/>
                <w:szCs w:val="24"/>
                <w:color w:val="auto"/>
              </w:rPr>
            </w:pPr>
          </w:p>
        </w:tc>
        <w:tc>
          <w:tcPr>
            <w:tcW w:w="2380" w:type="dxa"/>
            <w:vAlign w:val="bottom"/>
          </w:tcPr>
          <w:p>
            <w:pPr>
              <w:ind w:left="1140"/>
              <w:spacing w:after="0"/>
              <w:rPr>
                <w:sz w:val="20"/>
                <w:szCs w:val="20"/>
                <w:color w:val="auto"/>
              </w:rPr>
            </w:pPr>
            <w:r>
              <w:rPr>
                <w:rFonts w:ascii="Courier New" w:cs="Courier New" w:eastAsia="Courier New" w:hAnsi="Courier New"/>
                <w:sz w:val="17"/>
                <w:szCs w:val="17"/>
                <w:color w:val="auto"/>
              </w:rPr>
              <w:t>11</w:t>
            </w: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040"/>
          </w:cols>
          <w:pgMar w:left="240" w:top="683" w:right="619" w:bottom="862" w:gutter="0" w:footer="0" w:header="0"/>
        </w:sectPr>
      </w:pPr>
    </w:p>
    <w:bookmarkStart w:id="14" w:name="page15"/>
    <w:bookmarkEnd w:id="14"/>
    <w:p>
      <w:pPr>
        <w:jc w:val="center"/>
        <w:ind w:right="3980"/>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3880"/>
        <w:spacing w:after="0" w:line="238" w:lineRule="auto"/>
        <w:rPr>
          <w:sz w:val="20"/>
          <w:szCs w:val="20"/>
          <w:color w:val="auto"/>
        </w:rPr>
      </w:pPr>
      <w:r>
        <w:rPr>
          <w:rFonts w:ascii="Courier New" w:cs="Courier New" w:eastAsia="Courier New" w:hAnsi="Courier New"/>
          <w:sz w:val="17"/>
          <w:szCs w:val="17"/>
          <w:color w:val="auto"/>
        </w:rPr>
        <w:t>FORM 10-Q</w:t>
      </w:r>
    </w:p>
    <w:p>
      <w:pPr>
        <w:jc w:val="center"/>
        <w:ind w:right="3980"/>
        <w:spacing w:after="0" w:line="238" w:lineRule="auto"/>
        <w:rPr>
          <w:sz w:val="20"/>
          <w:szCs w:val="20"/>
          <w:color w:val="auto"/>
        </w:rPr>
      </w:pPr>
      <w:r>
        <w:rPr>
          <w:rFonts w:ascii="Courier New" w:cs="Courier New" w:eastAsia="Courier New" w:hAnsi="Courier New"/>
          <w:sz w:val="17"/>
          <w:szCs w:val="17"/>
          <w:color w:val="auto"/>
        </w:rPr>
        <w:t>QUARTER ENDED SEPTEMBER 30, 2001</w:t>
      </w:r>
    </w:p>
    <w:p>
      <w:pPr>
        <w:jc w:val="center"/>
        <w:ind w:right="3980"/>
        <w:spacing w:after="0"/>
        <w:rPr>
          <w:sz w:val="20"/>
          <w:szCs w:val="20"/>
          <w:color w:val="auto"/>
        </w:rPr>
      </w:pPr>
      <w:r>
        <w:rPr>
          <w:rFonts w:ascii="Courier New" w:cs="Courier New" w:eastAsia="Courier New" w:hAnsi="Courier New"/>
          <w:sz w:val="17"/>
          <w:szCs w:val="17"/>
          <w:color w:val="auto"/>
        </w:rPr>
        <w:t>NOTES TO CONDENSED CONSOLIDATED FINANCIAL STATEMENTS - CONTINUED</w:t>
      </w:r>
    </w:p>
    <w:p>
      <w:pPr>
        <w:jc w:val="center"/>
        <w:ind w:right="3880"/>
        <w:spacing w:after="0" w:line="237" w:lineRule="auto"/>
        <w:rPr>
          <w:sz w:val="20"/>
          <w:szCs w:val="20"/>
          <w:color w:val="auto"/>
        </w:rPr>
      </w:pPr>
      <w:r>
        <w:rPr>
          <w:rFonts w:ascii="Courier New" w:cs="Courier New" w:eastAsia="Courier New" w:hAnsi="Courier New"/>
          <w:sz w:val="17"/>
          <w:szCs w:val="17"/>
          <w:color w:val="auto"/>
        </w:rPr>
        <w:t>(Unaudited)</w:t>
      </w:r>
    </w:p>
    <w:p>
      <w:pPr>
        <w:spacing w:after="0" w:line="197" w:lineRule="exact"/>
        <w:rPr>
          <w:sz w:val="20"/>
          <w:szCs w:val="20"/>
          <w:color w:val="auto"/>
        </w:rPr>
      </w:pPr>
    </w:p>
    <w:p>
      <w:pPr>
        <w:jc w:val="both"/>
        <w:ind w:right="3480"/>
        <w:spacing w:after="0" w:line="236" w:lineRule="auto"/>
        <w:rPr>
          <w:sz w:val="20"/>
          <w:szCs w:val="20"/>
          <w:color w:val="auto"/>
        </w:rPr>
      </w:pPr>
      <w:r>
        <w:rPr>
          <w:rFonts w:ascii="Courier New" w:cs="Courier New" w:eastAsia="Courier New" w:hAnsi="Courier New"/>
          <w:sz w:val="17"/>
          <w:szCs w:val="17"/>
          <w:color w:val="auto"/>
        </w:rPr>
        <w:t>Comcast Cable used substantially all of the net proceeds from the offerings to repay a portion of the amounts outstanding under its commercial paper program, revolving credit facility and notes payable to affiliates, and to fund acquisitions.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Zero Coupon Convertible Debentures</w:t>
      </w:r>
    </w:p>
    <w:p>
      <w:pPr>
        <w:spacing w:after="0" w:line="5" w:lineRule="exact"/>
        <w:rPr>
          <w:sz w:val="20"/>
          <w:szCs w:val="20"/>
          <w:color w:val="auto"/>
        </w:rPr>
      </w:pPr>
    </w:p>
    <w:p>
      <w:pPr>
        <w:jc w:val="both"/>
        <w:ind w:right="3480"/>
        <w:spacing w:after="0" w:line="237" w:lineRule="auto"/>
        <w:rPr>
          <w:sz w:val="20"/>
          <w:szCs w:val="20"/>
          <w:color w:val="auto"/>
        </w:rPr>
      </w:pPr>
      <w:r>
        <w:rPr>
          <w:rFonts w:ascii="Courier New" w:cs="Courier New" w:eastAsia="Courier New" w:hAnsi="Courier New"/>
          <w:sz w:val="17"/>
          <w:szCs w:val="17"/>
          <w:color w:val="auto"/>
        </w:rPr>
        <w:t>In December 2000, the Company issued $1.285 billion principal amount at maturity of Zero Coupon Debentures for proceeds of $1.002 billion. In January 2001, the Company issued an additional $192.8 million principal amount at maturity of Zero Coupon Debentures for proceeds of $150.3 million. The Company used substantially all of the net proceeds from the offering to repay a portion of the amounts outstanding under Comcast Cable's commercial paper program and revolving credit facility.</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ZONES</w:t>
      </w:r>
    </w:p>
    <w:p>
      <w:pPr>
        <w:spacing w:after="0" w:line="5" w:lineRule="exact"/>
        <w:rPr>
          <w:sz w:val="20"/>
          <w:szCs w:val="20"/>
          <w:color w:val="auto"/>
        </w:rPr>
      </w:pPr>
    </w:p>
    <w:p>
      <w:pPr>
        <w:jc w:val="both"/>
        <w:ind w:right="3480"/>
        <w:spacing w:after="0" w:line="236" w:lineRule="auto"/>
        <w:rPr>
          <w:sz w:val="20"/>
          <w:szCs w:val="20"/>
          <w:color w:val="auto"/>
        </w:rPr>
      </w:pPr>
      <w:r>
        <w:rPr>
          <w:rFonts w:ascii="Courier New" w:cs="Courier New" w:eastAsia="Courier New" w:hAnsi="Courier New"/>
          <w:sz w:val="17"/>
          <w:szCs w:val="17"/>
          <w:color w:val="auto"/>
        </w:rPr>
        <w:t>At maturity, holders of the Company's 2.0% Exchangeable Subordinated Debentures due 2029 (the "ZONES") are entitled to receive in cash an amount equal to the higher of the principal amount of the ZONES or the market value of Sprint PCS common stock.</w:t>
      </w:r>
    </w:p>
    <w:p>
      <w:pPr>
        <w:spacing w:after="0" w:line="199" w:lineRule="exact"/>
        <w:rPr>
          <w:sz w:val="20"/>
          <w:szCs w:val="20"/>
          <w:color w:val="auto"/>
        </w:rPr>
      </w:pPr>
    </w:p>
    <w:p>
      <w:pPr>
        <w:jc w:val="both"/>
        <w:ind w:right="3480"/>
        <w:spacing w:after="0" w:line="236" w:lineRule="auto"/>
        <w:rPr>
          <w:sz w:val="20"/>
          <w:szCs w:val="20"/>
          <w:color w:val="auto"/>
        </w:rPr>
      </w:pPr>
      <w:r>
        <w:rPr>
          <w:rFonts w:ascii="Courier New" w:cs="Courier New" w:eastAsia="Courier New" w:hAnsi="Courier New"/>
          <w:sz w:val="17"/>
          <w:szCs w:val="17"/>
          <w:color w:val="auto"/>
        </w:rPr>
        <w:t>Prior to maturity, each ZONES is exchangeable at the holders' option for an amount of cash equal to 95% of the market value of Sprint PCS Stock. As of September 30, 2001, the number of Sprint PCS shares held by the Company exceeded the number of ZONES outstanding.</w:t>
      </w:r>
    </w:p>
    <w:p>
      <w:pPr>
        <w:spacing w:after="0" w:line="199" w:lineRule="exact"/>
        <w:rPr>
          <w:sz w:val="20"/>
          <w:szCs w:val="20"/>
          <w:color w:val="auto"/>
        </w:rPr>
      </w:pPr>
    </w:p>
    <w:p>
      <w:pPr>
        <w:jc w:val="both"/>
        <w:ind w:right="3480"/>
        <w:spacing w:after="0" w:line="237" w:lineRule="auto"/>
        <w:rPr>
          <w:sz w:val="20"/>
          <w:szCs w:val="20"/>
          <w:color w:val="auto"/>
        </w:rPr>
      </w:pPr>
      <w:r>
        <w:rPr>
          <w:rFonts w:ascii="Courier New" w:cs="Courier New" w:eastAsia="Courier New" w:hAnsi="Courier New"/>
          <w:sz w:val="17"/>
          <w:szCs w:val="17"/>
          <w:color w:val="auto"/>
        </w:rPr>
        <w:t>As of September 30, 2001 and December 31, 2000, long-term debt includes $1.697 billion and $1.807 billion, respectively, of ZONES. Upon adoption of SFAS No. 133, the Company split the ZONES into their derivative and debt components. In connection with the adoption of SFAS No. 133, the Company recorded the debt component of the ZONES at a discount from its value at maturity resulting in a reduction in the outstanding balance of the ZONES of $400.2 million (see Note 2).</w:t>
      </w:r>
    </w:p>
    <w:p>
      <w:pPr>
        <w:spacing w:after="0" w:line="199" w:lineRule="exact"/>
        <w:rPr>
          <w:sz w:val="20"/>
          <w:szCs w:val="20"/>
          <w:color w:val="auto"/>
        </w:rPr>
      </w:pPr>
    </w:p>
    <w:p>
      <w:pPr>
        <w:jc w:val="both"/>
        <w:ind w:right="3480"/>
        <w:spacing w:after="0" w:line="236" w:lineRule="auto"/>
        <w:rPr>
          <w:sz w:val="20"/>
          <w:szCs w:val="20"/>
          <w:color w:val="auto"/>
        </w:rPr>
      </w:pPr>
      <w:r>
        <w:rPr>
          <w:rFonts w:ascii="Courier New" w:cs="Courier New" w:eastAsia="Courier New" w:hAnsi="Courier New"/>
          <w:sz w:val="17"/>
          <w:szCs w:val="17"/>
          <w:color w:val="auto"/>
        </w:rPr>
        <w:t>The Company recorded the increase in the fair value of the derivative component of the ZONES (see Note 5) and the increase in the carrying value of the debt component of the ZONES as follows (in millions):</w:t>
      </w:r>
    </w:p>
    <w:p>
      <w:pPr>
        <w:sectPr>
          <w:pgSz w:w="11900" w:h="16838" w:orient="portrait"/>
          <w:cols w:equalWidth="0" w:num="1">
            <w:col w:w="10940"/>
          </w:cols>
          <w:pgMar w:left="740" w:top="683" w:right="219" w:bottom="1054"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left="6560"/>
        <w:spacing w:after="0"/>
        <w:rPr>
          <w:sz w:val="20"/>
          <w:szCs w:val="20"/>
          <w:color w:val="auto"/>
        </w:rPr>
      </w:pPr>
      <w:r>
        <w:rPr>
          <w:rFonts w:ascii="Courier New" w:cs="Courier New" w:eastAsia="Courier New" w:hAnsi="Courier New"/>
          <w:sz w:val="17"/>
          <w:szCs w:val="17"/>
          <w:color w:val="auto"/>
        </w:rPr>
        <w:t>Three Months</w:t>
      </w:r>
    </w:p>
    <w:p>
      <w:pPr>
        <w:jc w:val="center"/>
        <w:ind w:left="6460"/>
        <w:spacing w:after="0" w:line="238" w:lineRule="auto"/>
        <w:rPr>
          <w:sz w:val="20"/>
          <w:szCs w:val="20"/>
          <w:color w:val="auto"/>
        </w:rPr>
      </w:pPr>
      <w:r>
        <w:rPr>
          <w:rFonts w:ascii="Courier New" w:cs="Courier New" w:eastAsia="Courier New" w:hAnsi="Courier New"/>
          <w:sz w:val="17"/>
          <w:szCs w:val="17"/>
          <w:color w:val="auto"/>
        </w:rPr>
        <w:t>Ended</w:t>
      </w:r>
    </w:p>
    <w:p>
      <w:pPr>
        <w:jc w:val="center"/>
        <w:ind w:left="6560"/>
        <w:spacing w:after="0" w:line="238" w:lineRule="auto"/>
        <w:rPr>
          <w:sz w:val="20"/>
          <w:szCs w:val="20"/>
          <w:color w:val="auto"/>
        </w:rPr>
      </w:pPr>
      <w:r>
        <w:rPr>
          <w:rFonts w:ascii="Courier New" w:cs="Courier New" w:eastAsia="Courier New" w:hAnsi="Courier New"/>
          <w:sz w:val="17"/>
          <w:szCs w:val="17"/>
          <w:color w:val="auto"/>
        </w:rPr>
        <w:t>September 30, 2001</w:t>
      </w:r>
    </w:p>
    <w:p>
      <w:pPr>
        <w:spacing w:after="0" w:line="6" w:lineRule="exact"/>
        <w:rPr>
          <w:sz w:val="20"/>
          <w:szCs w:val="20"/>
          <w:color w:val="auto"/>
        </w:rPr>
      </w:pPr>
    </w:p>
    <w:p>
      <w:pPr>
        <w:jc w:val="center"/>
        <w:ind w:left="65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Nine Months</w:t>
      </w:r>
    </w:p>
    <w:p>
      <w:pPr>
        <w:ind w:left="700"/>
        <w:spacing w:after="0" w:line="238" w:lineRule="auto"/>
        <w:rPr>
          <w:sz w:val="20"/>
          <w:szCs w:val="20"/>
          <w:color w:val="auto"/>
        </w:rPr>
      </w:pPr>
      <w:r>
        <w:rPr>
          <w:rFonts w:ascii="Courier New" w:cs="Courier New" w:eastAsia="Courier New" w:hAnsi="Courier New"/>
          <w:sz w:val="17"/>
          <w:szCs w:val="17"/>
          <w:color w:val="auto"/>
        </w:rPr>
        <w:t>Ended</w:t>
      </w:r>
    </w:p>
    <w:p>
      <w:pPr>
        <w:ind w:left="100"/>
        <w:spacing w:after="0" w:line="238" w:lineRule="auto"/>
        <w:rPr>
          <w:sz w:val="20"/>
          <w:szCs w:val="20"/>
          <w:color w:val="auto"/>
        </w:rPr>
      </w:pPr>
      <w:r>
        <w:rPr>
          <w:rFonts w:ascii="Courier New" w:cs="Courier New" w:eastAsia="Courier New" w:hAnsi="Courier New"/>
          <w:sz w:val="17"/>
          <w:szCs w:val="17"/>
          <w:color w:val="auto"/>
        </w:rPr>
        <w:t>September 30, 2001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8760" w:space="180"/>
            <w:col w:w="2000"/>
          </w:cols>
          <w:pgMar w:left="740" w:top="683" w:right="219" w:bottom="1054"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in derivative component to investment income.........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in debt component to interest expense................</w:t>
      </w:r>
    </w:p>
    <w:p>
      <w:pPr>
        <w:spacing w:after="0" w:line="20" w:lineRule="exact"/>
        <w:rPr>
          <w:sz w:val="20"/>
          <w:szCs w:val="20"/>
          <w:color w:val="auto"/>
        </w:rPr>
      </w:pPr>
      <w:r>
        <w:rPr>
          <w:sz w:val="20"/>
          <w:szCs w:val="20"/>
          <w:color w:val="auto"/>
        </w:rPr>
        <w:br w:type="column"/>
      </w:r>
    </w:p>
    <w:p>
      <w:pPr>
        <w:jc w:val="right"/>
        <w:ind w:right="960"/>
        <w:spacing w:after="0"/>
        <w:rPr>
          <w:sz w:val="20"/>
          <w:szCs w:val="20"/>
          <w:color w:val="auto"/>
        </w:rPr>
      </w:pPr>
      <w:r>
        <w:rPr>
          <w:rFonts w:ascii="Courier New" w:cs="Courier New" w:eastAsia="Courier New" w:hAnsi="Courier New"/>
          <w:sz w:val="16"/>
          <w:szCs w:val="16"/>
          <w:color w:val="auto"/>
        </w:rPr>
        <w:t>$98.5</w:t>
      </w:r>
    </w:p>
    <w:p>
      <w:pPr>
        <w:spacing w:after="0" w:line="3" w:lineRule="exact"/>
        <w:rPr>
          <w:sz w:val="20"/>
          <w:szCs w:val="20"/>
          <w:color w:val="auto"/>
        </w:rPr>
      </w:pPr>
    </w:p>
    <w:p>
      <w:pPr>
        <w:jc w:val="right"/>
        <w:ind w:right="960"/>
        <w:spacing w:after="0"/>
        <w:rPr>
          <w:sz w:val="20"/>
          <w:szCs w:val="20"/>
          <w:color w:val="auto"/>
        </w:rPr>
      </w:pPr>
      <w:r>
        <w:rPr>
          <w:rFonts w:ascii="Courier New" w:cs="Courier New" w:eastAsia="Courier New" w:hAnsi="Courier New"/>
          <w:sz w:val="17"/>
          <w:szCs w:val="17"/>
          <w:color w:val="auto"/>
        </w:rPr>
        <w:t>$5.6</w:t>
      </w:r>
    </w:p>
    <w:p>
      <w:pPr>
        <w:spacing w:after="0" w:line="20" w:lineRule="exact"/>
        <w:rPr>
          <w:sz w:val="20"/>
          <w:szCs w:val="20"/>
          <w:color w:val="auto"/>
        </w:rPr>
      </w:pPr>
      <w:r>
        <w:rPr>
          <w:sz w:val="20"/>
          <w:szCs w:val="20"/>
          <w:color w:val="auto"/>
        </w:rPr>
        <w:br w:type="column"/>
      </w:r>
    </w:p>
    <w:p>
      <w:pPr>
        <w:jc w:val="right"/>
        <w:ind w:right="600"/>
        <w:spacing w:after="0"/>
        <w:rPr>
          <w:sz w:val="20"/>
          <w:szCs w:val="20"/>
          <w:color w:val="auto"/>
        </w:rPr>
      </w:pPr>
      <w:r>
        <w:rPr>
          <w:rFonts w:ascii="Courier New" w:cs="Courier New" w:eastAsia="Courier New" w:hAnsi="Courier New"/>
          <w:sz w:val="16"/>
          <w:szCs w:val="16"/>
          <w:color w:val="auto"/>
        </w:rPr>
        <w:t>$274.1</w:t>
      </w:r>
    </w:p>
    <w:p>
      <w:pPr>
        <w:spacing w:after="0" w:line="3" w:lineRule="exact"/>
        <w:rPr>
          <w:sz w:val="20"/>
          <w:szCs w:val="20"/>
          <w:color w:val="auto"/>
        </w:rPr>
      </w:pPr>
    </w:p>
    <w:p>
      <w:pPr>
        <w:jc w:val="right"/>
        <w:ind w:right="600"/>
        <w:spacing w:after="0"/>
        <w:rPr>
          <w:sz w:val="20"/>
          <w:szCs w:val="20"/>
          <w:color w:val="auto"/>
        </w:rPr>
      </w:pPr>
      <w:r>
        <w:rPr>
          <w:rFonts w:ascii="Courier New" w:cs="Courier New" w:eastAsia="Courier New" w:hAnsi="Courier New"/>
          <w:sz w:val="17"/>
          <w:szCs w:val="17"/>
          <w:color w:val="auto"/>
        </w:rPr>
        <w:t>$16.6</w:t>
      </w:r>
    </w:p>
    <w:p>
      <w:pPr>
        <w:spacing w:after="0" w:line="200" w:lineRule="exact"/>
        <w:rPr>
          <w:sz w:val="20"/>
          <w:szCs w:val="20"/>
          <w:color w:val="auto"/>
        </w:rPr>
      </w:pPr>
    </w:p>
    <w:p>
      <w:pPr>
        <w:sectPr>
          <w:pgSz w:w="11900" w:h="16838" w:orient="portrait"/>
          <w:cols w:equalWidth="0" w:num="3">
            <w:col w:w="6840" w:space="720"/>
            <w:col w:w="1460" w:space="720"/>
            <w:col w:w="1200"/>
          </w:cols>
          <w:pgMar w:left="740" w:top="683" w:right="219" w:bottom="1054" w:gutter="0" w:footer="0" w:header="0"/>
          <w:type w:val="continuous"/>
        </w:sectPr>
      </w:pP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Extraordinary Items</w:t>
      </w:r>
    </w:p>
    <w:p>
      <w:pPr>
        <w:spacing w:after="0" w:line="5"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6"/>
          <w:szCs w:val="16"/>
          <w:color w:val="auto"/>
        </w:rPr>
        <w:t>Extraordinary</w:t>
        <w:tab/>
        <w:t>items during the interim periods consist of unamortized debt</w:t>
      </w:r>
    </w:p>
    <w:p>
      <w:pPr>
        <w:spacing w:after="0" w:line="3" w:lineRule="exact"/>
        <w:rPr>
          <w:sz w:val="20"/>
          <w:szCs w:val="20"/>
          <w:color w:val="auto"/>
        </w:rPr>
      </w:pPr>
    </w:p>
    <w:p>
      <w:pPr>
        <w:spacing w:after="0"/>
        <w:tabs>
          <w:tab w:leader="none" w:pos="2160" w:val="left"/>
          <w:tab w:leader="none" w:pos="3760" w:val="left"/>
          <w:tab w:leader="none" w:pos="4560" w:val="left"/>
          <w:tab w:leader="none" w:pos="6540" w:val="left"/>
        </w:tabs>
        <w:rPr>
          <w:sz w:val="20"/>
          <w:szCs w:val="20"/>
          <w:color w:val="auto"/>
        </w:rPr>
      </w:pPr>
      <w:r>
        <w:rPr>
          <w:rFonts w:ascii="Courier New" w:cs="Courier New" w:eastAsia="Courier New" w:hAnsi="Courier New"/>
          <w:sz w:val="17"/>
          <w:szCs w:val="17"/>
          <w:color w:val="auto"/>
        </w:rPr>
        <w:t>issue costs and debt</w:t>
        <w:tab/>
        <w:t>extinguishment</w:t>
        <w:tab/>
        <w:t>costs,</w:t>
        <w:tab/>
        <w:t>net of related tax</w:t>
      </w:r>
      <w:r>
        <w:rPr>
          <w:sz w:val="20"/>
          <w:szCs w:val="20"/>
          <w:color w:val="auto"/>
        </w:rPr>
        <w:tab/>
      </w:r>
      <w:r>
        <w:rPr>
          <w:rFonts w:ascii="Courier New" w:cs="Courier New" w:eastAsia="Courier New" w:hAnsi="Courier New"/>
          <w:sz w:val="16"/>
          <w:szCs w:val="16"/>
          <w:color w:val="auto"/>
        </w:rPr>
        <w:t>benefits,</w:t>
      </w:r>
    </w:p>
    <w:p>
      <w:pPr>
        <w:spacing w:after="0"/>
        <w:tabs>
          <w:tab w:leader="none" w:pos="980" w:val="left"/>
          <w:tab w:leader="none" w:pos="2260" w:val="left"/>
          <w:tab w:leader="none" w:pos="3760" w:val="left"/>
        </w:tabs>
        <w:rPr>
          <w:sz w:val="20"/>
          <w:szCs w:val="20"/>
          <w:color w:val="auto"/>
        </w:rPr>
      </w:pPr>
      <w:r>
        <w:rPr>
          <w:rFonts w:ascii="Courier New" w:cs="Courier New" w:eastAsia="Courier New" w:hAnsi="Courier New"/>
          <w:sz w:val="17"/>
          <w:szCs w:val="17"/>
          <w:color w:val="auto"/>
        </w:rPr>
        <w:t>expensed</w:t>
        <w:tab/>
        <w:t>principally</w:t>
        <w:tab/>
        <w:t>in connection</w:t>
      </w:r>
      <w:r>
        <w:rPr>
          <w:sz w:val="20"/>
          <w:szCs w:val="20"/>
          <w:color w:val="auto"/>
        </w:rPr>
        <w:tab/>
      </w:r>
      <w:r>
        <w:rPr>
          <w:rFonts w:ascii="Courier New" w:cs="Courier New" w:eastAsia="Courier New" w:hAnsi="Courier New"/>
          <w:sz w:val="16"/>
          <w:szCs w:val="16"/>
          <w:color w:val="auto"/>
        </w:rPr>
        <w:t>with the redemption and retirement of</w:t>
      </w:r>
    </w:p>
    <w:p>
      <w:pPr>
        <w:spacing w:after="0" w:line="238" w:lineRule="auto"/>
        <w:rPr>
          <w:sz w:val="20"/>
          <w:szCs w:val="20"/>
          <w:color w:val="auto"/>
        </w:rPr>
      </w:pPr>
      <w:r>
        <w:rPr>
          <w:rFonts w:ascii="Courier New" w:cs="Courier New" w:eastAsia="Courier New" w:hAnsi="Courier New"/>
          <w:sz w:val="17"/>
          <w:szCs w:val="17"/>
          <w:color w:val="auto"/>
        </w:rPr>
        <w:t>certain indebtedness.</w:t>
      </w:r>
    </w:p>
    <w:p>
      <w:pPr>
        <w:sectPr>
          <w:pgSz w:w="11900" w:h="16838" w:orient="portrait"/>
          <w:cols w:equalWidth="0" w:num="1">
            <w:col w:w="10940"/>
          </w:cols>
          <w:pgMar w:left="740" w:top="683" w:right="219" w:bottom="1054" w:gutter="0" w:footer="0" w:header="0"/>
          <w:type w:val="continuous"/>
        </w:sectPr>
      </w:pP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Rates</w:t>
      </w:r>
    </w:p>
    <w:p>
      <w:pPr>
        <w:spacing w:after="0" w:line="5" w:lineRule="exact"/>
        <w:rPr>
          <w:sz w:val="20"/>
          <w:szCs w:val="20"/>
          <w:color w:val="auto"/>
        </w:rPr>
      </w:pPr>
    </w:p>
    <w:p>
      <w:pPr>
        <w:jc w:val="both"/>
        <w:ind w:right="3480"/>
        <w:spacing w:after="0" w:line="236" w:lineRule="auto"/>
        <w:rPr>
          <w:sz w:val="20"/>
          <w:szCs w:val="20"/>
          <w:color w:val="auto"/>
        </w:rPr>
      </w:pPr>
      <w:r>
        <w:rPr>
          <w:rFonts w:ascii="Courier New" w:cs="Courier New" w:eastAsia="Courier New" w:hAnsi="Courier New"/>
          <w:sz w:val="17"/>
          <w:szCs w:val="17"/>
          <w:color w:val="auto"/>
        </w:rPr>
        <w:t>As of September 30, 2001 and December 31, 2000, the Company's effective weighted average interest rate on its long-term debt outstanding was 5.73% and 6.30%, respectively.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Rate Risk Management</w:t>
      </w:r>
    </w:p>
    <w:p>
      <w:pPr>
        <w:spacing w:after="0" w:line="5" w:lineRule="exact"/>
        <w:rPr>
          <w:sz w:val="20"/>
          <w:szCs w:val="20"/>
          <w:color w:val="auto"/>
        </w:rPr>
      </w:pPr>
    </w:p>
    <w:p>
      <w:pPr>
        <w:jc w:val="both"/>
        <w:ind w:right="3480"/>
        <w:spacing w:after="0" w:line="237" w:lineRule="auto"/>
        <w:rPr>
          <w:sz w:val="20"/>
          <w:szCs w:val="20"/>
          <w:color w:val="auto"/>
        </w:rPr>
      </w:pPr>
      <w:r>
        <w:rPr>
          <w:rFonts w:ascii="Courier New" w:cs="Courier New" w:eastAsia="Courier New" w:hAnsi="Courier New"/>
          <w:sz w:val="17"/>
          <w:szCs w:val="17"/>
          <w:color w:val="auto"/>
        </w:rPr>
        <w:t>During the nine months ended September 30, 2001, the Company entered into $500.0 million aggregate notional amount of fixed to variable interest rate exchange agreements ("Swaps") which mature between 2006 and 2008. During the nine months ended September 30, 2001, $94.0 million aggregate notional amount of the Company's variable to fixed Swaps were either terminated or expired. As of September 30, 2001, the Company has Swaps with an aggregate notional amount of $1.234 billion.</w:t>
      </w:r>
    </w:p>
    <w:p>
      <w:pPr>
        <w:spacing w:after="0" w:line="38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940"/>
          </w:cols>
          <w:pgMar w:left="740" w:top="683" w:right="219" w:bottom="1054" w:gutter="0" w:footer="0" w:header="0"/>
          <w:type w:val="continuous"/>
        </w:sectPr>
      </w:pPr>
    </w:p>
    <w:bookmarkStart w:id="15" w:name="page16"/>
    <w:bookmarkEnd w:id="15"/>
    <w:p>
      <w:pPr>
        <w:jc w:val="center"/>
        <w:ind w:right="2580"/>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2480"/>
        <w:spacing w:after="0" w:line="238" w:lineRule="auto"/>
        <w:rPr>
          <w:sz w:val="20"/>
          <w:szCs w:val="20"/>
          <w:color w:val="auto"/>
        </w:rPr>
      </w:pPr>
      <w:r>
        <w:rPr>
          <w:rFonts w:ascii="Courier New" w:cs="Courier New" w:eastAsia="Courier New" w:hAnsi="Courier New"/>
          <w:sz w:val="17"/>
          <w:szCs w:val="17"/>
          <w:color w:val="auto"/>
        </w:rPr>
        <w:t>FORM 10-Q</w:t>
      </w:r>
    </w:p>
    <w:p>
      <w:pPr>
        <w:jc w:val="center"/>
        <w:ind w:right="2580"/>
        <w:spacing w:after="0" w:line="238" w:lineRule="auto"/>
        <w:rPr>
          <w:sz w:val="20"/>
          <w:szCs w:val="20"/>
          <w:color w:val="auto"/>
        </w:rPr>
      </w:pPr>
      <w:r>
        <w:rPr>
          <w:rFonts w:ascii="Courier New" w:cs="Courier New" w:eastAsia="Courier New" w:hAnsi="Courier New"/>
          <w:sz w:val="17"/>
          <w:szCs w:val="17"/>
          <w:color w:val="auto"/>
        </w:rPr>
        <w:t>QUARTER ENDED SEPTEMBER 30, 2001</w:t>
      </w:r>
    </w:p>
    <w:p>
      <w:pPr>
        <w:jc w:val="center"/>
        <w:ind w:right="2580"/>
        <w:spacing w:after="0"/>
        <w:rPr>
          <w:sz w:val="20"/>
          <w:szCs w:val="20"/>
          <w:color w:val="auto"/>
        </w:rPr>
      </w:pPr>
      <w:r>
        <w:rPr>
          <w:rFonts w:ascii="Courier New" w:cs="Courier New" w:eastAsia="Courier New" w:hAnsi="Courier New"/>
          <w:sz w:val="17"/>
          <w:szCs w:val="17"/>
          <w:color w:val="auto"/>
        </w:rPr>
        <w:t>NOTES TO CONDENSED CONSOLIDATED FINANCIAL STATEMENTS - CONTINUED</w:t>
      </w:r>
    </w:p>
    <w:p>
      <w:pPr>
        <w:jc w:val="center"/>
        <w:ind w:right="2480"/>
        <w:spacing w:after="0" w:line="237" w:lineRule="auto"/>
        <w:rPr>
          <w:sz w:val="20"/>
          <w:szCs w:val="20"/>
          <w:color w:val="auto"/>
        </w:rPr>
      </w:pPr>
      <w:r>
        <w:rPr>
          <w:rFonts w:ascii="Courier New" w:cs="Courier New" w:eastAsia="Courier New" w:hAnsi="Courier New"/>
          <w:sz w:val="17"/>
          <w:szCs w:val="17"/>
          <w:color w:val="auto"/>
        </w:rPr>
        <w:t>(Unaudited)</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Lines and Letters of Credit</w:t>
      </w:r>
    </w:p>
    <w:p>
      <w:pPr>
        <w:spacing w:after="0" w:line="5" w:lineRule="exact"/>
        <w:rPr>
          <w:sz w:val="20"/>
          <w:szCs w:val="20"/>
          <w:color w:val="auto"/>
        </w:rPr>
      </w:pPr>
    </w:p>
    <w:p>
      <w:pPr>
        <w:jc w:val="both"/>
        <w:ind w:left="500" w:right="2580"/>
        <w:spacing w:after="0" w:line="259" w:lineRule="auto"/>
        <w:rPr>
          <w:sz w:val="20"/>
          <w:szCs w:val="20"/>
          <w:color w:val="auto"/>
        </w:rPr>
      </w:pPr>
      <w:r>
        <w:rPr>
          <w:rFonts w:ascii="Courier New" w:cs="Courier New" w:eastAsia="Courier New" w:hAnsi="Courier New"/>
          <w:sz w:val="16"/>
          <w:szCs w:val="16"/>
          <w:color w:val="auto"/>
        </w:rPr>
        <w:t>As of September 30, 2001, certain subsidiaries of the Company had unused lines of credit of $3.943 billion under their respective credit facilities.</w:t>
      </w:r>
    </w:p>
    <w:p>
      <w:pPr>
        <w:spacing w:after="0" w:line="183" w:lineRule="exact"/>
        <w:rPr>
          <w:sz w:val="20"/>
          <w:szCs w:val="20"/>
          <w:color w:val="auto"/>
        </w:rPr>
      </w:pPr>
    </w:p>
    <w:p>
      <w:pPr>
        <w:jc w:val="both"/>
        <w:ind w:left="500" w:right="2580"/>
        <w:spacing w:after="0" w:line="236" w:lineRule="auto"/>
        <w:rPr>
          <w:sz w:val="20"/>
          <w:szCs w:val="20"/>
          <w:color w:val="auto"/>
        </w:rPr>
      </w:pPr>
      <w:r>
        <w:rPr>
          <w:rFonts w:ascii="Courier New" w:cs="Courier New" w:eastAsia="Courier New" w:hAnsi="Courier New"/>
          <w:sz w:val="17"/>
          <w:szCs w:val="17"/>
          <w:color w:val="auto"/>
        </w:rPr>
        <w:t>As of September 30, 2001, the Company and certain of its subsidiaries had unused irrevocable standby letters of credit totaling $115.8 million to cover potential fundings under various agreements.</w:t>
      </w:r>
    </w:p>
    <w:p>
      <w:pPr>
        <w:spacing w:after="0" w:line="190" w:lineRule="exact"/>
        <w:rPr>
          <w:sz w:val="20"/>
          <w:szCs w:val="20"/>
          <w:color w:val="auto"/>
        </w:rPr>
      </w:pPr>
    </w:p>
    <w:p>
      <w:pPr>
        <w:ind w:left="500" w:hanging="498"/>
        <w:spacing w:after="0"/>
        <w:tabs>
          <w:tab w:leader="none" w:pos="5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STOCKHOLDERS' EQUITY</w:t>
      </w:r>
    </w:p>
    <w:p>
      <w:pPr>
        <w:spacing w:after="0" w:line="189"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Board-Authorized Repurchase Programs</w:t>
      </w:r>
    </w:p>
    <w:p>
      <w:pPr>
        <w:spacing w:after="0" w:line="5" w:lineRule="exact"/>
        <w:rPr>
          <w:rFonts w:ascii="Courier New" w:cs="Courier New" w:eastAsia="Courier New" w:hAnsi="Courier New"/>
          <w:sz w:val="17"/>
          <w:szCs w:val="17"/>
          <w:color w:val="auto"/>
        </w:rPr>
      </w:pPr>
    </w:p>
    <w:p>
      <w:pPr>
        <w:ind w:left="500" w:right="2580"/>
        <w:spacing w:after="0" w:line="23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repurchased shares of its common stock during the interim periods as follows (shares and dollars in millions):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3"/>
          </w:tcPr>
          <w:p>
            <w:pPr>
              <w:jc w:val="right"/>
              <w:ind w:right="157"/>
              <w:spacing w:after="0"/>
              <w:rPr>
                <w:sz w:val="20"/>
                <w:szCs w:val="20"/>
                <w:color w:val="auto"/>
              </w:rPr>
            </w:pPr>
            <w:r>
              <w:rPr>
                <w:rFonts w:ascii="Courier New" w:cs="Courier New" w:eastAsia="Courier New" w:hAnsi="Courier New"/>
                <w:sz w:val="17"/>
                <w:szCs w:val="17"/>
                <w:color w:val="auto"/>
              </w:rPr>
              <w:t>Three Months Ended</w:t>
            </w:r>
          </w:p>
        </w:tc>
        <w:tc>
          <w:tcPr>
            <w:tcW w:w="224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Nine Months Ended</w:t>
            </w:r>
          </w:p>
        </w:tc>
      </w:tr>
      <w:tr>
        <w:trPr>
          <w:trHeight w:val="191"/>
        </w:trPr>
        <w:tc>
          <w:tcPr>
            <w:tcW w:w="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40" w:type="dxa"/>
            <w:vAlign w:val="bottom"/>
            <w:gridSpan w:val="2"/>
          </w:tcPr>
          <w:p>
            <w:pPr>
              <w:jc w:val="right"/>
              <w:ind w:right="357"/>
              <w:spacing w:after="0" w:line="191" w:lineRule="exact"/>
              <w:rPr>
                <w:sz w:val="20"/>
                <w:szCs w:val="20"/>
                <w:color w:val="auto"/>
              </w:rPr>
            </w:pPr>
            <w:r>
              <w:rPr>
                <w:rFonts w:ascii="Courier New" w:cs="Courier New" w:eastAsia="Courier New" w:hAnsi="Courier New"/>
                <w:sz w:val="17"/>
                <w:szCs w:val="17"/>
                <w:color w:val="auto"/>
              </w:rPr>
              <w:t>September 30,</w:t>
            </w:r>
          </w:p>
        </w:tc>
        <w:tc>
          <w:tcPr>
            <w:tcW w:w="22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September 30,</w:t>
            </w:r>
          </w:p>
        </w:tc>
      </w:tr>
      <w:tr>
        <w:trPr>
          <w:trHeight w:val="191"/>
        </w:trPr>
        <w:tc>
          <w:tcPr>
            <w:tcW w:w="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2001</w:t>
            </w:r>
          </w:p>
        </w:tc>
        <w:tc>
          <w:tcPr>
            <w:tcW w:w="11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2000</w:t>
            </w:r>
          </w:p>
        </w:tc>
        <w:tc>
          <w:tcPr>
            <w:tcW w:w="11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2001</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2000</w:t>
            </w:r>
          </w:p>
        </w:tc>
      </w:tr>
      <w:tr>
        <w:trPr>
          <w:trHeight w:val="191"/>
        </w:trPr>
        <w:tc>
          <w:tcPr>
            <w:tcW w:w="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383"/>
        </w:trPr>
        <w:tc>
          <w:tcPr>
            <w:tcW w:w="2980" w:type="dxa"/>
            <w:vAlign w:val="bottom"/>
            <w:gridSpan w:val="3"/>
          </w:tcPr>
          <w:p>
            <w:pPr>
              <w:spacing w:after="0"/>
              <w:rPr>
                <w:sz w:val="20"/>
                <w:szCs w:val="20"/>
                <w:color w:val="auto"/>
              </w:rPr>
            </w:pPr>
            <w:r>
              <w:rPr>
                <w:rFonts w:ascii="Courier New" w:cs="Courier New" w:eastAsia="Courier New" w:hAnsi="Courier New"/>
                <w:sz w:val="13"/>
                <w:szCs w:val="13"/>
                <w:color w:val="auto"/>
                <w:w w:val="71"/>
              </w:rPr>
              <w:t>Shares repurchased...................................</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jc w:val="right"/>
              <w:ind w:right="77"/>
              <w:spacing w:after="0"/>
              <w:rPr>
                <w:sz w:val="20"/>
                <w:szCs w:val="20"/>
                <w:color w:val="auto"/>
              </w:rPr>
            </w:pPr>
            <w:r>
              <w:rPr>
                <w:rFonts w:ascii="Courier New" w:cs="Courier New" w:eastAsia="Courier New" w:hAnsi="Courier New"/>
                <w:sz w:val="17"/>
                <w:szCs w:val="17"/>
                <w:color w:val="auto"/>
              </w:rPr>
              <w:t>0.8</w:t>
            </w:r>
          </w:p>
        </w:tc>
        <w:tc>
          <w:tcPr>
            <w:tcW w:w="11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2.1</w:t>
            </w:r>
          </w:p>
        </w:tc>
        <w:tc>
          <w:tcPr>
            <w:tcW w:w="11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0.8</w:t>
            </w:r>
          </w:p>
        </w:tc>
        <w:tc>
          <w:tcPr>
            <w:tcW w:w="11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8.1</w:t>
            </w:r>
          </w:p>
        </w:tc>
      </w:tr>
      <w:tr>
        <w:trPr>
          <w:trHeight w:val="191"/>
        </w:trPr>
        <w:tc>
          <w:tcPr>
            <w:tcW w:w="3280" w:type="dxa"/>
            <w:vAlign w:val="bottom"/>
            <w:gridSpan w:val="4"/>
          </w:tcPr>
          <w:p>
            <w:pPr>
              <w:spacing w:after="0"/>
              <w:rPr>
                <w:sz w:val="20"/>
                <w:szCs w:val="20"/>
                <w:color w:val="auto"/>
              </w:rPr>
            </w:pPr>
            <w:r>
              <w:rPr>
                <w:rFonts w:ascii="Courier New" w:cs="Courier New" w:eastAsia="Courier New" w:hAnsi="Courier New"/>
                <w:sz w:val="13"/>
                <w:szCs w:val="13"/>
                <w:color w:val="auto"/>
                <w:w w:val="78"/>
              </w:rPr>
              <w:t>Aggregate consideration..............................</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4"/>
              </w:rPr>
              <w:t>$27.1</w:t>
            </w:r>
          </w:p>
        </w:tc>
        <w:tc>
          <w:tcPr>
            <w:tcW w:w="11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$70.7</w:t>
            </w: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$27.1</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$290.3</w:t>
            </w:r>
          </w:p>
        </w:tc>
      </w:tr>
      <w:tr>
        <w:trPr>
          <w:trHeight w:val="574"/>
        </w:trPr>
        <w:tc>
          <w:tcPr>
            <w:tcW w:w="2980" w:type="dxa"/>
            <w:vAlign w:val="bottom"/>
            <w:gridSpan w:val="3"/>
          </w:tcPr>
          <w:p>
            <w:pPr>
              <w:spacing w:after="0"/>
              <w:rPr>
                <w:sz w:val="20"/>
                <w:szCs w:val="20"/>
                <w:color w:val="auto"/>
              </w:rPr>
            </w:pPr>
            <w:r>
              <w:rPr>
                <w:rFonts w:ascii="Courier New" w:cs="Courier New" w:eastAsia="Courier New" w:hAnsi="Courier New"/>
                <w:sz w:val="17"/>
                <w:szCs w:val="17"/>
                <w:color w:val="auto"/>
              </w:rPr>
              <w:t>Common Equity Put Options</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1"/>
        </w:trPr>
        <w:tc>
          <w:tcPr>
            <w:tcW w:w="4580" w:type="dxa"/>
            <w:vAlign w:val="bottom"/>
            <w:gridSpan w:val="7"/>
          </w:tcPr>
          <w:p>
            <w:pPr>
              <w:spacing w:after="0" w:line="191" w:lineRule="exact"/>
              <w:rPr>
                <w:sz w:val="20"/>
                <w:szCs w:val="20"/>
                <w:color w:val="auto"/>
              </w:rPr>
            </w:pPr>
            <w:r>
              <w:rPr>
                <w:rFonts w:ascii="Courier New" w:cs="Courier New" w:eastAsia="Courier New" w:hAnsi="Courier New"/>
                <w:sz w:val="17"/>
                <w:szCs w:val="17"/>
                <w:color w:val="auto"/>
              </w:rPr>
              <w:t>The Company  sold put options on 2.0 million</w:t>
            </w:r>
          </w:p>
        </w:tc>
        <w:tc>
          <w:tcPr>
            <w:tcW w:w="3220" w:type="dxa"/>
            <w:vAlign w:val="bottom"/>
            <w:gridSpan w:val="5"/>
          </w:tcPr>
          <w:p>
            <w:pPr>
              <w:jc w:val="right"/>
              <w:ind w:right="257"/>
              <w:spacing w:after="0" w:line="191" w:lineRule="exact"/>
              <w:rPr>
                <w:sz w:val="20"/>
                <w:szCs w:val="20"/>
                <w:color w:val="auto"/>
              </w:rPr>
            </w:pPr>
            <w:r>
              <w:rPr>
                <w:rFonts w:ascii="Courier New" w:cs="Courier New" w:eastAsia="Courier New" w:hAnsi="Courier New"/>
                <w:sz w:val="17"/>
                <w:szCs w:val="17"/>
                <w:color w:val="auto"/>
                <w:w w:val="96"/>
              </w:rPr>
              <w:t>shares of its Class A Special</w:t>
            </w: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4180" w:type="dxa"/>
            <w:vAlign w:val="bottom"/>
            <w:gridSpan w:val="6"/>
          </w:tcPr>
          <w:p>
            <w:pPr>
              <w:spacing w:after="0" w:line="191" w:lineRule="exact"/>
              <w:rPr>
                <w:sz w:val="20"/>
                <w:szCs w:val="20"/>
                <w:color w:val="auto"/>
              </w:rPr>
            </w:pPr>
            <w:r>
              <w:rPr>
                <w:rFonts w:ascii="Courier New" w:cs="Courier New" w:eastAsia="Courier New" w:hAnsi="Courier New"/>
                <w:sz w:val="17"/>
                <w:szCs w:val="17"/>
                <w:color w:val="auto"/>
                <w:w w:val="99"/>
              </w:rPr>
              <w:t>Common Stock during the nine months ended</w:t>
            </w:r>
          </w:p>
        </w:tc>
        <w:tc>
          <w:tcPr>
            <w:tcW w:w="3620" w:type="dxa"/>
            <w:vAlign w:val="bottom"/>
            <w:gridSpan w:val="6"/>
          </w:tcPr>
          <w:p>
            <w:pPr>
              <w:jc w:val="right"/>
              <w:ind w:right="257"/>
              <w:spacing w:after="0" w:line="191" w:lineRule="exact"/>
              <w:rPr>
                <w:sz w:val="20"/>
                <w:szCs w:val="20"/>
                <w:color w:val="auto"/>
              </w:rPr>
            </w:pPr>
            <w:r>
              <w:rPr>
                <w:rFonts w:ascii="Courier New" w:cs="Courier New" w:eastAsia="Courier New" w:hAnsi="Courier New"/>
                <w:sz w:val="17"/>
                <w:szCs w:val="17"/>
                <w:color w:val="auto"/>
                <w:w w:val="99"/>
              </w:rPr>
              <w:t>September 30, 2000 in connection</w:t>
            </w: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980" w:type="dxa"/>
            <w:vAlign w:val="bottom"/>
            <w:gridSpan w:val="3"/>
          </w:tcPr>
          <w:p>
            <w:pPr>
              <w:spacing w:after="0" w:line="191" w:lineRule="exact"/>
              <w:rPr>
                <w:sz w:val="20"/>
                <w:szCs w:val="20"/>
                <w:color w:val="auto"/>
              </w:rPr>
            </w:pPr>
            <w:r>
              <w:rPr>
                <w:rFonts w:ascii="Courier New" w:cs="Courier New" w:eastAsia="Courier New" w:hAnsi="Courier New"/>
                <w:sz w:val="17"/>
                <w:szCs w:val="17"/>
                <w:color w:val="auto"/>
              </w:rPr>
              <w:t>with the Company's repurchase</w:t>
            </w:r>
          </w:p>
        </w:tc>
        <w:tc>
          <w:tcPr>
            <w:tcW w:w="1200" w:type="dxa"/>
            <w:vAlign w:val="bottom"/>
            <w:gridSpan w:val="3"/>
          </w:tcPr>
          <w:p>
            <w:pPr>
              <w:ind w:left="100"/>
              <w:spacing w:after="0" w:line="191" w:lineRule="exact"/>
              <w:rPr>
                <w:sz w:val="20"/>
                <w:szCs w:val="20"/>
                <w:color w:val="auto"/>
              </w:rPr>
            </w:pPr>
            <w:r>
              <w:rPr>
                <w:rFonts w:ascii="Courier New" w:cs="Courier New" w:eastAsia="Courier New" w:hAnsi="Courier New"/>
                <w:sz w:val="17"/>
                <w:szCs w:val="17"/>
                <w:color w:val="auto"/>
              </w:rPr>
              <w:t>programs.</w:t>
            </w:r>
          </w:p>
        </w:tc>
        <w:tc>
          <w:tcPr>
            <w:tcW w:w="3620" w:type="dxa"/>
            <w:vAlign w:val="bottom"/>
            <w:gridSpan w:val="6"/>
          </w:tcPr>
          <w:p>
            <w:pPr>
              <w:jc w:val="right"/>
              <w:ind w:right="257"/>
              <w:spacing w:after="0" w:line="191" w:lineRule="exact"/>
              <w:rPr>
                <w:sz w:val="20"/>
                <w:szCs w:val="20"/>
                <w:color w:val="auto"/>
              </w:rPr>
            </w:pPr>
            <w:r>
              <w:rPr>
                <w:rFonts w:ascii="Courier New" w:cs="Courier New" w:eastAsia="Courier New" w:hAnsi="Courier New"/>
                <w:sz w:val="17"/>
                <w:szCs w:val="17"/>
                <w:color w:val="auto"/>
                <w:w w:val="96"/>
              </w:rPr>
              <w:t>Put options on 0.7 million shares</w:t>
            </w: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00" w:type="dxa"/>
            <w:vAlign w:val="bottom"/>
          </w:tcPr>
          <w:p>
            <w:pPr>
              <w:spacing w:after="0" w:line="191" w:lineRule="exact"/>
              <w:rPr>
                <w:sz w:val="20"/>
                <w:szCs w:val="20"/>
                <w:color w:val="auto"/>
              </w:rPr>
            </w:pPr>
            <w:r>
              <w:rPr>
                <w:rFonts w:ascii="Courier New" w:cs="Courier New" w:eastAsia="Courier New" w:hAnsi="Courier New"/>
                <w:sz w:val="17"/>
                <w:szCs w:val="17"/>
                <w:color w:val="auto"/>
              </w:rPr>
              <w:t>expired</w:t>
            </w:r>
          </w:p>
        </w:tc>
        <w:tc>
          <w:tcPr>
            <w:tcW w:w="11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unexercised</w:t>
            </w:r>
          </w:p>
        </w:tc>
        <w:tc>
          <w:tcPr>
            <w:tcW w:w="5720" w:type="dxa"/>
            <w:vAlign w:val="bottom"/>
            <w:gridSpan w:val="10"/>
          </w:tcPr>
          <w:p>
            <w:pPr>
              <w:jc w:val="right"/>
              <w:ind w:right="257"/>
              <w:spacing w:after="0" w:line="191" w:lineRule="exact"/>
              <w:rPr>
                <w:sz w:val="20"/>
                <w:szCs w:val="20"/>
                <w:color w:val="auto"/>
              </w:rPr>
            </w:pPr>
            <w:r>
              <w:rPr>
                <w:rFonts w:ascii="Courier New" w:cs="Courier New" w:eastAsia="Courier New" w:hAnsi="Courier New"/>
                <w:sz w:val="17"/>
                <w:szCs w:val="17"/>
                <w:color w:val="auto"/>
                <w:w w:val="99"/>
              </w:rPr>
              <w:t>during the fourth quarter of 2000 while the remaining</w:t>
            </w: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0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put  options on 1.3</w:t>
            </w:r>
          </w:p>
        </w:tc>
        <w:tc>
          <w:tcPr>
            <w:tcW w:w="900" w:type="dxa"/>
            <w:vAlign w:val="bottom"/>
          </w:tcPr>
          <w:p>
            <w:pPr>
              <w:spacing w:after="0" w:line="191" w:lineRule="exact"/>
              <w:rPr>
                <w:sz w:val="20"/>
                <w:szCs w:val="20"/>
                <w:color w:val="auto"/>
              </w:rPr>
            </w:pPr>
            <w:r>
              <w:rPr>
                <w:rFonts w:ascii="Courier New" w:cs="Courier New" w:eastAsia="Courier New" w:hAnsi="Courier New"/>
                <w:sz w:val="17"/>
                <w:szCs w:val="17"/>
                <w:color w:val="auto"/>
              </w:rPr>
              <w:t>million</w:t>
            </w:r>
          </w:p>
        </w:tc>
        <w:tc>
          <w:tcPr>
            <w:tcW w:w="8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w w:val="94"/>
              </w:rPr>
              <w:t>shares</w:t>
            </w:r>
          </w:p>
        </w:tc>
        <w:tc>
          <w:tcPr>
            <w:tcW w:w="800" w:type="dxa"/>
            <w:vAlign w:val="bottom"/>
            <w:gridSpan w:val="2"/>
          </w:tcPr>
          <w:p>
            <w:pPr>
              <w:jc w:val="center"/>
              <w:ind w:right="24"/>
              <w:spacing w:after="0" w:line="191" w:lineRule="exact"/>
              <w:rPr>
                <w:sz w:val="20"/>
                <w:szCs w:val="20"/>
                <w:color w:val="auto"/>
              </w:rPr>
            </w:pPr>
            <w:r>
              <w:rPr>
                <w:rFonts w:ascii="Courier New" w:cs="Courier New" w:eastAsia="Courier New" w:hAnsi="Courier New"/>
                <w:sz w:val="17"/>
                <w:szCs w:val="17"/>
                <w:color w:val="auto"/>
                <w:w w:val="97"/>
              </w:rPr>
              <w:t>expired</w:t>
            </w:r>
          </w:p>
        </w:tc>
        <w:tc>
          <w:tcPr>
            <w:tcW w:w="1380" w:type="dxa"/>
            <w:vAlign w:val="bottom"/>
            <w:gridSpan w:val="3"/>
          </w:tcPr>
          <w:p>
            <w:pPr>
              <w:ind w:left="100"/>
              <w:spacing w:after="0" w:line="191" w:lineRule="exact"/>
              <w:rPr>
                <w:sz w:val="20"/>
                <w:szCs w:val="20"/>
                <w:color w:val="auto"/>
              </w:rPr>
            </w:pPr>
            <w:r>
              <w:rPr>
                <w:rFonts w:ascii="Courier New" w:cs="Courier New" w:eastAsia="Courier New" w:hAnsi="Courier New"/>
                <w:sz w:val="17"/>
                <w:szCs w:val="17"/>
                <w:color w:val="auto"/>
              </w:rPr>
              <w:t>unexercised</w:t>
            </w:r>
          </w:p>
        </w:tc>
        <w:tc>
          <w:tcPr>
            <w:tcW w:w="184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w w:val="96"/>
              </w:rPr>
              <w:t>during the nine</w:t>
            </w: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3280" w:type="dxa"/>
            <w:vAlign w:val="bottom"/>
            <w:gridSpan w:val="4"/>
          </w:tcPr>
          <w:p>
            <w:pPr>
              <w:spacing w:after="0" w:line="191" w:lineRule="exact"/>
              <w:rPr>
                <w:sz w:val="20"/>
                <w:szCs w:val="20"/>
                <w:color w:val="auto"/>
              </w:rPr>
            </w:pPr>
            <w:r>
              <w:rPr>
                <w:rFonts w:ascii="Courier New" w:cs="Courier New" w:eastAsia="Courier New" w:hAnsi="Courier New"/>
                <w:sz w:val="17"/>
                <w:szCs w:val="17"/>
                <w:color w:val="auto"/>
                <w:w w:val="99"/>
              </w:rPr>
              <w:t>months ended September 30, 2001.</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83"/>
        </w:trPr>
        <w:tc>
          <w:tcPr>
            <w:tcW w:w="4780" w:type="dxa"/>
            <w:vAlign w:val="bottom"/>
            <w:gridSpan w:val="8"/>
          </w:tcPr>
          <w:p>
            <w:pPr>
              <w:spacing w:after="0"/>
              <w:rPr>
                <w:sz w:val="20"/>
                <w:szCs w:val="20"/>
                <w:color w:val="auto"/>
              </w:rPr>
            </w:pPr>
            <w:r>
              <w:rPr>
                <w:rFonts w:ascii="Courier New" w:cs="Courier New" w:eastAsia="Courier New" w:hAnsi="Courier New"/>
                <w:sz w:val="17"/>
                <w:szCs w:val="17"/>
                <w:color w:val="auto"/>
                <w:w w:val="97"/>
              </w:rPr>
              <w:t>The  Company  reclassified  $54.6  million,  the</w:t>
            </w:r>
          </w:p>
        </w:tc>
        <w:tc>
          <w:tcPr>
            <w:tcW w:w="3020" w:type="dxa"/>
            <w:vAlign w:val="bottom"/>
            <w:gridSpan w:val="4"/>
          </w:tcPr>
          <w:p>
            <w:pPr>
              <w:jc w:val="right"/>
              <w:ind w:right="257"/>
              <w:spacing w:after="0"/>
              <w:rPr>
                <w:sz w:val="20"/>
                <w:szCs w:val="20"/>
                <w:color w:val="auto"/>
              </w:rPr>
            </w:pPr>
            <w:r>
              <w:rPr>
                <w:rFonts w:ascii="Courier New" w:cs="Courier New" w:eastAsia="Courier New" w:hAnsi="Courier New"/>
                <w:sz w:val="17"/>
                <w:szCs w:val="17"/>
                <w:color w:val="auto"/>
              </w:rPr>
              <w:t>amount it would have been</w:t>
            </w: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1"/>
        </w:trPr>
        <w:tc>
          <w:tcPr>
            <w:tcW w:w="900" w:type="dxa"/>
            <w:vAlign w:val="bottom"/>
          </w:tcPr>
          <w:p>
            <w:pPr>
              <w:spacing w:after="0" w:line="191" w:lineRule="exact"/>
              <w:rPr>
                <w:sz w:val="20"/>
                <w:szCs w:val="20"/>
                <w:color w:val="auto"/>
              </w:rPr>
            </w:pPr>
            <w:r>
              <w:rPr>
                <w:rFonts w:ascii="Courier New" w:cs="Courier New" w:eastAsia="Courier New" w:hAnsi="Courier New"/>
                <w:sz w:val="17"/>
                <w:szCs w:val="17"/>
                <w:color w:val="auto"/>
                <w:w w:val="95"/>
              </w:rPr>
              <w:t>obligated</w:t>
            </w:r>
          </w:p>
        </w:tc>
        <w:tc>
          <w:tcPr>
            <w:tcW w:w="11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to pay to</w:t>
            </w:r>
          </w:p>
        </w:tc>
        <w:tc>
          <w:tcPr>
            <w:tcW w:w="120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repurchase</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such</w:t>
            </w:r>
          </w:p>
        </w:tc>
        <w:tc>
          <w:tcPr>
            <w:tcW w:w="80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4"/>
              </w:rPr>
              <w:t>shares</w:t>
            </w:r>
          </w:p>
        </w:tc>
        <w:tc>
          <w:tcPr>
            <w:tcW w:w="200" w:type="dxa"/>
            <w:vAlign w:val="bottom"/>
          </w:tcPr>
          <w:p>
            <w:pPr>
              <w:spacing w:after="0"/>
              <w:rPr>
                <w:sz w:val="16"/>
                <w:szCs w:val="16"/>
                <w:color w:val="auto"/>
              </w:rPr>
            </w:pPr>
          </w:p>
        </w:tc>
        <w:tc>
          <w:tcPr>
            <w:tcW w:w="340" w:type="dxa"/>
            <w:vAlign w:val="bottom"/>
          </w:tcPr>
          <w:p>
            <w:pPr>
              <w:spacing w:after="0" w:line="191" w:lineRule="exact"/>
              <w:rPr>
                <w:sz w:val="20"/>
                <w:szCs w:val="20"/>
                <w:color w:val="auto"/>
              </w:rPr>
            </w:pPr>
            <w:r>
              <w:rPr>
                <w:rFonts w:ascii="Courier New" w:cs="Courier New" w:eastAsia="Courier New" w:hAnsi="Courier New"/>
                <w:sz w:val="17"/>
                <w:szCs w:val="17"/>
                <w:color w:val="auto"/>
              </w:rPr>
              <w:t>had</w:t>
            </w:r>
          </w:p>
        </w:tc>
        <w:tc>
          <w:tcPr>
            <w:tcW w:w="8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w w:val="92"/>
              </w:rPr>
              <w:t>the put</w:t>
            </w:r>
          </w:p>
        </w:tc>
        <w:tc>
          <w:tcPr>
            <w:tcW w:w="184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options  been</w:t>
            </w: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7800" w:type="dxa"/>
            <w:vAlign w:val="bottom"/>
            <w:gridSpan w:val="12"/>
          </w:tcPr>
          <w:p>
            <w:pPr>
              <w:spacing w:after="0" w:line="191" w:lineRule="exact"/>
              <w:rPr>
                <w:sz w:val="20"/>
                <w:szCs w:val="20"/>
                <w:color w:val="auto"/>
              </w:rPr>
            </w:pPr>
            <w:r>
              <w:rPr>
                <w:rFonts w:ascii="Courier New" w:cs="Courier New" w:eastAsia="Courier New" w:hAnsi="Courier New"/>
                <w:sz w:val="17"/>
                <w:szCs w:val="17"/>
                <w:color w:val="auto"/>
              </w:rPr>
              <w:t>exercised,  from  common  equity put  options to  additional  capital  upon</w:t>
            </w: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4180" w:type="dxa"/>
            <w:vAlign w:val="bottom"/>
            <w:gridSpan w:val="6"/>
          </w:tcPr>
          <w:p>
            <w:pPr>
              <w:spacing w:after="0" w:line="191" w:lineRule="exact"/>
              <w:rPr>
                <w:sz w:val="20"/>
                <w:szCs w:val="20"/>
                <w:color w:val="auto"/>
              </w:rPr>
            </w:pPr>
            <w:r>
              <w:rPr>
                <w:rFonts w:ascii="Courier New" w:cs="Courier New" w:eastAsia="Courier New" w:hAnsi="Courier New"/>
                <w:sz w:val="17"/>
                <w:szCs w:val="17"/>
                <w:color w:val="auto"/>
                <w:w w:val="97"/>
              </w:rPr>
              <w:t>expiration of the put options during 2001.</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83"/>
        </w:trPr>
        <w:tc>
          <w:tcPr>
            <w:tcW w:w="3780" w:type="dxa"/>
            <w:vAlign w:val="bottom"/>
            <w:gridSpan w:val="5"/>
          </w:tcPr>
          <w:p>
            <w:pPr>
              <w:spacing w:after="0"/>
              <w:rPr>
                <w:sz w:val="20"/>
                <w:szCs w:val="20"/>
                <w:color w:val="auto"/>
              </w:rPr>
            </w:pPr>
            <w:r>
              <w:rPr>
                <w:rFonts w:ascii="Courier New" w:cs="Courier New" w:eastAsia="Courier New" w:hAnsi="Courier New"/>
                <w:sz w:val="17"/>
                <w:szCs w:val="17"/>
                <w:color w:val="auto"/>
                <w:w w:val="96"/>
              </w:rPr>
              <w:t>Conversion of Series B Preferred Stock</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1"/>
        </w:trPr>
        <w:tc>
          <w:tcPr>
            <w:tcW w:w="3280" w:type="dxa"/>
            <w:vAlign w:val="bottom"/>
            <w:gridSpan w:val="4"/>
          </w:tcPr>
          <w:p>
            <w:pPr>
              <w:spacing w:after="0" w:line="191" w:lineRule="exact"/>
              <w:rPr>
                <w:sz w:val="20"/>
                <w:szCs w:val="20"/>
                <w:color w:val="auto"/>
              </w:rPr>
            </w:pPr>
            <w:r>
              <w:rPr>
                <w:rFonts w:ascii="Courier New" w:cs="Courier New" w:eastAsia="Courier New" w:hAnsi="Courier New"/>
                <w:sz w:val="17"/>
                <w:szCs w:val="17"/>
                <w:color w:val="auto"/>
                <w:w w:val="96"/>
              </w:rPr>
              <w:t>In March 2001, the Company issued</w:t>
            </w:r>
          </w:p>
        </w:tc>
        <w:tc>
          <w:tcPr>
            <w:tcW w:w="1500" w:type="dxa"/>
            <w:vAlign w:val="bottom"/>
            <w:gridSpan w:val="4"/>
          </w:tcPr>
          <w:p>
            <w:pPr>
              <w:jc w:val="center"/>
              <w:ind w:left="117"/>
              <w:spacing w:after="0" w:line="191" w:lineRule="exact"/>
              <w:rPr>
                <w:sz w:val="20"/>
                <w:szCs w:val="20"/>
                <w:color w:val="auto"/>
              </w:rPr>
            </w:pPr>
            <w:r>
              <w:rPr>
                <w:rFonts w:ascii="Courier New" w:cs="Courier New" w:eastAsia="Courier New" w:hAnsi="Courier New"/>
                <w:sz w:val="17"/>
                <w:szCs w:val="17"/>
                <w:color w:val="auto"/>
                <w:w w:val="98"/>
              </w:rPr>
              <w:t>approximately</w:t>
            </w:r>
          </w:p>
        </w:tc>
        <w:tc>
          <w:tcPr>
            <w:tcW w:w="3020" w:type="dxa"/>
            <w:vAlign w:val="bottom"/>
            <w:gridSpan w:val="4"/>
          </w:tcPr>
          <w:p>
            <w:pPr>
              <w:jc w:val="right"/>
              <w:ind w:right="257"/>
              <w:spacing w:after="0" w:line="191" w:lineRule="exact"/>
              <w:rPr>
                <w:sz w:val="20"/>
                <w:szCs w:val="20"/>
                <w:color w:val="auto"/>
              </w:rPr>
            </w:pPr>
            <w:r>
              <w:rPr>
                <w:rFonts w:ascii="Courier New" w:cs="Courier New" w:eastAsia="Courier New" w:hAnsi="Courier New"/>
                <w:sz w:val="17"/>
                <w:szCs w:val="17"/>
                <w:color w:val="auto"/>
              </w:rPr>
              <w:t>4.2 million shares of its</w:t>
            </w: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00" w:type="dxa"/>
            <w:vAlign w:val="bottom"/>
          </w:tcPr>
          <w:p>
            <w:pPr>
              <w:spacing w:after="0" w:line="191" w:lineRule="exact"/>
              <w:rPr>
                <w:sz w:val="20"/>
                <w:szCs w:val="20"/>
                <w:color w:val="auto"/>
              </w:rPr>
            </w:pPr>
            <w:r>
              <w:rPr>
                <w:rFonts w:ascii="Courier New" w:cs="Courier New" w:eastAsia="Courier New" w:hAnsi="Courier New"/>
                <w:sz w:val="17"/>
                <w:szCs w:val="17"/>
                <w:color w:val="auto"/>
              </w:rPr>
              <w:t>Class A</w:t>
            </w:r>
          </w:p>
        </w:tc>
        <w:tc>
          <w:tcPr>
            <w:tcW w:w="28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6"/>
              </w:rPr>
              <w:t>Special  Common  Stock to the</w:t>
            </w:r>
          </w:p>
        </w:tc>
        <w:tc>
          <w:tcPr>
            <w:tcW w:w="80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4"/>
              </w:rPr>
              <w:t>holder</w:t>
            </w:r>
          </w:p>
        </w:tc>
        <w:tc>
          <w:tcPr>
            <w:tcW w:w="200" w:type="dxa"/>
            <w:vAlign w:val="bottom"/>
          </w:tcPr>
          <w:p>
            <w:pPr>
              <w:spacing w:after="0"/>
              <w:rPr>
                <w:sz w:val="16"/>
                <w:szCs w:val="16"/>
                <w:color w:val="auto"/>
              </w:rPr>
            </w:pPr>
          </w:p>
        </w:tc>
        <w:tc>
          <w:tcPr>
            <w:tcW w:w="1840" w:type="dxa"/>
            <w:vAlign w:val="bottom"/>
            <w:gridSpan w:val="3"/>
          </w:tcPr>
          <w:p>
            <w:pPr>
              <w:spacing w:after="0" w:line="191" w:lineRule="exact"/>
              <w:rPr>
                <w:sz w:val="20"/>
                <w:szCs w:val="20"/>
                <w:color w:val="auto"/>
              </w:rPr>
            </w:pPr>
            <w:r>
              <w:rPr>
                <w:rFonts w:ascii="Courier New" w:cs="Courier New" w:eastAsia="Courier New" w:hAnsi="Courier New"/>
                <w:sz w:val="17"/>
                <w:szCs w:val="17"/>
                <w:color w:val="auto"/>
              </w:rPr>
              <w:t>of the  Company's</w:t>
            </w:r>
          </w:p>
        </w:tc>
        <w:tc>
          <w:tcPr>
            <w:tcW w:w="11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Series B</w:t>
            </w: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00" w:type="dxa"/>
            <w:vAlign w:val="bottom"/>
          </w:tcPr>
          <w:p>
            <w:pPr>
              <w:spacing w:after="0" w:line="191" w:lineRule="exact"/>
              <w:rPr>
                <w:sz w:val="20"/>
                <w:szCs w:val="20"/>
                <w:color w:val="auto"/>
              </w:rPr>
            </w:pPr>
            <w:r>
              <w:rPr>
                <w:rFonts w:ascii="Courier New" w:cs="Courier New" w:eastAsia="Courier New" w:hAnsi="Courier New"/>
                <w:sz w:val="17"/>
                <w:szCs w:val="17"/>
                <w:color w:val="auto"/>
                <w:w w:val="95"/>
              </w:rPr>
              <w:t>Preferred</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Stock in</w:t>
            </w:r>
          </w:p>
        </w:tc>
        <w:tc>
          <w:tcPr>
            <w:tcW w:w="12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connection</w:t>
            </w:r>
          </w:p>
        </w:tc>
        <w:tc>
          <w:tcPr>
            <w:tcW w:w="1840" w:type="dxa"/>
            <w:vAlign w:val="bottom"/>
            <w:gridSpan w:val="5"/>
          </w:tcPr>
          <w:p>
            <w:pPr>
              <w:jc w:val="center"/>
              <w:ind w:right="57"/>
              <w:spacing w:after="0" w:line="191" w:lineRule="exact"/>
              <w:rPr>
                <w:sz w:val="20"/>
                <w:szCs w:val="20"/>
                <w:color w:val="auto"/>
              </w:rPr>
            </w:pPr>
            <w:r>
              <w:rPr>
                <w:rFonts w:ascii="Courier New" w:cs="Courier New" w:eastAsia="Courier New" w:hAnsi="Courier New"/>
                <w:sz w:val="17"/>
                <w:szCs w:val="17"/>
                <w:color w:val="auto"/>
                <w:w w:val="98"/>
              </w:rPr>
              <w:t>with the holder's</w:t>
            </w:r>
          </w:p>
        </w:tc>
        <w:tc>
          <w:tcPr>
            <w:tcW w:w="2680" w:type="dxa"/>
            <w:vAlign w:val="bottom"/>
            <w:gridSpan w:val="3"/>
          </w:tcPr>
          <w:p>
            <w:pPr>
              <w:jc w:val="right"/>
              <w:ind w:right="257"/>
              <w:spacing w:after="0" w:line="191" w:lineRule="exact"/>
              <w:rPr>
                <w:sz w:val="20"/>
                <w:szCs w:val="20"/>
                <w:color w:val="auto"/>
              </w:rPr>
            </w:pPr>
            <w:r>
              <w:rPr>
                <w:rFonts w:ascii="Courier New" w:cs="Courier New" w:eastAsia="Courier New" w:hAnsi="Courier New"/>
                <w:sz w:val="17"/>
                <w:szCs w:val="17"/>
                <w:color w:val="auto"/>
                <w:w w:val="98"/>
              </w:rPr>
              <w:t>election to convert the</w:t>
            </w: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7800" w:type="dxa"/>
            <w:vAlign w:val="bottom"/>
            <w:gridSpan w:val="12"/>
          </w:tcPr>
          <w:p>
            <w:pPr>
              <w:spacing w:after="0" w:line="191" w:lineRule="exact"/>
              <w:rPr>
                <w:sz w:val="20"/>
                <w:szCs w:val="20"/>
                <w:color w:val="auto"/>
              </w:rPr>
            </w:pPr>
            <w:r>
              <w:rPr>
                <w:rFonts w:ascii="Courier New" w:cs="Courier New" w:eastAsia="Courier New" w:hAnsi="Courier New"/>
                <w:sz w:val="17"/>
                <w:szCs w:val="17"/>
                <w:color w:val="auto"/>
              </w:rPr>
              <w:t>remaining $59.5 million at redemption value of Series B Preferred Stock.</w:t>
            </w: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83"/>
        </w:trPr>
        <w:tc>
          <w:tcPr>
            <w:tcW w:w="2980" w:type="dxa"/>
            <w:vAlign w:val="bottom"/>
            <w:gridSpan w:val="3"/>
          </w:tcPr>
          <w:p>
            <w:pPr>
              <w:spacing w:after="0"/>
              <w:rPr>
                <w:sz w:val="20"/>
                <w:szCs w:val="20"/>
                <w:color w:val="auto"/>
              </w:rPr>
            </w:pPr>
            <w:r>
              <w:rPr>
                <w:rFonts w:ascii="Courier New" w:cs="Courier New" w:eastAsia="Courier New" w:hAnsi="Courier New"/>
                <w:sz w:val="17"/>
                <w:szCs w:val="17"/>
                <w:color w:val="auto"/>
              </w:rPr>
              <w:t>Comprehensive Income (Loss)</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1"/>
        </w:trPr>
        <w:tc>
          <w:tcPr>
            <w:tcW w:w="7800" w:type="dxa"/>
            <w:vAlign w:val="bottom"/>
            <w:gridSpan w:val="12"/>
          </w:tcPr>
          <w:p>
            <w:pPr>
              <w:spacing w:after="0" w:line="191" w:lineRule="exact"/>
              <w:rPr>
                <w:sz w:val="20"/>
                <w:szCs w:val="20"/>
                <w:color w:val="auto"/>
              </w:rPr>
            </w:pPr>
            <w:r>
              <w:rPr>
                <w:rFonts w:ascii="Courier New" w:cs="Courier New" w:eastAsia="Courier New" w:hAnsi="Courier New"/>
                <w:sz w:val="17"/>
                <w:szCs w:val="17"/>
                <w:color w:val="auto"/>
              </w:rPr>
              <w:t>The Company's total comprehensive income (loss) for the interim periods was</w:t>
            </w: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980" w:type="dxa"/>
            <w:vAlign w:val="bottom"/>
            <w:gridSpan w:val="3"/>
          </w:tcPr>
          <w:p>
            <w:pPr>
              <w:spacing w:after="0" w:line="191" w:lineRule="exact"/>
              <w:rPr>
                <w:sz w:val="20"/>
                <w:szCs w:val="20"/>
                <w:color w:val="auto"/>
              </w:rPr>
            </w:pPr>
            <w:r>
              <w:rPr>
                <w:rFonts w:ascii="Courier New" w:cs="Courier New" w:eastAsia="Courier New" w:hAnsi="Courier New"/>
                <w:sz w:val="17"/>
                <w:szCs w:val="17"/>
                <w:color w:val="auto"/>
              </w:rPr>
              <w:t>as follows (in millions):</w:t>
            </w: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765"/>
        </w:trPr>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80" w:type="dxa"/>
            <w:vAlign w:val="bottom"/>
            <w:gridSpan w:val="3"/>
          </w:tcPr>
          <w:p>
            <w:pPr>
              <w:jc w:val="right"/>
              <w:ind w:right="257"/>
              <w:spacing w:after="0"/>
              <w:rPr>
                <w:sz w:val="20"/>
                <w:szCs w:val="20"/>
                <w:color w:val="auto"/>
              </w:rPr>
            </w:pPr>
            <w:r>
              <w:rPr>
                <w:rFonts w:ascii="Courier New" w:cs="Courier New" w:eastAsia="Courier New" w:hAnsi="Courier New"/>
                <w:sz w:val="17"/>
                <w:szCs w:val="17"/>
                <w:color w:val="auto"/>
              </w:rPr>
              <w:t>Three Months Ended</w:t>
            </w:r>
          </w:p>
        </w:tc>
        <w:tc>
          <w:tcPr>
            <w:tcW w:w="2240" w:type="dxa"/>
            <w:vAlign w:val="bottom"/>
            <w:gridSpan w:val="2"/>
          </w:tcPr>
          <w:p>
            <w:pPr>
              <w:jc w:val="right"/>
              <w:ind w:right="217"/>
              <w:spacing w:after="0"/>
              <w:rPr>
                <w:sz w:val="20"/>
                <w:szCs w:val="20"/>
                <w:color w:val="auto"/>
              </w:rPr>
            </w:pPr>
            <w:r>
              <w:rPr>
                <w:rFonts w:ascii="Courier New" w:cs="Courier New" w:eastAsia="Courier New" w:hAnsi="Courier New"/>
                <w:sz w:val="17"/>
                <w:szCs w:val="17"/>
                <w:color w:val="auto"/>
              </w:rPr>
              <w:t>Nine Months Ended</w:t>
            </w:r>
          </w:p>
        </w:tc>
      </w:tr>
      <w:tr>
        <w:trPr>
          <w:trHeight w:val="191"/>
        </w:trPr>
        <w:tc>
          <w:tcPr>
            <w:tcW w:w="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40" w:type="dxa"/>
            <w:vAlign w:val="bottom"/>
            <w:gridSpan w:val="2"/>
          </w:tcPr>
          <w:p>
            <w:pPr>
              <w:jc w:val="right"/>
              <w:ind w:right="457"/>
              <w:spacing w:after="0" w:line="191" w:lineRule="exact"/>
              <w:rPr>
                <w:sz w:val="20"/>
                <w:szCs w:val="20"/>
                <w:color w:val="auto"/>
              </w:rPr>
            </w:pPr>
            <w:r>
              <w:rPr>
                <w:rFonts w:ascii="Courier New" w:cs="Courier New" w:eastAsia="Courier New" w:hAnsi="Courier New"/>
                <w:sz w:val="17"/>
                <w:szCs w:val="17"/>
                <w:color w:val="auto"/>
                <w:w w:val="96"/>
              </w:rPr>
              <w:t>September 30,</w:t>
            </w:r>
          </w:p>
        </w:tc>
        <w:tc>
          <w:tcPr>
            <w:tcW w:w="2240" w:type="dxa"/>
            <w:vAlign w:val="bottom"/>
            <w:gridSpan w:val="2"/>
          </w:tcPr>
          <w:p>
            <w:pPr>
              <w:ind w:left="460"/>
              <w:spacing w:after="0" w:line="191" w:lineRule="exact"/>
              <w:rPr>
                <w:sz w:val="20"/>
                <w:szCs w:val="20"/>
                <w:color w:val="auto"/>
              </w:rPr>
            </w:pPr>
            <w:r>
              <w:rPr>
                <w:rFonts w:ascii="Courier New" w:cs="Courier New" w:eastAsia="Courier New" w:hAnsi="Courier New"/>
                <w:sz w:val="17"/>
                <w:szCs w:val="17"/>
                <w:color w:val="auto"/>
              </w:rPr>
              <w:t>September 30,</w:t>
            </w:r>
          </w:p>
        </w:tc>
      </w:tr>
      <w:tr>
        <w:trPr>
          <w:trHeight w:val="191"/>
        </w:trPr>
        <w:tc>
          <w:tcPr>
            <w:tcW w:w="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2001</w:t>
            </w:r>
          </w:p>
        </w:tc>
        <w:tc>
          <w:tcPr>
            <w:tcW w:w="1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2000</w:t>
            </w:r>
          </w:p>
        </w:tc>
        <w:tc>
          <w:tcPr>
            <w:tcW w:w="11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2001</w:t>
            </w: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2000</w:t>
            </w:r>
          </w:p>
        </w:tc>
      </w:tr>
      <w:tr>
        <w:trPr>
          <w:trHeight w:val="191"/>
        </w:trPr>
        <w:tc>
          <w:tcPr>
            <w:tcW w:w="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383"/>
        </w:trPr>
        <w:tc>
          <w:tcPr>
            <w:tcW w:w="2980" w:type="dxa"/>
            <w:vAlign w:val="bottom"/>
            <w:gridSpan w:val="3"/>
          </w:tcPr>
          <w:p>
            <w:pPr>
              <w:spacing w:after="0"/>
              <w:rPr>
                <w:sz w:val="20"/>
                <w:szCs w:val="20"/>
                <w:color w:val="auto"/>
              </w:rPr>
            </w:pPr>
            <w:r>
              <w:rPr>
                <w:rFonts w:ascii="Courier New" w:cs="Courier New" w:eastAsia="Courier New" w:hAnsi="Courier New"/>
                <w:sz w:val="13"/>
                <w:szCs w:val="13"/>
                <w:color w:val="auto"/>
                <w:w w:val="71"/>
              </w:rPr>
              <w:t>Net income (loss)....................................</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($106.8)</w:t>
            </w:r>
          </w:p>
        </w:tc>
        <w:tc>
          <w:tcPr>
            <w:tcW w:w="11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$1,246.8</w:t>
            </w:r>
          </w:p>
        </w:tc>
        <w:tc>
          <w:tcPr>
            <w:tcW w:w="11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$929.6</w:t>
            </w:r>
          </w:p>
        </w:tc>
        <w:tc>
          <w:tcPr>
            <w:tcW w:w="11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$1,243.0</w:t>
            </w:r>
          </w:p>
        </w:tc>
      </w:tr>
      <w:tr>
        <w:trPr>
          <w:trHeight w:val="191"/>
        </w:trPr>
        <w:tc>
          <w:tcPr>
            <w:tcW w:w="4180" w:type="dxa"/>
            <w:vAlign w:val="bottom"/>
            <w:gridSpan w:val="6"/>
          </w:tcPr>
          <w:p>
            <w:pPr>
              <w:spacing w:after="0" w:line="191" w:lineRule="exact"/>
              <w:rPr>
                <w:sz w:val="20"/>
                <w:szCs w:val="20"/>
                <w:color w:val="auto"/>
              </w:rPr>
            </w:pPr>
            <w:r>
              <w:rPr>
                <w:rFonts w:ascii="Courier New" w:cs="Courier New" w:eastAsia="Courier New" w:hAnsi="Courier New"/>
                <w:sz w:val="17"/>
                <w:szCs w:val="17"/>
                <w:color w:val="auto"/>
                <w:w w:val="97"/>
              </w:rPr>
              <w:t>Unrealized losses on marketable securities</w:t>
            </w: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w:t>
            </w: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(88.4)</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(1,316.7)</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(220.6)</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(4,376.1)</w:t>
            </w:r>
          </w:p>
        </w:tc>
      </w:tr>
      <w:tr>
        <w:trPr>
          <w:trHeight w:val="191"/>
        </w:trPr>
        <w:tc>
          <w:tcPr>
            <w:tcW w:w="4180" w:type="dxa"/>
            <w:vAlign w:val="bottom"/>
            <w:gridSpan w:val="6"/>
          </w:tcPr>
          <w:p>
            <w:pPr>
              <w:spacing w:after="0" w:line="191" w:lineRule="exact"/>
              <w:rPr>
                <w:sz w:val="20"/>
                <w:szCs w:val="20"/>
                <w:color w:val="auto"/>
              </w:rPr>
            </w:pPr>
            <w:r>
              <w:rPr>
                <w:rFonts w:ascii="Courier New" w:cs="Courier New" w:eastAsia="Courier New" w:hAnsi="Courier New"/>
                <w:sz w:val="17"/>
                <w:szCs w:val="17"/>
                <w:color w:val="auto"/>
                <w:w w:val="97"/>
              </w:rPr>
              <w:t>Unrealized losses on the effective portion</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0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5"/>
              </w:rPr>
              <w:t>of cash flow hedges</w:t>
            </w:r>
          </w:p>
        </w:tc>
        <w:tc>
          <w:tcPr>
            <w:tcW w:w="1200" w:type="dxa"/>
            <w:vAlign w:val="bottom"/>
            <w:gridSpan w:val="2"/>
          </w:tcPr>
          <w:p>
            <w:pPr>
              <w:spacing w:after="0"/>
              <w:rPr>
                <w:sz w:val="20"/>
                <w:szCs w:val="20"/>
                <w:color w:val="auto"/>
              </w:rPr>
            </w:pPr>
            <w:r>
              <w:rPr>
                <w:rFonts w:ascii="Courier New" w:cs="Courier New" w:eastAsia="Courier New" w:hAnsi="Courier New"/>
                <w:sz w:val="8"/>
                <w:szCs w:val="8"/>
                <w:color w:val="auto"/>
                <w:w w:val="76"/>
              </w:rPr>
              <w:t>................................</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w:t>
            </w:r>
          </w:p>
        </w:tc>
        <w:tc>
          <w:tcPr>
            <w:tcW w:w="118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w:t>
            </w:r>
          </w:p>
        </w:tc>
        <w:tc>
          <w:tcPr>
            <w:tcW w:w="1140" w:type="dxa"/>
            <w:vAlign w:val="bottom"/>
          </w:tcPr>
          <w:p>
            <w:pPr>
              <w:spacing w:after="0"/>
              <w:rPr>
                <w:sz w:val="16"/>
                <w:szCs w:val="16"/>
                <w:color w:val="auto"/>
              </w:rPr>
            </w:pPr>
          </w:p>
        </w:tc>
      </w:tr>
      <w:tr>
        <w:trPr>
          <w:trHeight w:val="191"/>
        </w:trPr>
        <w:tc>
          <w:tcPr>
            <w:tcW w:w="4180" w:type="dxa"/>
            <w:vAlign w:val="bottom"/>
            <w:gridSpan w:val="6"/>
          </w:tcPr>
          <w:p>
            <w:pPr>
              <w:spacing w:after="0" w:line="191" w:lineRule="exact"/>
              <w:rPr>
                <w:sz w:val="20"/>
                <w:szCs w:val="20"/>
                <w:color w:val="auto"/>
              </w:rPr>
            </w:pPr>
            <w:r>
              <w:rPr>
                <w:rFonts w:ascii="Courier New" w:cs="Courier New" w:eastAsia="Courier New" w:hAnsi="Courier New"/>
                <w:sz w:val="17"/>
                <w:szCs w:val="17"/>
                <w:color w:val="auto"/>
                <w:w w:val="76"/>
              </w:rPr>
              <w:t>Foreign currency translation losses..................</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(4.8)</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(9.4)</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(9.1)</w:t>
            </w:r>
          </w:p>
        </w:tc>
      </w:tr>
      <w:tr>
        <w:trPr>
          <w:trHeight w:val="191"/>
        </w:trPr>
        <w:tc>
          <w:tcPr>
            <w:tcW w:w="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3280" w:type="dxa"/>
            <w:vAlign w:val="bottom"/>
            <w:gridSpan w:val="4"/>
          </w:tcPr>
          <w:p>
            <w:pPr>
              <w:spacing w:after="0"/>
              <w:rPr>
                <w:sz w:val="20"/>
                <w:szCs w:val="20"/>
                <w:color w:val="auto"/>
              </w:rPr>
            </w:pPr>
            <w:r>
              <w:rPr>
                <w:rFonts w:ascii="Courier New" w:cs="Courier New" w:eastAsia="Courier New" w:hAnsi="Courier New"/>
                <w:sz w:val="13"/>
                <w:szCs w:val="13"/>
                <w:color w:val="auto"/>
                <w:w w:val="78"/>
              </w:rPr>
              <w:t>Comprehensive income (loss)..........................</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($199.3)</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($74.7)</w:t>
            </w:r>
          </w:p>
        </w:tc>
        <w:tc>
          <w:tcPr>
            <w:tcW w:w="22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$696.5   ($3,142.2)</w:t>
            </w:r>
          </w:p>
        </w:tc>
      </w:tr>
      <w:tr>
        <w:trPr>
          <w:trHeight w:val="191"/>
        </w:trPr>
        <w:tc>
          <w:tcPr>
            <w:tcW w:w="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765"/>
        </w:trPr>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13</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540"/>
          </w:cols>
          <w:pgMar w:left="240" w:top="683" w:right="1119" w:bottom="1440" w:gutter="0" w:footer="0" w:header="0"/>
        </w:sectPr>
      </w:pPr>
    </w:p>
    <w:bookmarkStart w:id="16" w:name="page17"/>
    <w:bookmarkEnd w:id="16"/>
    <w:p>
      <w:pPr>
        <w:jc w:val="center"/>
        <w:ind w:right="2259"/>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2159"/>
        <w:spacing w:after="0" w:line="238" w:lineRule="auto"/>
        <w:rPr>
          <w:sz w:val="20"/>
          <w:szCs w:val="20"/>
          <w:color w:val="auto"/>
        </w:rPr>
      </w:pPr>
      <w:r>
        <w:rPr>
          <w:rFonts w:ascii="Courier New" w:cs="Courier New" w:eastAsia="Courier New" w:hAnsi="Courier New"/>
          <w:sz w:val="17"/>
          <w:szCs w:val="17"/>
          <w:color w:val="auto"/>
        </w:rPr>
        <w:t>FORM 10-Q</w:t>
      </w:r>
    </w:p>
    <w:p>
      <w:pPr>
        <w:jc w:val="center"/>
        <w:ind w:right="2259"/>
        <w:spacing w:after="0" w:line="238" w:lineRule="auto"/>
        <w:rPr>
          <w:sz w:val="20"/>
          <w:szCs w:val="20"/>
          <w:color w:val="auto"/>
        </w:rPr>
      </w:pPr>
      <w:r>
        <w:rPr>
          <w:rFonts w:ascii="Courier New" w:cs="Courier New" w:eastAsia="Courier New" w:hAnsi="Courier New"/>
          <w:sz w:val="17"/>
          <w:szCs w:val="17"/>
          <w:color w:val="auto"/>
        </w:rPr>
        <w:t>QUARTER ENDED SEPTEMBER 30, 2001</w:t>
      </w:r>
    </w:p>
    <w:p>
      <w:pPr>
        <w:jc w:val="center"/>
        <w:ind w:right="2259"/>
        <w:spacing w:after="0"/>
        <w:rPr>
          <w:sz w:val="20"/>
          <w:szCs w:val="20"/>
          <w:color w:val="auto"/>
        </w:rPr>
      </w:pPr>
      <w:r>
        <w:rPr>
          <w:rFonts w:ascii="Courier New" w:cs="Courier New" w:eastAsia="Courier New" w:hAnsi="Courier New"/>
          <w:sz w:val="17"/>
          <w:szCs w:val="17"/>
          <w:color w:val="auto"/>
        </w:rPr>
        <w:t>NOTES TO CONDENSED CONSOLIDATED FINANCIAL STATEMENTS - CONTINUED</w:t>
      </w:r>
    </w:p>
    <w:p>
      <w:pPr>
        <w:jc w:val="center"/>
        <w:ind w:right="2159"/>
        <w:spacing w:after="0" w:line="237" w:lineRule="auto"/>
        <w:rPr>
          <w:sz w:val="20"/>
          <w:szCs w:val="20"/>
          <w:color w:val="auto"/>
        </w:rPr>
      </w:pPr>
      <w:r>
        <w:rPr>
          <w:rFonts w:ascii="Courier New" w:cs="Courier New" w:eastAsia="Courier New" w:hAnsi="Courier New"/>
          <w:sz w:val="17"/>
          <w:szCs w:val="17"/>
          <w:color w:val="auto"/>
        </w:rPr>
        <w:t>(Unaudited)</w:t>
      </w:r>
    </w:p>
    <w:p>
      <w:pPr>
        <w:spacing w:after="0" w:line="190" w:lineRule="exact"/>
        <w:rPr>
          <w:sz w:val="20"/>
          <w:szCs w:val="20"/>
          <w:color w:val="auto"/>
        </w:rPr>
      </w:pPr>
    </w:p>
    <w:p>
      <w:pPr>
        <w:ind w:left="500" w:hanging="498"/>
        <w:spacing w:after="0"/>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STATEMENT OF CASH FLOWS - SUPPLEMENTAL INFORMATION</w:t>
      </w:r>
    </w:p>
    <w:p>
      <w:pPr>
        <w:spacing w:after="0" w:line="196" w:lineRule="exact"/>
        <w:rPr>
          <w:rFonts w:ascii="Courier New" w:cs="Courier New" w:eastAsia="Courier New" w:hAnsi="Courier New"/>
          <w:sz w:val="17"/>
          <w:szCs w:val="17"/>
          <w:color w:val="auto"/>
        </w:rPr>
      </w:pPr>
    </w:p>
    <w:p>
      <w:pPr>
        <w:jc w:val="both"/>
        <w:ind w:left="500" w:right="225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fair values of the assets and liabilities acquired by the Company through noncash transactions during 2001 (see Note 4) are as follows (in millions):</w:t>
      </w:r>
    </w:p>
    <w:p>
      <w:pPr>
        <w:spacing w:after="0" w:line="382" w:lineRule="exact"/>
        <w:rPr>
          <w:sz w:val="20"/>
          <w:szCs w:val="20"/>
          <w:color w:val="auto"/>
        </w:rPr>
      </w:pPr>
    </w:p>
    <w:tbl>
      <w:tblPr>
        <w:tblLayout w:type="fixed"/>
        <w:tblInd w:w="1800" w:type="dxa"/>
        <w:tblCellMar>
          <w:top w:w="0" w:type="dxa"/>
          <w:left w:w="0" w:type="dxa"/>
          <w:bottom w:w="0" w:type="dxa"/>
          <w:right w:w="0" w:type="dxa"/>
        </w:tblCellMar>
      </w:tblPr>
      <w:tr>
        <w:trPr>
          <w:trHeight w:val="193"/>
        </w:trPr>
        <w:tc>
          <w:tcPr>
            <w:tcW w:w="452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2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$56.6</w:t>
            </w:r>
          </w:p>
        </w:tc>
      </w:tr>
      <w:tr>
        <w:trPr>
          <w:trHeight w:val="191"/>
        </w:trPr>
        <w:tc>
          <w:tcPr>
            <w:tcW w:w="4520" w:type="dxa"/>
            <w:vAlign w:val="bottom"/>
          </w:tcPr>
          <w:p>
            <w:pPr>
              <w:spacing w:after="0" w:line="191" w:lineRule="exact"/>
              <w:rPr>
                <w:sz w:val="20"/>
                <w:szCs w:val="20"/>
                <w:color w:val="auto"/>
              </w:rPr>
            </w:pPr>
            <w:r>
              <w:rPr>
                <w:rFonts w:ascii="Courier New" w:cs="Courier New" w:eastAsia="Courier New" w:hAnsi="Courier New"/>
                <w:sz w:val="17"/>
                <w:szCs w:val="17"/>
                <w:color w:val="auto"/>
              </w:rPr>
              <w:t>Property, plant &amp; equipment.................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686.1</w:t>
            </w:r>
          </w:p>
        </w:tc>
      </w:tr>
      <w:tr>
        <w:trPr>
          <w:trHeight w:val="191"/>
        </w:trPr>
        <w:tc>
          <w:tcPr>
            <w:tcW w:w="4520" w:type="dxa"/>
            <w:vAlign w:val="bottom"/>
          </w:tcPr>
          <w:p>
            <w:pPr>
              <w:spacing w:after="0" w:line="191" w:lineRule="exact"/>
              <w:rPr>
                <w:sz w:val="20"/>
                <w:szCs w:val="20"/>
                <w:color w:val="auto"/>
              </w:rPr>
            </w:pPr>
            <w:r>
              <w:rPr>
                <w:rFonts w:ascii="Courier New" w:cs="Courier New" w:eastAsia="Courier New" w:hAnsi="Courier New"/>
                <w:sz w:val="17"/>
                <w:szCs w:val="17"/>
                <w:color w:val="auto"/>
              </w:rPr>
              <w:t>Deferred charges............................</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2,755.8</w:t>
            </w:r>
          </w:p>
        </w:tc>
      </w:tr>
      <w:tr>
        <w:trPr>
          <w:trHeight w:val="191"/>
        </w:trPr>
        <w:tc>
          <w:tcPr>
            <w:tcW w:w="4520" w:type="dxa"/>
            <w:vAlign w:val="bottom"/>
          </w:tcPr>
          <w:p>
            <w:pPr>
              <w:spacing w:after="0" w:line="191" w:lineRule="exact"/>
              <w:rPr>
                <w:sz w:val="20"/>
                <w:szCs w:val="20"/>
                <w:color w:val="auto"/>
              </w:rPr>
            </w:pPr>
            <w:r>
              <w:rPr>
                <w:rFonts w:ascii="Courier New" w:cs="Courier New" w:eastAsia="Courier New" w:hAnsi="Courier New"/>
                <w:sz w:val="17"/>
                <w:szCs w:val="17"/>
                <w:color w:val="auto"/>
              </w:rPr>
              <w:t>Current liabilities.........................</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(37.0)</w:t>
            </w:r>
          </w:p>
        </w:tc>
      </w:tr>
      <w:tr>
        <w:trPr>
          <w:trHeight w:val="191"/>
        </w:trPr>
        <w:tc>
          <w:tcPr>
            <w:tcW w:w="4520" w:type="dxa"/>
            <w:vAlign w:val="bottom"/>
          </w:tcPr>
          <w:p>
            <w:pPr>
              <w:spacing w:after="0"/>
              <w:rPr>
                <w:sz w:val="16"/>
                <w:szCs w:val="16"/>
                <w:color w:val="auto"/>
              </w:rPr>
            </w:pP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4520" w:type="dxa"/>
            <w:vAlign w:val="bottom"/>
          </w:tcPr>
          <w:p>
            <w:pPr>
              <w:ind w:left="880"/>
              <w:spacing w:after="0" w:line="191" w:lineRule="exact"/>
              <w:rPr>
                <w:sz w:val="20"/>
                <w:szCs w:val="20"/>
                <w:color w:val="auto"/>
              </w:rPr>
            </w:pPr>
            <w:r>
              <w:rPr>
                <w:rFonts w:ascii="Courier New" w:cs="Courier New" w:eastAsia="Courier New" w:hAnsi="Courier New"/>
                <w:sz w:val="17"/>
                <w:szCs w:val="17"/>
                <w:color w:val="auto"/>
                <w:w w:val="98"/>
              </w:rPr>
              <w:t>Net assets acquired.................</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$3,461.5</w:t>
            </w:r>
          </w:p>
        </w:tc>
      </w:tr>
      <w:tr>
        <w:trPr>
          <w:trHeight w:val="191"/>
        </w:trPr>
        <w:tc>
          <w:tcPr>
            <w:tcW w:w="4520" w:type="dxa"/>
            <w:vAlign w:val="bottom"/>
          </w:tcPr>
          <w:p>
            <w:pPr>
              <w:spacing w:after="0"/>
              <w:rPr>
                <w:sz w:val="16"/>
                <w:szCs w:val="16"/>
                <w:color w:val="auto"/>
              </w:rPr>
            </w:pP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bl>
    <w:p>
      <w:pPr>
        <w:spacing w:after="0" w:line="196" w:lineRule="exact"/>
        <w:rPr>
          <w:sz w:val="20"/>
          <w:szCs w:val="20"/>
          <w:color w:val="auto"/>
        </w:rPr>
      </w:pPr>
    </w:p>
    <w:p>
      <w:pPr>
        <w:ind w:left="500" w:right="2259"/>
        <w:spacing w:after="0" w:line="235" w:lineRule="auto"/>
        <w:rPr>
          <w:sz w:val="20"/>
          <w:szCs w:val="20"/>
          <w:color w:val="auto"/>
        </w:rPr>
      </w:pPr>
      <w:r>
        <w:rPr>
          <w:rFonts w:ascii="Courier New" w:cs="Courier New" w:eastAsia="Courier New" w:hAnsi="Courier New"/>
          <w:sz w:val="17"/>
          <w:szCs w:val="17"/>
          <w:color w:val="auto"/>
        </w:rPr>
        <w:t>The Company made cash payments for interest and income taxes during the interim periods as follows (in millions):</w:t>
      </w:r>
    </w:p>
    <w:p>
      <w:pPr>
        <w:spacing w:after="0" w:line="200" w:lineRule="exact"/>
        <w:rPr>
          <w:sz w:val="20"/>
          <w:szCs w:val="20"/>
          <w:color w:val="auto"/>
        </w:rPr>
      </w:pPr>
    </w:p>
    <w:p>
      <w:pPr>
        <w:spacing w:after="0" w:line="373"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4620" w:type="dxa"/>
            <w:vAlign w:val="bottom"/>
          </w:tcPr>
          <w:p>
            <w:pPr>
              <w:spacing w:after="0"/>
              <w:rPr>
                <w:sz w:val="16"/>
                <w:szCs w:val="16"/>
                <w:color w:val="auto"/>
              </w:rPr>
            </w:pPr>
          </w:p>
        </w:tc>
        <w:tc>
          <w:tcPr>
            <w:tcW w:w="224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Three Months Ended</w:t>
            </w:r>
          </w:p>
        </w:tc>
        <w:tc>
          <w:tcPr>
            <w:tcW w:w="20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Nine Months Ended</w:t>
            </w:r>
          </w:p>
        </w:tc>
      </w:tr>
      <w:tr>
        <w:trPr>
          <w:trHeight w:val="191"/>
        </w:trPr>
        <w:tc>
          <w:tcPr>
            <w:tcW w:w="4620" w:type="dxa"/>
            <w:vAlign w:val="bottom"/>
          </w:tcPr>
          <w:p>
            <w:pPr>
              <w:spacing w:after="0"/>
              <w:rPr>
                <w:sz w:val="16"/>
                <w:szCs w:val="16"/>
                <w:color w:val="auto"/>
              </w:rPr>
            </w:pPr>
          </w:p>
        </w:tc>
        <w:tc>
          <w:tcPr>
            <w:tcW w:w="224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September 30,</w:t>
            </w:r>
          </w:p>
        </w:tc>
        <w:tc>
          <w:tcPr>
            <w:tcW w:w="2080" w:type="dxa"/>
            <w:vAlign w:val="bottom"/>
            <w:gridSpan w:val="2"/>
          </w:tcPr>
          <w:p>
            <w:pPr>
              <w:jc w:val="right"/>
              <w:ind w:right="197"/>
              <w:spacing w:after="0" w:line="191" w:lineRule="exact"/>
              <w:rPr>
                <w:sz w:val="20"/>
                <w:szCs w:val="20"/>
                <w:color w:val="auto"/>
              </w:rPr>
            </w:pPr>
            <w:r>
              <w:rPr>
                <w:rFonts w:ascii="Courier New" w:cs="Courier New" w:eastAsia="Courier New" w:hAnsi="Courier New"/>
                <w:sz w:val="17"/>
                <w:szCs w:val="17"/>
                <w:color w:val="auto"/>
              </w:rPr>
              <w:t>September 30,</w:t>
            </w:r>
          </w:p>
        </w:tc>
      </w:tr>
      <w:tr>
        <w:trPr>
          <w:trHeight w:val="191"/>
        </w:trPr>
        <w:tc>
          <w:tcPr>
            <w:tcW w:w="4620" w:type="dxa"/>
            <w:vAlign w:val="bottom"/>
          </w:tcPr>
          <w:p>
            <w:pPr>
              <w:spacing w:after="0"/>
              <w:rPr>
                <w:sz w:val="16"/>
                <w:szCs w:val="16"/>
                <w:color w:val="auto"/>
              </w:rPr>
            </w:pPr>
          </w:p>
        </w:tc>
        <w:tc>
          <w:tcPr>
            <w:tcW w:w="110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2001</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2000</w:t>
            </w:r>
          </w:p>
        </w:tc>
        <w:tc>
          <w:tcPr>
            <w:tcW w:w="11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2001</w:t>
            </w:r>
          </w:p>
        </w:tc>
        <w:tc>
          <w:tcPr>
            <w:tcW w:w="9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2000</w:t>
            </w:r>
          </w:p>
        </w:tc>
      </w:tr>
      <w:tr>
        <w:trPr>
          <w:trHeight w:val="191"/>
        </w:trPr>
        <w:tc>
          <w:tcPr>
            <w:tcW w:w="4620" w:type="dxa"/>
            <w:vAlign w:val="bottom"/>
          </w:tcPr>
          <w:p>
            <w:pPr>
              <w:spacing w:after="0"/>
              <w:rPr>
                <w:sz w:val="16"/>
                <w:szCs w:val="16"/>
                <w:color w:val="auto"/>
              </w:rPr>
            </w:pPr>
          </w:p>
        </w:tc>
        <w:tc>
          <w:tcPr>
            <w:tcW w:w="11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4620" w:type="dxa"/>
            <w:vAlign w:val="bottom"/>
          </w:tcPr>
          <w:p>
            <w:pPr>
              <w:spacing w:after="0"/>
              <w:rPr>
                <w:sz w:val="20"/>
                <w:szCs w:val="20"/>
                <w:color w:val="auto"/>
              </w:rPr>
            </w:pPr>
            <w:r>
              <w:rPr>
                <w:rFonts w:ascii="Courier New" w:cs="Courier New" w:eastAsia="Courier New" w:hAnsi="Courier New"/>
                <w:sz w:val="17"/>
                <w:szCs w:val="17"/>
                <w:color w:val="auto"/>
                <w:w w:val="98"/>
              </w:rPr>
              <w:t>Interest......................................</w:t>
            </w:r>
          </w:p>
        </w:tc>
        <w:tc>
          <w:tcPr>
            <w:tcW w:w="11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$129.8</w:t>
            </w:r>
          </w:p>
        </w:tc>
        <w:tc>
          <w:tcPr>
            <w:tcW w:w="11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$96.4</w:t>
            </w:r>
          </w:p>
        </w:tc>
        <w:tc>
          <w:tcPr>
            <w:tcW w:w="11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$426.5</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$454.8</w:t>
            </w:r>
          </w:p>
        </w:tc>
      </w:tr>
      <w:tr>
        <w:trPr>
          <w:trHeight w:val="191"/>
        </w:trPr>
        <w:tc>
          <w:tcPr>
            <w:tcW w:w="46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Income taxes..................................</w:t>
            </w:r>
          </w:p>
        </w:tc>
        <w:tc>
          <w:tcPr>
            <w:tcW w:w="11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$10.4</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$63.9</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$136.8</w:t>
            </w: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$660.8</w:t>
            </w:r>
          </w:p>
        </w:tc>
      </w:tr>
    </w:tbl>
    <w:p>
      <w:pPr>
        <w:spacing w:after="0" w:line="381" w:lineRule="exact"/>
        <w:rPr>
          <w:sz w:val="20"/>
          <w:szCs w:val="20"/>
          <w:color w:val="auto"/>
        </w:rPr>
      </w:pPr>
    </w:p>
    <w:p>
      <w:pPr>
        <w:ind w:left="500" w:hanging="498"/>
        <w:spacing w:after="0"/>
        <w:tabs>
          <w:tab w:leader="none" w:pos="5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COMMITMENTS AND CONTINGENCIES</w:t>
      </w:r>
    </w:p>
    <w:p>
      <w:pPr>
        <w:spacing w:after="0" w:line="196" w:lineRule="exact"/>
        <w:rPr>
          <w:rFonts w:ascii="Courier New" w:cs="Courier New" w:eastAsia="Courier New" w:hAnsi="Courier New"/>
          <w:sz w:val="17"/>
          <w:szCs w:val="17"/>
          <w:color w:val="auto"/>
        </w:rPr>
      </w:pPr>
    </w:p>
    <w:p>
      <w:pPr>
        <w:jc w:val="both"/>
        <w:ind w:left="500"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is subject to legal proceedings and claims which arise in the ordinary course of its business. In the opinion of management, the amount of ultimate liability with respect to such actions is not expected to materially affect the financial position, results of operations or liquidity of the Company.</w:t>
      </w:r>
    </w:p>
    <w:p>
      <w:pPr>
        <w:spacing w:after="0" w:line="196" w:lineRule="exact"/>
        <w:rPr>
          <w:rFonts w:ascii="Courier New" w:cs="Courier New" w:eastAsia="Courier New" w:hAnsi="Courier New"/>
          <w:sz w:val="17"/>
          <w:szCs w:val="17"/>
          <w:color w:val="auto"/>
        </w:rPr>
      </w:pPr>
    </w:p>
    <w:p>
      <w:pPr>
        <w:jc w:val="both"/>
        <w:ind w:left="500"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a license awarded to an affiliate, the Company is contingently liable in the event of nonperformance by the affiliate to reimburse a bank which has provided a performance guarantee. The amount of the performance guarantee is approximately $200 million; however the Company's current estimate of the amount of future expenditures (principally in the form of capital expenditures) that will be made by the affiliate necessary to comply with the performance requirements will not exceed $75 million.</w:t>
      </w:r>
    </w:p>
    <w:p>
      <w:pPr>
        <w:spacing w:after="0" w:line="38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683" w:right="1440" w:bottom="1440" w:gutter="0" w:footer="0" w:header="0"/>
        </w:sectPr>
      </w:pPr>
    </w:p>
    <w:bookmarkStart w:id="17" w:name="page18"/>
    <w:bookmarkEnd w:id="17"/>
    <w:p>
      <w:pPr>
        <w:jc w:val="center"/>
        <w:ind w:right="3180"/>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3080"/>
        <w:spacing w:after="0" w:line="238" w:lineRule="auto"/>
        <w:rPr>
          <w:sz w:val="20"/>
          <w:szCs w:val="20"/>
          <w:color w:val="auto"/>
        </w:rPr>
      </w:pPr>
      <w:r>
        <w:rPr>
          <w:rFonts w:ascii="Courier New" w:cs="Courier New" w:eastAsia="Courier New" w:hAnsi="Courier New"/>
          <w:sz w:val="17"/>
          <w:szCs w:val="17"/>
          <w:color w:val="auto"/>
        </w:rPr>
        <w:t>FORM 10-Q</w:t>
      </w:r>
    </w:p>
    <w:p>
      <w:pPr>
        <w:jc w:val="center"/>
        <w:ind w:right="3180"/>
        <w:spacing w:after="0" w:line="238" w:lineRule="auto"/>
        <w:rPr>
          <w:sz w:val="20"/>
          <w:szCs w:val="20"/>
          <w:color w:val="auto"/>
        </w:rPr>
      </w:pPr>
      <w:r>
        <w:rPr>
          <w:rFonts w:ascii="Courier New" w:cs="Courier New" w:eastAsia="Courier New" w:hAnsi="Courier New"/>
          <w:sz w:val="17"/>
          <w:szCs w:val="17"/>
          <w:color w:val="auto"/>
        </w:rPr>
        <w:t>QUARTER ENDED SEPTEMBER 30, 2001</w:t>
      </w:r>
    </w:p>
    <w:p>
      <w:pPr>
        <w:jc w:val="center"/>
        <w:ind w:right="3180"/>
        <w:spacing w:after="0"/>
        <w:rPr>
          <w:sz w:val="20"/>
          <w:szCs w:val="20"/>
          <w:color w:val="auto"/>
        </w:rPr>
      </w:pPr>
      <w:r>
        <w:rPr>
          <w:rFonts w:ascii="Courier New" w:cs="Courier New" w:eastAsia="Courier New" w:hAnsi="Courier New"/>
          <w:sz w:val="17"/>
          <w:szCs w:val="17"/>
          <w:color w:val="auto"/>
        </w:rPr>
        <w:t>NOTES TO CONDENSED CONSOLIDATED FINANCIAL STATEMENTS - CONTINUED</w:t>
      </w:r>
    </w:p>
    <w:p>
      <w:pPr>
        <w:jc w:val="center"/>
        <w:ind w:right="3080"/>
        <w:spacing w:after="0" w:line="237" w:lineRule="auto"/>
        <w:rPr>
          <w:sz w:val="20"/>
          <w:szCs w:val="20"/>
          <w:color w:val="auto"/>
        </w:rPr>
      </w:pPr>
      <w:r>
        <w:rPr>
          <w:rFonts w:ascii="Courier New" w:cs="Courier New" w:eastAsia="Courier New" w:hAnsi="Courier New"/>
          <w:sz w:val="17"/>
          <w:szCs w:val="17"/>
          <w:color w:val="auto"/>
        </w:rPr>
        <w:t>(Unaudited)</w:t>
      </w:r>
    </w:p>
    <w:p>
      <w:pPr>
        <w:spacing w:after="0" w:line="190" w:lineRule="exact"/>
        <w:rPr>
          <w:sz w:val="20"/>
          <w:szCs w:val="20"/>
          <w:color w:val="auto"/>
        </w:rPr>
      </w:pPr>
    </w:p>
    <w:p>
      <w:pPr>
        <w:ind w:left="500" w:hanging="498"/>
        <w:spacing w:after="0"/>
        <w:tabs>
          <w:tab w:leader="none" w:pos="5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DATA BY BUSINESS SEGMENT</w:t>
      </w:r>
    </w:p>
    <w:p>
      <w:pPr>
        <w:spacing w:after="0" w:line="196" w:lineRule="exact"/>
        <w:rPr>
          <w:rFonts w:ascii="Courier New" w:cs="Courier New" w:eastAsia="Courier New" w:hAnsi="Courier New"/>
          <w:sz w:val="17"/>
          <w:szCs w:val="17"/>
          <w:color w:val="auto"/>
        </w:rPr>
      </w:pPr>
    </w:p>
    <w:p>
      <w:pPr>
        <w:jc w:val="both"/>
        <w:ind w:left="500" w:right="3180"/>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represents the Company's significant business segments, "Cable" and "Commerce." The components of net income (loss) below operating income (loss) are not separately evaluated by the Company's management on a segment basis (dollars in millions).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Corporate and</w:t>
            </w:r>
          </w:p>
        </w:tc>
        <w:tc>
          <w:tcPr>
            <w:tcW w:w="1200" w:type="dxa"/>
            <w:vAlign w:val="bottom"/>
          </w:tcPr>
          <w:p>
            <w:pPr>
              <w:spacing w:after="0"/>
              <w:rPr>
                <w:sz w:val="16"/>
                <w:szCs w:val="16"/>
                <w:color w:val="auto"/>
              </w:rPr>
            </w:pPr>
          </w:p>
        </w:tc>
      </w:tr>
      <w:tr>
        <w:trPr>
          <w:trHeight w:val="191"/>
        </w:trPr>
        <w:tc>
          <w:tcPr>
            <w:tcW w:w="5420" w:type="dxa"/>
            <w:vAlign w:val="bottom"/>
          </w:tcPr>
          <w:p>
            <w:pPr>
              <w:spacing w:after="0"/>
              <w:rPr>
                <w:sz w:val="16"/>
                <w:szCs w:val="16"/>
                <w:color w:val="auto"/>
              </w:rPr>
            </w:pPr>
          </w:p>
        </w:tc>
        <w:tc>
          <w:tcPr>
            <w:tcW w:w="150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Cable</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Commerce</w:t>
            </w:r>
          </w:p>
        </w:tc>
        <w:tc>
          <w:tcPr>
            <w:tcW w:w="16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Other (1)</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Total</w:t>
            </w:r>
          </w:p>
        </w:tc>
      </w:tr>
      <w:tr>
        <w:trPr>
          <w:trHeight w:val="191"/>
        </w:trPr>
        <w:tc>
          <w:tcPr>
            <w:tcW w:w="5420" w:type="dxa"/>
            <w:vAlign w:val="bottom"/>
          </w:tcPr>
          <w:p>
            <w:pPr>
              <w:spacing w:after="0"/>
              <w:rPr>
                <w:sz w:val="16"/>
                <w:szCs w:val="16"/>
                <w:color w:val="auto"/>
              </w:rPr>
            </w:pPr>
          </w:p>
        </w:tc>
        <w:tc>
          <w:tcPr>
            <w:tcW w:w="150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420" w:type="dxa"/>
            <w:vAlign w:val="bottom"/>
          </w:tcPr>
          <w:p>
            <w:pPr>
              <w:spacing w:after="0"/>
              <w:rPr>
                <w:sz w:val="20"/>
                <w:szCs w:val="20"/>
                <w:color w:val="auto"/>
              </w:rPr>
            </w:pPr>
            <w:r>
              <w:rPr>
                <w:rFonts w:ascii="Courier New" w:cs="Courier New" w:eastAsia="Courier New" w:hAnsi="Courier New"/>
                <w:sz w:val="17"/>
                <w:szCs w:val="17"/>
                <w:color w:val="auto"/>
              </w:rPr>
              <w:t>Three Months Ended September 30, 2001</w:t>
            </w: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Revenues.............................................</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$1,309.4</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$895.1</w:t>
            </w:r>
          </w:p>
        </w:tc>
        <w:tc>
          <w:tcPr>
            <w:tcW w:w="16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$151.0</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$2,355.5</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income (loss) before depreciation</w:t>
            </w: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4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and amortization (2)............................</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572.3</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153.7</w:t>
            </w:r>
          </w:p>
        </w:tc>
        <w:tc>
          <w:tcPr>
            <w:tcW w:w="16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(20.2)</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705.8</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Depreciation and amortization........................</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765.7</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35.2</w:t>
            </w:r>
          </w:p>
        </w:tc>
        <w:tc>
          <w:tcPr>
            <w:tcW w:w="16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83.1</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884.0</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Operating income (loss)..............................</w:t>
            </w:r>
          </w:p>
        </w:tc>
        <w:tc>
          <w:tcPr>
            <w:tcW w:w="15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(193.4)</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118.5</w:t>
            </w:r>
          </w:p>
        </w:tc>
        <w:tc>
          <w:tcPr>
            <w:tcW w:w="16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(103.3)</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(178.2)</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Interest expense.....................................</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143.9</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6.7</w:t>
            </w:r>
          </w:p>
        </w:tc>
        <w:tc>
          <w:tcPr>
            <w:tcW w:w="16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40.1</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190.7</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Capital expenditures.................................</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449.6</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39.4</w:t>
            </w:r>
          </w:p>
        </w:tc>
        <w:tc>
          <w:tcPr>
            <w:tcW w:w="16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43.3</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532.3</w:t>
            </w:r>
          </w:p>
        </w:tc>
      </w:tr>
      <w:tr>
        <w:trPr>
          <w:trHeight w:val="383"/>
        </w:trPr>
        <w:tc>
          <w:tcPr>
            <w:tcW w:w="5420" w:type="dxa"/>
            <w:vAlign w:val="bottom"/>
          </w:tcPr>
          <w:p>
            <w:pPr>
              <w:spacing w:after="0"/>
              <w:rPr>
                <w:sz w:val="20"/>
                <w:szCs w:val="20"/>
                <w:color w:val="auto"/>
              </w:rPr>
            </w:pPr>
            <w:r>
              <w:rPr>
                <w:rFonts w:ascii="Courier New" w:cs="Courier New" w:eastAsia="Courier New" w:hAnsi="Courier New"/>
                <w:sz w:val="17"/>
                <w:szCs w:val="17"/>
                <w:color w:val="auto"/>
              </w:rPr>
              <w:t>Nine Months Ended September 30, 2001</w:t>
            </w: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Revenues.............................................</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$3,704.4</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$2,655.1</w:t>
            </w:r>
          </w:p>
        </w:tc>
        <w:tc>
          <w:tcPr>
            <w:tcW w:w="16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$490.6</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$6,850.1</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income (loss) before depreciation</w:t>
            </w: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4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and amortization (2)............................</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1,610.0</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486.2</w:t>
            </w:r>
          </w:p>
        </w:tc>
        <w:tc>
          <w:tcPr>
            <w:tcW w:w="16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(49.1)</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2,047.1</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Depreciation and amortization........................</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2,175.0</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106.6</w:t>
            </w:r>
          </w:p>
        </w:tc>
        <w:tc>
          <w:tcPr>
            <w:tcW w:w="16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177.5</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2,459.1</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Operating income (loss)..............................</w:t>
            </w:r>
          </w:p>
        </w:tc>
        <w:tc>
          <w:tcPr>
            <w:tcW w:w="15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(565.0)</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379.6</w:t>
            </w:r>
          </w:p>
        </w:tc>
        <w:tc>
          <w:tcPr>
            <w:tcW w:w="16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(226.6)</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(412.0)</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Interest expense.....................................</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405.4</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21.8</w:t>
            </w:r>
          </w:p>
        </w:tc>
        <w:tc>
          <w:tcPr>
            <w:tcW w:w="16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122.0</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549.2</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Capital expenditures.................................</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1,398.9</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107.4</w:t>
            </w:r>
          </w:p>
        </w:tc>
        <w:tc>
          <w:tcPr>
            <w:tcW w:w="16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184.9</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1,691.2</w:t>
            </w:r>
          </w:p>
        </w:tc>
      </w:tr>
      <w:tr>
        <w:trPr>
          <w:trHeight w:val="383"/>
        </w:trPr>
        <w:tc>
          <w:tcPr>
            <w:tcW w:w="5420" w:type="dxa"/>
            <w:vAlign w:val="bottom"/>
          </w:tcPr>
          <w:p>
            <w:pPr>
              <w:spacing w:after="0"/>
              <w:rPr>
                <w:sz w:val="20"/>
                <w:szCs w:val="20"/>
                <w:color w:val="auto"/>
              </w:rPr>
            </w:pPr>
            <w:r>
              <w:rPr>
                <w:rFonts w:ascii="Courier New" w:cs="Courier New" w:eastAsia="Courier New" w:hAnsi="Courier New"/>
                <w:sz w:val="17"/>
                <w:szCs w:val="17"/>
                <w:color w:val="auto"/>
              </w:rPr>
              <w:t>Three Months Ended September 30, 2000</w:t>
            </w: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Revenues.............................................</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$1,058.6</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$820.3</w:t>
            </w:r>
          </w:p>
        </w:tc>
        <w:tc>
          <w:tcPr>
            <w:tcW w:w="16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$81.1</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$1,960.0</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income (loss) before depreciation</w:t>
            </w: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4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and amortization (2)............................</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490.1</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139.3</w:t>
            </w:r>
          </w:p>
        </w:tc>
        <w:tc>
          <w:tcPr>
            <w:tcW w:w="16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(23.7)</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605.7</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Depreciation and amortization........................</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602.7</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32.0</w:t>
            </w:r>
          </w:p>
        </w:tc>
        <w:tc>
          <w:tcPr>
            <w:tcW w:w="16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27.4</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662.1</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Operating income (loss)..............................</w:t>
            </w:r>
          </w:p>
        </w:tc>
        <w:tc>
          <w:tcPr>
            <w:tcW w:w="15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(112.6)</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107.3</w:t>
            </w:r>
          </w:p>
        </w:tc>
        <w:tc>
          <w:tcPr>
            <w:tcW w:w="16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(51.1)</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(56.4)</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Interest expense.....................................</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129.4</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8.7</w:t>
            </w:r>
          </w:p>
        </w:tc>
        <w:tc>
          <w:tcPr>
            <w:tcW w:w="16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37.1</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175.2</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Capital expenditures.................................</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358.0</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51.3</w:t>
            </w:r>
          </w:p>
        </w:tc>
        <w:tc>
          <w:tcPr>
            <w:tcW w:w="16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35.6</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444.9</w:t>
            </w:r>
          </w:p>
        </w:tc>
      </w:tr>
      <w:tr>
        <w:trPr>
          <w:trHeight w:val="383"/>
        </w:trPr>
        <w:tc>
          <w:tcPr>
            <w:tcW w:w="5420" w:type="dxa"/>
            <w:vAlign w:val="bottom"/>
          </w:tcPr>
          <w:p>
            <w:pPr>
              <w:spacing w:after="0"/>
              <w:rPr>
                <w:sz w:val="20"/>
                <w:szCs w:val="20"/>
                <w:color w:val="auto"/>
              </w:rPr>
            </w:pPr>
            <w:r>
              <w:rPr>
                <w:rFonts w:ascii="Courier New" w:cs="Courier New" w:eastAsia="Courier New" w:hAnsi="Courier New"/>
                <w:sz w:val="17"/>
                <w:szCs w:val="17"/>
                <w:color w:val="auto"/>
              </w:rPr>
              <w:t>Nine Months Ended September 30, 2000</w:t>
            </w: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Revenues.............................................</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$3,056.9</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$2,411.9</w:t>
            </w:r>
          </w:p>
        </w:tc>
        <w:tc>
          <w:tcPr>
            <w:tcW w:w="16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$342.2</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$5,811.0</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income (loss) before depreciation</w:t>
            </w: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4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and amortization (2)............................</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1,394.4</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418.0</w:t>
            </w:r>
          </w:p>
        </w:tc>
        <w:tc>
          <w:tcPr>
            <w:tcW w:w="16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(17.0)</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1,795.4</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Depreciation and amortization........................</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1,674.8</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91.0</w:t>
            </w:r>
          </w:p>
        </w:tc>
        <w:tc>
          <w:tcPr>
            <w:tcW w:w="16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76.4</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1,842.2</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Operating income (loss)..............................</w:t>
            </w:r>
          </w:p>
        </w:tc>
        <w:tc>
          <w:tcPr>
            <w:tcW w:w="15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(280.4)</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327.0</w:t>
            </w:r>
          </w:p>
        </w:tc>
        <w:tc>
          <w:tcPr>
            <w:tcW w:w="16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(93.4)</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(46.8)</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Interest expense.....................................</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372.4</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26.7</w:t>
            </w:r>
          </w:p>
        </w:tc>
        <w:tc>
          <w:tcPr>
            <w:tcW w:w="16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107.9</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507.0</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Capital expenditures.................................</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849.6</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129.2</w:t>
            </w:r>
          </w:p>
        </w:tc>
        <w:tc>
          <w:tcPr>
            <w:tcW w:w="16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77.2</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1,056.0</w:t>
            </w:r>
          </w:p>
        </w:tc>
      </w:tr>
      <w:tr>
        <w:trPr>
          <w:trHeight w:val="383"/>
        </w:trPr>
        <w:tc>
          <w:tcPr>
            <w:tcW w:w="5420" w:type="dxa"/>
            <w:vAlign w:val="bottom"/>
          </w:tcPr>
          <w:p>
            <w:pPr>
              <w:spacing w:after="0"/>
              <w:rPr>
                <w:sz w:val="20"/>
                <w:szCs w:val="20"/>
                <w:color w:val="auto"/>
              </w:rPr>
            </w:pPr>
            <w:r>
              <w:rPr>
                <w:rFonts w:ascii="Courier New" w:cs="Courier New" w:eastAsia="Courier New" w:hAnsi="Courier New"/>
                <w:sz w:val="17"/>
                <w:szCs w:val="17"/>
                <w:color w:val="auto"/>
              </w:rPr>
              <w:t>As of September 30, 2001</w:t>
            </w: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Assets...............................................</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29,114.1</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2,545.4</w:t>
            </w:r>
          </w:p>
        </w:tc>
        <w:tc>
          <w:tcPr>
            <w:tcW w:w="16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7,121.9</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$38,781.4</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Long-term debt, less current portion.................</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7,874.6</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123.8</w:t>
            </w:r>
          </w:p>
        </w:tc>
        <w:tc>
          <w:tcPr>
            <w:tcW w:w="16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3,496.4</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11,494.8</w:t>
            </w:r>
          </w:p>
        </w:tc>
      </w:tr>
      <w:tr>
        <w:trPr>
          <w:trHeight w:val="383"/>
        </w:trPr>
        <w:tc>
          <w:tcPr>
            <w:tcW w:w="5420" w:type="dxa"/>
            <w:vAlign w:val="bottom"/>
          </w:tcPr>
          <w:p>
            <w:pPr>
              <w:spacing w:after="0"/>
              <w:rPr>
                <w:sz w:val="20"/>
                <w:szCs w:val="20"/>
                <w:color w:val="auto"/>
              </w:rPr>
            </w:pPr>
            <w:r>
              <w:rPr>
                <w:rFonts w:ascii="Courier New" w:cs="Courier New" w:eastAsia="Courier New" w:hAnsi="Courier New"/>
                <w:sz w:val="17"/>
                <w:szCs w:val="17"/>
                <w:color w:val="auto"/>
              </w:rPr>
              <w:t>As of December 31, 2000</w:t>
            </w: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Assets...............................................</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$25,750.3</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$2,503.0</w:t>
            </w:r>
          </w:p>
        </w:tc>
        <w:tc>
          <w:tcPr>
            <w:tcW w:w="16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$7,491.2</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$35,744.5</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Long-term debt, less current portion.................</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6,711.0</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302.0</w:t>
            </w:r>
          </w:p>
        </w:tc>
        <w:tc>
          <w:tcPr>
            <w:tcW w:w="16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3,504.4</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10,517.4</w:t>
            </w:r>
          </w:p>
        </w:tc>
      </w:tr>
      <w:tr>
        <w:trPr>
          <w:trHeight w:val="191"/>
        </w:trPr>
        <w:tc>
          <w:tcPr>
            <w:tcW w:w="54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_______________</w:t>
            </w: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574"/>
        </w:trPr>
        <w:tc>
          <w:tcPr>
            <w:tcW w:w="5420" w:type="dxa"/>
            <w:vAlign w:val="bottom"/>
          </w:tcPr>
          <w:p>
            <w:pPr>
              <w:ind w:left="3880"/>
              <w:spacing w:after="0"/>
              <w:rPr>
                <w:sz w:val="20"/>
                <w:szCs w:val="20"/>
                <w:color w:val="auto"/>
              </w:rPr>
            </w:pPr>
            <w:r>
              <w:rPr>
                <w:rFonts w:ascii="Courier New" w:cs="Courier New" w:eastAsia="Courier New" w:hAnsi="Courier New"/>
                <w:sz w:val="17"/>
                <w:szCs w:val="17"/>
                <w:color w:val="auto"/>
              </w:rPr>
              <w:t>15</w:t>
            </w: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140"/>
          </w:cols>
          <w:pgMar w:left="240" w:top="683" w:right="519" w:bottom="1440" w:gutter="0" w:footer="0" w:header="0"/>
        </w:sectPr>
      </w:pPr>
    </w:p>
    <w:bookmarkStart w:id="18" w:name="page19"/>
    <w:bookmarkEnd w:id="18"/>
    <w:p>
      <w:pPr>
        <w:jc w:val="center"/>
        <w:ind w:right="2758"/>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2658"/>
        <w:spacing w:after="0" w:line="238" w:lineRule="auto"/>
        <w:rPr>
          <w:sz w:val="20"/>
          <w:szCs w:val="20"/>
          <w:color w:val="auto"/>
        </w:rPr>
      </w:pPr>
      <w:r>
        <w:rPr>
          <w:rFonts w:ascii="Courier New" w:cs="Courier New" w:eastAsia="Courier New" w:hAnsi="Courier New"/>
          <w:sz w:val="17"/>
          <w:szCs w:val="17"/>
          <w:color w:val="auto"/>
        </w:rPr>
        <w:t>FORM 10-Q</w:t>
      </w:r>
    </w:p>
    <w:p>
      <w:pPr>
        <w:jc w:val="center"/>
        <w:ind w:right="2758"/>
        <w:spacing w:after="0" w:line="238" w:lineRule="auto"/>
        <w:rPr>
          <w:sz w:val="20"/>
          <w:szCs w:val="20"/>
          <w:color w:val="auto"/>
        </w:rPr>
      </w:pPr>
      <w:r>
        <w:rPr>
          <w:rFonts w:ascii="Courier New" w:cs="Courier New" w:eastAsia="Courier New" w:hAnsi="Courier New"/>
          <w:sz w:val="17"/>
          <w:szCs w:val="17"/>
          <w:color w:val="auto"/>
        </w:rPr>
        <w:t>QUARTER ENDED SEPTEMBER 30, 2001</w:t>
      </w:r>
    </w:p>
    <w:p>
      <w:pPr>
        <w:jc w:val="center"/>
        <w:ind w:right="2758"/>
        <w:spacing w:after="0"/>
        <w:rPr>
          <w:sz w:val="20"/>
          <w:szCs w:val="20"/>
          <w:color w:val="auto"/>
        </w:rPr>
      </w:pPr>
      <w:r>
        <w:rPr>
          <w:rFonts w:ascii="Courier New" w:cs="Courier New" w:eastAsia="Courier New" w:hAnsi="Courier New"/>
          <w:sz w:val="17"/>
          <w:szCs w:val="17"/>
          <w:color w:val="auto"/>
        </w:rPr>
        <w:t>NOTES TO CONDENSED CONSOLIDATED FINANCIAL STATEMENTS - CONCLUDED</w:t>
      </w:r>
    </w:p>
    <w:p>
      <w:pPr>
        <w:jc w:val="center"/>
        <w:ind w:right="2658"/>
        <w:spacing w:after="0" w:line="237" w:lineRule="auto"/>
        <w:rPr>
          <w:sz w:val="20"/>
          <w:szCs w:val="20"/>
          <w:color w:val="auto"/>
        </w:rPr>
      </w:pPr>
      <w:r>
        <w:rPr>
          <w:rFonts w:ascii="Courier New" w:cs="Courier New" w:eastAsia="Courier New" w:hAnsi="Courier New"/>
          <w:sz w:val="17"/>
          <w:szCs w:val="17"/>
          <w:color w:val="auto"/>
        </w:rPr>
        <w:t>(Unaudited)</w:t>
      </w:r>
    </w:p>
    <w:p>
      <w:pPr>
        <w:spacing w:after="0" w:line="197" w:lineRule="exact"/>
        <w:rPr>
          <w:sz w:val="20"/>
          <w:szCs w:val="20"/>
          <w:color w:val="auto"/>
        </w:rPr>
      </w:pPr>
    </w:p>
    <w:p>
      <w:pPr>
        <w:jc w:val="both"/>
        <w:ind w:left="501" w:right="2259" w:hanging="501"/>
        <w:spacing w:after="0" w:line="237" w:lineRule="auto"/>
        <w:tabs>
          <w:tab w:leader="none" w:pos="501"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includes segments not meeting certain quantitative guidelines for reporting including the Company's content and business communications operations as well as elimination entries related to the segments presented. Corporate and other assets consist primarily of the Company's investments (see Note 5).</w:t>
      </w:r>
    </w:p>
    <w:p>
      <w:pPr>
        <w:spacing w:after="0" w:line="196" w:lineRule="exact"/>
        <w:rPr>
          <w:rFonts w:ascii="Courier New" w:cs="Courier New" w:eastAsia="Courier New" w:hAnsi="Courier New"/>
          <w:sz w:val="17"/>
          <w:szCs w:val="17"/>
          <w:color w:val="auto"/>
        </w:rPr>
      </w:pPr>
    </w:p>
    <w:p>
      <w:pPr>
        <w:jc w:val="both"/>
        <w:ind w:left="501" w:right="2259" w:hanging="501"/>
        <w:spacing w:after="0" w:line="237" w:lineRule="auto"/>
        <w:tabs>
          <w:tab w:leader="none" w:pos="501"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Operating income (loss) before depreciation and amortization is commonly referred to in the Company's businesses as "operating cash flow (deficit)."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businesses in the Company's industries, although the Company's measure of operating cash flow may not be comparable to similarly titled measures of other companies. Operating cash flow is the primary basis used by the Company's management to measure the operating performance of its businesses.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w:t>
      </w:r>
    </w:p>
    <w:p>
      <w:pPr>
        <w:spacing w:after="0" w:line="204" w:lineRule="exact"/>
        <w:rPr>
          <w:sz w:val="20"/>
          <w:szCs w:val="20"/>
          <w:color w:val="auto"/>
        </w:rPr>
      </w:pPr>
    </w:p>
    <w:p>
      <w:pPr>
        <w:ind w:left="3381"/>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9720"/>
          </w:cols>
          <w:pgMar w:left="739" w:top="683" w:right="1440" w:bottom="1440" w:gutter="0" w:footer="0" w:header="0"/>
        </w:sectPr>
      </w:pPr>
    </w:p>
    <w:bookmarkStart w:id="19" w:name="page20"/>
    <w:bookmarkEnd w:id="19"/>
    <w:p>
      <w:pPr>
        <w:jc w:val="center"/>
        <w:ind w:right="2259"/>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2159"/>
        <w:spacing w:after="0" w:line="238" w:lineRule="auto"/>
        <w:rPr>
          <w:sz w:val="20"/>
          <w:szCs w:val="20"/>
          <w:color w:val="auto"/>
        </w:rPr>
      </w:pPr>
      <w:r>
        <w:rPr>
          <w:rFonts w:ascii="Courier New" w:cs="Courier New" w:eastAsia="Courier New" w:hAnsi="Courier New"/>
          <w:sz w:val="17"/>
          <w:szCs w:val="17"/>
          <w:color w:val="auto"/>
        </w:rPr>
        <w:t>FORM 10-Q</w:t>
      </w:r>
    </w:p>
    <w:p>
      <w:pPr>
        <w:jc w:val="center"/>
        <w:ind w:right="2259"/>
        <w:spacing w:after="0" w:line="238" w:lineRule="auto"/>
        <w:rPr>
          <w:sz w:val="20"/>
          <w:szCs w:val="20"/>
          <w:color w:val="auto"/>
        </w:rPr>
      </w:pPr>
      <w:r>
        <w:rPr>
          <w:rFonts w:ascii="Courier New" w:cs="Courier New" w:eastAsia="Courier New" w:hAnsi="Courier New"/>
          <w:sz w:val="17"/>
          <w:szCs w:val="17"/>
          <w:color w:val="auto"/>
        </w:rPr>
        <w:t>QUARTER ENDED SEPTEMBER 30, 2001</w:t>
      </w:r>
    </w:p>
    <w:p>
      <w:pPr>
        <w:spacing w:after="0" w:line="388" w:lineRule="exact"/>
        <w:rPr>
          <w:sz w:val="20"/>
          <w:szCs w:val="20"/>
          <w:color w:val="auto"/>
        </w:rPr>
      </w:pPr>
    </w:p>
    <w:p>
      <w:pPr>
        <w:ind w:left="800" w:right="2359" w:hanging="795"/>
        <w:spacing w:after="0" w:line="235" w:lineRule="auto"/>
        <w:rPr>
          <w:sz w:val="20"/>
          <w:szCs w:val="20"/>
          <w:color w:val="auto"/>
        </w:rPr>
      </w:pPr>
      <w:r>
        <w:rPr>
          <w:rFonts w:ascii="Courier New" w:cs="Courier New" w:eastAsia="Courier New" w:hAnsi="Courier New"/>
          <w:sz w:val="17"/>
          <w:szCs w:val="17"/>
          <w:color w:val="auto"/>
        </w:rPr>
        <w:t>ITEM 2. MANAGEMENT'S DISCUSSION AND ANALYSIS OF FINANCIAL CONDITION AND RESULTS OF OPERATIONS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w:t>
      </w:r>
    </w:p>
    <w:p>
      <w:pPr>
        <w:spacing w:after="0" w:line="196" w:lineRule="exact"/>
        <w:rPr>
          <w:sz w:val="20"/>
          <w:szCs w:val="20"/>
          <w:color w:val="auto"/>
        </w:rPr>
      </w:pPr>
    </w:p>
    <w:p>
      <w:pPr>
        <w:jc w:val="both"/>
        <w:ind w:right="2259" w:firstLine="497"/>
        <w:spacing w:after="0" w:line="254" w:lineRule="auto"/>
        <w:rPr>
          <w:sz w:val="20"/>
          <w:szCs w:val="20"/>
          <w:color w:val="auto"/>
        </w:rPr>
      </w:pPr>
      <w:r>
        <w:rPr>
          <w:rFonts w:ascii="Courier New" w:cs="Courier New" w:eastAsia="Courier New" w:hAnsi="Courier New"/>
          <w:sz w:val="16"/>
          <w:szCs w:val="16"/>
          <w:color w:val="auto"/>
        </w:rPr>
        <w:t>We have grown significantly in recent years both through strategic acquisitions and growth in our existing businesses. We have historically met our cash needs for operations through our cash flows from operating activities. We have generally financed our cash requirements for acquisitions and capital expenditures through borrowings of long-term debt, sales of investments and from existing cash, cash equivalents and short-term investments.</w:t>
      </w:r>
    </w:p>
    <w:p>
      <w:pPr>
        <w:spacing w:after="0" w:line="188" w:lineRule="exact"/>
        <w:rPr>
          <w:sz w:val="20"/>
          <w:szCs w:val="20"/>
          <w:color w:val="auto"/>
        </w:rPr>
      </w:pPr>
    </w:p>
    <w:p>
      <w:pPr>
        <w:jc w:val="both"/>
        <w:ind w:right="2259" w:firstLine="497"/>
        <w:spacing w:after="0" w:line="237" w:lineRule="auto"/>
        <w:rPr>
          <w:sz w:val="20"/>
          <w:szCs w:val="20"/>
          <w:color w:val="auto"/>
        </w:rPr>
      </w:pPr>
      <w:r>
        <w:rPr>
          <w:rFonts w:ascii="Courier New" w:cs="Courier New" w:eastAsia="Courier New" w:hAnsi="Courier New"/>
          <w:sz w:val="17"/>
          <w:szCs w:val="17"/>
          <w:color w:val="auto"/>
        </w:rPr>
        <w:t>We have acquired cable systems in new communities in which we do not have established relationships with the franchising authority, community leaders and cable subscribers. Further, a substantial number of new employees are being and must continue to be integrated into our business practices and operations. Our results of operations may be significantly affected by our ability to efficiently and effectively manage these changes.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 Developments of Business</w:t>
      </w:r>
    </w:p>
    <w:p>
      <w:pPr>
        <w:spacing w:after="0" w:line="196" w:lineRule="exact"/>
        <w:rPr>
          <w:sz w:val="20"/>
          <w:szCs w:val="20"/>
          <w:color w:val="auto"/>
        </w:rPr>
      </w:pPr>
    </w:p>
    <w:p>
      <w:pPr>
        <w:jc w:val="both"/>
        <w:ind w:right="2259" w:firstLine="497"/>
        <w:spacing w:after="0" w:line="235" w:lineRule="auto"/>
        <w:rPr>
          <w:sz w:val="20"/>
          <w:szCs w:val="20"/>
          <w:color w:val="auto"/>
        </w:rPr>
      </w:pPr>
      <w:r>
        <w:rPr>
          <w:rFonts w:ascii="Courier New" w:cs="Courier New" w:eastAsia="Courier New" w:hAnsi="Courier New"/>
          <w:sz w:val="17"/>
          <w:szCs w:val="17"/>
          <w:color w:val="auto"/>
        </w:rPr>
        <w:t>Refer to Note 4 to our financial statements included in Item 1 for a discussion of our 2001 acquisitions and other significant events.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196" w:lineRule="exact"/>
        <w:rPr>
          <w:sz w:val="20"/>
          <w:szCs w:val="20"/>
          <w:color w:val="auto"/>
        </w:rPr>
      </w:pPr>
    </w:p>
    <w:p>
      <w:pPr>
        <w:jc w:val="both"/>
        <w:ind w:right="2259" w:firstLine="497"/>
        <w:spacing w:after="0" w:line="237" w:lineRule="auto"/>
        <w:rPr>
          <w:sz w:val="20"/>
          <w:szCs w:val="20"/>
          <w:color w:val="auto"/>
        </w:rPr>
      </w:pPr>
      <w:r>
        <w:rPr>
          <w:rFonts w:ascii="Courier New" w:cs="Courier New" w:eastAsia="Courier New" w:hAnsi="Courier New"/>
          <w:sz w:val="17"/>
          <w:szCs w:val="17"/>
          <w:color w:val="auto"/>
        </w:rPr>
        <w:t>The cable communications and the electronic retailing industry are experiencing increasing competition and rapid technological changes. Our future results of operations will be affected by our ability to react to changes in the competitive environment and by our ability to implement new technologies. We believe that competition and technological changes will not significantly affect our ability to obtain financing.</w:t>
      </w:r>
    </w:p>
    <w:p>
      <w:pPr>
        <w:spacing w:after="0" w:line="198" w:lineRule="exact"/>
        <w:rPr>
          <w:sz w:val="20"/>
          <w:szCs w:val="20"/>
          <w:color w:val="auto"/>
        </w:rPr>
      </w:pPr>
    </w:p>
    <w:p>
      <w:pPr>
        <w:jc w:val="both"/>
        <w:ind w:right="2259" w:firstLine="497"/>
        <w:spacing w:after="0" w:line="255" w:lineRule="auto"/>
        <w:rPr>
          <w:sz w:val="20"/>
          <w:szCs w:val="20"/>
          <w:color w:val="auto"/>
        </w:rPr>
      </w:pPr>
      <w:r>
        <w:rPr>
          <w:rFonts w:ascii="Courier New" w:cs="Courier New" w:eastAsia="Courier New" w:hAnsi="Courier New"/>
          <w:sz w:val="16"/>
          <w:szCs w:val="16"/>
          <w:color w:val="auto"/>
        </w:rPr>
        <w:t>We believe that we will be able to meet our current and long-term liquidity and capital requirements, including fixed charges, through our cash flows from operating activities, existing cash, cash equivalents and investments, and through available borrowings under our existing credit facilities.</w:t>
      </w:r>
    </w:p>
    <w:p>
      <w:pPr>
        <w:spacing w:after="0" w:line="186" w:lineRule="exact"/>
        <w:rPr>
          <w:sz w:val="20"/>
          <w:szCs w:val="20"/>
          <w:color w:val="auto"/>
        </w:rPr>
      </w:pPr>
    </w:p>
    <w:p>
      <w:pPr>
        <w:jc w:val="both"/>
        <w:ind w:right="2259" w:firstLine="497"/>
        <w:spacing w:after="0" w:line="254" w:lineRule="auto"/>
        <w:rPr>
          <w:sz w:val="20"/>
          <w:szCs w:val="20"/>
          <w:color w:val="auto"/>
        </w:rPr>
      </w:pPr>
      <w:r>
        <w:rPr>
          <w:rFonts w:ascii="Courier New" w:cs="Courier New" w:eastAsia="Courier New" w:hAnsi="Courier New"/>
          <w:sz w:val="16"/>
          <w:szCs w:val="16"/>
          <w:color w:val="auto"/>
        </w:rPr>
        <w:t>We have both the ability and intent to redeem the Zero Coupon Debentures with amounts available under subsidiary credit facilities if holders exercise their rights to require us to repurchase the Zero Coupon Debentures in December 2001. As of September 30, 2001, certain of our subsidiaries had unused lines of credit of $3.943 billion under their respective credit facilities.</w:t>
      </w:r>
    </w:p>
    <w:p>
      <w:pPr>
        <w:spacing w:after="0" w:line="188"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Refer to Note 6 to our financial statements included in Item 1 for a discussion of our Zero Coupon Debentures. Refer to Note 9 to our financial statements included in Item 1 for a discussion of our commitments and contingencies.</w:t>
      </w:r>
    </w:p>
    <w:p>
      <w:pPr>
        <w:spacing w:after="0" w:line="19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Cash, Cash Equivalents and Short-term Investments</w:t>
      </w:r>
    </w:p>
    <w:p>
      <w:pPr>
        <w:spacing w:after="0" w:line="196" w:lineRule="exact"/>
        <w:rPr>
          <w:sz w:val="20"/>
          <w:szCs w:val="20"/>
          <w:color w:val="auto"/>
        </w:rPr>
      </w:pPr>
    </w:p>
    <w:p>
      <w:pPr>
        <w:jc w:val="both"/>
        <w:ind w:right="2259" w:firstLine="497"/>
        <w:spacing w:after="0" w:line="237" w:lineRule="auto"/>
        <w:rPr>
          <w:sz w:val="20"/>
          <w:szCs w:val="20"/>
          <w:color w:val="auto"/>
        </w:rPr>
      </w:pPr>
      <w:r>
        <w:rPr>
          <w:rFonts w:ascii="Courier New" w:cs="Courier New" w:eastAsia="Courier New" w:hAnsi="Courier New"/>
          <w:sz w:val="17"/>
          <w:szCs w:val="17"/>
          <w:color w:val="auto"/>
        </w:rPr>
        <w:t>We have traditionally maintained significant levels of cash, cash equivalents and short-term investments to meet our short-term liquidity requirements. Our cash equivalents and short-term investments are recorded at fair value. Cash, cash equivalents and short-term investments as of September 30, 2001 were $1.930 billion, substantially all of which is unrestricted.</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Investments</w:t>
      </w:r>
    </w:p>
    <w:p>
      <w:pPr>
        <w:spacing w:after="0" w:line="196" w:lineRule="exact"/>
        <w:rPr>
          <w:sz w:val="20"/>
          <w:szCs w:val="20"/>
          <w:color w:val="auto"/>
        </w:rPr>
      </w:pPr>
    </w:p>
    <w:p>
      <w:pPr>
        <w:jc w:val="both"/>
        <w:ind w:right="2259" w:firstLine="497"/>
        <w:spacing w:after="0" w:line="235" w:lineRule="auto"/>
        <w:rPr>
          <w:sz w:val="20"/>
          <w:szCs w:val="20"/>
          <w:color w:val="auto"/>
        </w:rPr>
      </w:pPr>
      <w:r>
        <w:rPr>
          <w:rFonts w:ascii="Courier New" w:cs="Courier New" w:eastAsia="Courier New" w:hAnsi="Courier New"/>
          <w:sz w:val="17"/>
          <w:szCs w:val="17"/>
          <w:color w:val="auto"/>
        </w:rPr>
        <w:t>A significant portion of our investments are in publicly traded companies and are reflected at fair value which fluctuates with market changes.</w:t>
      </w:r>
    </w:p>
    <w:p>
      <w:pPr>
        <w:spacing w:after="0" w:line="197" w:lineRule="exact"/>
        <w:rPr>
          <w:sz w:val="20"/>
          <w:szCs w:val="20"/>
          <w:color w:val="auto"/>
        </w:rPr>
      </w:pPr>
    </w:p>
    <w:p>
      <w:pPr>
        <w:jc w:val="both"/>
        <w:ind w:right="2259" w:firstLine="497"/>
        <w:spacing w:after="0" w:line="237" w:lineRule="auto"/>
        <w:rPr>
          <w:sz w:val="20"/>
          <w:szCs w:val="20"/>
          <w:color w:val="auto"/>
        </w:rPr>
      </w:pPr>
      <w:r>
        <w:rPr>
          <w:rFonts w:ascii="Courier New" w:cs="Courier New" w:eastAsia="Courier New" w:hAnsi="Courier New"/>
          <w:sz w:val="17"/>
          <w:szCs w:val="17"/>
          <w:color w:val="auto"/>
        </w:rPr>
        <w:t>We do not have any significant contractual funding commitments with respect to any of our investments. Our ownership interests in these investments may, however, be diluted if we do not fund our investees' non-binding capital calls. We continually evaluate our existing investments, as well as new investment opportunities.</w:t>
      </w:r>
    </w:p>
    <w:p>
      <w:pPr>
        <w:spacing w:after="0" w:line="197" w:lineRule="exact"/>
        <w:rPr>
          <w:sz w:val="20"/>
          <w:szCs w:val="20"/>
          <w:color w:val="auto"/>
        </w:rPr>
      </w:pPr>
    </w:p>
    <w:p>
      <w:pPr>
        <w:jc w:val="both"/>
        <w:ind w:right="2259" w:firstLine="497"/>
        <w:spacing w:after="0" w:line="235" w:lineRule="auto"/>
        <w:rPr>
          <w:sz w:val="20"/>
          <w:szCs w:val="20"/>
          <w:color w:val="auto"/>
        </w:rPr>
      </w:pPr>
      <w:r>
        <w:rPr>
          <w:rFonts w:ascii="Courier New" w:cs="Courier New" w:eastAsia="Courier New" w:hAnsi="Courier New"/>
          <w:sz w:val="17"/>
          <w:szCs w:val="17"/>
          <w:color w:val="auto"/>
        </w:rPr>
        <w:t>Refer to Note 5 to our financial statements included in Item 1 for a discussion of our investments.</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Capital Expenditures</w:t>
      </w:r>
    </w:p>
    <w:p>
      <w:pPr>
        <w:spacing w:after="0" w:line="196" w:lineRule="exact"/>
        <w:rPr>
          <w:sz w:val="20"/>
          <w:szCs w:val="20"/>
          <w:color w:val="auto"/>
        </w:rPr>
      </w:pPr>
    </w:p>
    <w:p>
      <w:pPr>
        <w:jc w:val="both"/>
        <w:ind w:right="2259" w:firstLine="497"/>
        <w:spacing w:after="0" w:line="254" w:lineRule="auto"/>
        <w:rPr>
          <w:sz w:val="20"/>
          <w:szCs w:val="20"/>
          <w:color w:val="auto"/>
        </w:rPr>
      </w:pPr>
      <w:r>
        <w:rPr>
          <w:rFonts w:ascii="Courier New" w:cs="Courier New" w:eastAsia="Courier New" w:hAnsi="Courier New"/>
          <w:sz w:val="16"/>
          <w:szCs w:val="16"/>
          <w:color w:val="auto"/>
        </w:rPr>
        <w:t>As previously disclosed, we have accelerated our cable system rebuild program and have increased deployment of cable modems and digital converters to our customers. Additionally, our cable operations are accelerating our plans for the migration of our high-speed Internet access customers from Excite@Home's national network to our own broadband communications network. As a result, we</w:t>
      </w:r>
    </w:p>
    <w:p>
      <w:pPr>
        <w:sectPr>
          <w:pgSz w:w="11900" w:h="16838" w:orient="portrait"/>
          <w:cols w:equalWidth="0" w:num="1">
            <w:col w:w="10219"/>
          </w:cols>
          <w:pgMar w:left="240" w:top="683" w:right="1440" w:bottom="0" w:gutter="0" w:footer="0" w:header="0"/>
        </w:sectPr>
      </w:pPr>
    </w:p>
    <w:bookmarkStart w:id="20" w:name="page21"/>
    <w:bookmarkEnd w:id="20"/>
    <w:p>
      <w:pPr>
        <w:jc w:val="both"/>
        <w:ind w:right="2259"/>
        <w:spacing w:after="0" w:line="255" w:lineRule="auto"/>
        <w:rPr>
          <w:sz w:val="20"/>
          <w:szCs w:val="20"/>
          <w:color w:val="auto"/>
        </w:rPr>
      </w:pPr>
      <w:r>
        <w:rPr>
          <w:rFonts w:ascii="Courier New" w:cs="Courier New" w:eastAsia="Courier New" w:hAnsi="Courier New"/>
          <w:sz w:val="16"/>
          <w:szCs w:val="16"/>
          <w:color w:val="auto"/>
        </w:rPr>
        <w:t>currently expect to invest $2.025 billion in capital expenditures for our cable, commerce and content businesses in 2001, up from our previous estimate of $1.95 billion. We expect our consolidated capital expenditures for 2001 to be between $2.2 billion and $2.3 billion, consistent with our previous estimates.</w:t>
      </w:r>
    </w:p>
    <w:p>
      <w:pPr>
        <w:spacing w:after="0" w:line="37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142" w:right="1440" w:bottom="1440" w:gutter="0" w:footer="0" w:header="0"/>
        </w:sectPr>
      </w:pPr>
    </w:p>
    <w:bookmarkStart w:id="21" w:name="page22"/>
    <w:bookmarkEnd w:id="21"/>
    <w:p>
      <w:pPr>
        <w:jc w:val="center"/>
        <w:ind w:right="2259"/>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2159"/>
        <w:spacing w:after="0" w:line="238" w:lineRule="auto"/>
        <w:rPr>
          <w:sz w:val="20"/>
          <w:szCs w:val="20"/>
          <w:color w:val="auto"/>
        </w:rPr>
      </w:pPr>
      <w:r>
        <w:rPr>
          <w:rFonts w:ascii="Courier New" w:cs="Courier New" w:eastAsia="Courier New" w:hAnsi="Courier New"/>
          <w:sz w:val="17"/>
          <w:szCs w:val="17"/>
          <w:color w:val="auto"/>
        </w:rPr>
        <w:t>FORM 10-Q</w:t>
      </w:r>
    </w:p>
    <w:p>
      <w:pPr>
        <w:jc w:val="center"/>
        <w:ind w:right="2259"/>
        <w:spacing w:after="0" w:line="238" w:lineRule="auto"/>
        <w:rPr>
          <w:sz w:val="20"/>
          <w:szCs w:val="20"/>
          <w:color w:val="auto"/>
        </w:rPr>
      </w:pPr>
      <w:r>
        <w:rPr>
          <w:rFonts w:ascii="Courier New" w:cs="Courier New" w:eastAsia="Courier New" w:hAnsi="Courier New"/>
          <w:sz w:val="17"/>
          <w:szCs w:val="17"/>
          <w:color w:val="auto"/>
        </w:rPr>
        <w:t>QUARTER ENDED SEPTEMBER 30, 2001</w:t>
      </w:r>
    </w:p>
    <w:p>
      <w:pPr>
        <w:spacing w:after="0" w:line="38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Financing</w:t>
      </w:r>
    </w:p>
    <w:p>
      <w:pPr>
        <w:spacing w:after="0" w:line="196"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As of September 30, 2001 and December 31, 2000, our long-term debt, including current portion, was $12.049 billion and $10.811 billion, respectively.</w:t>
      </w:r>
    </w:p>
    <w:p>
      <w:pPr>
        <w:spacing w:after="0" w:line="197" w:lineRule="exact"/>
        <w:rPr>
          <w:sz w:val="20"/>
          <w:szCs w:val="20"/>
          <w:color w:val="auto"/>
        </w:rPr>
      </w:pPr>
    </w:p>
    <w:p>
      <w:pPr>
        <w:jc w:val="both"/>
        <w:ind w:right="2259" w:firstLine="497"/>
        <w:spacing w:after="0" w:line="256" w:lineRule="auto"/>
        <w:rPr>
          <w:sz w:val="20"/>
          <w:szCs w:val="20"/>
          <w:color w:val="auto"/>
        </w:rPr>
      </w:pPr>
      <w:r>
        <w:rPr>
          <w:rFonts w:ascii="Courier New" w:cs="Courier New" w:eastAsia="Courier New" w:hAnsi="Courier New"/>
          <w:sz w:val="16"/>
          <w:szCs w:val="16"/>
          <w:color w:val="auto"/>
        </w:rPr>
        <w:t>The $1.238 billion increase from December 31, 2000 to September 30, 2001 results principally from the effects of our net borrowings, offset by the $109.5 million aggregate reduction to the carrying value of our ZONES during 2001.</w:t>
      </w:r>
    </w:p>
    <w:p>
      <w:pPr>
        <w:spacing w:after="0" w:line="185" w:lineRule="exact"/>
        <w:rPr>
          <w:sz w:val="20"/>
          <w:szCs w:val="20"/>
          <w:color w:val="auto"/>
        </w:rPr>
      </w:pPr>
    </w:p>
    <w:p>
      <w:pPr>
        <w:jc w:val="both"/>
        <w:ind w:right="2259" w:firstLine="497"/>
        <w:spacing w:after="0" w:line="237" w:lineRule="auto"/>
        <w:rPr>
          <w:sz w:val="20"/>
          <w:szCs w:val="20"/>
          <w:color w:val="auto"/>
        </w:rPr>
      </w:pPr>
      <w:r>
        <w:rPr>
          <w:rFonts w:ascii="Courier New" w:cs="Courier New" w:eastAsia="Courier New" w:hAnsi="Courier New"/>
          <w:sz w:val="17"/>
          <w:szCs w:val="17"/>
          <w:color w:val="auto"/>
        </w:rPr>
        <w:t>Excluding the effects of interest rate risk management instruments, 10.0% and 28.5% of our long-term debt as of September 30, 2001 and December 31, 2000, respectively, was at variable rates. The decrease from December 31, 2000 to September 30, 2001 in the percentage of our variable rate debt was due principally to the effects of our 2001 financings described below.</w:t>
      </w:r>
    </w:p>
    <w:p>
      <w:pPr>
        <w:spacing w:after="0" w:line="197" w:lineRule="exact"/>
        <w:rPr>
          <w:sz w:val="20"/>
          <w:szCs w:val="20"/>
          <w:color w:val="auto"/>
        </w:rPr>
      </w:pPr>
    </w:p>
    <w:p>
      <w:pPr>
        <w:jc w:val="both"/>
        <w:ind w:right="2259" w:firstLine="497"/>
        <w:spacing w:after="0" w:line="254" w:lineRule="auto"/>
        <w:rPr>
          <w:sz w:val="20"/>
          <w:szCs w:val="20"/>
          <w:color w:val="auto"/>
        </w:rPr>
      </w:pPr>
      <w:r>
        <w:rPr>
          <w:rFonts w:ascii="Courier New" w:cs="Courier New" w:eastAsia="Courier New" w:hAnsi="Courier New"/>
          <w:sz w:val="16"/>
          <w:szCs w:val="16"/>
          <w:color w:val="auto"/>
        </w:rPr>
        <w:t>During 2001, our wholly owned subsidiary, Comcast Cable Communications, Inc. ("Comcast Cable") sold an aggregate of $3.0 billion of senior notes with interest rates ranging from 6.375% to 7.125% and maturing between 2006 and 2013. In addition, in January 2001, we issued an additional $192.8 million principal amount at maturity of our Zero Coupon Debentures. We used substantially all of the net proceeds from the offerings to repay a portion of the amounts outstanding under Comcast Cable's commercial paper program, revolving credit facility and notes payable to affiliates, and to fund acquisitions.</w:t>
      </w:r>
    </w:p>
    <w:p>
      <w:pPr>
        <w:spacing w:after="0" w:line="187" w:lineRule="exact"/>
        <w:rPr>
          <w:sz w:val="20"/>
          <w:szCs w:val="20"/>
          <w:color w:val="auto"/>
        </w:rPr>
      </w:pPr>
    </w:p>
    <w:p>
      <w:pPr>
        <w:jc w:val="both"/>
        <w:ind w:right="2259" w:firstLine="497"/>
        <w:spacing w:after="0" w:line="256" w:lineRule="auto"/>
        <w:rPr>
          <w:sz w:val="20"/>
          <w:szCs w:val="20"/>
          <w:color w:val="auto"/>
        </w:rPr>
      </w:pPr>
      <w:r>
        <w:rPr>
          <w:rFonts w:ascii="Courier New" w:cs="Courier New" w:eastAsia="Courier New" w:hAnsi="Courier New"/>
          <w:sz w:val="16"/>
          <w:szCs w:val="16"/>
          <w:color w:val="auto"/>
        </w:rPr>
        <w:t>We have and may in the future, depending on certain factors including market conditions, make optional repayments on our debt obligations, which may include open market repurchases of our outstanding public notes and debentures.</w:t>
      </w:r>
    </w:p>
    <w:p>
      <w:pPr>
        <w:spacing w:after="0" w:line="185" w:lineRule="exact"/>
        <w:rPr>
          <w:sz w:val="20"/>
          <w:szCs w:val="20"/>
          <w:color w:val="auto"/>
        </w:rPr>
      </w:pPr>
    </w:p>
    <w:p>
      <w:pPr>
        <w:jc w:val="both"/>
        <w:ind w:right="2259" w:firstLine="497"/>
        <w:spacing w:after="0" w:line="235" w:lineRule="auto"/>
        <w:rPr>
          <w:sz w:val="20"/>
          <w:szCs w:val="20"/>
          <w:color w:val="auto"/>
        </w:rPr>
      </w:pPr>
      <w:r>
        <w:rPr>
          <w:rFonts w:ascii="Courier New" w:cs="Courier New" w:eastAsia="Courier New" w:hAnsi="Courier New"/>
          <w:sz w:val="17"/>
          <w:szCs w:val="17"/>
          <w:color w:val="auto"/>
        </w:rPr>
        <w:t>Refer to Notes 6 and 7 to our financial statements included in Item 1 for a discussion of our 2001 financing activities.</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Equity Price Risk</w:t>
      </w:r>
    </w:p>
    <w:p>
      <w:pPr>
        <w:spacing w:after="0" w:line="196" w:lineRule="exact"/>
        <w:rPr>
          <w:sz w:val="20"/>
          <w:szCs w:val="20"/>
          <w:color w:val="auto"/>
        </w:rPr>
      </w:pPr>
    </w:p>
    <w:p>
      <w:pPr>
        <w:jc w:val="both"/>
        <w:ind w:right="2259" w:firstLine="497"/>
        <w:spacing w:after="0" w:line="253" w:lineRule="auto"/>
        <w:rPr>
          <w:sz w:val="20"/>
          <w:szCs w:val="20"/>
          <w:color w:val="auto"/>
        </w:rPr>
      </w:pPr>
      <w:r>
        <w:rPr>
          <w:rFonts w:ascii="Courier New" w:cs="Courier New" w:eastAsia="Courier New" w:hAnsi="Courier New"/>
          <w:sz w:val="16"/>
          <w:szCs w:val="16"/>
          <w:color w:val="auto"/>
        </w:rPr>
        <w:t>During 1999, we entered into cashless collar agreements (the "Equity Collars") covering $1.365 billion notional amount of our Sprint PCS common stock which we account for at fair value. The Equity Collars limit our exposure to and benefits from price fluctuations in the Sprint PCS common stock. During the three and nine months ended September 30, 2001, $193.5 million and $483.7 million, respectively, notional amount of Equity Collars matured and we sold or entered into prepaid forward sales of the related Sprint PCS common stock. Refer to Note 5 (see Derivatives) to our financial statements included in Item 1 for a discussion of our prepaid forward sales of Sprint PCS common stock. The remaining $881.0 million notional amount of Equity Collars mature between 2002 and 2003. As we had accounted for the Equity Collars as a hedge, changes in the value of the Equity Collars were substantially offset by changes in the value of the Sprint PCS common stock which were also marked to market through accumulated other comprehensive income in our balance sheet through December 31, 2000.</w:t>
      </w:r>
    </w:p>
    <w:p>
      <w:pPr>
        <w:spacing w:after="0" w:line="194" w:lineRule="exact"/>
        <w:rPr>
          <w:sz w:val="20"/>
          <w:szCs w:val="20"/>
          <w:color w:val="auto"/>
        </w:rPr>
      </w:pPr>
    </w:p>
    <w:p>
      <w:pPr>
        <w:jc w:val="both"/>
        <w:ind w:right="2259" w:firstLine="497"/>
        <w:spacing w:after="0" w:line="237" w:lineRule="auto"/>
        <w:rPr>
          <w:sz w:val="20"/>
          <w:szCs w:val="20"/>
          <w:color w:val="auto"/>
        </w:rPr>
      </w:pPr>
      <w:r>
        <w:rPr>
          <w:rFonts w:ascii="Courier New" w:cs="Courier New" w:eastAsia="Courier New" w:hAnsi="Courier New"/>
          <w:sz w:val="17"/>
          <w:szCs w:val="17"/>
          <w:color w:val="auto"/>
        </w:rPr>
        <w:t>In connection with the adoption of Statement of Financial Accounting Standards ("SFAS") No. 133, "Accounting for Derivative Instruments and Hedging Activities," as amended on January 1, 2001, we reclassified our investment in Sprint PCS from an available for sale security to a trading security. During the three and nine months ended September 30, 2001, the increase in the fair value of our investment in Sprint PCS common stock of $154.5 million and $420.1 million, respectively, was substantially offset by the decrease in the fair value of the Equity Collars and the increase in the fair value of the derivative components of the ZONES and prepaid forward sales. See "Results of Operations - Investment Income" below.</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Interest Rate Risk</w:t>
      </w:r>
    </w:p>
    <w:p>
      <w:pPr>
        <w:spacing w:after="0" w:line="196" w:lineRule="exact"/>
        <w:rPr>
          <w:sz w:val="20"/>
          <w:szCs w:val="20"/>
          <w:color w:val="auto"/>
        </w:rPr>
      </w:pPr>
    </w:p>
    <w:p>
      <w:pPr>
        <w:jc w:val="both"/>
        <w:ind w:right="2259" w:firstLine="497"/>
        <w:spacing w:after="0" w:line="237" w:lineRule="auto"/>
        <w:rPr>
          <w:sz w:val="20"/>
          <w:szCs w:val="20"/>
          <w:color w:val="auto"/>
        </w:rPr>
      </w:pPr>
      <w:r>
        <w:rPr>
          <w:rFonts w:ascii="Courier New" w:cs="Courier New" w:eastAsia="Courier New" w:hAnsi="Courier New"/>
          <w:sz w:val="17"/>
          <w:szCs w:val="17"/>
          <w:color w:val="auto"/>
        </w:rPr>
        <w:t>During the nine months ended September 30, 2001, we entered into $500.0 million aggregate notional amount of fixed to variable interest rate exchange agreements ("Swaps") which mature between 2006 and 2008. During the nine months ended September 30, 2001, $94.0 million aggregate notional amount of our variable to fixed Swaps were either terminated or expired. As of September 30, 2001, the Company has $283.7 million aggregate notional amount of variable to fixed Swaps with an average pay rate of 5.3% and an average receive rate of 3.7% and $950.0 million aggregate notional amount of fixed to variable Swaps with an average pay rate of 5.1% and an average receive rate of 7.5%.</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_______________________</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Statement of Cash Flows</w:t>
      </w:r>
    </w:p>
    <w:p>
      <w:pPr>
        <w:spacing w:after="0" w:line="196"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Cash and cash equivalents increased $6.9 million as of September 30, 2001 from December 31, 2000. The increase in cash and cash equivalents resulted from cash flows from operating, financing and investing activities</w:t>
      </w:r>
    </w:p>
    <w:p>
      <w:pPr>
        <w:sectPr>
          <w:pgSz w:w="11900" w:h="16838" w:orient="portrait"/>
          <w:cols w:equalWidth="0" w:num="1">
            <w:col w:w="10219"/>
          </w:cols>
          <w:pgMar w:left="240" w:top="683" w:right="1440" w:bottom="0" w:gutter="0" w:footer="0" w:header="0"/>
        </w:sectPr>
      </w:pPr>
    </w:p>
    <w:bookmarkStart w:id="22" w:name="page23"/>
    <w:bookmarkEnd w:id="22"/>
    <w:p>
      <w:pPr>
        <w:ind w:left="26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019"/>
          </w:cols>
          <w:pgMar w:left="1440" w:top="333" w:right="1440" w:bottom="1440" w:gutter="0" w:footer="0" w:header="0"/>
        </w:sectPr>
      </w:pPr>
    </w:p>
    <w:bookmarkStart w:id="23" w:name="page24"/>
    <w:bookmarkEnd w:id="23"/>
    <w:p>
      <w:pPr>
        <w:jc w:val="center"/>
        <w:ind w:right="600"/>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500"/>
        <w:spacing w:after="0" w:line="238" w:lineRule="auto"/>
        <w:rPr>
          <w:sz w:val="20"/>
          <w:szCs w:val="20"/>
          <w:color w:val="auto"/>
        </w:rPr>
      </w:pPr>
      <w:r>
        <w:rPr>
          <w:rFonts w:ascii="Courier New" w:cs="Courier New" w:eastAsia="Courier New" w:hAnsi="Courier New"/>
          <w:sz w:val="17"/>
          <w:szCs w:val="17"/>
          <w:color w:val="auto"/>
        </w:rPr>
        <w:t>FORM 10-Q</w:t>
      </w:r>
    </w:p>
    <w:p>
      <w:pPr>
        <w:jc w:val="center"/>
        <w:ind w:right="600"/>
        <w:spacing w:after="0" w:line="238" w:lineRule="auto"/>
        <w:rPr>
          <w:sz w:val="20"/>
          <w:szCs w:val="20"/>
          <w:color w:val="auto"/>
        </w:rPr>
      </w:pPr>
      <w:r>
        <w:rPr>
          <w:rFonts w:ascii="Courier New" w:cs="Courier New" w:eastAsia="Courier New" w:hAnsi="Courier New"/>
          <w:sz w:val="17"/>
          <w:szCs w:val="17"/>
          <w:color w:val="auto"/>
        </w:rPr>
        <w:t>QUARTER ENDED SEPTEMBER 30, 2001</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which are explained below.</w:t>
      </w:r>
    </w:p>
    <w:p>
      <w:pPr>
        <w:spacing w:after="0" w:line="196" w:lineRule="exact"/>
        <w:rPr>
          <w:sz w:val="20"/>
          <w:szCs w:val="20"/>
          <w:color w:val="auto"/>
        </w:rPr>
      </w:pPr>
    </w:p>
    <w:p>
      <w:pPr>
        <w:jc w:val="both"/>
        <w:ind w:right="600" w:firstLine="497"/>
        <w:spacing w:after="0" w:line="237" w:lineRule="auto"/>
        <w:rPr>
          <w:sz w:val="20"/>
          <w:szCs w:val="20"/>
          <w:color w:val="auto"/>
        </w:rPr>
      </w:pPr>
      <w:r>
        <w:rPr>
          <w:rFonts w:ascii="Courier New" w:cs="Courier New" w:eastAsia="Courier New" w:hAnsi="Courier New"/>
          <w:sz w:val="17"/>
          <w:szCs w:val="17"/>
          <w:color w:val="auto"/>
        </w:rPr>
        <w:t>Net cash provided by operating activities amounted to $1.255 billion for the nine months ended September 30, 2001, due principally to our operating income before depreciation and amortization (see "Results of Operations"), and by changes in working capital as a result of the timing of receipts and disbursements and the effects of net interest and current income tax expense.</w:t>
      </w:r>
    </w:p>
    <w:p>
      <w:pPr>
        <w:spacing w:after="0" w:line="197" w:lineRule="exact"/>
        <w:rPr>
          <w:sz w:val="20"/>
          <w:szCs w:val="20"/>
          <w:color w:val="auto"/>
        </w:rPr>
      </w:pPr>
    </w:p>
    <w:p>
      <w:pPr>
        <w:jc w:val="both"/>
        <w:ind w:right="600" w:firstLine="497"/>
        <w:spacing w:after="0" w:line="237" w:lineRule="auto"/>
        <w:rPr>
          <w:sz w:val="20"/>
          <w:szCs w:val="20"/>
          <w:color w:val="auto"/>
        </w:rPr>
      </w:pPr>
      <w:r>
        <w:rPr>
          <w:rFonts w:ascii="Courier New" w:cs="Courier New" w:eastAsia="Courier New" w:hAnsi="Courier New"/>
          <w:sz w:val="17"/>
          <w:szCs w:val="17"/>
          <w:color w:val="auto"/>
        </w:rPr>
        <w:t>Net cash provided by financing activities includes borrowings and repayments of debt, as well as the issuances and repurchases of our equity securities. Net cash provided by financing activities was $1.213 billion for the nine months ended September 30, 2001. During the nine months ended September 30, 2001, we borrowed $5.031 billion, consisting primarily of:</w:t>
      </w:r>
    </w:p>
    <w:p>
      <w:pPr>
        <w:spacing w:after="0" w:line="5" w:lineRule="exact"/>
        <w:rPr>
          <w:sz w:val="20"/>
          <w:szCs w:val="20"/>
          <w:color w:val="auto"/>
        </w:rPr>
      </w:pPr>
    </w:p>
    <w:p>
      <w:pPr>
        <w:ind w:left="900" w:right="3480" w:hanging="500"/>
        <w:spacing w:after="0" w:line="235" w:lineRule="auto"/>
        <w:tabs>
          <w:tab w:leader="none" w:pos="9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$2.991 billion from Comcast Cable's senior notes offerings,</w:t>
      </w:r>
    </w:p>
    <w:p>
      <w:pPr>
        <w:spacing w:after="0" w:line="5" w:lineRule="exact"/>
        <w:rPr>
          <w:rFonts w:ascii="Courier New" w:cs="Courier New" w:eastAsia="Courier New" w:hAnsi="Courier New"/>
          <w:sz w:val="17"/>
          <w:szCs w:val="17"/>
          <w:color w:val="auto"/>
        </w:rPr>
      </w:pPr>
    </w:p>
    <w:p>
      <w:pPr>
        <w:ind w:left="900" w:right="4180" w:hanging="500"/>
        <w:spacing w:after="0" w:line="235" w:lineRule="auto"/>
        <w:tabs>
          <w:tab w:leader="none" w:pos="9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$150.3 million from our Zero Coupon Debentures offering,</w:t>
      </w:r>
    </w:p>
    <w:p>
      <w:pPr>
        <w:spacing w:after="0" w:line="5" w:lineRule="exact"/>
        <w:rPr>
          <w:rFonts w:ascii="Courier New" w:cs="Courier New" w:eastAsia="Courier New" w:hAnsi="Courier New"/>
          <w:sz w:val="17"/>
          <w:szCs w:val="17"/>
          <w:color w:val="auto"/>
        </w:rPr>
      </w:pPr>
    </w:p>
    <w:p>
      <w:pPr>
        <w:ind w:left="900" w:right="4080" w:hanging="500"/>
        <w:spacing w:after="0" w:line="253" w:lineRule="auto"/>
        <w:tabs>
          <w:tab w:leader="none" w:pos="9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$1.369 billion under Comcast Cable's commercial paper program, and</w:t>
      </w:r>
    </w:p>
    <w:p>
      <w:pPr>
        <w:ind w:left="900" w:hanging="500"/>
        <w:spacing w:after="0" w:line="238" w:lineRule="auto"/>
        <w:tabs>
          <w:tab w:leader="none" w:pos="9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$517.7 million under revolving credit facilities.</w:t>
      </w:r>
    </w:p>
    <w:p>
      <w:pPr>
        <w:spacing w:after="0" w:line="197" w:lineRule="exact"/>
        <w:rPr>
          <w:sz w:val="20"/>
          <w:szCs w:val="20"/>
          <w:color w:val="auto"/>
        </w:rPr>
      </w:pPr>
    </w:p>
    <w:p>
      <w:pPr>
        <w:ind w:right="600" w:firstLine="497"/>
        <w:spacing w:after="0" w:line="235" w:lineRule="auto"/>
        <w:rPr>
          <w:sz w:val="20"/>
          <w:szCs w:val="20"/>
          <w:color w:val="auto"/>
        </w:rPr>
      </w:pPr>
      <w:r>
        <w:rPr>
          <w:rFonts w:ascii="Courier New" w:cs="Courier New" w:eastAsia="Courier New" w:hAnsi="Courier New"/>
          <w:sz w:val="17"/>
          <w:szCs w:val="17"/>
          <w:color w:val="auto"/>
        </w:rPr>
        <w:t>During the nine months ended September 30, 2001, we repaid $3.791 billion of our long-term debt, consisting primarily of:</w:t>
      </w:r>
    </w:p>
    <w:p>
      <w:pPr>
        <w:spacing w:after="0" w:line="5" w:lineRule="exact"/>
        <w:rPr>
          <w:sz w:val="20"/>
          <w:szCs w:val="20"/>
          <w:color w:val="auto"/>
        </w:rPr>
      </w:pPr>
    </w:p>
    <w:p>
      <w:pPr>
        <w:ind w:left="900" w:right="4080" w:hanging="500"/>
        <w:spacing w:after="0" w:line="253" w:lineRule="auto"/>
        <w:tabs>
          <w:tab w:leader="none" w:pos="9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$2.256 billion under Comcast Cable's commercial paper program, and</w:t>
      </w:r>
    </w:p>
    <w:p>
      <w:pPr>
        <w:ind w:left="900" w:right="2780" w:hanging="500"/>
        <w:spacing w:after="0" w:line="235" w:lineRule="auto"/>
        <w:tabs>
          <w:tab w:leader="none" w:pos="9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$1.520 billion on certain of our revolving credit facilities.</w:t>
      </w:r>
    </w:p>
    <w:p>
      <w:pPr>
        <w:spacing w:after="0" w:line="197" w:lineRule="exact"/>
        <w:rPr>
          <w:sz w:val="20"/>
          <w:szCs w:val="20"/>
          <w:color w:val="auto"/>
        </w:rPr>
      </w:pPr>
    </w:p>
    <w:p>
      <w:pPr>
        <w:jc w:val="both"/>
        <w:ind w:right="600" w:firstLine="497"/>
        <w:spacing w:after="0" w:line="236" w:lineRule="auto"/>
        <w:rPr>
          <w:sz w:val="20"/>
          <w:szCs w:val="20"/>
          <w:color w:val="auto"/>
        </w:rPr>
      </w:pPr>
      <w:r>
        <w:rPr>
          <w:rFonts w:ascii="Courier New" w:cs="Courier New" w:eastAsia="Courier New" w:hAnsi="Courier New"/>
          <w:sz w:val="17"/>
          <w:szCs w:val="17"/>
          <w:color w:val="auto"/>
        </w:rPr>
        <w:t>In addition, during the nine months ended September 30, 2001, we received proceeds of $23.2 million related to issuances of our common stock, we repurchased $27.1 million of our common stock, and we incurred $22.5 million of deferred financing costs.</w:t>
      </w:r>
    </w:p>
    <w:p>
      <w:pPr>
        <w:spacing w:after="0" w:line="199" w:lineRule="exact"/>
        <w:rPr>
          <w:sz w:val="20"/>
          <w:szCs w:val="20"/>
          <w:color w:val="auto"/>
        </w:rPr>
      </w:pPr>
    </w:p>
    <w:p>
      <w:pPr>
        <w:jc w:val="both"/>
        <w:ind w:right="600" w:firstLine="497"/>
        <w:spacing w:after="0" w:line="237" w:lineRule="auto"/>
        <w:rPr>
          <w:sz w:val="20"/>
          <w:szCs w:val="20"/>
          <w:color w:val="auto"/>
        </w:rPr>
      </w:pPr>
      <w:r>
        <w:rPr>
          <w:rFonts w:ascii="Courier New" w:cs="Courier New" w:eastAsia="Courier New" w:hAnsi="Courier New"/>
          <w:sz w:val="17"/>
          <w:szCs w:val="17"/>
          <w:color w:val="auto"/>
        </w:rPr>
        <w:t>Net cash used in investing activities includes the effects of acquisitions, net of cash acquired, purchases of investments, capital expenditures, increases in notes receivable and additions to deferred charges, offset by proceeds from sales of investments. Net cash used in investing activities was $2.461 billion for the nine months ended September 30, 2001.</w:t>
      </w:r>
    </w:p>
    <w:p>
      <w:pPr>
        <w:spacing w:after="0" w:line="197" w:lineRule="exact"/>
        <w:rPr>
          <w:sz w:val="20"/>
          <w:szCs w:val="20"/>
          <w:color w:val="auto"/>
        </w:rPr>
      </w:pPr>
    </w:p>
    <w:p>
      <w:pPr>
        <w:jc w:val="both"/>
        <w:ind w:right="600" w:firstLine="497"/>
        <w:spacing w:after="0" w:line="235" w:lineRule="auto"/>
        <w:rPr>
          <w:sz w:val="20"/>
          <w:szCs w:val="20"/>
          <w:color w:val="auto"/>
        </w:rPr>
      </w:pPr>
      <w:r>
        <w:rPr>
          <w:rFonts w:ascii="Courier New" w:cs="Courier New" w:eastAsia="Courier New" w:hAnsi="Courier New"/>
          <w:sz w:val="17"/>
          <w:szCs w:val="17"/>
          <w:color w:val="auto"/>
        </w:rPr>
        <w:t>During the nine months ended September 30, 2001, acquisitions, net of cash acquired, amounted to $917.5 million, consisting primarily of:</w:t>
      </w:r>
    </w:p>
    <w:p>
      <w:pPr>
        <w:spacing w:after="0" w:line="5" w:lineRule="exact"/>
        <w:rPr>
          <w:sz w:val="20"/>
          <w:szCs w:val="20"/>
          <w:color w:val="auto"/>
        </w:rPr>
      </w:pPr>
    </w:p>
    <w:p>
      <w:pPr>
        <w:ind w:left="900" w:right="3380" w:hanging="500"/>
        <w:spacing w:after="0" w:line="235" w:lineRule="auto"/>
        <w:tabs>
          <w:tab w:leader="none" w:pos="9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$518.7 million for the cable system serving Baltimore City, and</w:t>
      </w:r>
    </w:p>
    <w:p>
      <w:pPr>
        <w:spacing w:after="0" w:line="5" w:lineRule="exact"/>
        <w:rPr>
          <w:rFonts w:ascii="Courier New" w:cs="Courier New" w:eastAsia="Courier New" w:hAnsi="Courier New"/>
          <w:sz w:val="17"/>
          <w:szCs w:val="17"/>
          <w:color w:val="auto"/>
        </w:rPr>
      </w:pPr>
    </w:p>
    <w:p>
      <w:pPr>
        <w:ind w:left="900" w:right="2880" w:hanging="500"/>
        <w:spacing w:after="0" w:line="235" w:lineRule="auto"/>
        <w:tabs>
          <w:tab w:leader="none" w:pos="9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$305.9 million for a controlling interest in The Golf Channel.</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196" w:lineRule="exact"/>
        <w:rPr>
          <w:sz w:val="20"/>
          <w:szCs w:val="20"/>
          <w:color w:val="auto"/>
        </w:rPr>
      </w:pPr>
    </w:p>
    <w:p>
      <w:pPr>
        <w:ind w:right="600" w:firstLine="497"/>
        <w:spacing w:after="0" w:line="235" w:lineRule="auto"/>
        <w:rPr>
          <w:sz w:val="20"/>
          <w:szCs w:val="20"/>
          <w:color w:val="auto"/>
        </w:rPr>
      </w:pPr>
      <w:r>
        <w:rPr>
          <w:rFonts w:ascii="Courier New" w:cs="Courier New" w:eastAsia="Courier New" w:hAnsi="Courier New"/>
          <w:sz w:val="17"/>
          <w:szCs w:val="17"/>
          <w:color w:val="auto"/>
        </w:rPr>
        <w:t>Our summarized financial information for the interim periods is as follows (dollars in millions, "NM" denotes percentage is not meaningful):</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Pr>
          <w:p>
            <w:pPr>
              <w:spacing w:after="0"/>
              <w:rPr>
                <w:sz w:val="16"/>
                <w:szCs w:val="16"/>
                <w:color w:val="auto"/>
              </w:rPr>
            </w:pPr>
          </w:p>
        </w:tc>
        <w:tc>
          <w:tcPr>
            <w:tcW w:w="2340" w:type="dxa"/>
            <w:vAlign w:val="bottom"/>
            <w:gridSpan w:val="2"/>
          </w:tcPr>
          <w:p>
            <w:pPr>
              <w:jc w:val="right"/>
              <w:ind w:right="217"/>
              <w:spacing w:after="0"/>
              <w:rPr>
                <w:sz w:val="20"/>
                <w:szCs w:val="20"/>
                <w:color w:val="auto"/>
              </w:rPr>
            </w:pPr>
            <w:r>
              <w:rPr>
                <w:rFonts w:ascii="Courier New" w:cs="Courier New" w:eastAsia="Courier New" w:hAnsi="Courier New"/>
                <w:sz w:val="17"/>
                <w:szCs w:val="17"/>
                <w:color w:val="auto"/>
              </w:rPr>
              <w:t>Three Months Ended</w:t>
            </w:r>
          </w:p>
        </w:tc>
      </w:tr>
      <w:tr>
        <w:trPr>
          <w:trHeight w:val="191"/>
        </w:trPr>
        <w:tc>
          <w:tcPr>
            <w:tcW w:w="6220" w:type="dxa"/>
            <w:vAlign w:val="bottom"/>
          </w:tcPr>
          <w:p>
            <w:pPr>
              <w:spacing w:after="0"/>
              <w:rPr>
                <w:sz w:val="16"/>
                <w:szCs w:val="16"/>
                <w:color w:val="auto"/>
              </w:rPr>
            </w:pPr>
          </w:p>
        </w:tc>
        <w:tc>
          <w:tcPr>
            <w:tcW w:w="234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September 30,</w:t>
            </w:r>
          </w:p>
        </w:tc>
      </w:tr>
      <w:tr>
        <w:trPr>
          <w:trHeight w:val="191"/>
        </w:trPr>
        <w:tc>
          <w:tcPr>
            <w:tcW w:w="6220" w:type="dxa"/>
            <w:vAlign w:val="bottom"/>
          </w:tcPr>
          <w:p>
            <w:pPr>
              <w:spacing w:after="0"/>
              <w:rPr>
                <w:sz w:val="16"/>
                <w:szCs w:val="16"/>
                <w:color w:val="auto"/>
              </w:rPr>
            </w:pPr>
          </w:p>
        </w:tc>
        <w:tc>
          <w:tcPr>
            <w:tcW w:w="1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2001</w:t>
            </w:r>
          </w:p>
        </w:tc>
        <w:tc>
          <w:tcPr>
            <w:tcW w:w="11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2000</w:t>
            </w:r>
          </w:p>
        </w:tc>
      </w:tr>
      <w:tr>
        <w:trPr>
          <w:trHeight w:val="191"/>
        </w:trPr>
        <w:tc>
          <w:tcPr>
            <w:tcW w:w="622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220" w:type="dxa"/>
            <w:vAlign w:val="bottom"/>
          </w:tcPr>
          <w:p>
            <w:pPr>
              <w:spacing w:after="0"/>
              <w:rPr>
                <w:sz w:val="20"/>
                <w:szCs w:val="20"/>
                <w:color w:val="auto"/>
              </w:rPr>
            </w:pPr>
            <w:r>
              <w:rPr>
                <w:rFonts w:ascii="Courier New" w:cs="Courier New" w:eastAsia="Courier New" w:hAnsi="Courier New"/>
                <w:sz w:val="17"/>
                <w:szCs w:val="17"/>
                <w:color w:val="auto"/>
                <w:w w:val="99"/>
              </w:rPr>
              <w:t>Revenues.....................................................</w:t>
            </w:r>
          </w:p>
        </w:tc>
        <w:tc>
          <w:tcPr>
            <w:tcW w:w="12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$2,355.5</w:t>
            </w:r>
          </w:p>
        </w:tc>
        <w:tc>
          <w:tcPr>
            <w:tcW w:w="11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$1,960.0</w:t>
            </w:r>
          </w:p>
        </w:tc>
      </w:tr>
      <w:tr>
        <w:trPr>
          <w:trHeight w:val="191"/>
        </w:trPr>
        <w:tc>
          <w:tcPr>
            <w:tcW w:w="62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Cost of goods sold from electronic retailing.................</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573.8</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529.2</w:t>
            </w:r>
          </w:p>
        </w:tc>
      </w:tr>
      <w:tr>
        <w:trPr>
          <w:trHeight w:val="191"/>
        </w:trPr>
        <w:tc>
          <w:tcPr>
            <w:tcW w:w="62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Operating, selling, general and administrative expenses......</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1,075.9</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825.1</w:t>
            </w:r>
          </w:p>
        </w:tc>
      </w:tr>
      <w:tr>
        <w:trPr>
          <w:trHeight w:val="191"/>
        </w:trPr>
        <w:tc>
          <w:tcPr>
            <w:tcW w:w="622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Operating income before depreciation and amortization (1)....</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705.8</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605.7</w:t>
            </w:r>
          </w:p>
        </w:tc>
      </w:tr>
      <w:tr>
        <w:trPr>
          <w:trHeight w:val="191"/>
        </w:trPr>
        <w:tc>
          <w:tcPr>
            <w:tcW w:w="62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Depreciation.................................................</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288.2</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223.2</w:t>
            </w:r>
          </w:p>
        </w:tc>
      </w:tr>
      <w:tr>
        <w:trPr>
          <w:trHeight w:val="191"/>
        </w:trPr>
        <w:tc>
          <w:tcPr>
            <w:tcW w:w="62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Amortization.................................................</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595.8</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438.9</w:t>
            </w:r>
          </w:p>
        </w:tc>
      </w:tr>
      <w:tr>
        <w:trPr>
          <w:trHeight w:val="191"/>
        </w:trPr>
        <w:tc>
          <w:tcPr>
            <w:tcW w:w="622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Operating loss...............................................</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(178.2)</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(56.4)</w:t>
            </w:r>
          </w:p>
        </w:tc>
      </w:tr>
      <w:tr>
        <w:trPr>
          <w:trHeight w:val="191"/>
        </w:trPr>
        <w:tc>
          <w:tcPr>
            <w:tcW w:w="622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Interest expense.............................................</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(190.7)</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(175.2)</w:t>
            </w:r>
          </w:p>
        </w:tc>
      </w:tr>
      <w:tr>
        <w:trPr>
          <w:trHeight w:val="191"/>
        </w:trPr>
        <w:tc>
          <w:tcPr>
            <w:tcW w:w="62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Investment income............................................</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328.3</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65.4</w:t>
            </w:r>
          </w:p>
        </w:tc>
      </w:tr>
      <w:tr>
        <w:trPr>
          <w:trHeight w:val="191"/>
        </w:trPr>
        <w:tc>
          <w:tcPr>
            <w:tcW w:w="62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Income related to indexed debt...............................</w:t>
            </w:r>
          </w:p>
        </w:tc>
        <w:tc>
          <w:tcPr>
            <w:tcW w:w="12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1,064.0</w:t>
            </w:r>
          </w:p>
        </w:tc>
      </w:tr>
      <w:tr>
        <w:trPr>
          <w:trHeight w:val="191"/>
        </w:trPr>
        <w:tc>
          <w:tcPr>
            <w:tcW w:w="62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Equity in net losses of affiliates...........................</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(19.5)</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w:t>
            </w:r>
          </w:p>
        </w:tc>
      </w:tr>
      <w:tr>
        <w:trPr>
          <w:trHeight w:val="191"/>
        </w:trPr>
        <w:tc>
          <w:tcPr>
            <w:tcW w:w="62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Other income (expense).......................................</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(7.0)</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1,133.1</w:t>
            </w:r>
          </w:p>
        </w:tc>
      </w:tr>
      <w:tr>
        <w:trPr>
          <w:trHeight w:val="191"/>
        </w:trPr>
        <w:tc>
          <w:tcPr>
            <w:tcW w:w="62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Income tax expense...........................................</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(13.5)</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(752.3)</w:t>
            </w:r>
          </w:p>
        </w:tc>
      </w:tr>
      <w:tr>
        <w:trPr>
          <w:trHeight w:val="191"/>
        </w:trPr>
        <w:tc>
          <w:tcPr>
            <w:tcW w:w="62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Minority interest............................................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(26.2)</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(25.8)</w:t>
            </w:r>
          </w:p>
        </w:tc>
      </w:tr>
      <w:tr>
        <w:trPr>
          <w:trHeight w:val="191"/>
        </w:trPr>
        <w:tc>
          <w:tcPr>
            <w:tcW w:w="622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2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(loss) before extraordinary items and cumulative</w:t>
            </w: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Increase / (Decrease)</w:t>
      </w:r>
    </w:p>
    <w:p>
      <w:pPr>
        <w:ind w:left="1580" w:hanging="1189"/>
        <w:spacing w:after="0" w:line="238" w:lineRule="auto"/>
        <w:tabs>
          <w:tab w:leader="none" w:pos="158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40" w:type="dxa"/>
            <w:vAlign w:val="bottom"/>
          </w:tcPr>
          <w:p>
            <w:pPr>
              <w:jc w:val="right"/>
              <w:ind w:right="77"/>
              <w:spacing w:after="0"/>
              <w:rPr>
                <w:sz w:val="20"/>
                <w:szCs w:val="20"/>
                <w:color w:val="auto"/>
              </w:rPr>
            </w:pPr>
            <w:r>
              <w:rPr>
                <w:rFonts w:ascii="Courier New" w:cs="Courier New" w:eastAsia="Courier New" w:hAnsi="Courier New"/>
                <w:sz w:val="17"/>
                <w:szCs w:val="17"/>
                <w:color w:val="auto"/>
              </w:rPr>
              <w:t>$395.5</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20.2%</w:t>
            </w:r>
          </w:p>
        </w:tc>
      </w:tr>
      <w:tr>
        <w:trPr>
          <w:trHeight w:val="191"/>
        </w:trPr>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44.6</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8.4</w:t>
            </w:r>
          </w:p>
        </w:tc>
      </w:tr>
      <w:tr>
        <w:trPr>
          <w:trHeight w:val="191"/>
        </w:trPr>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250.8</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30.4</w:t>
            </w:r>
          </w:p>
        </w:tc>
      </w:tr>
      <w:tr>
        <w:trPr>
          <w:trHeight w:val="191"/>
        </w:trPr>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4"/>
              </w:rPr>
              <w:t>----------</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100.1</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16.6</w:t>
            </w:r>
          </w:p>
        </w:tc>
      </w:tr>
      <w:tr>
        <w:trPr>
          <w:trHeight w:val="191"/>
        </w:trPr>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65.0</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29.1</w:t>
            </w:r>
          </w:p>
        </w:tc>
      </w:tr>
      <w:tr>
        <w:trPr>
          <w:trHeight w:val="191"/>
        </w:trPr>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156.9</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35.7</w:t>
            </w:r>
          </w:p>
        </w:tc>
      </w:tr>
      <w:tr>
        <w:trPr>
          <w:trHeight w:val="191"/>
        </w:trPr>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4"/>
              </w:rPr>
              <w:t>----------</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121.8</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216.0</w:t>
            </w:r>
          </w:p>
        </w:tc>
      </w:tr>
      <w:tr>
        <w:trPr>
          <w:trHeight w:val="191"/>
        </w:trPr>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4"/>
              </w:rPr>
              <w:t>----------</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15.5</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8.8</w:t>
            </w:r>
          </w:p>
        </w:tc>
      </w:tr>
      <w:tr>
        <w:trPr>
          <w:trHeight w:val="191"/>
        </w:trPr>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262.9</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402.0</w:t>
            </w:r>
          </w:p>
        </w:tc>
      </w:tr>
      <w:tr>
        <w:trPr>
          <w:trHeight w:val="191"/>
        </w:trPr>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(1,064.0)</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NM</w:t>
            </w:r>
          </w:p>
        </w:tc>
      </w:tr>
      <w:tr>
        <w:trPr>
          <w:trHeight w:val="191"/>
        </w:trPr>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15.8</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427.0</w:t>
            </w:r>
          </w:p>
        </w:tc>
      </w:tr>
      <w:tr>
        <w:trPr>
          <w:trHeight w:val="191"/>
        </w:trPr>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(1,140.1)</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NM</w:t>
            </w:r>
          </w:p>
        </w:tc>
      </w:tr>
      <w:tr>
        <w:trPr>
          <w:trHeight w:val="191"/>
        </w:trPr>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(738.8)</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(98.2)</w:t>
            </w:r>
          </w:p>
        </w:tc>
      </w:tr>
      <w:tr>
        <w:trPr>
          <w:trHeight w:val="191"/>
        </w:trPr>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0.4</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w:t>
            </w:r>
          </w:p>
        </w:tc>
      </w:tr>
      <w:tr>
        <w:trPr>
          <w:trHeight w:val="191"/>
        </w:trPr>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4"/>
              </w:rPr>
              <w:t>----------</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2">
            <w:col w:w="8560" w:space="200"/>
            <w:col w:w="2180"/>
          </w:cols>
          <w:pgMar w:left="240" w:top="683" w:right="71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80" w:type="dxa"/>
            <w:vAlign w:val="bottom"/>
          </w:tcPr>
          <w:p>
            <w:pPr>
              <w:spacing w:after="0"/>
              <w:rPr>
                <w:sz w:val="20"/>
                <w:szCs w:val="20"/>
                <w:color w:val="auto"/>
              </w:rPr>
            </w:pPr>
            <w:r>
              <w:rPr>
                <w:rFonts w:ascii="Courier New" w:cs="Courier New" w:eastAsia="Courier New" w:hAnsi="Courier New"/>
                <w:sz w:val="17"/>
                <w:szCs w:val="17"/>
                <w:color w:val="auto"/>
                <w:w w:val="96"/>
              </w:rPr>
              <w:t>effect of accounting change</w:t>
            </w:r>
          </w:p>
        </w:tc>
        <w:tc>
          <w:tcPr>
            <w:tcW w:w="448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7"/>
              </w:rPr>
              <w:t>...............................($106.8)</w:t>
            </w:r>
          </w:p>
        </w:tc>
        <w:tc>
          <w:tcPr>
            <w:tcW w:w="11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$1,249.1</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($1,355.9)</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NM</w:t>
            </w:r>
          </w:p>
        </w:tc>
      </w:tr>
      <w:tr>
        <w:trPr>
          <w:trHeight w:val="191"/>
        </w:trPr>
        <w:tc>
          <w:tcPr>
            <w:tcW w:w="2680" w:type="dxa"/>
            <w:vAlign w:val="bottom"/>
          </w:tcPr>
          <w:p>
            <w:pPr>
              <w:spacing w:after="0"/>
              <w:rPr>
                <w:sz w:val="16"/>
                <w:szCs w:val="16"/>
                <w:color w:val="auto"/>
              </w:rPr>
            </w:pPr>
          </w:p>
        </w:tc>
        <w:tc>
          <w:tcPr>
            <w:tcW w:w="4480" w:type="dxa"/>
            <w:vAlign w:val="bottom"/>
          </w:tcPr>
          <w:p>
            <w:pPr>
              <w:jc w:val="right"/>
              <w:ind w:right="134"/>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2680" w:type="dxa"/>
            <w:vAlign w:val="bottom"/>
          </w:tcPr>
          <w:p>
            <w:pPr>
              <w:spacing w:after="0"/>
              <w:rPr>
                <w:sz w:val="24"/>
                <w:szCs w:val="24"/>
                <w:color w:val="auto"/>
              </w:rPr>
            </w:pPr>
          </w:p>
        </w:tc>
        <w:tc>
          <w:tcPr>
            <w:tcW w:w="4480" w:type="dxa"/>
            <w:vAlign w:val="bottom"/>
          </w:tcPr>
          <w:p>
            <w:pPr>
              <w:jc w:val="right"/>
              <w:ind w:right="3314"/>
              <w:spacing w:after="0"/>
              <w:rPr>
                <w:sz w:val="20"/>
                <w:szCs w:val="20"/>
                <w:color w:val="auto"/>
              </w:rPr>
            </w:pPr>
            <w:r>
              <w:rPr>
                <w:rFonts w:ascii="Courier New" w:cs="Courier New" w:eastAsia="Courier New" w:hAnsi="Courier New"/>
                <w:sz w:val="17"/>
                <w:szCs w:val="17"/>
                <w:color w:val="auto"/>
              </w:rPr>
              <w:t>19</w:t>
            </w: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540"/>
          </w:cols>
          <w:pgMar w:left="540" w:top="135" w:right="819" w:bottom="1440" w:gutter="0" w:footer="0" w:header="0"/>
        </w:sectPr>
      </w:pPr>
    </w:p>
    <w:bookmarkStart w:id="25" w:name="page26"/>
    <w:bookmarkEnd w:id="25"/>
    <w:p>
      <w:pPr>
        <w:jc w:val="center"/>
        <w:ind w:right="3080"/>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2980"/>
        <w:spacing w:after="0" w:line="238" w:lineRule="auto"/>
        <w:rPr>
          <w:sz w:val="20"/>
          <w:szCs w:val="20"/>
          <w:color w:val="auto"/>
        </w:rPr>
      </w:pPr>
      <w:r>
        <w:rPr>
          <w:rFonts w:ascii="Courier New" w:cs="Courier New" w:eastAsia="Courier New" w:hAnsi="Courier New"/>
          <w:sz w:val="17"/>
          <w:szCs w:val="17"/>
          <w:color w:val="auto"/>
        </w:rPr>
        <w:t>FORM 10-Q</w:t>
      </w:r>
    </w:p>
    <w:tbl>
      <w:tblPr>
        <w:tblLayout w:type="fixed"/>
        <w:tblInd w:w="0" w:type="dxa"/>
        <w:tblCellMar>
          <w:top w:w="0" w:type="dxa"/>
          <w:left w:w="0" w:type="dxa"/>
          <w:bottom w:w="0" w:type="dxa"/>
          <w:right w:w="0" w:type="dxa"/>
        </w:tblCellMar>
      </w:tblPr>
      <w:tr>
        <w:trPr>
          <w:trHeight w:val="192"/>
        </w:trPr>
        <w:tc>
          <w:tcPr>
            <w:tcW w:w="6220" w:type="dxa"/>
            <w:vAlign w:val="bottom"/>
          </w:tcPr>
          <w:p>
            <w:pPr>
              <w:ind w:left="2380"/>
              <w:spacing w:after="0" w:line="191" w:lineRule="exact"/>
              <w:rPr>
                <w:sz w:val="20"/>
                <w:szCs w:val="20"/>
                <w:color w:val="auto"/>
              </w:rPr>
            </w:pPr>
            <w:r>
              <w:rPr>
                <w:rFonts w:ascii="Courier New" w:cs="Courier New" w:eastAsia="Courier New" w:hAnsi="Courier New"/>
                <w:sz w:val="17"/>
                <w:szCs w:val="17"/>
                <w:color w:val="auto"/>
              </w:rPr>
              <w:t>QUARTER ENDED SEPTEMBER 30, 2001</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765"/>
        </w:trPr>
        <w:tc>
          <w:tcPr>
            <w:tcW w:w="6220" w:type="dxa"/>
            <w:vAlign w:val="bottom"/>
          </w:tcPr>
          <w:p>
            <w:pPr>
              <w:spacing w:after="0"/>
              <w:rPr>
                <w:sz w:val="24"/>
                <w:szCs w:val="24"/>
                <w:color w:val="auto"/>
              </w:rPr>
            </w:pPr>
          </w:p>
        </w:tc>
        <w:tc>
          <w:tcPr>
            <w:tcW w:w="2440" w:type="dxa"/>
            <w:vAlign w:val="bottom"/>
            <w:gridSpan w:val="2"/>
          </w:tcPr>
          <w:p>
            <w:pPr>
              <w:jc w:val="right"/>
              <w:ind w:right="317"/>
              <w:spacing w:after="0"/>
              <w:rPr>
                <w:sz w:val="20"/>
                <w:szCs w:val="20"/>
                <w:color w:val="auto"/>
              </w:rPr>
            </w:pPr>
            <w:r>
              <w:rPr>
                <w:rFonts w:ascii="Courier New" w:cs="Courier New" w:eastAsia="Courier New" w:hAnsi="Courier New"/>
                <w:sz w:val="17"/>
                <w:szCs w:val="17"/>
                <w:color w:val="auto"/>
              </w:rPr>
              <w:t>Nine Months Ended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1"/>
        </w:trPr>
        <w:tc>
          <w:tcPr>
            <w:tcW w:w="6220" w:type="dxa"/>
            <w:vAlign w:val="bottom"/>
          </w:tcPr>
          <w:p>
            <w:pPr>
              <w:spacing w:after="0"/>
              <w:rPr>
                <w:sz w:val="16"/>
                <w:szCs w:val="16"/>
                <w:color w:val="auto"/>
              </w:rPr>
            </w:pPr>
          </w:p>
        </w:tc>
        <w:tc>
          <w:tcPr>
            <w:tcW w:w="244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September 30,</w:t>
            </w:r>
          </w:p>
        </w:tc>
        <w:tc>
          <w:tcPr>
            <w:tcW w:w="23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Increase / (Decrease)</w:t>
            </w:r>
          </w:p>
        </w:tc>
      </w:tr>
      <w:tr>
        <w:trPr>
          <w:trHeight w:val="191"/>
        </w:trPr>
        <w:tc>
          <w:tcPr>
            <w:tcW w:w="6220" w:type="dxa"/>
            <w:vAlign w:val="bottom"/>
          </w:tcPr>
          <w:p>
            <w:pPr>
              <w:spacing w:after="0"/>
              <w:rPr>
                <w:sz w:val="16"/>
                <w:szCs w:val="16"/>
                <w:color w:val="auto"/>
              </w:rPr>
            </w:pPr>
          </w:p>
        </w:tc>
        <w:tc>
          <w:tcPr>
            <w:tcW w:w="1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2001</w:t>
            </w:r>
          </w:p>
        </w:tc>
        <w:tc>
          <w:tcPr>
            <w:tcW w:w="12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2000</w:t>
            </w:r>
          </w:p>
        </w:tc>
        <w:tc>
          <w:tcPr>
            <w:tcW w:w="11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2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220" w:type="dxa"/>
            <w:vAlign w:val="bottom"/>
          </w:tcPr>
          <w:p>
            <w:pPr>
              <w:spacing w:after="0"/>
              <w:rPr>
                <w:sz w:val="20"/>
                <w:szCs w:val="20"/>
                <w:color w:val="auto"/>
              </w:rPr>
            </w:pPr>
            <w:r>
              <w:rPr>
                <w:rFonts w:ascii="Courier New" w:cs="Courier New" w:eastAsia="Courier New" w:hAnsi="Courier New"/>
                <w:sz w:val="17"/>
                <w:szCs w:val="17"/>
                <w:color w:val="auto"/>
                <w:w w:val="99"/>
              </w:rPr>
              <w:t>Revenues.....................................................</w:t>
            </w:r>
          </w:p>
        </w:tc>
        <w:tc>
          <w:tcPr>
            <w:tcW w:w="12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$6,850.1</w:t>
            </w:r>
          </w:p>
        </w:tc>
        <w:tc>
          <w:tcPr>
            <w:tcW w:w="12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$5,811.0</w:t>
            </w:r>
          </w:p>
        </w:tc>
        <w:tc>
          <w:tcPr>
            <w:tcW w:w="11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$1,039.1</w:t>
            </w:r>
          </w:p>
        </w:tc>
        <w:tc>
          <w:tcPr>
            <w:tcW w:w="12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17.9%</w:t>
            </w:r>
          </w:p>
        </w:tc>
      </w:tr>
      <w:tr>
        <w:trPr>
          <w:trHeight w:val="191"/>
        </w:trPr>
        <w:tc>
          <w:tcPr>
            <w:tcW w:w="62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Cost of goods sold from electronic retailing.................</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1,685.6</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1,544.4</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141.2</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9.1</w:t>
            </w:r>
          </w:p>
        </w:tc>
      </w:tr>
      <w:tr>
        <w:trPr>
          <w:trHeight w:val="191"/>
        </w:trPr>
        <w:tc>
          <w:tcPr>
            <w:tcW w:w="62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Operating, selling, general and administrative expenses......</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3,117.4</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2,471.2</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646.2</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26.1</w:t>
            </w:r>
          </w:p>
        </w:tc>
      </w:tr>
      <w:tr>
        <w:trPr>
          <w:trHeight w:val="191"/>
        </w:trPr>
        <w:tc>
          <w:tcPr>
            <w:tcW w:w="622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Operating income before depreciation and amortization (1)....</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2,047.1</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1,795.4</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251.7</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14.0</w:t>
            </w:r>
          </w:p>
        </w:tc>
      </w:tr>
      <w:tr>
        <w:trPr>
          <w:trHeight w:val="191"/>
        </w:trPr>
        <w:tc>
          <w:tcPr>
            <w:tcW w:w="62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Depreciation.................................................</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760.4</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599.9</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160.5</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26.8</w:t>
            </w:r>
          </w:p>
        </w:tc>
      </w:tr>
      <w:tr>
        <w:trPr>
          <w:trHeight w:val="191"/>
        </w:trPr>
        <w:tc>
          <w:tcPr>
            <w:tcW w:w="62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Amortization.................................................</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1,698.7</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1,242.3</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456.4</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36.7</w:t>
            </w:r>
          </w:p>
        </w:tc>
      </w:tr>
      <w:tr>
        <w:trPr>
          <w:trHeight w:val="191"/>
        </w:trPr>
        <w:tc>
          <w:tcPr>
            <w:tcW w:w="622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Operating loss...............................................</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(412.0)</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(46.8)</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365.2</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780.3</w:t>
            </w:r>
          </w:p>
        </w:tc>
      </w:tr>
      <w:tr>
        <w:trPr>
          <w:trHeight w:val="191"/>
        </w:trPr>
        <w:tc>
          <w:tcPr>
            <w:tcW w:w="622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Interest expense.............................................</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(549.2)</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(507.0)</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42.2</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8.3</w:t>
            </w:r>
          </w:p>
        </w:tc>
      </w:tr>
      <w:tr>
        <w:trPr>
          <w:trHeight w:val="191"/>
        </w:trPr>
        <w:tc>
          <w:tcPr>
            <w:tcW w:w="62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Investment income............................................</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1,045.7</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1,024.8</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20.9</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w:t>
            </w:r>
          </w:p>
        </w:tc>
      </w:tr>
      <w:tr>
        <w:trPr>
          <w:trHeight w:val="191"/>
        </w:trPr>
        <w:tc>
          <w:tcPr>
            <w:tcW w:w="62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Income related to indexed debt...............................</w:t>
            </w:r>
          </w:p>
        </w:tc>
        <w:tc>
          <w:tcPr>
            <w:tcW w:w="1240" w:type="dxa"/>
            <w:vAlign w:val="bottom"/>
          </w:tcPr>
          <w:p>
            <w:pPr>
              <w:spacing w:after="0"/>
              <w:rPr>
                <w:sz w:val="16"/>
                <w:szCs w:val="16"/>
                <w:color w:val="auto"/>
              </w:rPr>
            </w:pP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666.0</w:t>
            </w:r>
          </w:p>
        </w:tc>
        <w:tc>
          <w:tcPr>
            <w:tcW w:w="11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(666.0)</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NM</w:t>
            </w:r>
          </w:p>
        </w:tc>
      </w:tr>
      <w:tr>
        <w:trPr>
          <w:trHeight w:val="191"/>
        </w:trPr>
        <w:tc>
          <w:tcPr>
            <w:tcW w:w="62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Equity in net losses of affiliates...........................</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(26.1)</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(7.7)</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18.4</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239.0</w:t>
            </w:r>
          </w:p>
        </w:tc>
      </w:tr>
      <w:tr>
        <w:trPr>
          <w:trHeight w:val="191"/>
        </w:trPr>
        <w:tc>
          <w:tcPr>
            <w:tcW w:w="62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Other income.................................................</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1,180.9</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1,124.5</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56.4</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5.0</w:t>
            </w:r>
          </w:p>
        </w:tc>
      </w:tr>
      <w:tr>
        <w:trPr>
          <w:trHeight w:val="191"/>
        </w:trPr>
        <w:tc>
          <w:tcPr>
            <w:tcW w:w="62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Income tax expense...........................................</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(602.9)</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(905.6)</w:t>
            </w:r>
          </w:p>
        </w:tc>
        <w:tc>
          <w:tcPr>
            <w:tcW w:w="11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(302.7)</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(33.4)</w:t>
            </w:r>
          </w:p>
        </w:tc>
      </w:tr>
      <w:tr>
        <w:trPr>
          <w:trHeight w:val="191"/>
        </w:trPr>
        <w:tc>
          <w:tcPr>
            <w:tcW w:w="62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Minority interest............................................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(89.8)</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(86.7)</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3.1</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3.6</w:t>
            </w:r>
          </w:p>
        </w:tc>
      </w:tr>
      <w:tr>
        <w:trPr>
          <w:trHeight w:val="191"/>
        </w:trPr>
        <w:tc>
          <w:tcPr>
            <w:tcW w:w="622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2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extraordinary items and cumulative</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62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9"/>
              </w:rPr>
              <w:t>effect of accounting change...............................</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$546.6</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$1,261.5</w:t>
            </w:r>
          </w:p>
        </w:tc>
        <w:tc>
          <w:tcPr>
            <w:tcW w:w="11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($714.9)</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(56.7%)</w:t>
            </w:r>
          </w:p>
        </w:tc>
      </w:tr>
      <w:tr>
        <w:trPr>
          <w:trHeight w:val="191"/>
        </w:trPr>
        <w:tc>
          <w:tcPr>
            <w:tcW w:w="622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w:t>
      </w:r>
    </w:p>
    <w:p>
      <w:pPr>
        <w:spacing w:after="0" w:line="5" w:lineRule="exact"/>
        <w:rPr>
          <w:sz w:val="20"/>
          <w:szCs w:val="20"/>
          <w:color w:val="auto"/>
        </w:rPr>
      </w:pPr>
    </w:p>
    <w:p>
      <w:pPr>
        <w:jc w:val="both"/>
        <w:ind w:left="500" w:right="3080" w:hanging="498"/>
        <w:spacing w:after="0" w:line="253" w:lineRule="auto"/>
        <w:tabs>
          <w:tab w:leader="none" w:pos="5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before depreciation and amortization is commonly referred to in our businesses as "operating cash flow." Operating cash flow is a measure of a company's ability to generate cash to service its obligations, including debt service obligations, and to finance capital and other expenditures. In part due to the capital intensive nature of our businesses and the resulting significant level of non-cash depreciation expense and amortization expense, operating cash flow is frequently used as one of the bases for comparing businesses in our industries, although our measure of operating cash flow may not be comparable to similarly titled measures of other companies. Operating cash flow is the primary basis used by our management to measure the operating performance of our businesses. Operating cash flow does not purport to represent net income or net cash provided by operating activities, as those terms are defined under generally accepted accounting principles, and should not be considered as an alternative to such measurements as an indicator of our performance. See "Statement of Cash Flows" above for a discussion of net cash provided by operating activities.</w:t>
      </w:r>
    </w:p>
    <w:p>
      <w:pPr>
        <w:spacing w:after="0" w:line="200" w:lineRule="exact"/>
        <w:rPr>
          <w:sz w:val="20"/>
          <w:szCs w:val="20"/>
          <w:color w:val="auto"/>
        </w:rPr>
      </w:pPr>
    </w:p>
    <w:p>
      <w:pPr>
        <w:spacing w:after="0" w:line="37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1040"/>
          </w:cols>
          <w:pgMar w:left="240" w:top="683" w:right="619" w:bottom="1440" w:gutter="0" w:footer="0" w:header="0"/>
        </w:sectPr>
      </w:pPr>
    </w:p>
    <w:bookmarkStart w:id="26" w:name="page27"/>
    <w:bookmarkEnd w:id="26"/>
    <w:p>
      <w:pPr>
        <w:jc w:val="center"/>
        <w:ind w:right="3180"/>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3080"/>
        <w:spacing w:after="0" w:line="238" w:lineRule="auto"/>
        <w:rPr>
          <w:sz w:val="20"/>
          <w:szCs w:val="20"/>
          <w:color w:val="auto"/>
        </w:rPr>
      </w:pPr>
      <w:r>
        <w:rPr>
          <w:rFonts w:ascii="Courier New" w:cs="Courier New" w:eastAsia="Courier New" w:hAnsi="Courier New"/>
          <w:sz w:val="17"/>
          <w:szCs w:val="17"/>
          <w:color w:val="auto"/>
        </w:rPr>
        <w:t>FORM 10-Q</w:t>
      </w:r>
    </w:p>
    <w:p>
      <w:pPr>
        <w:jc w:val="center"/>
        <w:ind w:right="3180"/>
        <w:spacing w:after="0" w:line="238" w:lineRule="auto"/>
        <w:rPr>
          <w:sz w:val="20"/>
          <w:szCs w:val="20"/>
          <w:color w:val="auto"/>
        </w:rPr>
      </w:pPr>
      <w:r>
        <w:rPr>
          <w:rFonts w:ascii="Courier New" w:cs="Courier New" w:eastAsia="Courier New" w:hAnsi="Courier New"/>
          <w:sz w:val="17"/>
          <w:szCs w:val="17"/>
          <w:color w:val="auto"/>
        </w:rPr>
        <w:t>QUARTER ENDED SEPTEMBER 30, 2001</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Operating Results by Business Segment</w:t>
      </w:r>
    </w:p>
    <w:p>
      <w:pPr>
        <w:spacing w:after="0" w:line="196" w:lineRule="exact"/>
        <w:rPr>
          <w:sz w:val="20"/>
          <w:szCs w:val="20"/>
          <w:color w:val="auto"/>
        </w:rPr>
      </w:pPr>
    </w:p>
    <w:p>
      <w:pPr>
        <w:jc w:val="both"/>
        <w:ind w:right="3180" w:firstLine="497"/>
        <w:spacing w:after="0" w:line="236" w:lineRule="auto"/>
        <w:rPr>
          <w:sz w:val="20"/>
          <w:szCs w:val="20"/>
          <w:color w:val="auto"/>
        </w:rPr>
      </w:pPr>
      <w:r>
        <w:rPr>
          <w:rFonts w:ascii="Courier New" w:cs="Courier New" w:eastAsia="Courier New" w:hAnsi="Courier New"/>
          <w:sz w:val="17"/>
          <w:szCs w:val="17"/>
          <w:color w:val="auto"/>
        </w:rPr>
        <w:t>The following represent the operating results of our significant business segments, "Cable" and "Commerce." Refer to Note 10 to our financial statements included in Item 1 (dollars in millions).: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Cable</w:t>
            </w:r>
          </w:p>
        </w:tc>
        <w:tc>
          <w:tcPr>
            <w:tcW w:w="2500" w:type="dxa"/>
            <w:vAlign w:val="bottom"/>
            <w:gridSpan w:val="2"/>
          </w:tcPr>
          <w:p>
            <w:pPr>
              <w:jc w:val="right"/>
              <w:ind w:right="317"/>
              <w:spacing w:after="0"/>
              <w:rPr>
                <w:sz w:val="20"/>
                <w:szCs w:val="20"/>
                <w:color w:val="auto"/>
              </w:rPr>
            </w:pPr>
            <w:r>
              <w:rPr>
                <w:rFonts w:ascii="Courier New" w:cs="Courier New" w:eastAsia="Courier New" w:hAnsi="Courier New"/>
                <w:sz w:val="17"/>
                <w:szCs w:val="17"/>
                <w:color w:val="auto"/>
              </w:rPr>
              <w:t>Three Months Ended</w:t>
            </w: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6260" w:type="dxa"/>
            <w:vAlign w:val="bottom"/>
          </w:tcPr>
          <w:p>
            <w:pPr>
              <w:spacing w:after="0"/>
              <w:rPr>
                <w:sz w:val="16"/>
                <w:szCs w:val="16"/>
                <w:color w:val="auto"/>
              </w:rPr>
            </w:pPr>
          </w:p>
        </w:tc>
        <w:tc>
          <w:tcPr>
            <w:tcW w:w="250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September 30,</w:t>
            </w:r>
          </w:p>
        </w:tc>
        <w:tc>
          <w:tcPr>
            <w:tcW w:w="23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Increase / (Decrease)</w:t>
            </w:r>
          </w:p>
        </w:tc>
      </w:tr>
      <w:tr>
        <w:trPr>
          <w:trHeight w:val="191"/>
        </w:trPr>
        <w:tc>
          <w:tcPr>
            <w:tcW w:w="6260" w:type="dxa"/>
            <w:vAlign w:val="bottom"/>
          </w:tcPr>
          <w:p>
            <w:pPr>
              <w:spacing w:after="0"/>
              <w:rPr>
                <w:sz w:val="16"/>
                <w:szCs w:val="16"/>
                <w:color w:val="auto"/>
              </w:rPr>
            </w:pPr>
          </w:p>
        </w:tc>
        <w:tc>
          <w:tcPr>
            <w:tcW w:w="12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2001</w:t>
            </w:r>
          </w:p>
        </w:tc>
        <w:tc>
          <w:tcPr>
            <w:tcW w:w="1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2000</w:t>
            </w:r>
          </w:p>
        </w:tc>
        <w:tc>
          <w:tcPr>
            <w:tcW w:w="134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60" w:type="dxa"/>
            <w:vAlign w:val="bottom"/>
          </w:tcPr>
          <w:p>
            <w:pPr>
              <w:spacing w:after="0"/>
              <w:rPr>
                <w:sz w:val="16"/>
                <w:szCs w:val="16"/>
                <w:color w:val="auto"/>
              </w:rPr>
            </w:pP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260" w:type="dxa"/>
            <w:vAlign w:val="bottom"/>
          </w:tcPr>
          <w:p>
            <w:pPr>
              <w:spacing w:after="0"/>
              <w:rPr>
                <w:sz w:val="20"/>
                <w:szCs w:val="20"/>
                <w:color w:val="auto"/>
              </w:rPr>
            </w:pPr>
            <w:r>
              <w:rPr>
                <w:rFonts w:ascii="Courier New" w:cs="Courier New" w:eastAsia="Courier New" w:hAnsi="Courier New"/>
                <w:sz w:val="17"/>
                <w:szCs w:val="17"/>
                <w:color w:val="auto"/>
              </w:rPr>
              <w:t>Video.......................................................</w:t>
            </w:r>
          </w:p>
        </w:tc>
        <w:tc>
          <w:tcPr>
            <w:tcW w:w="1260" w:type="dxa"/>
            <w:vAlign w:val="bottom"/>
          </w:tcPr>
          <w:p>
            <w:pPr>
              <w:jc w:val="right"/>
              <w:ind w:right="77"/>
              <w:spacing w:after="0"/>
              <w:rPr>
                <w:sz w:val="20"/>
                <w:szCs w:val="20"/>
                <w:color w:val="auto"/>
              </w:rPr>
            </w:pPr>
            <w:r>
              <w:rPr>
                <w:rFonts w:ascii="Courier New" w:cs="Courier New" w:eastAsia="Courier New" w:hAnsi="Courier New"/>
                <w:sz w:val="17"/>
                <w:szCs w:val="17"/>
                <w:color w:val="auto"/>
              </w:rPr>
              <w:t>$1,110.2</w:t>
            </w:r>
          </w:p>
        </w:tc>
        <w:tc>
          <w:tcPr>
            <w:tcW w:w="12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$926.0</w:t>
            </w:r>
          </w:p>
        </w:tc>
        <w:tc>
          <w:tcPr>
            <w:tcW w:w="134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$184.2</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19.9%</w:t>
            </w:r>
          </w:p>
        </w:tc>
      </w:tr>
      <w:tr>
        <w:trPr>
          <w:trHeight w:val="191"/>
        </w:trPr>
        <w:tc>
          <w:tcPr>
            <w:tcW w:w="6260" w:type="dxa"/>
            <w:vAlign w:val="bottom"/>
          </w:tcPr>
          <w:p>
            <w:pPr>
              <w:spacing w:after="0" w:line="191" w:lineRule="exact"/>
              <w:rPr>
                <w:sz w:val="20"/>
                <w:szCs w:val="20"/>
                <w:color w:val="auto"/>
              </w:rPr>
            </w:pPr>
            <w:r>
              <w:rPr>
                <w:rFonts w:ascii="Courier New" w:cs="Courier New" w:eastAsia="Courier New" w:hAnsi="Courier New"/>
                <w:sz w:val="17"/>
                <w:szCs w:val="17"/>
                <w:color w:val="auto"/>
              </w:rPr>
              <w:t>Cable modem.................................................</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83.4</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30.0</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53.4</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178.0</w:t>
            </w:r>
          </w:p>
        </w:tc>
      </w:tr>
      <w:tr>
        <w:trPr>
          <w:trHeight w:val="191"/>
        </w:trPr>
        <w:tc>
          <w:tcPr>
            <w:tcW w:w="6260" w:type="dxa"/>
            <w:vAlign w:val="bottom"/>
          </w:tcPr>
          <w:p>
            <w:pPr>
              <w:spacing w:after="0" w:line="191" w:lineRule="exact"/>
              <w:rPr>
                <w:sz w:val="20"/>
                <w:szCs w:val="20"/>
                <w:color w:val="auto"/>
              </w:rPr>
            </w:pPr>
            <w:r>
              <w:rPr>
                <w:rFonts w:ascii="Courier New" w:cs="Courier New" w:eastAsia="Courier New" w:hAnsi="Courier New"/>
                <w:sz w:val="17"/>
                <w:szCs w:val="17"/>
                <w:color w:val="auto"/>
              </w:rPr>
              <w:t>Advertising sales...........................................</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83.3</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69.2</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14.1</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20.4</w:t>
            </w:r>
          </w:p>
        </w:tc>
      </w:tr>
      <w:tr>
        <w:trPr>
          <w:trHeight w:val="191"/>
        </w:trPr>
        <w:tc>
          <w:tcPr>
            <w:tcW w:w="626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32.5</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33.4</w:t>
            </w: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(0.9)</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w:t>
            </w:r>
          </w:p>
        </w:tc>
      </w:tr>
      <w:tr>
        <w:trPr>
          <w:trHeight w:val="191"/>
        </w:trPr>
        <w:tc>
          <w:tcPr>
            <w:tcW w:w="6260" w:type="dxa"/>
            <w:vAlign w:val="bottom"/>
          </w:tcPr>
          <w:p>
            <w:pPr>
              <w:spacing w:after="0"/>
              <w:rPr>
                <w:sz w:val="16"/>
                <w:szCs w:val="16"/>
                <w:color w:val="auto"/>
              </w:rPr>
            </w:pP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Revenues................................................</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1,309.4</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1,058.6</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250.8</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23.7</w:t>
            </w:r>
          </w:p>
        </w:tc>
      </w:tr>
      <w:tr>
        <w:trPr>
          <w:trHeight w:val="191"/>
        </w:trPr>
        <w:tc>
          <w:tcPr>
            <w:tcW w:w="626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selling, general and administrative expenses......</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737.1</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568.5</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168.6</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29.7</w:t>
            </w:r>
          </w:p>
        </w:tc>
      </w:tr>
      <w:tr>
        <w:trPr>
          <w:trHeight w:val="191"/>
        </w:trPr>
        <w:tc>
          <w:tcPr>
            <w:tcW w:w="6260" w:type="dxa"/>
            <w:vAlign w:val="bottom"/>
          </w:tcPr>
          <w:p>
            <w:pPr>
              <w:spacing w:after="0"/>
              <w:rPr>
                <w:sz w:val="16"/>
                <w:szCs w:val="16"/>
                <w:color w:val="auto"/>
              </w:rPr>
            </w:pP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6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income before depreciation</w:t>
            </w: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62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and amortization (a)....................................</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$572.3</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$490.1</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$82.2</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16.8%</w:t>
            </w:r>
          </w:p>
        </w:tc>
      </w:tr>
      <w:tr>
        <w:trPr>
          <w:trHeight w:val="191"/>
        </w:trPr>
        <w:tc>
          <w:tcPr>
            <w:tcW w:w="6260" w:type="dxa"/>
            <w:vAlign w:val="bottom"/>
          </w:tcPr>
          <w:p>
            <w:pPr>
              <w:spacing w:after="0"/>
              <w:rPr>
                <w:sz w:val="16"/>
                <w:szCs w:val="16"/>
                <w:color w:val="auto"/>
              </w:rPr>
            </w:pP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765"/>
        </w:trPr>
        <w:tc>
          <w:tcPr>
            <w:tcW w:w="6260" w:type="dxa"/>
            <w:vAlign w:val="bottom"/>
          </w:tcPr>
          <w:p>
            <w:pPr>
              <w:spacing w:after="0"/>
              <w:rPr>
                <w:sz w:val="24"/>
                <w:szCs w:val="24"/>
                <w:color w:val="auto"/>
              </w:rPr>
            </w:pPr>
          </w:p>
        </w:tc>
        <w:tc>
          <w:tcPr>
            <w:tcW w:w="250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Nine Months Ended</w:t>
            </w: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1"/>
        </w:trPr>
        <w:tc>
          <w:tcPr>
            <w:tcW w:w="6260" w:type="dxa"/>
            <w:vAlign w:val="bottom"/>
          </w:tcPr>
          <w:p>
            <w:pPr>
              <w:spacing w:after="0"/>
              <w:rPr>
                <w:sz w:val="16"/>
                <w:szCs w:val="16"/>
                <w:color w:val="auto"/>
              </w:rPr>
            </w:pPr>
          </w:p>
        </w:tc>
        <w:tc>
          <w:tcPr>
            <w:tcW w:w="250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September 30,</w:t>
            </w:r>
          </w:p>
        </w:tc>
        <w:tc>
          <w:tcPr>
            <w:tcW w:w="2380" w:type="dxa"/>
            <w:vAlign w:val="bottom"/>
            <w:gridSpan w:val="2"/>
          </w:tcPr>
          <w:p>
            <w:pPr>
              <w:jc w:val="right"/>
              <w:ind w:right="717"/>
              <w:spacing w:after="0" w:line="191" w:lineRule="exact"/>
              <w:rPr>
                <w:sz w:val="20"/>
                <w:szCs w:val="20"/>
                <w:color w:val="auto"/>
              </w:rPr>
            </w:pPr>
            <w:r>
              <w:rPr>
                <w:rFonts w:ascii="Courier New" w:cs="Courier New" w:eastAsia="Courier New" w:hAnsi="Courier New"/>
                <w:sz w:val="17"/>
                <w:szCs w:val="17"/>
                <w:color w:val="auto"/>
              </w:rPr>
              <w:t>Increase</w:t>
            </w:r>
          </w:p>
        </w:tc>
      </w:tr>
      <w:tr>
        <w:trPr>
          <w:trHeight w:val="191"/>
        </w:trPr>
        <w:tc>
          <w:tcPr>
            <w:tcW w:w="6260" w:type="dxa"/>
            <w:vAlign w:val="bottom"/>
          </w:tcPr>
          <w:p>
            <w:pPr>
              <w:spacing w:after="0"/>
              <w:rPr>
                <w:sz w:val="16"/>
                <w:szCs w:val="16"/>
                <w:color w:val="auto"/>
              </w:rPr>
            </w:pPr>
          </w:p>
        </w:tc>
        <w:tc>
          <w:tcPr>
            <w:tcW w:w="12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2001</w:t>
            </w:r>
          </w:p>
        </w:tc>
        <w:tc>
          <w:tcPr>
            <w:tcW w:w="1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2000</w:t>
            </w:r>
          </w:p>
        </w:tc>
        <w:tc>
          <w:tcPr>
            <w:tcW w:w="134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60" w:type="dxa"/>
            <w:vAlign w:val="bottom"/>
          </w:tcPr>
          <w:p>
            <w:pPr>
              <w:spacing w:after="0"/>
              <w:rPr>
                <w:sz w:val="16"/>
                <w:szCs w:val="16"/>
                <w:color w:val="auto"/>
              </w:rPr>
            </w:pP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260" w:type="dxa"/>
            <w:vAlign w:val="bottom"/>
          </w:tcPr>
          <w:p>
            <w:pPr>
              <w:spacing w:after="0"/>
              <w:rPr>
                <w:sz w:val="20"/>
                <w:szCs w:val="20"/>
                <w:color w:val="auto"/>
              </w:rPr>
            </w:pPr>
            <w:r>
              <w:rPr>
                <w:rFonts w:ascii="Courier New" w:cs="Courier New" w:eastAsia="Courier New" w:hAnsi="Courier New"/>
                <w:sz w:val="17"/>
                <w:szCs w:val="17"/>
                <w:color w:val="auto"/>
              </w:rPr>
              <w:t>Video.......................................................</w:t>
            </w:r>
          </w:p>
        </w:tc>
        <w:tc>
          <w:tcPr>
            <w:tcW w:w="1260" w:type="dxa"/>
            <w:vAlign w:val="bottom"/>
          </w:tcPr>
          <w:p>
            <w:pPr>
              <w:jc w:val="right"/>
              <w:ind w:right="77"/>
              <w:spacing w:after="0"/>
              <w:rPr>
                <w:sz w:val="20"/>
                <w:szCs w:val="20"/>
                <w:color w:val="auto"/>
              </w:rPr>
            </w:pPr>
            <w:r>
              <w:rPr>
                <w:rFonts w:ascii="Courier New" w:cs="Courier New" w:eastAsia="Courier New" w:hAnsi="Courier New"/>
                <w:sz w:val="17"/>
                <w:szCs w:val="17"/>
                <w:color w:val="auto"/>
              </w:rPr>
              <w:t>$3,154.5</w:t>
            </w:r>
          </w:p>
        </w:tc>
        <w:tc>
          <w:tcPr>
            <w:tcW w:w="12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$2,683.4</w:t>
            </w:r>
          </w:p>
        </w:tc>
        <w:tc>
          <w:tcPr>
            <w:tcW w:w="134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$471.1</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17.6%</w:t>
            </w:r>
          </w:p>
        </w:tc>
      </w:tr>
      <w:tr>
        <w:trPr>
          <w:trHeight w:val="191"/>
        </w:trPr>
        <w:tc>
          <w:tcPr>
            <w:tcW w:w="6260" w:type="dxa"/>
            <w:vAlign w:val="bottom"/>
          </w:tcPr>
          <w:p>
            <w:pPr>
              <w:spacing w:after="0" w:line="191" w:lineRule="exact"/>
              <w:rPr>
                <w:sz w:val="20"/>
                <w:szCs w:val="20"/>
                <w:color w:val="auto"/>
              </w:rPr>
            </w:pPr>
            <w:r>
              <w:rPr>
                <w:rFonts w:ascii="Courier New" w:cs="Courier New" w:eastAsia="Courier New" w:hAnsi="Courier New"/>
                <w:sz w:val="17"/>
                <w:szCs w:val="17"/>
                <w:color w:val="auto"/>
              </w:rPr>
              <w:t>Cable modem.................................................</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202.7</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77.0</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125.7</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163.2</w:t>
            </w:r>
          </w:p>
        </w:tc>
      </w:tr>
      <w:tr>
        <w:trPr>
          <w:trHeight w:val="191"/>
        </w:trPr>
        <w:tc>
          <w:tcPr>
            <w:tcW w:w="6260" w:type="dxa"/>
            <w:vAlign w:val="bottom"/>
          </w:tcPr>
          <w:p>
            <w:pPr>
              <w:spacing w:after="0" w:line="191" w:lineRule="exact"/>
              <w:rPr>
                <w:sz w:val="20"/>
                <w:szCs w:val="20"/>
                <w:color w:val="auto"/>
              </w:rPr>
            </w:pPr>
            <w:r>
              <w:rPr>
                <w:rFonts w:ascii="Courier New" w:cs="Courier New" w:eastAsia="Courier New" w:hAnsi="Courier New"/>
                <w:sz w:val="17"/>
                <w:szCs w:val="17"/>
                <w:color w:val="auto"/>
              </w:rPr>
              <w:t>Advertising sales...........................................</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235.2</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199.2</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36.0</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18.1</w:t>
            </w:r>
          </w:p>
        </w:tc>
      </w:tr>
      <w:tr>
        <w:trPr>
          <w:trHeight w:val="191"/>
        </w:trPr>
        <w:tc>
          <w:tcPr>
            <w:tcW w:w="626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112.0</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97.3</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14.7</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15.1</w:t>
            </w:r>
          </w:p>
        </w:tc>
      </w:tr>
      <w:tr>
        <w:trPr>
          <w:trHeight w:val="191"/>
        </w:trPr>
        <w:tc>
          <w:tcPr>
            <w:tcW w:w="6260" w:type="dxa"/>
            <w:vAlign w:val="bottom"/>
          </w:tcPr>
          <w:p>
            <w:pPr>
              <w:spacing w:after="0"/>
              <w:rPr>
                <w:sz w:val="16"/>
                <w:szCs w:val="16"/>
                <w:color w:val="auto"/>
              </w:rPr>
            </w:pP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Revenues................................................</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3,704.4</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3,056.9</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647.5</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21.2</w:t>
            </w:r>
          </w:p>
        </w:tc>
      </w:tr>
      <w:tr>
        <w:trPr>
          <w:trHeight w:val="191"/>
        </w:trPr>
        <w:tc>
          <w:tcPr>
            <w:tcW w:w="626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selling, general and administrative expenses......</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2,094.4</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1,662.5</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431.9</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26.0</w:t>
            </w:r>
          </w:p>
        </w:tc>
      </w:tr>
      <w:tr>
        <w:trPr>
          <w:trHeight w:val="191"/>
        </w:trPr>
        <w:tc>
          <w:tcPr>
            <w:tcW w:w="6260" w:type="dxa"/>
            <w:vAlign w:val="bottom"/>
          </w:tcPr>
          <w:p>
            <w:pPr>
              <w:spacing w:after="0"/>
              <w:rPr>
                <w:sz w:val="16"/>
                <w:szCs w:val="16"/>
                <w:color w:val="auto"/>
              </w:rPr>
            </w:pP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6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income before depreciation</w:t>
            </w: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62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and amortization (a)....................................</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$1,610.0</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$1,394.4</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$215.6</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15.5%</w:t>
            </w:r>
          </w:p>
        </w:tc>
      </w:tr>
      <w:tr>
        <w:trPr>
          <w:trHeight w:val="191"/>
        </w:trPr>
        <w:tc>
          <w:tcPr>
            <w:tcW w:w="6260" w:type="dxa"/>
            <w:vAlign w:val="bottom"/>
          </w:tcPr>
          <w:p>
            <w:pPr>
              <w:spacing w:after="0"/>
              <w:rPr>
                <w:sz w:val="16"/>
                <w:szCs w:val="16"/>
                <w:color w:val="auto"/>
              </w:rPr>
            </w:pP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w:t>
      </w:r>
    </w:p>
    <w:p>
      <w:pPr>
        <w:spacing w:after="0" w:line="238" w:lineRule="auto"/>
        <w:rPr>
          <w:sz w:val="20"/>
          <w:szCs w:val="20"/>
          <w:color w:val="auto"/>
        </w:rPr>
      </w:pPr>
      <w:r>
        <w:rPr>
          <w:rFonts w:ascii="Courier New" w:cs="Courier New" w:eastAsia="Courier New" w:hAnsi="Courier New"/>
          <w:sz w:val="17"/>
          <w:szCs w:val="17"/>
          <w:color w:val="auto"/>
        </w:rPr>
        <w:t>(a) See footnote (1) on page 20.</w:t>
      </w:r>
    </w:p>
    <w:p>
      <w:pPr>
        <w:spacing w:after="0" w:line="197" w:lineRule="exact"/>
        <w:rPr>
          <w:sz w:val="20"/>
          <w:szCs w:val="20"/>
          <w:color w:val="auto"/>
        </w:rPr>
      </w:pPr>
    </w:p>
    <w:p>
      <w:pPr>
        <w:jc w:val="both"/>
        <w:ind w:right="3180" w:firstLine="497"/>
        <w:spacing w:after="0" w:line="237" w:lineRule="auto"/>
        <w:rPr>
          <w:sz w:val="20"/>
          <w:szCs w:val="20"/>
          <w:color w:val="auto"/>
        </w:rPr>
      </w:pPr>
      <w:r>
        <w:rPr>
          <w:rFonts w:ascii="Courier New" w:cs="Courier New" w:eastAsia="Courier New" w:hAnsi="Courier New"/>
          <w:sz w:val="17"/>
          <w:szCs w:val="17"/>
          <w:color w:val="auto"/>
        </w:rPr>
        <w:t>Video revenue consists of our basic, expanded basic, premium, pay-per-view and digital subscriptions. Of the $184.2 million and $471.1 million increases in video revenues for the interim periods from 2000 to 2001, $73.2 million and $244.6 million are attributable to the effects of our acquisitions and exchanges of cable systems and $111.0 million and $226.5 million relate to changes in rates and subscriber growth in our historical operations, driven principally by growth in digital subscriptions. During the three and nine months ended September 30, 2001 through acquisitions and normal operations we added approximately 282,000 and 768,000 digital subscriptions, respectively.</w:t>
      </w:r>
    </w:p>
    <w:p>
      <w:pPr>
        <w:spacing w:after="0" w:line="201" w:lineRule="exact"/>
        <w:rPr>
          <w:sz w:val="20"/>
          <w:szCs w:val="20"/>
          <w:color w:val="auto"/>
        </w:rPr>
      </w:pPr>
    </w:p>
    <w:p>
      <w:pPr>
        <w:jc w:val="both"/>
        <w:ind w:right="3180" w:firstLine="497"/>
        <w:spacing w:after="0" w:line="237" w:lineRule="auto"/>
        <w:rPr>
          <w:sz w:val="20"/>
          <w:szCs w:val="20"/>
          <w:color w:val="auto"/>
        </w:rPr>
      </w:pPr>
      <w:r>
        <w:rPr>
          <w:rFonts w:ascii="Courier New" w:cs="Courier New" w:eastAsia="Courier New" w:hAnsi="Courier New"/>
          <w:sz w:val="17"/>
          <w:szCs w:val="17"/>
          <w:color w:val="auto"/>
        </w:rPr>
        <w:t>The increases in cable modem revenue are primarily due to the addition of approximately 117,000 and 393,000 cable modem customers during the three and nine months ended September 30, 2001, respectively. On September 28, 2001, Excite@Home Corporation ("Excite@Home"), our provider of high-speed Internet access services, filed for protection under Chapter 11 of the U.S. Bankruptcy Code. Subsequent to this filing, we and Excite@Home entered into an amendment to our distribution agreement under which Excite@Home agreed to continue to provide high-speed Internet access services to our existing and new customers through November 30, 2001. While there can be no assurance that further developments in this bankruptcy proceeding will not adversely affect our ability to provide high-speed Internet access, we believe that we will be able to continue to provide such services to our existing and new customers through and following November 30, 2001. Further, while there can be no assurance that future developments will not result in additional short-term costs for us, we believe that such costs will not have a material adverse effect on our financial results.</w:t>
      </w:r>
    </w:p>
    <w:p>
      <w:pPr>
        <w:spacing w:after="0" w:line="209" w:lineRule="exact"/>
        <w:rPr>
          <w:sz w:val="20"/>
          <w:szCs w:val="20"/>
          <w:color w:val="auto"/>
        </w:rPr>
      </w:pPr>
    </w:p>
    <w:p>
      <w:pPr>
        <w:jc w:val="both"/>
        <w:ind w:right="3180" w:firstLine="497"/>
        <w:spacing w:after="0" w:line="256" w:lineRule="auto"/>
        <w:rPr>
          <w:sz w:val="20"/>
          <w:szCs w:val="20"/>
          <w:color w:val="auto"/>
        </w:rPr>
      </w:pPr>
      <w:r>
        <w:rPr>
          <w:rFonts w:ascii="Courier New" w:cs="Courier New" w:eastAsia="Courier New" w:hAnsi="Courier New"/>
          <w:sz w:val="16"/>
          <w:szCs w:val="16"/>
          <w:color w:val="auto"/>
        </w:rPr>
        <w:t>The increases in advertising sales revenue are attributable to the effects of new advertising contracts, market-wide fiber interconnects and the continued leveraging of our existing fiber networks, as well as to the effects of an</w:t>
      </w:r>
    </w:p>
    <w:p>
      <w:pPr>
        <w:sectPr>
          <w:pgSz w:w="11900" w:h="16838" w:orient="portrait"/>
          <w:cols w:equalWidth="0" w:num="1">
            <w:col w:w="11140"/>
          </w:cols>
          <w:pgMar w:left="240" w:top="683" w:right="519" w:bottom="0" w:gutter="0" w:footer="0" w:header="0"/>
        </w:sectPr>
      </w:pPr>
    </w:p>
    <w:bookmarkStart w:id="27" w:name="page28"/>
    <w:bookmarkEnd w:id="27"/>
    <w:p>
      <w:pPr>
        <w:ind w:right="2259"/>
        <w:spacing w:after="0" w:line="235" w:lineRule="auto"/>
        <w:rPr>
          <w:sz w:val="20"/>
          <w:szCs w:val="20"/>
          <w:color w:val="auto"/>
        </w:rPr>
      </w:pPr>
      <w:r>
        <w:rPr>
          <w:rFonts w:ascii="Courier New" w:cs="Courier New" w:eastAsia="Courier New" w:hAnsi="Courier New"/>
          <w:sz w:val="17"/>
          <w:szCs w:val="17"/>
          <w:color w:val="auto"/>
        </w:rPr>
        <w:t>additional broadcast week in the third quarter of 2001, helping to offset an otherwise weak advertising environment.</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142" w:right="1440" w:bottom="1440" w:gutter="0" w:footer="0" w:header="0"/>
        </w:sectPr>
      </w:pPr>
    </w:p>
    <w:bookmarkStart w:id="28" w:name="page29"/>
    <w:bookmarkEnd w:id="28"/>
    <w:p>
      <w:pPr>
        <w:jc w:val="center"/>
        <w:ind w:right="3180"/>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3080"/>
        <w:spacing w:after="0" w:line="238" w:lineRule="auto"/>
        <w:rPr>
          <w:sz w:val="20"/>
          <w:szCs w:val="20"/>
          <w:color w:val="auto"/>
        </w:rPr>
      </w:pPr>
      <w:r>
        <w:rPr>
          <w:rFonts w:ascii="Courier New" w:cs="Courier New" w:eastAsia="Courier New" w:hAnsi="Courier New"/>
          <w:sz w:val="17"/>
          <w:szCs w:val="17"/>
          <w:color w:val="auto"/>
        </w:rPr>
        <w:t>FORM 10-Q</w:t>
      </w:r>
    </w:p>
    <w:p>
      <w:pPr>
        <w:jc w:val="center"/>
        <w:ind w:right="3180"/>
        <w:spacing w:after="0" w:line="238" w:lineRule="auto"/>
        <w:rPr>
          <w:sz w:val="20"/>
          <w:szCs w:val="20"/>
          <w:color w:val="auto"/>
        </w:rPr>
      </w:pPr>
      <w:r>
        <w:rPr>
          <w:rFonts w:ascii="Courier New" w:cs="Courier New" w:eastAsia="Courier New" w:hAnsi="Courier New"/>
          <w:sz w:val="17"/>
          <w:szCs w:val="17"/>
          <w:color w:val="auto"/>
        </w:rPr>
        <w:t>QUARTER ENDED SEPTEMBER 30, 2001</w:t>
      </w:r>
    </w:p>
    <w:p>
      <w:pPr>
        <w:spacing w:after="0" w:line="388" w:lineRule="exact"/>
        <w:rPr>
          <w:sz w:val="20"/>
          <w:szCs w:val="20"/>
          <w:color w:val="auto"/>
        </w:rPr>
      </w:pPr>
    </w:p>
    <w:p>
      <w:pPr>
        <w:jc w:val="both"/>
        <w:ind w:right="3180" w:firstLine="497"/>
        <w:spacing w:after="0" w:line="256" w:lineRule="auto"/>
        <w:rPr>
          <w:sz w:val="20"/>
          <w:szCs w:val="20"/>
          <w:color w:val="auto"/>
        </w:rPr>
      </w:pPr>
      <w:r>
        <w:rPr>
          <w:rFonts w:ascii="Courier New" w:cs="Courier New" w:eastAsia="Courier New" w:hAnsi="Courier New"/>
          <w:sz w:val="16"/>
          <w:szCs w:val="16"/>
          <w:color w:val="auto"/>
        </w:rPr>
        <w:t>Other revenue includes installation revenues, guide revenues, commissions from electronic retailing and other product offerings. The increase for the nine month period is primarily attributable to growth in our historical operations.</w:t>
      </w:r>
    </w:p>
    <w:p>
      <w:pPr>
        <w:spacing w:after="0" w:line="185" w:lineRule="exact"/>
        <w:rPr>
          <w:sz w:val="20"/>
          <w:szCs w:val="20"/>
          <w:color w:val="auto"/>
        </w:rPr>
      </w:pPr>
    </w:p>
    <w:p>
      <w:pPr>
        <w:jc w:val="both"/>
        <w:ind w:right="3180" w:firstLine="497"/>
        <w:spacing w:after="0" w:line="237" w:lineRule="auto"/>
        <w:rPr>
          <w:sz w:val="20"/>
          <w:szCs w:val="20"/>
          <w:color w:val="auto"/>
        </w:rPr>
      </w:pPr>
      <w:r>
        <w:rPr>
          <w:rFonts w:ascii="Courier New" w:cs="Courier New" w:eastAsia="Courier New" w:hAnsi="Courier New"/>
          <w:sz w:val="17"/>
          <w:szCs w:val="17"/>
          <w:color w:val="auto"/>
        </w:rPr>
        <w:t>The increases in operating, selling, general and administrative expenses are primarily due to the effects of our acquisitions and exchanges of cable systems, as well as to the effects of increases in the costs of cable programming, cable modem subscriber growth, and, to a lesser extent, increases in labor costs and other volume related expenses in our historical operations.</w:t>
      </w:r>
    </w:p>
    <w:p>
      <w:pPr>
        <w:spacing w:after="0" w:line="197" w:lineRule="exact"/>
        <w:rPr>
          <w:sz w:val="20"/>
          <w:szCs w:val="20"/>
          <w:color w:val="auto"/>
        </w:rPr>
      </w:pPr>
    </w:p>
    <w:p>
      <w:pPr>
        <w:jc w:val="both"/>
        <w:ind w:right="3180" w:firstLine="497"/>
        <w:spacing w:after="0" w:line="237" w:lineRule="auto"/>
        <w:rPr>
          <w:sz w:val="20"/>
          <w:szCs w:val="20"/>
          <w:color w:val="auto"/>
        </w:rPr>
      </w:pPr>
      <w:r>
        <w:rPr>
          <w:rFonts w:ascii="Courier New" w:cs="Courier New" w:eastAsia="Courier New" w:hAnsi="Courier New"/>
          <w:sz w:val="17"/>
          <w:szCs w:val="17"/>
          <w:color w:val="auto"/>
        </w:rPr>
        <w:t>Our cost of programming increases as a result of changes in rates, subscriber growth, additional channel offerings and our acquisitions and exchanges of cable systems. We anticipate the cost of cable programming will increase in the future as cable programming rates increase and additional sources of cable programming become available.</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Commerce (QVC, Inc. and Subsidiaries)</w:t>
            </w:r>
          </w:p>
        </w:tc>
        <w:tc>
          <w:tcPr>
            <w:tcW w:w="2540" w:type="dxa"/>
            <w:vAlign w:val="bottom"/>
            <w:gridSpan w:val="2"/>
          </w:tcPr>
          <w:p>
            <w:pPr>
              <w:jc w:val="right"/>
              <w:ind w:right="357"/>
              <w:spacing w:after="0"/>
              <w:rPr>
                <w:sz w:val="20"/>
                <w:szCs w:val="20"/>
                <w:color w:val="auto"/>
              </w:rPr>
            </w:pPr>
            <w:r>
              <w:rPr>
                <w:rFonts w:ascii="Courier New" w:cs="Courier New" w:eastAsia="Courier New" w:hAnsi="Courier New"/>
                <w:sz w:val="17"/>
                <w:szCs w:val="17"/>
                <w:color w:val="auto"/>
              </w:rPr>
              <w:t>Three Months Ended</w:t>
            </w: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6260" w:type="dxa"/>
            <w:vAlign w:val="bottom"/>
          </w:tcPr>
          <w:p>
            <w:pPr>
              <w:spacing w:after="0"/>
              <w:rPr>
                <w:sz w:val="16"/>
                <w:szCs w:val="16"/>
                <w:color w:val="auto"/>
              </w:rPr>
            </w:pPr>
          </w:p>
        </w:tc>
        <w:tc>
          <w:tcPr>
            <w:tcW w:w="254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September 30,</w:t>
            </w:r>
          </w:p>
        </w:tc>
        <w:tc>
          <w:tcPr>
            <w:tcW w:w="2340" w:type="dxa"/>
            <w:vAlign w:val="bottom"/>
            <w:gridSpan w:val="2"/>
          </w:tcPr>
          <w:p>
            <w:pPr>
              <w:jc w:val="right"/>
              <w:ind w:right="717"/>
              <w:spacing w:after="0" w:line="191" w:lineRule="exact"/>
              <w:rPr>
                <w:sz w:val="20"/>
                <w:szCs w:val="20"/>
                <w:color w:val="auto"/>
              </w:rPr>
            </w:pPr>
            <w:r>
              <w:rPr>
                <w:rFonts w:ascii="Courier New" w:cs="Courier New" w:eastAsia="Courier New" w:hAnsi="Courier New"/>
                <w:sz w:val="17"/>
                <w:szCs w:val="17"/>
                <w:color w:val="auto"/>
              </w:rPr>
              <w:t>Increase</w:t>
            </w:r>
          </w:p>
        </w:tc>
      </w:tr>
      <w:tr>
        <w:trPr>
          <w:trHeight w:val="191"/>
        </w:trPr>
        <w:tc>
          <w:tcPr>
            <w:tcW w:w="6260" w:type="dxa"/>
            <w:vAlign w:val="bottom"/>
          </w:tcPr>
          <w:p>
            <w:pPr>
              <w:spacing w:after="0"/>
              <w:rPr>
                <w:sz w:val="16"/>
                <w:szCs w:val="16"/>
                <w:color w:val="auto"/>
              </w:rPr>
            </w:pP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2001</w:t>
            </w: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2000</w:t>
            </w:r>
          </w:p>
        </w:tc>
        <w:tc>
          <w:tcPr>
            <w:tcW w:w="12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60" w:type="dxa"/>
            <w:vAlign w:val="bottom"/>
          </w:tcPr>
          <w:p>
            <w:pPr>
              <w:spacing w:after="0"/>
              <w:rPr>
                <w:sz w:val="16"/>
                <w:szCs w:val="16"/>
                <w:color w:val="auto"/>
              </w:rPr>
            </w:pP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260" w:type="dxa"/>
            <w:vAlign w:val="bottom"/>
          </w:tcPr>
          <w:p>
            <w:pPr>
              <w:spacing w:after="0"/>
              <w:rPr>
                <w:sz w:val="20"/>
                <w:szCs w:val="20"/>
                <w:color w:val="auto"/>
              </w:rPr>
            </w:pPr>
            <w:r>
              <w:rPr>
                <w:rFonts w:ascii="Courier New" w:cs="Courier New" w:eastAsia="Courier New" w:hAnsi="Courier New"/>
                <w:sz w:val="17"/>
                <w:szCs w:val="17"/>
                <w:color w:val="auto"/>
              </w:rPr>
              <w:t>Net sales from electronic retailing..........................</w:t>
            </w:r>
          </w:p>
        </w:tc>
        <w:tc>
          <w:tcPr>
            <w:tcW w:w="13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$895.1</w:t>
            </w:r>
          </w:p>
        </w:tc>
        <w:tc>
          <w:tcPr>
            <w:tcW w:w="12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$820.3</w:t>
            </w:r>
          </w:p>
        </w:tc>
        <w:tc>
          <w:tcPr>
            <w:tcW w:w="12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$74.8</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9.1%</w:t>
            </w:r>
          </w:p>
        </w:tc>
      </w:tr>
      <w:tr>
        <w:trPr>
          <w:trHeight w:val="191"/>
        </w:trPr>
        <w:tc>
          <w:tcPr>
            <w:tcW w:w="6260" w:type="dxa"/>
            <w:vAlign w:val="bottom"/>
          </w:tcPr>
          <w:p>
            <w:pPr>
              <w:spacing w:after="0" w:line="191" w:lineRule="exact"/>
              <w:rPr>
                <w:sz w:val="20"/>
                <w:szCs w:val="20"/>
                <w:color w:val="auto"/>
              </w:rPr>
            </w:pPr>
            <w:r>
              <w:rPr>
                <w:rFonts w:ascii="Courier New" w:cs="Courier New" w:eastAsia="Courier New" w:hAnsi="Courier New"/>
                <w:sz w:val="17"/>
                <w:szCs w:val="17"/>
                <w:color w:val="auto"/>
              </w:rPr>
              <w:t>Cost of goods sold from electronic retailing.................</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573.8</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529.2</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44.6</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8.4</w:t>
            </w:r>
          </w:p>
        </w:tc>
      </w:tr>
      <w:tr>
        <w:trPr>
          <w:trHeight w:val="191"/>
        </w:trPr>
        <w:tc>
          <w:tcPr>
            <w:tcW w:w="626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selling, general and administrative</w:t>
            </w: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62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expenses................................................</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167.6</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151.8</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15.8</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10.4</w:t>
            </w:r>
          </w:p>
        </w:tc>
      </w:tr>
      <w:tr>
        <w:trPr>
          <w:trHeight w:val="191"/>
        </w:trPr>
        <w:tc>
          <w:tcPr>
            <w:tcW w:w="6260" w:type="dxa"/>
            <w:vAlign w:val="bottom"/>
          </w:tcPr>
          <w:p>
            <w:pPr>
              <w:spacing w:after="0"/>
              <w:rPr>
                <w:sz w:val="16"/>
                <w:szCs w:val="16"/>
                <w:color w:val="auto"/>
              </w:rPr>
            </w:pP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6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income before depreciation</w:t>
            </w: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62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and amortization (a)....................................</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$153.7</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$139.3</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$14.4</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10.3%</w:t>
            </w:r>
          </w:p>
        </w:tc>
      </w:tr>
      <w:tr>
        <w:trPr>
          <w:trHeight w:val="191"/>
        </w:trPr>
        <w:tc>
          <w:tcPr>
            <w:tcW w:w="6260" w:type="dxa"/>
            <w:vAlign w:val="bottom"/>
          </w:tcPr>
          <w:p>
            <w:pPr>
              <w:spacing w:after="0"/>
              <w:rPr>
                <w:sz w:val="16"/>
                <w:szCs w:val="16"/>
                <w:color w:val="auto"/>
              </w:rPr>
            </w:pP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60" w:type="dxa"/>
            <w:vAlign w:val="bottom"/>
          </w:tcPr>
          <w:p>
            <w:pPr>
              <w:spacing w:after="0" w:line="191" w:lineRule="exact"/>
              <w:rPr>
                <w:sz w:val="20"/>
                <w:szCs w:val="20"/>
                <w:color w:val="auto"/>
              </w:rPr>
            </w:pPr>
            <w:r>
              <w:rPr>
                <w:rFonts w:ascii="Courier New" w:cs="Courier New" w:eastAsia="Courier New" w:hAnsi="Courier New"/>
                <w:sz w:val="17"/>
                <w:szCs w:val="17"/>
                <w:color w:val="auto"/>
              </w:rPr>
              <w:t>Gross margin.................................................</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35.9%</w:t>
            </w:r>
          </w:p>
        </w:tc>
        <w:tc>
          <w:tcPr>
            <w:tcW w:w="12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35.5%</w:t>
            </w: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6260" w:type="dxa"/>
            <w:vAlign w:val="bottom"/>
          </w:tcPr>
          <w:p>
            <w:pPr>
              <w:spacing w:after="0"/>
              <w:rPr>
                <w:sz w:val="16"/>
                <w:szCs w:val="16"/>
                <w:color w:val="auto"/>
              </w:rPr>
            </w:pP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765"/>
        </w:trPr>
        <w:tc>
          <w:tcPr>
            <w:tcW w:w="6260" w:type="dxa"/>
            <w:vAlign w:val="bottom"/>
          </w:tcPr>
          <w:p>
            <w:pPr>
              <w:spacing w:after="0"/>
              <w:rPr>
                <w:sz w:val="24"/>
                <w:szCs w:val="24"/>
                <w:color w:val="auto"/>
              </w:rPr>
            </w:pPr>
          </w:p>
        </w:tc>
        <w:tc>
          <w:tcPr>
            <w:tcW w:w="254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Nine Months Ended</w:t>
            </w: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1"/>
        </w:trPr>
        <w:tc>
          <w:tcPr>
            <w:tcW w:w="6260" w:type="dxa"/>
            <w:vAlign w:val="bottom"/>
          </w:tcPr>
          <w:p>
            <w:pPr>
              <w:spacing w:after="0"/>
              <w:rPr>
                <w:sz w:val="16"/>
                <w:szCs w:val="16"/>
                <w:color w:val="auto"/>
              </w:rPr>
            </w:pPr>
          </w:p>
        </w:tc>
        <w:tc>
          <w:tcPr>
            <w:tcW w:w="254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September 30,</w:t>
            </w:r>
          </w:p>
        </w:tc>
        <w:tc>
          <w:tcPr>
            <w:tcW w:w="2340" w:type="dxa"/>
            <w:vAlign w:val="bottom"/>
            <w:gridSpan w:val="2"/>
          </w:tcPr>
          <w:p>
            <w:pPr>
              <w:jc w:val="right"/>
              <w:ind w:right="717"/>
              <w:spacing w:after="0" w:line="191" w:lineRule="exact"/>
              <w:rPr>
                <w:sz w:val="20"/>
                <w:szCs w:val="20"/>
                <w:color w:val="auto"/>
              </w:rPr>
            </w:pPr>
            <w:r>
              <w:rPr>
                <w:rFonts w:ascii="Courier New" w:cs="Courier New" w:eastAsia="Courier New" w:hAnsi="Courier New"/>
                <w:sz w:val="17"/>
                <w:szCs w:val="17"/>
                <w:color w:val="auto"/>
              </w:rPr>
              <w:t>Increase</w:t>
            </w:r>
          </w:p>
        </w:tc>
      </w:tr>
      <w:tr>
        <w:trPr>
          <w:trHeight w:val="191"/>
        </w:trPr>
        <w:tc>
          <w:tcPr>
            <w:tcW w:w="6260" w:type="dxa"/>
            <w:vAlign w:val="bottom"/>
          </w:tcPr>
          <w:p>
            <w:pPr>
              <w:spacing w:after="0"/>
              <w:rPr>
                <w:sz w:val="16"/>
                <w:szCs w:val="16"/>
                <w:color w:val="auto"/>
              </w:rPr>
            </w:pP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2001</w:t>
            </w: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2000</w:t>
            </w:r>
          </w:p>
        </w:tc>
        <w:tc>
          <w:tcPr>
            <w:tcW w:w="12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60" w:type="dxa"/>
            <w:vAlign w:val="bottom"/>
          </w:tcPr>
          <w:p>
            <w:pPr>
              <w:spacing w:after="0"/>
              <w:rPr>
                <w:sz w:val="16"/>
                <w:szCs w:val="16"/>
                <w:color w:val="auto"/>
              </w:rPr>
            </w:pP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260" w:type="dxa"/>
            <w:vAlign w:val="bottom"/>
          </w:tcPr>
          <w:p>
            <w:pPr>
              <w:spacing w:after="0"/>
              <w:rPr>
                <w:sz w:val="20"/>
                <w:szCs w:val="20"/>
                <w:color w:val="auto"/>
              </w:rPr>
            </w:pPr>
            <w:r>
              <w:rPr>
                <w:rFonts w:ascii="Courier New" w:cs="Courier New" w:eastAsia="Courier New" w:hAnsi="Courier New"/>
                <w:sz w:val="17"/>
                <w:szCs w:val="17"/>
                <w:color w:val="auto"/>
              </w:rPr>
              <w:t>Net sales from electronic retailing..........................</w:t>
            </w:r>
          </w:p>
        </w:tc>
        <w:tc>
          <w:tcPr>
            <w:tcW w:w="13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$2,655.1</w:t>
            </w:r>
          </w:p>
        </w:tc>
        <w:tc>
          <w:tcPr>
            <w:tcW w:w="12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$2,411.9</w:t>
            </w:r>
          </w:p>
        </w:tc>
        <w:tc>
          <w:tcPr>
            <w:tcW w:w="12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$243.2</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10.1%</w:t>
            </w:r>
          </w:p>
        </w:tc>
      </w:tr>
      <w:tr>
        <w:trPr>
          <w:trHeight w:val="191"/>
        </w:trPr>
        <w:tc>
          <w:tcPr>
            <w:tcW w:w="6260" w:type="dxa"/>
            <w:vAlign w:val="bottom"/>
          </w:tcPr>
          <w:p>
            <w:pPr>
              <w:spacing w:after="0" w:line="191" w:lineRule="exact"/>
              <w:rPr>
                <w:sz w:val="20"/>
                <w:szCs w:val="20"/>
                <w:color w:val="auto"/>
              </w:rPr>
            </w:pPr>
            <w:r>
              <w:rPr>
                <w:rFonts w:ascii="Courier New" w:cs="Courier New" w:eastAsia="Courier New" w:hAnsi="Courier New"/>
                <w:sz w:val="17"/>
                <w:szCs w:val="17"/>
                <w:color w:val="auto"/>
              </w:rPr>
              <w:t>Cost of goods sold from electronic retailing.................</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1,685.6</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1,544.4</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141.2</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9.1</w:t>
            </w:r>
          </w:p>
        </w:tc>
      </w:tr>
      <w:tr>
        <w:trPr>
          <w:trHeight w:val="191"/>
        </w:trPr>
        <w:tc>
          <w:tcPr>
            <w:tcW w:w="626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selling, general and administrative</w:t>
            </w: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62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expenses................................................</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483.3</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449.5</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33.8</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7.5</w:t>
            </w:r>
          </w:p>
        </w:tc>
      </w:tr>
      <w:tr>
        <w:trPr>
          <w:trHeight w:val="191"/>
        </w:trPr>
        <w:tc>
          <w:tcPr>
            <w:tcW w:w="6260" w:type="dxa"/>
            <w:vAlign w:val="bottom"/>
          </w:tcPr>
          <w:p>
            <w:pPr>
              <w:spacing w:after="0"/>
              <w:rPr>
                <w:sz w:val="16"/>
                <w:szCs w:val="16"/>
                <w:color w:val="auto"/>
              </w:rPr>
            </w:pP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6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income before depreciation</w:t>
            </w: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62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and amortization (a)....................................</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$486.2</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$418.0</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$68.2</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16.3%</w:t>
            </w:r>
          </w:p>
        </w:tc>
      </w:tr>
      <w:tr>
        <w:trPr>
          <w:trHeight w:val="191"/>
        </w:trPr>
        <w:tc>
          <w:tcPr>
            <w:tcW w:w="6260" w:type="dxa"/>
            <w:vAlign w:val="bottom"/>
          </w:tcPr>
          <w:p>
            <w:pPr>
              <w:spacing w:after="0"/>
              <w:rPr>
                <w:sz w:val="16"/>
                <w:szCs w:val="16"/>
                <w:color w:val="auto"/>
              </w:rPr>
            </w:pP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60" w:type="dxa"/>
            <w:vAlign w:val="bottom"/>
          </w:tcPr>
          <w:p>
            <w:pPr>
              <w:spacing w:after="0" w:line="191" w:lineRule="exact"/>
              <w:rPr>
                <w:sz w:val="20"/>
                <w:szCs w:val="20"/>
                <w:color w:val="auto"/>
              </w:rPr>
            </w:pPr>
            <w:r>
              <w:rPr>
                <w:rFonts w:ascii="Courier New" w:cs="Courier New" w:eastAsia="Courier New" w:hAnsi="Courier New"/>
                <w:sz w:val="17"/>
                <w:szCs w:val="17"/>
                <w:color w:val="auto"/>
              </w:rPr>
              <w:t>Gross margin.................................................</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36.5%</w:t>
            </w:r>
          </w:p>
        </w:tc>
        <w:tc>
          <w:tcPr>
            <w:tcW w:w="12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36.0%</w:t>
            </w: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6260" w:type="dxa"/>
            <w:vAlign w:val="bottom"/>
          </w:tcPr>
          <w:p>
            <w:pPr>
              <w:spacing w:after="0"/>
              <w:rPr>
                <w:sz w:val="16"/>
                <w:szCs w:val="16"/>
                <w:color w:val="auto"/>
              </w:rPr>
            </w:pP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w:t>
      </w:r>
    </w:p>
    <w:p>
      <w:pPr>
        <w:spacing w:after="0" w:line="238" w:lineRule="auto"/>
        <w:rPr>
          <w:sz w:val="20"/>
          <w:szCs w:val="20"/>
          <w:color w:val="auto"/>
        </w:rPr>
      </w:pPr>
      <w:r>
        <w:rPr>
          <w:rFonts w:ascii="Courier New" w:cs="Courier New" w:eastAsia="Courier New" w:hAnsi="Courier New"/>
          <w:sz w:val="17"/>
          <w:szCs w:val="17"/>
          <w:color w:val="auto"/>
        </w:rPr>
        <w:t>(a) See footnote (1) on page 20.</w:t>
      </w:r>
    </w:p>
    <w:p>
      <w:pPr>
        <w:spacing w:after="0" w:line="197" w:lineRule="exact"/>
        <w:rPr>
          <w:sz w:val="20"/>
          <w:szCs w:val="20"/>
          <w:color w:val="auto"/>
        </w:rPr>
      </w:pPr>
    </w:p>
    <w:p>
      <w:pPr>
        <w:jc w:val="both"/>
        <w:ind w:right="3180" w:firstLine="497"/>
        <w:spacing w:after="0" w:line="237" w:lineRule="auto"/>
        <w:rPr>
          <w:sz w:val="20"/>
          <w:szCs w:val="20"/>
          <w:color w:val="auto"/>
        </w:rPr>
      </w:pPr>
      <w:r>
        <w:rPr>
          <w:rFonts w:ascii="Courier New" w:cs="Courier New" w:eastAsia="Courier New" w:hAnsi="Courier New"/>
          <w:sz w:val="17"/>
          <w:szCs w:val="17"/>
          <w:color w:val="auto"/>
        </w:rPr>
        <w:t>Of the $74.8 million and $243.2 million increases in net sales from electronic retailing for the interim periods, $62.8 million and $220.0 million, respectively, is attributable to increases in net sales in the United States. This growth is principally the result of increases in the average number of homes receiving QVC services and in net sales per home as follows:</w:t>
      </w:r>
    </w:p>
    <w:p>
      <w:pPr>
        <w:sectPr>
          <w:pgSz w:w="11900" w:h="16838" w:orient="portrait"/>
          <w:cols w:equalWidth="0" w:num="1">
            <w:col w:w="11140"/>
          </w:cols>
          <w:pgMar w:left="240" w:top="683" w:right="5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560"/>
        <w:spacing w:after="0"/>
        <w:rPr>
          <w:sz w:val="20"/>
          <w:szCs w:val="20"/>
          <w:color w:val="auto"/>
        </w:rPr>
      </w:pPr>
      <w:r>
        <w:rPr>
          <w:rFonts w:ascii="Courier New" w:cs="Courier New" w:eastAsia="Courier New" w:hAnsi="Courier New"/>
          <w:sz w:val="17"/>
          <w:szCs w:val="17"/>
          <w:color w:val="auto"/>
        </w:rPr>
        <w:t>Three Months</w:t>
      </w:r>
    </w:p>
    <w:p>
      <w:pPr>
        <w:ind w:left="6960"/>
        <w:spacing w:after="0" w:line="238" w:lineRule="auto"/>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ind w:left="6260"/>
        <w:spacing w:after="0"/>
        <w:rPr>
          <w:sz w:val="20"/>
          <w:szCs w:val="20"/>
          <w:color w:val="auto"/>
        </w:rPr>
      </w:pPr>
      <w:r>
        <w:rPr>
          <w:rFonts w:ascii="Courier New" w:cs="Courier New" w:eastAsia="Courier New" w:hAnsi="Courier New"/>
          <w:sz w:val="16"/>
          <w:szCs w:val="16"/>
          <w:color w:val="auto"/>
        </w:rPr>
        <w:t>September 30, 2001</w:t>
      </w:r>
    </w:p>
    <w:p>
      <w:pPr>
        <w:spacing w:after="0" w:line="10" w:lineRule="exact"/>
        <w:rPr>
          <w:sz w:val="20"/>
          <w:szCs w:val="20"/>
          <w:color w:val="auto"/>
        </w:rPr>
      </w:pPr>
    </w:p>
    <w:p>
      <w:pPr>
        <w:ind w:left="62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Nine Months</w:t>
      </w:r>
    </w:p>
    <w:p>
      <w:pPr>
        <w:ind w:left="700"/>
        <w:spacing w:after="0" w:line="238" w:lineRule="auto"/>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30, 2001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8060" w:space="400"/>
            <w:col w:w="2680"/>
          </w:cols>
          <w:pgMar w:left="240" w:top="683" w:right="519" w:bottom="0" w:gutter="0" w:footer="0" w:header="0"/>
          <w:type w:val="continuous"/>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in average number of homes...........................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in net sales per home................................</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5.4%</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6.6%</w:t>
      </w:r>
    </w:p>
    <w:p>
      <w:pPr>
        <w:spacing w:after="0" w:line="211" w:lineRule="exact"/>
        <w:rPr>
          <w:sz w:val="20"/>
          <w:szCs w:val="20"/>
          <w:color w:val="auto"/>
        </w:rPr>
      </w:pPr>
    </w:p>
    <w:p>
      <w:pPr>
        <w:sectPr>
          <w:pgSz w:w="11900" w:h="16838" w:orient="portrait"/>
          <w:cols w:equalWidth="0" w:num="3">
            <w:col w:w="6340" w:space="720"/>
            <w:col w:w="1580" w:space="720"/>
            <w:col w:w="1780"/>
          </w:cols>
          <w:pgMar w:left="240" w:top="683" w:right="519" w:bottom="0" w:gutter="0" w:footer="0" w:header="0"/>
          <w:type w:val="continuous"/>
        </w:sectPr>
      </w:pPr>
    </w:p>
    <w:p>
      <w:pPr>
        <w:spacing w:after="0" w:line="192" w:lineRule="exact"/>
        <w:rPr>
          <w:sz w:val="20"/>
          <w:szCs w:val="20"/>
          <w:color w:val="auto"/>
        </w:rPr>
      </w:pPr>
    </w:p>
    <w:p>
      <w:pPr>
        <w:jc w:val="both"/>
        <w:ind w:right="3180" w:firstLine="497"/>
        <w:spacing w:after="0" w:line="236" w:lineRule="auto"/>
        <w:rPr>
          <w:sz w:val="20"/>
          <w:szCs w:val="20"/>
          <w:color w:val="auto"/>
        </w:rPr>
      </w:pPr>
      <w:r>
        <w:rPr>
          <w:rFonts w:ascii="Courier New" w:cs="Courier New" w:eastAsia="Courier New" w:hAnsi="Courier New"/>
          <w:sz w:val="17"/>
          <w:szCs w:val="17"/>
          <w:color w:val="auto"/>
        </w:rPr>
        <w:t>The remaining increases of $12.0 million and $23.2 million in net sales from electronic retailing for the interim periods are primarily attributable to increases in net sales in Germany offset, in part, by decreases in net</w:t>
      </w:r>
    </w:p>
    <w:p>
      <w:pPr>
        <w:sectPr>
          <w:pgSz w:w="11900" w:h="16838" w:orient="portrait"/>
          <w:cols w:equalWidth="0" w:num="1">
            <w:col w:w="11140"/>
          </w:cols>
          <w:pgMar w:left="240" w:top="683" w:right="519" w:bottom="0" w:gutter="0" w:footer="0" w:header="0"/>
          <w:type w:val="continuous"/>
        </w:sectPr>
      </w:pPr>
    </w:p>
    <w:bookmarkStart w:id="29" w:name="page30"/>
    <w:bookmarkEnd w:id="29"/>
    <w:p>
      <w:pPr>
        <w:ind w:left="26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9019"/>
          </w:cols>
          <w:pgMar w:left="1440" w:top="333" w:right="1440" w:bottom="1440" w:gutter="0" w:footer="0" w:header="0"/>
        </w:sectPr>
      </w:pPr>
    </w:p>
    <w:bookmarkStart w:id="30" w:name="page31"/>
    <w:bookmarkEnd w:id="30"/>
    <w:p>
      <w:pPr>
        <w:jc w:val="center"/>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left="100"/>
        <w:spacing w:after="0" w:line="238" w:lineRule="auto"/>
        <w:rPr>
          <w:sz w:val="20"/>
          <w:szCs w:val="20"/>
          <w:color w:val="auto"/>
        </w:rPr>
      </w:pPr>
      <w:r>
        <w:rPr>
          <w:rFonts w:ascii="Courier New" w:cs="Courier New" w:eastAsia="Courier New" w:hAnsi="Courier New"/>
          <w:sz w:val="17"/>
          <w:szCs w:val="17"/>
          <w:color w:val="auto"/>
        </w:rPr>
        <w:t>FORM 10-Q</w:t>
      </w:r>
    </w:p>
    <w:p>
      <w:pPr>
        <w:jc w:val="center"/>
        <w:spacing w:after="0" w:line="238" w:lineRule="auto"/>
        <w:rPr>
          <w:sz w:val="20"/>
          <w:szCs w:val="20"/>
          <w:color w:val="auto"/>
        </w:rPr>
      </w:pPr>
      <w:r>
        <w:rPr>
          <w:rFonts w:ascii="Courier New" w:cs="Courier New" w:eastAsia="Courier New" w:hAnsi="Courier New"/>
          <w:sz w:val="17"/>
          <w:szCs w:val="17"/>
          <w:color w:val="auto"/>
        </w:rPr>
        <w:t>QUARTER ENDED SEPTEMBER 30, 2001</w:t>
      </w:r>
    </w:p>
    <w:p>
      <w:pPr>
        <w:spacing w:after="0" w:line="388"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7"/>
          <w:szCs w:val="17"/>
          <w:color w:val="auto"/>
        </w:rPr>
        <w:t>sales in the United Kingdom, and to the effects of fluctuations in foreign currency exchange rates during the periods.</w:t>
      </w:r>
    </w:p>
    <w:p>
      <w:pPr>
        <w:spacing w:after="0" w:line="197" w:lineRule="exact"/>
        <w:rPr>
          <w:sz w:val="20"/>
          <w:szCs w:val="20"/>
          <w:color w:val="auto"/>
        </w:rPr>
      </w:pPr>
    </w:p>
    <w:p>
      <w:pPr>
        <w:jc w:val="both"/>
        <w:ind w:firstLine="497"/>
        <w:spacing w:after="0" w:line="236" w:lineRule="auto"/>
        <w:rPr>
          <w:sz w:val="20"/>
          <w:szCs w:val="20"/>
          <w:color w:val="auto"/>
        </w:rPr>
      </w:pPr>
      <w:r>
        <w:rPr>
          <w:rFonts w:ascii="Courier New" w:cs="Courier New" w:eastAsia="Courier New" w:hAnsi="Courier New"/>
          <w:sz w:val="17"/>
          <w:szCs w:val="17"/>
          <w:color w:val="auto"/>
        </w:rPr>
        <w:t>The increases in cost of goods sold are primarily related to the growth in net sales. The increases in gross margin are primarily due to the effects of increases in product margins across all product categories, as well as to the effects of a shift in sales mix.</w:t>
      </w:r>
    </w:p>
    <w:p>
      <w:pPr>
        <w:spacing w:after="0" w:line="199" w:lineRule="exact"/>
        <w:rPr>
          <w:sz w:val="20"/>
          <w:szCs w:val="20"/>
          <w:color w:val="auto"/>
        </w:rPr>
      </w:pPr>
    </w:p>
    <w:p>
      <w:pPr>
        <w:jc w:val="both"/>
        <w:ind w:firstLine="497"/>
        <w:spacing w:after="0" w:line="236" w:lineRule="auto"/>
        <w:rPr>
          <w:sz w:val="20"/>
          <w:szCs w:val="20"/>
          <w:color w:val="auto"/>
        </w:rPr>
      </w:pPr>
      <w:r>
        <w:rPr>
          <w:rFonts w:ascii="Courier New" w:cs="Courier New" w:eastAsia="Courier New" w:hAnsi="Courier New"/>
          <w:sz w:val="17"/>
          <w:szCs w:val="17"/>
          <w:color w:val="auto"/>
        </w:rPr>
        <w:t>The increases in operating, selling, general and administrative expenses are primarily attributable to higher variable costs and personnel costs associated with the increase in sales volume.</w:t>
      </w:r>
    </w:p>
    <w:p>
      <w:pPr>
        <w:ind w:left="2980"/>
        <w:spacing w:after="0"/>
        <w:rPr>
          <w:sz w:val="20"/>
          <w:szCs w:val="20"/>
          <w:color w:val="auto"/>
        </w:rPr>
      </w:pPr>
      <w:r>
        <w:rPr>
          <w:rFonts w:ascii="Courier New" w:cs="Courier New" w:eastAsia="Courier New" w:hAnsi="Courier New"/>
          <w:sz w:val="17"/>
          <w:szCs w:val="17"/>
          <w:color w:val="auto"/>
        </w:rPr>
        <w:t>_____________________</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Analysis</w:t>
      </w:r>
    </w:p>
    <w:p>
      <w:pPr>
        <w:spacing w:after="0" w:line="196" w:lineRule="exact"/>
        <w:rPr>
          <w:sz w:val="20"/>
          <w:szCs w:val="20"/>
          <w:color w:val="auto"/>
        </w:rPr>
      </w:pPr>
    </w:p>
    <w:p>
      <w:pPr>
        <w:jc w:val="both"/>
        <w:ind w:firstLine="497"/>
        <w:spacing w:after="0" w:line="237" w:lineRule="auto"/>
        <w:rPr>
          <w:sz w:val="20"/>
          <w:szCs w:val="20"/>
          <w:color w:val="auto"/>
        </w:rPr>
      </w:pPr>
      <w:r>
        <w:rPr>
          <w:rFonts w:ascii="Courier New" w:cs="Courier New" w:eastAsia="Courier New" w:hAnsi="Courier New"/>
          <w:sz w:val="17"/>
          <w:szCs w:val="17"/>
          <w:color w:val="auto"/>
        </w:rPr>
        <w:t>The effects of our recent acquisitions were to increase our revenues and expenses, resulting in increases in our operating income before depreciation and amortization. The increases in our property and equipment and deferred charges and the corresponding increases in depreciation expense and amortization expense for the interim periods from 2000 to 2001 are primarily due to the effects of our acquisitions, our cable system exchanges, as well as our increased levels of capital expenditures.</w:t>
      </w:r>
    </w:p>
    <w:p>
      <w:pPr>
        <w:spacing w:after="0" w:line="199" w:lineRule="exact"/>
        <w:rPr>
          <w:sz w:val="20"/>
          <w:szCs w:val="20"/>
          <w:color w:val="auto"/>
        </w:rPr>
      </w:pPr>
    </w:p>
    <w:p>
      <w:pPr>
        <w:jc w:val="both"/>
        <w:ind w:firstLine="497"/>
        <w:spacing w:after="0" w:line="236" w:lineRule="auto"/>
        <w:rPr>
          <w:sz w:val="20"/>
          <w:szCs w:val="20"/>
          <w:color w:val="auto"/>
        </w:rPr>
      </w:pPr>
      <w:r>
        <w:rPr>
          <w:rFonts w:ascii="Courier New" w:cs="Courier New" w:eastAsia="Courier New" w:hAnsi="Courier New"/>
          <w:sz w:val="17"/>
          <w:szCs w:val="17"/>
          <w:color w:val="auto"/>
        </w:rPr>
        <w:t>Refer to Notes 4 and 8 to our financial statements included in Item 1 for a discussion of our 2001 acquisitions and of the effect of these acquisitions on our balance sheet.</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Interest Expense</w:t>
      </w:r>
    </w:p>
    <w:p>
      <w:pPr>
        <w:spacing w:after="0" w:line="196" w:lineRule="exact"/>
        <w:rPr>
          <w:sz w:val="20"/>
          <w:szCs w:val="20"/>
          <w:color w:val="auto"/>
        </w:rPr>
      </w:pPr>
    </w:p>
    <w:p>
      <w:pPr>
        <w:jc w:val="both"/>
        <w:ind w:firstLine="497"/>
        <w:spacing w:after="0" w:line="235" w:lineRule="auto"/>
        <w:rPr>
          <w:sz w:val="20"/>
          <w:szCs w:val="20"/>
          <w:color w:val="auto"/>
        </w:rPr>
      </w:pPr>
      <w:r>
        <w:rPr>
          <w:rFonts w:ascii="Courier New" w:cs="Courier New" w:eastAsia="Courier New" w:hAnsi="Courier New"/>
          <w:sz w:val="17"/>
          <w:szCs w:val="17"/>
          <w:color w:val="auto"/>
        </w:rPr>
        <w:t>The increases in interest expense for the interim periods from 2000 to 2001 are primarily due to the increase in our net borrowings.</w:t>
      </w:r>
    </w:p>
    <w:p>
      <w:pPr>
        <w:spacing w:after="0" w:line="197" w:lineRule="exact"/>
        <w:rPr>
          <w:sz w:val="20"/>
          <w:szCs w:val="20"/>
          <w:color w:val="auto"/>
        </w:rPr>
      </w:pPr>
    </w:p>
    <w:p>
      <w:pPr>
        <w:jc w:val="both"/>
        <w:ind w:firstLine="497"/>
        <w:spacing w:after="0" w:line="236" w:lineRule="auto"/>
        <w:rPr>
          <w:sz w:val="20"/>
          <w:szCs w:val="20"/>
          <w:color w:val="auto"/>
        </w:rPr>
      </w:pPr>
      <w:r>
        <w:rPr>
          <w:rFonts w:ascii="Courier New" w:cs="Courier New" w:eastAsia="Courier New" w:hAnsi="Courier New"/>
          <w:sz w:val="17"/>
          <w:szCs w:val="17"/>
          <w:color w:val="auto"/>
        </w:rPr>
        <w:t>We anticipate that, for the foreseeable future, interest expense will be a significant cost to us. We believe we will continue to be able to meet our obligations through our ability both to generate operating income before depreciation and amortization and to obtain external financing.</w:t>
      </w:r>
    </w:p>
    <w:p>
      <w:pPr>
        <w:spacing w:after="0" w:line="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Investment Income</w:t>
      </w:r>
    </w:p>
    <w:p>
      <w:pPr>
        <w:spacing w:after="0" w:line="190" w:lineRule="exact"/>
        <w:rPr>
          <w:sz w:val="20"/>
          <w:szCs w:val="20"/>
          <w:color w:val="auto"/>
        </w:rPr>
      </w:pPr>
    </w:p>
    <w:p>
      <w:pPr>
        <w:ind w:left="500"/>
        <w:spacing w:after="0"/>
        <w:tabs>
          <w:tab w:leader="none" w:pos="1680" w:val="left"/>
          <w:tab w:leader="none" w:pos="3260" w:val="left"/>
          <w:tab w:leader="none" w:pos="4160" w:val="left"/>
          <w:tab w:leader="none" w:pos="5060" w:val="left"/>
          <w:tab w:leader="none" w:pos="6040" w:val="left"/>
          <w:tab w:leader="none" w:pos="6540" w:val="left"/>
          <w:tab w:leader="none" w:pos="7640" w:val="left"/>
        </w:tabs>
        <w:rPr>
          <w:sz w:val="20"/>
          <w:szCs w:val="20"/>
          <w:color w:val="auto"/>
        </w:rPr>
      </w:pPr>
      <w:r>
        <w:rPr>
          <w:rFonts w:ascii="Courier New" w:cs="Courier New" w:eastAsia="Courier New" w:hAnsi="Courier New"/>
          <w:sz w:val="17"/>
          <w:szCs w:val="17"/>
          <w:color w:val="auto"/>
        </w:rPr>
        <w:t>Investment</w:t>
        <w:tab/>
        <w:t>income for the</w:t>
        <w:tab/>
        <w:t>interim</w:t>
        <w:tab/>
        <w:t>periods</w:t>
        <w:tab/>
        <w:t>includes</w:t>
        <w:tab/>
        <w:t>the</w:t>
        <w:tab/>
        <w:t>following</w:t>
      </w:r>
      <w:r>
        <w:rPr>
          <w:sz w:val="20"/>
          <w:szCs w:val="20"/>
          <w:color w:val="auto"/>
        </w:rPr>
        <w:tab/>
      </w:r>
      <w:r>
        <w:rPr>
          <w:rFonts w:ascii="Courier New" w:cs="Courier New" w:eastAsia="Courier New" w:hAnsi="Courier New"/>
          <w:sz w:val="16"/>
          <w:szCs w:val="16"/>
          <w:color w:val="auto"/>
        </w:rPr>
        <w:t>(in</w:t>
      </w:r>
    </w:p>
    <w:tbl>
      <w:tblPr>
        <w:tblLayout w:type="fixed"/>
        <w:tblInd w:w="0" w:type="dxa"/>
        <w:tblCellMar>
          <w:top w:w="0" w:type="dxa"/>
          <w:left w:w="0" w:type="dxa"/>
          <w:bottom w:w="0" w:type="dxa"/>
          <w:right w:w="0" w:type="dxa"/>
        </w:tblCellMar>
      </w:tblP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rPr>
              <w:t>millions):</w:t>
            </w: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765"/>
        </w:trPr>
        <w:tc>
          <w:tcPr>
            <w:tcW w:w="5620" w:type="dxa"/>
            <w:vAlign w:val="bottom"/>
          </w:tcPr>
          <w:p>
            <w:pPr>
              <w:spacing w:after="0"/>
              <w:rPr>
                <w:sz w:val="24"/>
                <w:szCs w:val="24"/>
                <w:color w:val="auto"/>
              </w:rPr>
            </w:pPr>
          </w:p>
        </w:tc>
        <w:tc>
          <w:tcPr>
            <w:tcW w:w="2340" w:type="dxa"/>
            <w:vAlign w:val="bottom"/>
            <w:gridSpan w:val="2"/>
          </w:tcPr>
          <w:p>
            <w:pPr>
              <w:ind w:left="340"/>
              <w:spacing w:after="0"/>
              <w:rPr>
                <w:sz w:val="20"/>
                <w:szCs w:val="20"/>
                <w:color w:val="auto"/>
              </w:rPr>
            </w:pPr>
            <w:r>
              <w:rPr>
                <w:rFonts w:ascii="Courier New" w:cs="Courier New" w:eastAsia="Courier New" w:hAnsi="Courier New"/>
                <w:sz w:val="17"/>
                <w:szCs w:val="17"/>
                <w:color w:val="auto"/>
              </w:rPr>
              <w:t>Three Months Ended</w:t>
            </w:r>
          </w:p>
        </w:tc>
      </w:tr>
      <w:tr>
        <w:trPr>
          <w:trHeight w:val="191"/>
        </w:trPr>
        <w:tc>
          <w:tcPr>
            <w:tcW w:w="5620" w:type="dxa"/>
            <w:vAlign w:val="bottom"/>
          </w:tcPr>
          <w:p>
            <w:pPr>
              <w:spacing w:after="0"/>
              <w:rPr>
                <w:sz w:val="16"/>
                <w:szCs w:val="16"/>
                <w:color w:val="auto"/>
              </w:rPr>
            </w:pPr>
          </w:p>
        </w:tc>
        <w:tc>
          <w:tcPr>
            <w:tcW w:w="234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September 30,</w:t>
            </w:r>
          </w:p>
        </w:tc>
      </w:tr>
      <w:tr>
        <w:trPr>
          <w:trHeight w:val="191"/>
        </w:trPr>
        <w:tc>
          <w:tcPr>
            <w:tcW w:w="5620" w:type="dxa"/>
            <w:vAlign w:val="bottom"/>
          </w:tcPr>
          <w:p>
            <w:pPr>
              <w:spacing w:after="0"/>
              <w:rPr>
                <w:sz w:val="16"/>
                <w:szCs w:val="16"/>
                <w:color w:val="auto"/>
              </w:rPr>
            </w:pP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2001</w:t>
            </w:r>
          </w:p>
        </w:tc>
        <w:tc>
          <w:tcPr>
            <w:tcW w:w="11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2000</w:t>
            </w:r>
          </w:p>
        </w:tc>
      </w:tr>
      <w:tr>
        <w:trPr>
          <w:trHeight w:val="191"/>
        </w:trPr>
        <w:tc>
          <w:tcPr>
            <w:tcW w:w="562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5620" w:type="dxa"/>
            <w:vAlign w:val="bottom"/>
          </w:tcPr>
          <w:p>
            <w:pPr>
              <w:spacing w:after="0"/>
              <w:rPr>
                <w:sz w:val="20"/>
                <w:szCs w:val="20"/>
                <w:color w:val="auto"/>
              </w:rPr>
            </w:pPr>
            <w:r>
              <w:rPr>
                <w:rFonts w:ascii="Courier New" w:cs="Courier New" w:eastAsia="Courier New" w:hAnsi="Courier New"/>
                <w:sz w:val="17"/>
                <w:szCs w:val="17"/>
                <w:color w:val="auto"/>
                <w:w w:val="99"/>
              </w:rPr>
              <w:t>Interest and dividend income...........................</w:t>
            </w:r>
          </w:p>
        </w:tc>
        <w:tc>
          <w:tcPr>
            <w:tcW w:w="12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$25.6</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$37.9</w:t>
            </w: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Gains on sales and exchanges of investments............</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17.2</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27.5</w:t>
            </w: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Investment impairment losses...........................</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(15.7)</w:t>
            </w:r>
          </w:p>
        </w:tc>
        <w:tc>
          <w:tcPr>
            <w:tcW w:w="1100" w:type="dxa"/>
            <w:vAlign w:val="bottom"/>
          </w:tcPr>
          <w:p>
            <w:pPr>
              <w:spacing w:after="0"/>
              <w:rPr>
                <w:sz w:val="16"/>
                <w:szCs w:val="16"/>
                <w:color w:val="auto"/>
              </w:rPr>
            </w:pP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Reclassification of unrealized gains...................</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237.9</w:t>
            </w:r>
          </w:p>
        </w:tc>
        <w:tc>
          <w:tcPr>
            <w:tcW w:w="1100" w:type="dxa"/>
            <w:vAlign w:val="bottom"/>
          </w:tcPr>
          <w:p>
            <w:pPr>
              <w:spacing w:after="0"/>
              <w:rPr>
                <w:sz w:val="16"/>
                <w:szCs w:val="16"/>
                <w:color w:val="auto"/>
              </w:rPr>
            </w:pP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Unrealized gain on Sprint PCS common stock.............</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154.5</w:t>
            </w:r>
          </w:p>
        </w:tc>
        <w:tc>
          <w:tcPr>
            <w:tcW w:w="1100" w:type="dxa"/>
            <w:vAlign w:val="bottom"/>
          </w:tcPr>
          <w:p>
            <w:pPr>
              <w:spacing w:after="0"/>
              <w:rPr>
                <w:sz w:val="16"/>
                <w:szCs w:val="16"/>
                <w:color w:val="auto"/>
              </w:rPr>
            </w:pP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rPr>
              <w:t>Mark to market adjustments on derivatives</w:t>
            </w: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6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9"/>
              </w:rPr>
              <w:t>related to Sprint PCS common stock................</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(120.2)</w:t>
            </w:r>
          </w:p>
        </w:tc>
        <w:tc>
          <w:tcPr>
            <w:tcW w:w="1100" w:type="dxa"/>
            <w:vAlign w:val="bottom"/>
          </w:tcPr>
          <w:p>
            <w:pPr>
              <w:spacing w:after="0"/>
              <w:rPr>
                <w:sz w:val="16"/>
                <w:szCs w:val="16"/>
                <w:color w:val="auto"/>
              </w:rPr>
            </w:pP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rPr>
              <w:t>Mark to market adjustments on derivatives and</w:t>
            </w: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6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9"/>
              </w:rPr>
              <w:t>hedged items......................................</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29.0</w:t>
            </w:r>
          </w:p>
        </w:tc>
        <w:tc>
          <w:tcPr>
            <w:tcW w:w="1100" w:type="dxa"/>
            <w:vAlign w:val="bottom"/>
          </w:tcPr>
          <w:p>
            <w:pPr>
              <w:spacing w:after="0"/>
              <w:rPr>
                <w:sz w:val="16"/>
                <w:szCs w:val="16"/>
                <w:color w:val="auto"/>
              </w:rPr>
            </w:pPr>
          </w:p>
        </w:tc>
      </w:tr>
      <w:tr>
        <w:trPr>
          <w:trHeight w:val="191"/>
        </w:trPr>
        <w:tc>
          <w:tcPr>
            <w:tcW w:w="562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620" w:type="dxa"/>
            <w:vAlign w:val="bottom"/>
          </w:tcPr>
          <w:p>
            <w:pPr>
              <w:ind w:left="500"/>
              <w:spacing w:after="0"/>
              <w:rPr>
                <w:sz w:val="20"/>
                <w:szCs w:val="20"/>
                <w:color w:val="auto"/>
              </w:rPr>
            </w:pPr>
            <w:r>
              <w:rPr>
                <w:rFonts w:ascii="Courier New" w:cs="Courier New" w:eastAsia="Courier New" w:hAnsi="Courier New"/>
                <w:sz w:val="17"/>
                <w:szCs w:val="17"/>
                <w:color w:val="auto"/>
                <w:w w:val="99"/>
              </w:rPr>
              <w:t>Investment income.................................</w:t>
            </w:r>
          </w:p>
        </w:tc>
        <w:tc>
          <w:tcPr>
            <w:tcW w:w="12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$328.3</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$65.4</w:t>
            </w:r>
          </w:p>
        </w:tc>
      </w:tr>
      <w:tr>
        <w:trPr>
          <w:trHeight w:val="191"/>
        </w:trPr>
        <w:tc>
          <w:tcPr>
            <w:tcW w:w="562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jc w:val="both"/>
        <w:ind w:firstLine="497"/>
        <w:spacing w:after="0" w:line="236" w:lineRule="auto"/>
        <w:rPr>
          <w:sz w:val="20"/>
          <w:szCs w:val="20"/>
          <w:color w:val="auto"/>
        </w:rPr>
      </w:pPr>
      <w:r>
        <w:rPr>
          <w:rFonts w:ascii="Courier New" w:cs="Courier New" w:eastAsia="Courier New" w:hAnsi="Courier New"/>
          <w:sz w:val="17"/>
          <w:szCs w:val="17"/>
          <w:color w:val="auto"/>
        </w:rPr>
        <w:t>The investment impairment loss for the nine months ended September 30, 2001 relates principally to an other than temporary decline in our investment in AT&amp;T, a portion of which was exchanged on April 30, 2001.</w:t>
      </w:r>
    </w:p>
    <w:p>
      <w:pPr>
        <w:spacing w:after="0" w:line="197" w:lineRule="exact"/>
        <w:rPr>
          <w:sz w:val="20"/>
          <w:szCs w:val="20"/>
          <w:color w:val="auto"/>
        </w:rPr>
      </w:pPr>
    </w:p>
    <w:p>
      <w:pPr>
        <w:jc w:val="both"/>
        <w:ind w:firstLine="497"/>
        <w:spacing w:after="0" w:line="237" w:lineRule="auto"/>
        <w:rPr>
          <w:sz w:val="20"/>
          <w:szCs w:val="20"/>
          <w:color w:val="auto"/>
        </w:rPr>
      </w:pPr>
      <w:r>
        <w:rPr>
          <w:rFonts w:ascii="Courier New" w:cs="Courier New" w:eastAsia="Courier New" w:hAnsi="Courier New"/>
          <w:sz w:val="17"/>
          <w:szCs w:val="17"/>
          <w:color w:val="auto"/>
        </w:rPr>
        <w:t>During the three months ended September 30, 2001, we wrote-off our investment in Excite@Home common stock based upon a decline in the investment that was considered other than temporary. In connection with the realization of this impairment loss, we reclassified to investment income the accumulated unrealized gain of $237.9 million on our investment in Excite@Home</w:t>
      </w:r>
    </w:p>
    <w:p>
      <w:pPr>
        <w:spacing w:after="0" w:line="190"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7"/>
          <w:szCs w:val="17"/>
          <w:color w:val="auto"/>
        </w:rPr>
        <w:t>Nine Months Ended</w:t>
      </w:r>
    </w:p>
    <w:p>
      <w:pPr>
        <w:jc w:val="center"/>
        <w:ind w:right="200"/>
        <w:spacing w:after="0" w:line="238" w:lineRule="auto"/>
        <w:rPr>
          <w:sz w:val="20"/>
          <w:szCs w:val="20"/>
          <w:color w:val="auto"/>
        </w:rPr>
      </w:pPr>
      <w:r>
        <w:rPr>
          <w:rFonts w:ascii="Courier New" w:cs="Courier New" w:eastAsia="Courier New" w:hAnsi="Courier New"/>
          <w:sz w:val="17"/>
          <w:szCs w:val="17"/>
          <w:color w:val="auto"/>
        </w:rPr>
        <w:t>September 30,</w:t>
      </w:r>
    </w:p>
    <w:p>
      <w:pPr>
        <w:ind w:left="200"/>
        <w:spacing w:after="0" w:line="238" w:lineRule="auto"/>
        <w:tabs>
          <w:tab w:leader="none" w:pos="1260" w:val="left"/>
        </w:tabs>
        <w:rPr>
          <w:sz w:val="20"/>
          <w:szCs w:val="20"/>
          <w:color w:val="auto"/>
        </w:rPr>
      </w:pPr>
      <w:r>
        <w:rPr>
          <w:rFonts w:ascii="Courier New" w:cs="Courier New" w:eastAsia="Courier New" w:hAnsi="Courier New"/>
          <w:sz w:val="17"/>
          <w:szCs w:val="17"/>
          <w:color w:val="auto"/>
        </w:rPr>
        <w:t>2001</w:t>
      </w:r>
      <w:r>
        <w:rPr>
          <w:sz w:val="20"/>
          <w:szCs w:val="20"/>
          <w:color w:val="auto"/>
        </w:rPr>
        <w:tab/>
      </w:r>
      <w:r>
        <w:rPr>
          <w:rFonts w:ascii="Courier New" w:cs="Courier New" w:eastAsia="Courier New" w:hAnsi="Courier New"/>
          <w:sz w:val="17"/>
          <w:szCs w:val="17"/>
          <w:color w:val="auto"/>
        </w:rPr>
        <w:t>2000</w:t>
      </w:r>
    </w:p>
    <w:p>
      <w:pPr>
        <w:spacing w:after="0"/>
        <w:tabs>
          <w:tab w:leader="none" w:pos="1060" w:val="left"/>
        </w:tabs>
        <w:rPr>
          <w:sz w:val="20"/>
          <w:szCs w:val="20"/>
          <w:color w:val="auto"/>
        </w:rPr>
      </w:pPr>
      <w:r>
        <w:rPr>
          <w:rFonts w:ascii="Courier New" w:cs="Courier New" w:eastAsia="Courier New" w:hAnsi="Courier New"/>
          <w:sz w:val="17"/>
          <w:szCs w:val="17"/>
          <w:color w:val="auto"/>
        </w:rPr>
        <w:t>---------</w:t>
        <w:tab/>
        <w:t>---------</w:t>
      </w:r>
    </w:p>
    <w:p>
      <w:pPr>
        <w:spacing w:after="0" w:line="380" w:lineRule="exact"/>
        <w:rPr>
          <w:sz w:val="20"/>
          <w:szCs w:val="20"/>
          <w:color w:val="auto"/>
        </w:rPr>
      </w:pPr>
    </w:p>
    <w:p>
      <w:pPr>
        <w:ind w:left="400"/>
        <w:spacing w:after="0"/>
        <w:tabs>
          <w:tab w:leader="none" w:pos="1360" w:val="left"/>
        </w:tabs>
        <w:rPr>
          <w:sz w:val="20"/>
          <w:szCs w:val="20"/>
          <w:color w:val="auto"/>
        </w:rPr>
      </w:pPr>
      <w:r>
        <w:rPr>
          <w:rFonts w:ascii="Courier New" w:cs="Courier New" w:eastAsia="Courier New" w:hAnsi="Courier New"/>
          <w:sz w:val="17"/>
          <w:szCs w:val="17"/>
          <w:color w:val="auto"/>
        </w:rPr>
        <w:t>$60.6</w:t>
      </w:r>
      <w:r>
        <w:rPr>
          <w:sz w:val="20"/>
          <w:szCs w:val="20"/>
          <w:color w:val="auto"/>
        </w:rPr>
        <w:tab/>
      </w:r>
      <w:r>
        <w:rPr>
          <w:rFonts w:ascii="Courier New" w:cs="Courier New" w:eastAsia="Courier New" w:hAnsi="Courier New"/>
          <w:sz w:val="16"/>
          <w:szCs w:val="16"/>
          <w:color w:val="auto"/>
        </w:rPr>
        <w:t>$143.1</w:t>
      </w:r>
    </w:p>
    <w:p>
      <w:pPr>
        <w:ind w:left="400"/>
        <w:spacing w:after="0"/>
        <w:tabs>
          <w:tab w:leader="none" w:pos="1460" w:val="left"/>
        </w:tabs>
        <w:rPr>
          <w:sz w:val="20"/>
          <w:szCs w:val="20"/>
          <w:color w:val="auto"/>
        </w:rPr>
      </w:pPr>
      <w:r>
        <w:rPr>
          <w:rFonts w:ascii="Courier New" w:cs="Courier New" w:eastAsia="Courier New" w:hAnsi="Courier New"/>
          <w:sz w:val="17"/>
          <w:szCs w:val="17"/>
          <w:color w:val="auto"/>
        </w:rPr>
        <w:t>476.8</w:t>
      </w:r>
      <w:r>
        <w:rPr>
          <w:sz w:val="20"/>
          <w:szCs w:val="20"/>
          <w:color w:val="auto"/>
        </w:rPr>
        <w:tab/>
      </w:r>
      <w:r>
        <w:rPr>
          <w:rFonts w:ascii="Courier New" w:cs="Courier New" w:eastAsia="Courier New" w:hAnsi="Courier New"/>
          <w:sz w:val="16"/>
          <w:szCs w:val="16"/>
          <w:color w:val="auto"/>
        </w:rPr>
        <w:t>889.1</w:t>
      </w:r>
    </w:p>
    <w:p>
      <w:pPr>
        <w:jc w:val="right"/>
        <w:spacing w:after="0"/>
        <w:tabs>
          <w:tab w:leader="none" w:pos="480" w:val="left"/>
        </w:tabs>
        <w:rPr>
          <w:sz w:val="20"/>
          <w:szCs w:val="20"/>
          <w:color w:val="auto"/>
        </w:rPr>
      </w:pPr>
      <w:r>
        <w:rPr>
          <w:rFonts w:ascii="Courier New" w:cs="Courier New" w:eastAsia="Courier New" w:hAnsi="Courier New"/>
          <w:sz w:val="17"/>
          <w:szCs w:val="17"/>
          <w:color w:val="auto"/>
        </w:rPr>
        <w:t>(954.8)</w:t>
      </w:r>
      <w:r>
        <w:rPr>
          <w:sz w:val="20"/>
          <w:szCs w:val="20"/>
          <w:color w:val="auto"/>
        </w:rPr>
        <w:tab/>
      </w:r>
      <w:r>
        <w:rPr>
          <w:rFonts w:ascii="Courier New" w:cs="Courier New" w:eastAsia="Courier New" w:hAnsi="Courier New"/>
          <w:sz w:val="16"/>
          <w:szCs w:val="16"/>
          <w:color w:val="auto"/>
        </w:rPr>
        <w:t>(7.4)</w:t>
      </w:r>
    </w:p>
    <w:p>
      <w:pPr>
        <w:jc w:val="right"/>
        <w:ind w:right="1180"/>
        <w:spacing w:after="0"/>
        <w:rPr>
          <w:sz w:val="20"/>
          <w:szCs w:val="20"/>
          <w:color w:val="auto"/>
        </w:rPr>
      </w:pPr>
      <w:r>
        <w:rPr>
          <w:rFonts w:ascii="Courier New" w:cs="Courier New" w:eastAsia="Courier New" w:hAnsi="Courier New"/>
          <w:sz w:val="17"/>
          <w:szCs w:val="17"/>
          <w:color w:val="auto"/>
        </w:rPr>
        <w:t>1,330.3</w:t>
      </w:r>
    </w:p>
    <w:p>
      <w:pPr>
        <w:jc w:val="right"/>
        <w:ind w:right="1180"/>
        <w:spacing w:after="0" w:line="237" w:lineRule="auto"/>
        <w:rPr>
          <w:sz w:val="20"/>
          <w:szCs w:val="20"/>
          <w:color w:val="auto"/>
        </w:rPr>
      </w:pPr>
      <w:r>
        <w:rPr>
          <w:rFonts w:ascii="Courier New" w:cs="Courier New" w:eastAsia="Courier New" w:hAnsi="Courier New"/>
          <w:sz w:val="17"/>
          <w:szCs w:val="17"/>
          <w:color w:val="auto"/>
        </w:rPr>
        <w:t>420.1</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(311.7)</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24.4</w:t>
      </w:r>
    </w:p>
    <w:p>
      <w:pPr>
        <w:spacing w:after="0" w:line="238" w:lineRule="auto"/>
        <w:tabs>
          <w:tab w:leader="none" w:pos="1060" w:val="left"/>
        </w:tabs>
        <w:rPr>
          <w:sz w:val="20"/>
          <w:szCs w:val="20"/>
          <w:color w:val="auto"/>
        </w:rPr>
      </w:pPr>
      <w:r>
        <w:rPr>
          <w:rFonts w:ascii="Courier New" w:cs="Courier New" w:eastAsia="Courier New" w:hAnsi="Courier New"/>
          <w:sz w:val="17"/>
          <w:szCs w:val="17"/>
          <w:color w:val="auto"/>
        </w:rPr>
        <w:t>---------</w:t>
        <w:tab/>
        <w:t>---------</w:t>
      </w:r>
    </w:p>
    <w:p>
      <w:pPr>
        <w:spacing w:after="0" w:line="190" w:lineRule="exact"/>
        <w:rPr>
          <w:sz w:val="20"/>
          <w:szCs w:val="20"/>
          <w:color w:val="auto"/>
        </w:rPr>
      </w:pPr>
    </w:p>
    <w:p>
      <w:pPr>
        <w:ind w:left="100"/>
        <w:spacing w:after="0"/>
        <w:tabs>
          <w:tab w:leader="none" w:pos="1160" w:val="left"/>
        </w:tabs>
        <w:rPr>
          <w:sz w:val="20"/>
          <w:szCs w:val="20"/>
          <w:color w:val="auto"/>
        </w:rPr>
      </w:pPr>
      <w:r>
        <w:rPr>
          <w:rFonts w:ascii="Courier New" w:cs="Courier New" w:eastAsia="Courier New" w:hAnsi="Courier New"/>
          <w:sz w:val="17"/>
          <w:szCs w:val="17"/>
          <w:color w:val="auto"/>
        </w:rPr>
        <w:t>$1,045.7</w:t>
      </w:r>
      <w:r>
        <w:rPr>
          <w:sz w:val="20"/>
          <w:szCs w:val="20"/>
          <w:color w:val="auto"/>
        </w:rPr>
        <w:tab/>
      </w:r>
      <w:r>
        <w:rPr>
          <w:rFonts w:ascii="Courier New" w:cs="Courier New" w:eastAsia="Courier New" w:hAnsi="Courier New"/>
          <w:sz w:val="16"/>
          <w:szCs w:val="16"/>
          <w:color w:val="auto"/>
        </w:rPr>
        <w:t>$1,024.8</w:t>
      </w:r>
    </w:p>
    <w:p>
      <w:pPr>
        <w:spacing w:after="0" w:line="238" w:lineRule="auto"/>
        <w:tabs>
          <w:tab w:leader="none" w:pos="1060" w:val="left"/>
        </w:tabs>
        <w:rPr>
          <w:sz w:val="20"/>
          <w:szCs w:val="20"/>
          <w:color w:val="auto"/>
        </w:rPr>
      </w:pPr>
      <w:r>
        <w:rPr>
          <w:rFonts w:ascii="Courier New" w:cs="Courier New" w:eastAsia="Courier New" w:hAnsi="Courier New"/>
          <w:sz w:val="17"/>
          <w:szCs w:val="17"/>
          <w:color w:val="auto"/>
        </w:rPr>
        <w:t>=========</w:t>
        <w:tab/>
        <w:t>=========</w:t>
      </w:r>
    </w:p>
    <w:p>
      <w:pPr>
        <w:sectPr>
          <w:pgSz w:w="11900" w:h="16838" w:orient="portrait"/>
          <w:cols w:equalWidth="0" w:num="2">
            <w:col w:w="7960" w:space="400"/>
            <w:col w:w="2080"/>
          </w:cols>
          <w:pgMar w:left="240" w:top="683" w:right="1219" w:bottom="289" w:gutter="0" w:footer="0" w:header="0"/>
        </w:sectPr>
      </w:pPr>
    </w:p>
    <w:bookmarkStart w:id="31" w:name="page32"/>
    <w:bookmarkEnd w:id="31"/>
    <w:p>
      <w:pPr>
        <w:jc w:val="center"/>
        <w:ind w:right="2259"/>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2159"/>
        <w:spacing w:after="0" w:line="238" w:lineRule="auto"/>
        <w:rPr>
          <w:sz w:val="20"/>
          <w:szCs w:val="20"/>
          <w:color w:val="auto"/>
        </w:rPr>
      </w:pPr>
      <w:r>
        <w:rPr>
          <w:rFonts w:ascii="Courier New" w:cs="Courier New" w:eastAsia="Courier New" w:hAnsi="Courier New"/>
          <w:sz w:val="17"/>
          <w:szCs w:val="17"/>
          <w:color w:val="auto"/>
        </w:rPr>
        <w:t>FORM 10-Q</w:t>
      </w:r>
    </w:p>
    <w:p>
      <w:pPr>
        <w:jc w:val="center"/>
        <w:ind w:right="2259"/>
        <w:spacing w:after="0" w:line="238" w:lineRule="auto"/>
        <w:rPr>
          <w:sz w:val="20"/>
          <w:szCs w:val="20"/>
          <w:color w:val="auto"/>
        </w:rPr>
      </w:pPr>
      <w:r>
        <w:rPr>
          <w:rFonts w:ascii="Courier New" w:cs="Courier New" w:eastAsia="Courier New" w:hAnsi="Courier New"/>
          <w:sz w:val="17"/>
          <w:szCs w:val="17"/>
          <w:color w:val="auto"/>
        </w:rPr>
        <w:t>QUARTER ENDED SEPTEMBER 30, 2001</w:t>
      </w:r>
    </w:p>
    <w:p>
      <w:pPr>
        <w:spacing w:after="0" w:line="388" w:lineRule="exact"/>
        <w:rPr>
          <w:sz w:val="20"/>
          <w:szCs w:val="20"/>
          <w:color w:val="auto"/>
        </w:rPr>
      </w:pPr>
    </w:p>
    <w:p>
      <w:pPr>
        <w:jc w:val="both"/>
        <w:ind w:right="2259"/>
        <w:spacing w:after="0" w:line="236" w:lineRule="auto"/>
        <w:rPr>
          <w:sz w:val="20"/>
          <w:szCs w:val="20"/>
          <w:color w:val="auto"/>
        </w:rPr>
      </w:pPr>
      <w:r>
        <w:rPr>
          <w:rFonts w:ascii="Courier New" w:cs="Courier New" w:eastAsia="Courier New" w:hAnsi="Courier New"/>
          <w:sz w:val="17"/>
          <w:szCs w:val="17"/>
          <w:color w:val="auto"/>
        </w:rPr>
        <w:t>common stock which was previously recorded as a component of accumulated other comprehensive income. We recorded this accumulated unrealized gain prior to our designation of our right under a stockholders agreement as a hedge of our investment in the Excite@Home common stock.</w:t>
      </w:r>
    </w:p>
    <w:p>
      <w:pPr>
        <w:spacing w:after="0" w:line="199" w:lineRule="exact"/>
        <w:rPr>
          <w:sz w:val="20"/>
          <w:szCs w:val="20"/>
          <w:color w:val="auto"/>
        </w:rPr>
      </w:pPr>
    </w:p>
    <w:p>
      <w:pPr>
        <w:jc w:val="both"/>
        <w:ind w:right="2259" w:firstLine="497"/>
        <w:spacing w:after="0" w:line="237" w:lineRule="auto"/>
        <w:rPr>
          <w:sz w:val="20"/>
          <w:szCs w:val="20"/>
          <w:color w:val="auto"/>
        </w:rPr>
      </w:pPr>
      <w:r>
        <w:rPr>
          <w:rFonts w:ascii="Courier New" w:cs="Courier New" w:eastAsia="Courier New" w:hAnsi="Courier New"/>
          <w:sz w:val="17"/>
          <w:szCs w:val="17"/>
          <w:color w:val="auto"/>
        </w:rPr>
        <w:t>In connection with the reclassification of our investment in Sprint PCS from an available for sale security to a trading security, we reclassified to investment income the accumulated unrealized gain of $1.092 billion on our investment in Sprint PCS which was previously recorded as a component of accumulated other comprehensive income.</w:t>
      </w:r>
    </w:p>
    <w:p>
      <w:pPr>
        <w:ind w:left="2980"/>
        <w:spacing w:after="0" w:line="238" w:lineRule="auto"/>
        <w:rPr>
          <w:sz w:val="20"/>
          <w:szCs w:val="20"/>
          <w:color w:val="auto"/>
        </w:rPr>
      </w:pPr>
      <w:r>
        <w:rPr>
          <w:rFonts w:ascii="Courier New" w:cs="Courier New" w:eastAsia="Courier New" w:hAnsi="Courier New"/>
          <w:sz w:val="17"/>
          <w:szCs w:val="17"/>
          <w:color w:val="auto"/>
        </w:rPr>
        <w:t>_____________________</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Income Related to Indexed Debt</w:t>
      </w:r>
    </w:p>
    <w:p>
      <w:pPr>
        <w:spacing w:after="0" w:line="196" w:lineRule="exact"/>
        <w:rPr>
          <w:sz w:val="20"/>
          <w:szCs w:val="20"/>
          <w:color w:val="auto"/>
        </w:rPr>
      </w:pPr>
    </w:p>
    <w:p>
      <w:pPr>
        <w:jc w:val="both"/>
        <w:ind w:right="2259" w:firstLine="497"/>
        <w:spacing w:after="0" w:line="237" w:lineRule="auto"/>
        <w:rPr>
          <w:sz w:val="20"/>
          <w:szCs w:val="20"/>
          <w:color w:val="auto"/>
        </w:rPr>
      </w:pPr>
      <w:r>
        <w:rPr>
          <w:rFonts w:ascii="Courier New" w:cs="Courier New" w:eastAsia="Courier New" w:hAnsi="Courier New"/>
          <w:sz w:val="17"/>
          <w:szCs w:val="17"/>
          <w:color w:val="auto"/>
        </w:rPr>
        <w:t>Through December 31, 2000, we accounted for the ZONES as an indexed debt instrument since the maturity value is dependent upon the fair value of Sprint PCS common stock. During the 2000 interim periods, we recorded income related to indexed debt of $1.064 billion and $666.0 million, respectively, to reflect fair value of the underlying Sprint PCS common stock.</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Equity in Net Losses of Affiliates</w:t>
      </w:r>
    </w:p>
    <w:p>
      <w:pPr>
        <w:spacing w:after="0" w:line="196"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The increases in equity in net losses of affiliates for the interim periods from 2000 to 2001 are primarily attributable to effects of our additional investments, as well as the effects of changes in the net income or loss of our equity method investees.</w:t>
      </w:r>
    </w:p>
    <w:p>
      <w:pPr>
        <w:spacing w:after="0" w:line="19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Other Income (Expense)</w:t>
      </w:r>
    </w:p>
    <w:p>
      <w:pPr>
        <w:spacing w:after="0" w:line="196" w:lineRule="exact"/>
        <w:rPr>
          <w:sz w:val="20"/>
          <w:szCs w:val="20"/>
          <w:color w:val="auto"/>
        </w:rPr>
      </w:pPr>
    </w:p>
    <w:p>
      <w:pPr>
        <w:jc w:val="both"/>
        <w:ind w:right="2259" w:firstLine="497"/>
        <w:spacing w:after="0" w:line="254" w:lineRule="auto"/>
        <w:rPr>
          <w:sz w:val="20"/>
          <w:szCs w:val="20"/>
          <w:color w:val="auto"/>
        </w:rPr>
      </w:pPr>
      <w:r>
        <w:rPr>
          <w:rFonts w:ascii="Courier New" w:cs="Courier New" w:eastAsia="Courier New" w:hAnsi="Courier New"/>
          <w:sz w:val="16"/>
          <w:szCs w:val="16"/>
          <w:color w:val="auto"/>
        </w:rPr>
        <w:t>On January 1, 2001, we completed our cable systems exchange with Adelphia. We received cable systems serving approximately 445,000 subscribers from Adelphia in exchange for certain of our cable systems serving approximately 441,000 subscribers. We recorded a pre-tax gain of $1.199 billion, representing the difference between the estimated fair value as of the closing date of the transaction and our cost basis in the systems exchanged.</w:t>
      </w:r>
    </w:p>
    <w:p>
      <w:pPr>
        <w:spacing w:after="0" w:line="188" w:lineRule="exact"/>
        <w:rPr>
          <w:sz w:val="20"/>
          <w:szCs w:val="20"/>
          <w:color w:val="auto"/>
        </w:rPr>
      </w:pPr>
    </w:p>
    <w:p>
      <w:pPr>
        <w:jc w:val="both"/>
        <w:ind w:right="2259" w:firstLine="497"/>
        <w:spacing w:after="0" w:line="237" w:lineRule="auto"/>
        <w:rPr>
          <w:sz w:val="20"/>
          <w:szCs w:val="20"/>
          <w:color w:val="auto"/>
        </w:rPr>
      </w:pPr>
      <w:r>
        <w:rPr>
          <w:rFonts w:ascii="Courier New" w:cs="Courier New" w:eastAsia="Courier New" w:hAnsi="Courier New"/>
          <w:sz w:val="17"/>
          <w:szCs w:val="17"/>
          <w:color w:val="auto"/>
        </w:rPr>
        <w:t>In August 2000, we obtained the right to exchange our Excite@Home Series A Common Stock with AT&amp;T and we waived certain of our Excite@Home Board level and shareholder rights under a stockholders agreement. In connection with the transaction, we recorded a pre-tax gain of $1.045 billion, representing the estimated fair value of the investment as of the closing date.</w:t>
      </w:r>
    </w:p>
    <w:p>
      <w:pPr>
        <w:spacing w:after="0" w:line="197" w:lineRule="exact"/>
        <w:rPr>
          <w:sz w:val="20"/>
          <w:szCs w:val="20"/>
          <w:color w:val="auto"/>
        </w:rPr>
      </w:pPr>
    </w:p>
    <w:p>
      <w:pPr>
        <w:jc w:val="both"/>
        <w:ind w:right="2259" w:firstLine="497"/>
        <w:spacing w:after="0" w:line="237" w:lineRule="auto"/>
        <w:rPr>
          <w:sz w:val="20"/>
          <w:szCs w:val="20"/>
          <w:color w:val="auto"/>
        </w:rPr>
      </w:pPr>
      <w:r>
        <w:rPr>
          <w:rFonts w:ascii="Courier New" w:cs="Courier New" w:eastAsia="Courier New" w:hAnsi="Courier New"/>
          <w:sz w:val="17"/>
          <w:szCs w:val="17"/>
          <w:color w:val="auto"/>
        </w:rPr>
        <w:t>In August 2000, we exchanged all of the capital stock of a wholly owned subsidiary which held certain wireless licenses for approximately 3.2 million shares of AT&amp;T common stock. In connection with the exchange, we recognized a pre-tax gain of $98.1 million, representing the difference between the fair value of the AT&amp;T shares received of $100.0 million and our cost basis in the subsidiary.</w:t>
      </w:r>
    </w:p>
    <w:p>
      <w:pPr>
        <w:spacing w:after="0" w:line="19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Income Tax Expense</w:t>
      </w:r>
    </w:p>
    <w:p>
      <w:pPr>
        <w:spacing w:after="0" w:line="196"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The changes in income tax expense for the interim periods from 2000 to 2001 are primarily the result of the effects of changes in our income before taxes and minority interest, and non-deductible goodwill amortization.</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Minority Interest</w:t>
      </w:r>
    </w:p>
    <w:p>
      <w:pPr>
        <w:spacing w:after="0" w:line="196"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The changes in minority interest for the interim periods from 2000 to 2001 are attributable to the effects of changes in the net income or loss of our less than 100% owned consolidated subsidiaries.</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Extraordinary Items</w:t>
      </w:r>
    </w:p>
    <w:p>
      <w:pPr>
        <w:spacing w:after="0" w:line="196"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We incurred debt extinguishment costs and wrote off unamortized debt issue costs principally in connection with the redemption and retirement of certain indebtedness, resulting in extraordinary losses, net of tax, during the 2001 and 2000 interim periods.</w:t>
      </w:r>
    </w:p>
    <w:p>
      <w:pPr>
        <w:spacing w:after="0" w:line="19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Cumulative Effect of Accounting Change</w:t>
      </w:r>
    </w:p>
    <w:p>
      <w:pPr>
        <w:spacing w:after="0" w:line="196" w:lineRule="exact"/>
        <w:rPr>
          <w:sz w:val="20"/>
          <w:szCs w:val="20"/>
          <w:color w:val="auto"/>
        </w:rPr>
      </w:pPr>
    </w:p>
    <w:p>
      <w:pPr>
        <w:jc w:val="both"/>
        <w:ind w:right="2259" w:firstLine="497"/>
        <w:spacing w:after="0" w:line="237" w:lineRule="auto"/>
        <w:rPr>
          <w:sz w:val="20"/>
          <w:szCs w:val="20"/>
          <w:color w:val="auto"/>
        </w:rPr>
      </w:pPr>
      <w:r>
        <w:rPr>
          <w:rFonts w:ascii="Courier New" w:cs="Courier New" w:eastAsia="Courier New" w:hAnsi="Courier New"/>
          <w:sz w:val="17"/>
          <w:szCs w:val="17"/>
          <w:color w:val="auto"/>
        </w:rPr>
        <w:t>Upon adoption of SFAS No. 133, we recognized as income a cumulative effect of accounting change, net of related income taxes, of $384.5 million during the nine months ended September 30, 2001. The income consisted of a $400.2 million adjustment to record the debt component of our ZONES at a discount from its value at maturity and $191.3 million principally related to the reclassification of gains previously recognized as a component of accumulated other comprehensive income on our equity derivative instruments, net of related deferred income taxes.</w:t>
      </w:r>
    </w:p>
    <w:p>
      <w:pPr>
        <w:sectPr>
          <w:pgSz w:w="11900" w:h="16838" w:orient="portrait"/>
          <w:cols w:equalWidth="0" w:num="1">
            <w:col w:w="10219"/>
          </w:cols>
          <w:pgMar w:left="240" w:top="683" w:right="1440" w:bottom="0" w:gutter="0" w:footer="0" w:header="0"/>
        </w:sectPr>
      </w:pPr>
    </w:p>
    <w:bookmarkStart w:id="32" w:name="page33"/>
    <w:bookmarkEnd w:id="32"/>
    <w:p>
      <w:pPr>
        <w:spacing w:after="0"/>
        <w:rPr>
          <w:sz w:val="20"/>
          <w:szCs w:val="20"/>
          <w:color w:val="auto"/>
        </w:rPr>
      </w:pPr>
      <w:r>
        <w:rPr>
          <w:rFonts w:ascii="Courier New" w:cs="Courier New" w:eastAsia="Courier New" w:hAnsi="Courier New"/>
          <w:sz w:val="16"/>
          <w:szCs w:val="16"/>
          <w:color w:val="auto"/>
        </w:rPr>
        <w:t>We believe that our operations are not materially affected by inflation.</w:t>
      </w:r>
    </w:p>
    <w:p>
      <w:pPr>
        <w:sectPr>
          <w:pgSz w:w="11900" w:h="16838" w:orient="portrait"/>
          <w:cols w:equalWidth="0" w:num="1">
            <w:col w:w="9719"/>
          </w:cols>
          <w:pgMar w:left="740" w:top="333" w:right="1440" w:bottom="1440" w:gutter="0" w:footer="0" w:header="0"/>
        </w:sectPr>
      </w:pP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9719"/>
          </w:cols>
          <w:pgMar w:left="740" w:top="333" w:right="1440" w:bottom="1440" w:gutter="0" w:footer="0" w:header="0"/>
          <w:type w:val="continuous"/>
        </w:sectPr>
      </w:pPr>
    </w:p>
    <w:bookmarkStart w:id="33" w:name="page34"/>
    <w:bookmarkEnd w:id="33"/>
    <w:p>
      <w:pPr>
        <w:jc w:val="center"/>
        <w:ind w:right="2259"/>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2159"/>
        <w:spacing w:after="0" w:line="238" w:lineRule="auto"/>
        <w:rPr>
          <w:sz w:val="20"/>
          <w:szCs w:val="20"/>
          <w:color w:val="auto"/>
        </w:rPr>
      </w:pPr>
      <w:r>
        <w:rPr>
          <w:rFonts w:ascii="Courier New" w:cs="Courier New" w:eastAsia="Courier New" w:hAnsi="Courier New"/>
          <w:sz w:val="17"/>
          <w:szCs w:val="17"/>
          <w:color w:val="auto"/>
        </w:rPr>
        <w:t>FORM 10-Q</w:t>
      </w:r>
    </w:p>
    <w:p>
      <w:pPr>
        <w:jc w:val="center"/>
        <w:ind w:right="2259"/>
        <w:spacing w:after="0" w:line="238" w:lineRule="auto"/>
        <w:rPr>
          <w:sz w:val="20"/>
          <w:szCs w:val="20"/>
          <w:color w:val="auto"/>
        </w:rPr>
      </w:pPr>
      <w:r>
        <w:rPr>
          <w:rFonts w:ascii="Courier New" w:cs="Courier New" w:eastAsia="Courier New" w:hAnsi="Courier New"/>
          <w:sz w:val="17"/>
          <w:szCs w:val="17"/>
          <w:color w:val="auto"/>
        </w:rPr>
        <w:t>QUARTER ENDED SEPTEMBER 30, 2001</w:t>
      </w:r>
    </w:p>
    <w:p>
      <w:pPr>
        <w:spacing w:after="0" w:line="200" w:lineRule="exact"/>
        <w:rPr>
          <w:sz w:val="20"/>
          <w:szCs w:val="20"/>
          <w:color w:val="auto"/>
        </w:rPr>
      </w:pPr>
    </w:p>
    <w:p>
      <w:pPr>
        <w:spacing w:after="0" w:line="373"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38" w:lineRule="auto"/>
        <w:tabs>
          <w:tab w:leader="none" w:pos="9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190"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196" w:lineRule="exact"/>
        <w:rPr>
          <w:sz w:val="20"/>
          <w:szCs w:val="20"/>
          <w:color w:val="auto"/>
        </w:rPr>
      </w:pPr>
    </w:p>
    <w:p>
      <w:pPr>
        <w:jc w:val="both"/>
        <w:ind w:left="500" w:right="2259"/>
        <w:spacing w:after="0" w:line="237" w:lineRule="auto"/>
        <w:rPr>
          <w:sz w:val="20"/>
          <w:szCs w:val="20"/>
          <w:color w:val="auto"/>
        </w:rPr>
      </w:pPr>
      <w:r>
        <w:rPr>
          <w:rFonts w:ascii="Courier New" w:cs="Courier New" w:eastAsia="Courier New" w:hAnsi="Courier New"/>
          <w:sz w:val="17"/>
          <w:szCs w:val="17"/>
          <w:color w:val="auto"/>
        </w:rPr>
        <w:t>We are subject to legal proceedings and claims which arise in the ordinary course of our business. In the opinion of our management, the amount of ultimate liability with respect to such actions is not expected to materially affect our financial position, results of operations or liquidity.</w:t>
      </w:r>
    </w:p>
    <w:p>
      <w:pPr>
        <w:spacing w:after="0" w:line="190"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196" w:lineRule="exact"/>
        <w:rPr>
          <w:sz w:val="20"/>
          <w:szCs w:val="20"/>
          <w:color w:val="auto"/>
        </w:rPr>
      </w:pPr>
    </w:p>
    <w:p>
      <w:pPr>
        <w:ind w:left="1000" w:right="3259" w:hanging="501"/>
        <w:spacing w:after="0" w:line="468" w:lineRule="auto"/>
        <w:tabs>
          <w:tab w:leader="none" w:pos="10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 required to be filed by Item 601 of Regulation S-K: None.</w:t>
      </w:r>
    </w:p>
    <w:p>
      <w:pPr>
        <w:spacing w:after="0" w:line="7" w:lineRule="exact"/>
        <w:rPr>
          <w:rFonts w:ascii="Courier New" w:cs="Courier New" w:eastAsia="Courier New" w:hAnsi="Courier New"/>
          <w:sz w:val="17"/>
          <w:szCs w:val="17"/>
          <w:color w:val="auto"/>
        </w:rPr>
      </w:pPr>
    </w:p>
    <w:p>
      <w:pPr>
        <w:ind w:left="1000" w:hanging="501"/>
        <w:spacing w:after="0"/>
        <w:tabs>
          <w:tab w:leader="none" w:pos="10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w:t>
      </w:r>
    </w:p>
    <w:p>
      <w:pPr>
        <w:spacing w:after="0" w:line="196" w:lineRule="exact"/>
        <w:rPr>
          <w:rFonts w:ascii="Courier New" w:cs="Courier New" w:eastAsia="Courier New" w:hAnsi="Courier New"/>
          <w:sz w:val="17"/>
          <w:szCs w:val="17"/>
          <w:color w:val="auto"/>
        </w:rPr>
      </w:pPr>
    </w:p>
    <w:p>
      <w:pPr>
        <w:jc w:val="both"/>
        <w:ind w:left="1500" w:right="2259" w:hanging="504"/>
        <w:spacing w:after="0" w:line="236" w:lineRule="auto"/>
        <w:tabs>
          <w:tab w:leader="none" w:pos="1500"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filed a Current Report on Form 8-K under Items 5 and 7(c) on July 9, 2001 relating to our announcement that we had made an unsolicited proposal to acquire the core broadband assets of AT&amp;T Corp.</w:t>
      </w:r>
    </w:p>
    <w:p>
      <w:pPr>
        <w:spacing w:after="0" w:line="38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683" w:right="1440" w:bottom="1440" w:gutter="0" w:footer="0" w:header="0"/>
        </w:sectPr>
      </w:pPr>
    </w:p>
    <w:bookmarkStart w:id="34" w:name="page35"/>
    <w:bookmarkEnd w:id="34"/>
    <w:p>
      <w:pPr>
        <w:jc w:val="center"/>
        <w:ind w:right="2259"/>
        <w:spacing w:after="0"/>
        <w:rPr>
          <w:sz w:val="20"/>
          <w:szCs w:val="20"/>
          <w:color w:val="auto"/>
        </w:rPr>
      </w:pPr>
      <w:r>
        <w:rPr>
          <w:rFonts w:ascii="Courier New" w:cs="Courier New" w:eastAsia="Courier New" w:hAnsi="Courier New"/>
          <w:sz w:val="17"/>
          <w:szCs w:val="17"/>
          <w:color w:val="auto"/>
        </w:rPr>
        <w:t>COMCAST CORPORATION AND SUBSIDIARIES</w:t>
      </w:r>
    </w:p>
    <w:p>
      <w:pPr>
        <w:jc w:val="center"/>
        <w:ind w:right="2159"/>
        <w:spacing w:after="0" w:line="238" w:lineRule="auto"/>
        <w:rPr>
          <w:sz w:val="20"/>
          <w:szCs w:val="20"/>
          <w:color w:val="auto"/>
        </w:rPr>
      </w:pPr>
      <w:r>
        <w:rPr>
          <w:rFonts w:ascii="Courier New" w:cs="Courier New" w:eastAsia="Courier New" w:hAnsi="Courier New"/>
          <w:sz w:val="17"/>
          <w:szCs w:val="17"/>
          <w:color w:val="auto"/>
        </w:rPr>
        <w:t>FORM 10-Q</w:t>
      </w:r>
    </w:p>
    <w:p>
      <w:pPr>
        <w:jc w:val="center"/>
        <w:ind w:right="2259"/>
        <w:spacing w:after="0" w:line="238" w:lineRule="auto"/>
        <w:rPr>
          <w:sz w:val="20"/>
          <w:szCs w:val="20"/>
          <w:color w:val="auto"/>
        </w:rPr>
      </w:pPr>
      <w:r>
        <w:rPr>
          <w:rFonts w:ascii="Courier New" w:cs="Courier New" w:eastAsia="Courier New" w:hAnsi="Courier New"/>
          <w:sz w:val="17"/>
          <w:szCs w:val="17"/>
          <w:color w:val="auto"/>
        </w:rPr>
        <w:t>QUARTER ENDED SEPTEMBER 30, 2001</w:t>
      </w:r>
    </w:p>
    <w:p>
      <w:pPr>
        <w:spacing w:after="0" w:line="19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SIGNATURE</w:t>
      </w:r>
    </w:p>
    <w:p>
      <w:pPr>
        <w:spacing w:after="0" w:line="196" w:lineRule="exact"/>
        <w:rPr>
          <w:sz w:val="20"/>
          <w:szCs w:val="20"/>
          <w:color w:val="auto"/>
        </w:rPr>
      </w:pPr>
    </w:p>
    <w:p>
      <w:pPr>
        <w:jc w:val="both"/>
        <w:ind w:right="2259" w:firstLine="895"/>
        <w:spacing w:after="0" w:line="236"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7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COMCAST CORPORATION</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7"/>
          <w:szCs w:val="17"/>
          <w:color w:val="auto"/>
        </w:rPr>
        <w:t>/S/ LAWRENCE J. SALVA</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Lawrence J. Salva</w:t>
      </w:r>
    </w:p>
    <w:p>
      <w:pPr>
        <w:ind w:left="3980"/>
        <w:spacing w:after="0" w:line="238" w:lineRule="auto"/>
        <w:rPr>
          <w:sz w:val="20"/>
          <w:szCs w:val="20"/>
          <w:color w:val="auto"/>
        </w:rPr>
      </w:pPr>
      <w:r>
        <w:rPr>
          <w:rFonts w:ascii="Courier New" w:cs="Courier New" w:eastAsia="Courier New" w:hAnsi="Courier New"/>
          <w:sz w:val="17"/>
          <w:szCs w:val="17"/>
          <w:color w:val="auto"/>
        </w:rPr>
        <w:t>Senior Vice President</w:t>
      </w:r>
    </w:p>
    <w:p>
      <w:pPr>
        <w:ind w:left="3980"/>
        <w:spacing w:after="0" w:line="238" w:lineRule="auto"/>
        <w:rPr>
          <w:sz w:val="20"/>
          <w:szCs w:val="20"/>
          <w:color w:val="auto"/>
        </w:rPr>
      </w:pPr>
      <w:r>
        <w:rPr>
          <w:rFonts w:ascii="Courier New" w:cs="Courier New" w:eastAsia="Courier New" w:hAnsi="Courier New"/>
          <w:sz w:val="17"/>
          <w:szCs w:val="17"/>
          <w:color w:val="auto"/>
        </w:rPr>
        <w:t>(Principal Accounting Officer)</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November 2,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26</w:t>
      </w:r>
    </w:p>
    <w:sectPr>
      <w:pgSz w:w="11900" w:h="16838" w:orient="portrait"/>
      <w:cols w:equalWidth="0" w:num="1">
        <w:col w:w="10219"/>
      </w:cols>
      <w:pgMar w:left="240" w:top="68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24"/>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o"/>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3"/>
    </w:lvl>
  </w:abstractNum>
  <w:abstractNum w:abstractNumId="5">
    <w:nsid w:val="66EF438D"/>
    <w:multiLevelType w:val="hybridMultilevel"/>
    <w:lvl w:ilvl="0">
      <w:lvlJc w:val="left"/>
      <w:lvlText w:val="%1."/>
      <w:numFmt w:val="decimal"/>
      <w:start w:val="4"/>
    </w:lvl>
  </w:abstractNum>
  <w:abstractNum w:abstractNumId="6">
    <w:nsid w:val="140E0F76"/>
    <w:multiLevelType w:val="hybridMultilevel"/>
    <w:lvl w:ilvl="0">
      <w:lvlJc w:val="left"/>
      <w:lvlText w:val="%1."/>
      <w:numFmt w:val="decimal"/>
      <w:start w:val="6"/>
    </w:lvl>
  </w:abstractNum>
  <w:abstractNum w:abstractNumId="7">
    <w:nsid w:val="3352255A"/>
    <w:multiLevelType w:val="hybridMultilevel"/>
    <w:lvl w:ilvl="0">
      <w:lvlJc w:val="left"/>
      <w:lvlText w:val="%1."/>
      <w:numFmt w:val="decimal"/>
      <w:start w:val="7"/>
    </w:lvl>
  </w:abstractNum>
  <w:abstractNum w:abstractNumId="8">
    <w:nsid w:val="109CF92E"/>
    <w:multiLevelType w:val="hybridMultilevel"/>
    <w:lvl w:ilvl="0">
      <w:lvlJc w:val="left"/>
      <w:lvlText w:val="%1."/>
      <w:numFmt w:val="decimal"/>
      <w:start w:val="8"/>
    </w:lvl>
  </w:abstractNum>
  <w:abstractNum w:abstractNumId="9">
    <w:nsid w:val="DED7263"/>
    <w:multiLevelType w:val="hybridMultilevel"/>
    <w:lvl w:ilvl="0">
      <w:lvlJc w:val="left"/>
      <w:lvlText w:val="%1."/>
      <w:numFmt w:val="decimal"/>
      <w:start w:val="9"/>
    </w:lvl>
  </w:abstractNum>
  <w:abstractNum w:abstractNumId="10">
    <w:nsid w:val="7FDCC233"/>
    <w:multiLevelType w:val="hybridMultilevel"/>
    <w:lvl w:ilvl="0">
      <w:lvlJc w:val="left"/>
      <w:lvlText w:val="%1."/>
      <w:numFmt w:val="decimal"/>
      <w:start w:val="10"/>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o"/>
      <w:numFmt w:val="bullet"/>
      <w:start w:val="1"/>
    </w:lvl>
  </w:abstractNum>
  <w:abstractNum w:abstractNumId="13">
    <w:nsid w:val="6B68079A"/>
    <w:multiLevelType w:val="hybridMultilevel"/>
    <w:lvl w:ilvl="0">
      <w:lvlJc w:val="left"/>
      <w:lvlText w:val="o"/>
      <w:numFmt w:val="bullet"/>
      <w:start w:val="1"/>
    </w:lvl>
  </w:abstractNum>
  <w:abstractNum w:abstractNumId="14">
    <w:nsid w:val="4E6AFB66"/>
    <w:multiLevelType w:val="hybridMultilevel"/>
    <w:lvl w:ilvl="0">
      <w:lvlJc w:val="left"/>
      <w:lvlText w:val="o"/>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2019-12-12T23:01:09Z</dcterms:created>
  <dcterms:modified xsi:type="dcterms:W3CDTF">2019-12-12T23:01:09Z</dcterms:modified>
</cp:coreProperties>
</file>