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320040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372110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WASHINGTON, D.C. 20549</w:t>
      </w:r>
    </w:p>
    <w:p>
      <w:pPr>
        <w:spacing w:after="0" w:line="6" w:lineRule="exact"/>
        <w:rPr>
          <w:sz w:val="24"/>
          <w:szCs w:val="24"/>
          <w:color w:val="auto"/>
        </w:rPr>
      </w:pPr>
    </w:p>
    <w:p>
      <w:pPr>
        <w:ind w:left="4580"/>
        <w:spacing w:after="0"/>
        <w:rPr>
          <w:sz w:val="20"/>
          <w:szCs w:val="20"/>
          <w:color w:val="auto"/>
        </w:rPr>
      </w:pPr>
      <w:r>
        <w:rPr>
          <w:rFonts w:ascii="Arial" w:cs="Arial" w:eastAsia="Arial" w:hAnsi="Arial"/>
          <w:sz w:val="18"/>
          <w:szCs w:val="18"/>
          <w:color w:val="auto"/>
        </w:rPr>
        <w:t>_______________________</w:t>
      </w:r>
    </w:p>
    <w:p>
      <w:pPr>
        <w:spacing w:after="0" w:line="26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379"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CURRENT REPORT</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Pursuant to Section 13 or 15(d) of</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The Securities Exchange Act of 1934</w:t>
      </w:r>
    </w:p>
    <w:p>
      <w:pPr>
        <w:spacing w:after="0" w:line="27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August 25, 2020</w:t>
      </w:r>
    </w:p>
    <w:p>
      <w:pPr>
        <w:spacing w:after="0" w:line="218"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Comcast Corporation</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Pennsylvania</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(State or other jurisdiction of incorporation)</w:t>
      </w:r>
    </w:p>
    <w:p>
      <w:pPr>
        <w:sectPr>
          <w:pgSz w:w="11900" w:h="16838" w:orient="portrait"/>
          <w:cols w:equalWidth="0" w:num="1">
            <w:col w:w="11240"/>
          </w:cols>
          <w:pgMar w:left="320" w:top="819" w:right="339" w:bottom="833" w:gutter="0" w:footer="0" w:header="0"/>
        </w:sectPr>
      </w:pPr>
    </w:p>
    <w:p>
      <w:pPr>
        <w:spacing w:after="0" w:line="9" w:lineRule="exact"/>
        <w:rPr>
          <w:sz w:val="24"/>
          <w:szCs w:val="24"/>
          <w:color w:val="auto"/>
        </w:rPr>
      </w:pPr>
    </w:p>
    <w:p>
      <w:pPr>
        <w:jc w:val="center"/>
        <w:ind w:right="3800"/>
        <w:spacing w:after="0"/>
        <w:rPr>
          <w:sz w:val="20"/>
          <w:szCs w:val="20"/>
          <w:color w:val="auto"/>
        </w:rPr>
      </w:pPr>
      <w:r>
        <w:rPr>
          <w:rFonts w:ascii="Arial" w:cs="Arial" w:eastAsia="Arial" w:hAnsi="Arial"/>
          <w:sz w:val="18"/>
          <w:szCs w:val="18"/>
          <w:b w:val="1"/>
          <w:bCs w:val="1"/>
          <w:color w:val="auto"/>
        </w:rPr>
        <w:t>001-32871</w:t>
      </w:r>
    </w:p>
    <w:p>
      <w:pPr>
        <w:spacing w:after="0" w:line="9" w:lineRule="exact"/>
        <w:rPr>
          <w:sz w:val="24"/>
          <w:szCs w:val="24"/>
          <w:color w:val="auto"/>
        </w:rPr>
      </w:pPr>
    </w:p>
    <w:p>
      <w:pPr>
        <w:jc w:val="center"/>
        <w:ind w:right="3800"/>
        <w:spacing w:after="0"/>
        <w:rPr>
          <w:sz w:val="20"/>
          <w:szCs w:val="20"/>
          <w:color w:val="auto"/>
        </w:rPr>
      </w:pPr>
      <w:r>
        <w:rPr>
          <w:rFonts w:ascii="Arial" w:cs="Arial" w:eastAsia="Arial" w:hAnsi="Arial"/>
          <w:sz w:val="16"/>
          <w:szCs w:val="16"/>
          <w:b w:val="1"/>
          <w:bCs w:val="1"/>
          <w:color w:val="auto"/>
        </w:rPr>
        <w:t>(Commission File Number)</w:t>
      </w:r>
    </w:p>
    <w:p>
      <w:pPr>
        <w:spacing w:after="0" w:line="20" w:lineRule="exact"/>
        <w:rPr>
          <w:sz w:val="24"/>
          <w:szCs w:val="24"/>
          <w:color w:val="auto"/>
        </w:rPr>
      </w:pPr>
      <w:r>
        <w:rPr>
          <w:sz w:val="24"/>
          <w:szCs w:val="24"/>
          <w:color w:val="auto"/>
        </w:rPr>
        <w:br w:type="column"/>
      </w:r>
    </w:p>
    <w:p>
      <w:pPr>
        <w:jc w:val="center"/>
        <w:ind w:right="480"/>
        <w:spacing w:after="0"/>
        <w:rPr>
          <w:sz w:val="20"/>
          <w:szCs w:val="20"/>
          <w:color w:val="auto"/>
        </w:rPr>
      </w:pPr>
      <w:r>
        <w:rPr>
          <w:rFonts w:ascii="Arial" w:cs="Arial" w:eastAsia="Arial" w:hAnsi="Arial"/>
          <w:sz w:val="18"/>
          <w:szCs w:val="18"/>
          <w:b w:val="1"/>
          <w:bCs w:val="1"/>
          <w:color w:val="auto"/>
        </w:rPr>
        <w:t>27-0000798</w:t>
      </w:r>
    </w:p>
    <w:p>
      <w:pPr>
        <w:spacing w:after="0" w:line="9" w:lineRule="exact"/>
        <w:rPr>
          <w:sz w:val="24"/>
          <w:szCs w:val="24"/>
          <w:color w:val="auto"/>
        </w:rPr>
      </w:pPr>
    </w:p>
    <w:p>
      <w:pPr>
        <w:jc w:val="center"/>
        <w:ind w:right="480"/>
        <w:spacing w:after="0"/>
        <w:rPr>
          <w:sz w:val="20"/>
          <w:szCs w:val="20"/>
          <w:color w:val="auto"/>
        </w:rPr>
      </w:pPr>
      <w:r>
        <w:rPr>
          <w:rFonts w:ascii="Arial" w:cs="Arial" w:eastAsia="Arial" w:hAnsi="Arial"/>
          <w:sz w:val="16"/>
          <w:szCs w:val="16"/>
          <w:b w:val="1"/>
          <w:bCs w:val="1"/>
          <w:color w:val="auto"/>
        </w:rPr>
        <w:t>(IRS Employer Identification No.)</w:t>
      </w:r>
    </w:p>
    <w:p>
      <w:pPr>
        <w:spacing w:after="0" w:line="200" w:lineRule="exact"/>
        <w:rPr>
          <w:sz w:val="24"/>
          <w:szCs w:val="24"/>
          <w:color w:val="auto"/>
        </w:rPr>
      </w:pPr>
    </w:p>
    <w:p>
      <w:pPr>
        <w:sectPr>
          <w:pgSz w:w="11900" w:h="16838" w:orient="portrait"/>
          <w:cols w:equalWidth="0" w:num="2">
            <w:col w:w="7420" w:space="720"/>
            <w:col w:w="3100"/>
          </w:cols>
          <w:pgMar w:left="320" w:top="819" w:right="339" w:bottom="833" w:gutter="0" w:footer="0" w:header="0"/>
          <w:type w:val="continuous"/>
        </w:sectPr>
      </w:pPr>
    </w:p>
    <w:p>
      <w:pPr>
        <w:spacing w:after="0" w:line="246" w:lineRule="exact"/>
        <w:rPr>
          <w:sz w:val="24"/>
          <w:szCs w:val="24"/>
          <w:color w:val="auto"/>
        </w:rPr>
      </w:pPr>
    </w:p>
    <w:p>
      <w:pPr>
        <w:jc w:val="center"/>
        <w:ind w:right="4660"/>
        <w:spacing w:after="0"/>
        <w:rPr>
          <w:sz w:val="20"/>
          <w:szCs w:val="20"/>
          <w:color w:val="auto"/>
        </w:rPr>
      </w:pPr>
      <w:r>
        <w:rPr>
          <w:rFonts w:ascii="Arial" w:cs="Arial" w:eastAsia="Arial" w:hAnsi="Arial"/>
          <w:sz w:val="18"/>
          <w:szCs w:val="18"/>
          <w:b w:val="1"/>
          <w:bCs w:val="1"/>
          <w:color w:val="auto"/>
        </w:rPr>
        <w:t>One Comcast Center</w:t>
      </w:r>
    </w:p>
    <w:p>
      <w:pPr>
        <w:spacing w:after="0" w:line="27" w:lineRule="exact"/>
        <w:rPr>
          <w:sz w:val="24"/>
          <w:szCs w:val="24"/>
          <w:color w:val="auto"/>
        </w:rPr>
      </w:pPr>
    </w:p>
    <w:p>
      <w:pPr>
        <w:jc w:val="center"/>
        <w:ind w:right="4660"/>
        <w:spacing w:after="0"/>
        <w:rPr>
          <w:sz w:val="20"/>
          <w:szCs w:val="20"/>
          <w:color w:val="auto"/>
        </w:rPr>
      </w:pPr>
      <w:r>
        <w:rPr>
          <w:rFonts w:ascii="Arial" w:cs="Arial" w:eastAsia="Arial" w:hAnsi="Arial"/>
          <w:sz w:val="18"/>
          <w:szCs w:val="18"/>
          <w:b w:val="1"/>
          <w:bCs w:val="1"/>
          <w:color w:val="auto"/>
        </w:rPr>
        <w:t>Philadelphia, PA</w:t>
      </w:r>
    </w:p>
    <w:p>
      <w:pPr>
        <w:spacing w:after="0" w:line="9" w:lineRule="exact"/>
        <w:rPr>
          <w:sz w:val="24"/>
          <w:szCs w:val="24"/>
          <w:color w:val="auto"/>
        </w:rPr>
      </w:pPr>
    </w:p>
    <w:p>
      <w:pPr>
        <w:jc w:val="center"/>
        <w:ind w:right="4660"/>
        <w:spacing w:after="0"/>
        <w:rPr>
          <w:sz w:val="20"/>
          <w:szCs w:val="20"/>
          <w:color w:val="auto"/>
        </w:rPr>
      </w:pPr>
      <w:r>
        <w:rPr>
          <w:rFonts w:ascii="Arial" w:cs="Arial" w:eastAsia="Arial" w:hAnsi="Arial"/>
          <w:sz w:val="16"/>
          <w:szCs w:val="16"/>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2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19103-2838</w:t>
      </w:r>
    </w:p>
    <w:p>
      <w:pPr>
        <w:spacing w:after="0" w:line="50" w:lineRule="exact"/>
        <w:rPr>
          <w:sz w:val="24"/>
          <w:szCs w:val="24"/>
          <w:color w:val="auto"/>
        </w:rPr>
      </w:pPr>
    </w:p>
    <w:p>
      <w:pPr>
        <w:ind w:left="20"/>
        <w:spacing w:after="0"/>
        <w:rPr>
          <w:sz w:val="20"/>
          <w:szCs w:val="20"/>
          <w:color w:val="auto"/>
        </w:rPr>
      </w:pPr>
      <w:r>
        <w:rPr>
          <w:rFonts w:ascii="Arial" w:cs="Arial" w:eastAsia="Arial" w:hAnsi="Arial"/>
          <w:sz w:val="17"/>
          <w:szCs w:val="17"/>
          <w:b w:val="1"/>
          <w:bCs w:val="1"/>
          <w:color w:val="auto"/>
        </w:rPr>
        <w:t>(Zip Code)</w:t>
      </w:r>
    </w:p>
    <w:p>
      <w:pPr>
        <w:spacing w:after="0" w:line="404" w:lineRule="exact"/>
        <w:rPr>
          <w:sz w:val="24"/>
          <w:szCs w:val="24"/>
          <w:color w:val="auto"/>
        </w:rPr>
      </w:pPr>
    </w:p>
    <w:p>
      <w:pPr>
        <w:sectPr>
          <w:pgSz w:w="11900" w:h="16838" w:orient="portrait"/>
          <w:cols w:equalWidth="0" w:num="2">
            <w:col w:w="8280" w:space="720"/>
            <w:col w:w="2240"/>
          </w:cols>
          <w:pgMar w:left="320" w:top="819" w:right="339" w:bottom="833" w:gutter="0" w:footer="0" w:header="0"/>
          <w:type w:val="continuous"/>
        </w:sectPr>
      </w:pPr>
    </w:p>
    <w:p>
      <w:pPr>
        <w:spacing w:after="0" w:line="24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Registrant’s telephone number, including area code: (215) 286-1700</w:t>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7" w:lineRule="exact"/>
        <w:rPr>
          <w:sz w:val="24"/>
          <w:szCs w:val="24"/>
          <w:color w:val="auto"/>
        </w:rPr>
      </w:pPr>
    </w:p>
    <w:p>
      <w:pPr>
        <w:ind w:left="4580"/>
        <w:spacing w:after="0"/>
        <w:rPr>
          <w:sz w:val="20"/>
          <w:szCs w:val="20"/>
          <w:color w:val="auto"/>
        </w:rPr>
      </w:pPr>
      <w:r>
        <w:rPr>
          <w:rFonts w:ascii="Arial" w:cs="Arial" w:eastAsia="Arial" w:hAnsi="Arial"/>
          <w:sz w:val="18"/>
          <w:szCs w:val="18"/>
          <w:color w:val="auto"/>
        </w:rPr>
        <w:t>_______________________</w:t>
      </w:r>
    </w:p>
    <w:p>
      <w:pPr>
        <w:spacing w:after="0" w:line="211" w:lineRule="exact"/>
        <w:rPr>
          <w:sz w:val="24"/>
          <w:szCs w:val="24"/>
          <w:color w:val="auto"/>
        </w:rPr>
      </w:pPr>
    </w:p>
    <w:p>
      <w:pPr>
        <w:ind w:right="360" w:firstLine="324"/>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14a-12(b) under the Exchange Act (17 CFR 240.14a-12)</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19" w:lineRule="exact"/>
        <w:rPr>
          <w:sz w:val="24"/>
          <w:szCs w:val="24"/>
          <w:color w:val="auto"/>
        </w:rPr>
      </w:pPr>
    </w:p>
    <w:tbl>
      <w:tblPr>
        <w:tblLayout w:type="fixed"/>
        <w:tblInd w:w="10" w:type="dxa"/>
        <w:tblCellMar>
          <w:top w:w="0" w:type="dxa"/>
          <w:left w:w="0" w:type="dxa"/>
          <w:bottom w:w="0" w:type="dxa"/>
          <w:right w:w="0" w:type="dxa"/>
        </w:tblCellMar>
      </w:tblPr>
      <w:tr>
        <w:trPr>
          <w:trHeight w:val="230"/>
        </w:trPr>
        <w:tc>
          <w:tcPr>
            <w:tcW w:w="49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18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4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09"/>
        </w:trPr>
        <w:tc>
          <w:tcPr>
            <w:tcW w:w="49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Class A Common Stock, $0.01 par value</w:t>
            </w:r>
          </w:p>
        </w:tc>
        <w:tc>
          <w:tcPr>
            <w:tcW w:w="1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CMCSA</w:t>
            </w:r>
          </w:p>
        </w:tc>
        <w:tc>
          <w:tcPr>
            <w:tcW w:w="4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NASDAQ Global Select Market</w:t>
            </w:r>
          </w:p>
        </w:tc>
      </w:tr>
      <w:tr>
        <w:trPr>
          <w:trHeight w:val="210"/>
        </w:trPr>
        <w:tc>
          <w:tcPr>
            <w:tcW w:w="49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0.250% Notes due 2027</w:t>
            </w:r>
          </w:p>
        </w:tc>
        <w:tc>
          <w:tcPr>
            <w:tcW w:w="1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CMCS27</w:t>
            </w:r>
          </w:p>
        </w:tc>
        <w:tc>
          <w:tcPr>
            <w:tcW w:w="4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NASDAQ Global Market</w:t>
            </w:r>
          </w:p>
        </w:tc>
      </w:tr>
      <w:tr>
        <w:trPr>
          <w:trHeight w:val="209"/>
        </w:trPr>
        <w:tc>
          <w:tcPr>
            <w:tcW w:w="49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1.500% Notes due 2029</w:t>
            </w:r>
          </w:p>
        </w:tc>
        <w:tc>
          <w:tcPr>
            <w:tcW w:w="1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CMCS29</w:t>
            </w:r>
          </w:p>
        </w:tc>
        <w:tc>
          <w:tcPr>
            <w:tcW w:w="4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NASDAQ Global Market</w:t>
            </w:r>
          </w:p>
        </w:tc>
      </w:tr>
      <w:tr>
        <w:trPr>
          <w:trHeight w:val="210"/>
        </w:trPr>
        <w:tc>
          <w:tcPr>
            <w:tcW w:w="49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0.750% Notes due 2032</w:t>
            </w:r>
          </w:p>
        </w:tc>
        <w:tc>
          <w:tcPr>
            <w:tcW w:w="1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CMCS32</w:t>
            </w:r>
          </w:p>
        </w:tc>
        <w:tc>
          <w:tcPr>
            <w:tcW w:w="4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NASDAQ Global Market</w:t>
            </w:r>
          </w:p>
        </w:tc>
      </w:tr>
      <w:tr>
        <w:trPr>
          <w:trHeight w:val="209"/>
        </w:trPr>
        <w:tc>
          <w:tcPr>
            <w:tcW w:w="49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1.875% Notes due 2036</w:t>
            </w:r>
          </w:p>
        </w:tc>
        <w:tc>
          <w:tcPr>
            <w:tcW w:w="1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CMCS36</w:t>
            </w:r>
          </w:p>
        </w:tc>
        <w:tc>
          <w:tcPr>
            <w:tcW w:w="4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NASDAQ Global Market</w:t>
            </w:r>
          </w:p>
        </w:tc>
      </w:tr>
      <w:tr>
        <w:trPr>
          <w:trHeight w:val="210"/>
        </w:trPr>
        <w:tc>
          <w:tcPr>
            <w:tcW w:w="49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1.250% Notes due 2040</w:t>
            </w:r>
          </w:p>
        </w:tc>
        <w:tc>
          <w:tcPr>
            <w:tcW w:w="1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CMCS40</w:t>
            </w:r>
          </w:p>
        </w:tc>
        <w:tc>
          <w:tcPr>
            <w:tcW w:w="4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NASDAQ Global Market</w:t>
            </w:r>
          </w:p>
        </w:tc>
      </w:tr>
      <w:tr>
        <w:trPr>
          <w:trHeight w:val="210"/>
        </w:trPr>
        <w:tc>
          <w:tcPr>
            <w:tcW w:w="49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9.455% Guaranteed Notes due 2022</w:t>
            </w:r>
          </w:p>
        </w:tc>
        <w:tc>
          <w:tcPr>
            <w:tcW w:w="1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CMCSA/22</w:t>
            </w:r>
          </w:p>
        </w:tc>
        <w:tc>
          <w:tcPr>
            <w:tcW w:w="4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New York Stock Exchange</w:t>
            </w:r>
          </w:p>
        </w:tc>
      </w:tr>
      <w:tr>
        <w:trPr>
          <w:trHeight w:val="209"/>
        </w:trPr>
        <w:tc>
          <w:tcPr>
            <w:tcW w:w="49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5.50% Notes due 2029</w:t>
            </w:r>
          </w:p>
        </w:tc>
        <w:tc>
          <w:tcPr>
            <w:tcW w:w="1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CCGBP29</w:t>
            </w:r>
          </w:p>
        </w:tc>
        <w:tc>
          <w:tcPr>
            <w:tcW w:w="4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New York Stock Exchange</w:t>
            </w:r>
          </w:p>
        </w:tc>
      </w:tr>
      <w:tr>
        <w:trPr>
          <w:trHeight w:val="210"/>
        </w:trPr>
        <w:tc>
          <w:tcPr>
            <w:tcW w:w="49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2.0% Exchangeable Subordinated Debentures due 2029</w:t>
            </w:r>
          </w:p>
        </w:tc>
        <w:tc>
          <w:tcPr>
            <w:tcW w:w="1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CCZ</w:t>
            </w:r>
          </w:p>
        </w:tc>
        <w:tc>
          <w:tcPr>
            <w:tcW w:w="4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202"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570865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19" w:right="339" w:bottom="833" w:gutter="0" w:footer="0" w:header="0"/>
          <w:type w:val="continuous"/>
        </w:sectPr>
      </w:pPr>
    </w:p>
    <w:bookmarkStart w:id="1" w:name="page2"/>
    <w:bookmarkEnd w:id="1"/>
    <w:p>
      <w:pPr>
        <w:ind w:left="180"/>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ind w:right="60" w:firstLine="324"/>
        <w:spacing w:after="0" w:line="289" w:lineRule="auto"/>
        <w:rPr>
          <w:sz w:val="20"/>
          <w:szCs w:val="20"/>
          <w:color w:val="auto"/>
        </w:rPr>
      </w:pPr>
      <w:r>
        <w:rPr>
          <w:rFonts w:ascii="Arial" w:cs="Arial" w:eastAsia="Arial" w:hAnsi="Arial"/>
          <w:sz w:val="16"/>
          <w:szCs w:val="16"/>
          <w:color w:val="auto"/>
        </w:rPr>
        <w:t>On August 25, 2020 Comcast Corporation (“Comcast”) consummated the issuance and sale of $1,750,000,000 aggregate principal amount of its 1.500% Notes due 2031 (the “2031 Notes”), $1,500,000,000 aggregate principal amount of its 2.450% Notes due 2052 (the “2052 Notes”) and $1,250,000,000 aggregate principal amount of its 2.650% Notes due 2062 (the “2062 Notes,” and together with the 2031 Notes and the 2052 Notes, the “Notes”), pursuant to an underwriting agreement dated August 11, 2020 among Comcast, the Guarantors (defined below) and BofA Securities, Inc., Goldman Sachs &amp; Co. LLC, Morgan Stanley &amp; Co. LLC and Wells Fargo Securities, LLC, as representatives of the several underwriters named therein. The Notes were issued pursuant to an Indenture dated as of September 18, 2013 (the “Base Indenture”) among Comcast, the guarantors named therein and The Bank of New York Mellon, as trustee (the “Trustee”), as supplemented by the First Supplemental Indenture dated as of November 17, 2015 (the “First Supplemental Indenture”) among Comcast, the guarantors named therein and the Trustee, and an officers’ certificate issued pursuant thereto. The Notes are guaranteed on an unsecured and unsubordinated basis by Comcast Cable Communications, LLC and NBCUniversal Media, LLC (the “Guarantors”).</w:t>
      </w:r>
    </w:p>
    <w:p>
      <w:pPr>
        <w:spacing w:after="0" w:line="166" w:lineRule="exact"/>
        <w:rPr>
          <w:sz w:val="20"/>
          <w:szCs w:val="20"/>
          <w:color w:val="auto"/>
        </w:rPr>
      </w:pPr>
    </w:p>
    <w:p>
      <w:pPr>
        <w:ind w:right="20" w:firstLine="324"/>
        <w:spacing w:after="0" w:line="342" w:lineRule="auto"/>
        <w:rPr>
          <w:sz w:val="20"/>
          <w:szCs w:val="20"/>
          <w:color w:val="auto"/>
        </w:rPr>
      </w:pPr>
      <w:r>
        <w:rPr>
          <w:rFonts w:ascii="Arial" w:cs="Arial" w:eastAsia="Arial" w:hAnsi="Arial"/>
          <w:sz w:val="16"/>
          <w:szCs w:val="16"/>
          <w:color w:val="auto"/>
        </w:rPr>
        <w:t>The Notes were offered pursuant to Comcast’s Registration Statement on Form S-3 filed on August 1, 2019, as amended at the date of the underwriting agreement (Reg. No. 333-232941), including the prospectus contained therein, and a related prospectus supplement dated August 11, 2020.</w:t>
      </w:r>
    </w:p>
    <w:p>
      <w:pPr>
        <w:spacing w:after="0" w:line="124" w:lineRule="exact"/>
        <w:rPr>
          <w:sz w:val="20"/>
          <w:szCs w:val="20"/>
          <w:color w:val="auto"/>
        </w:rPr>
      </w:pPr>
    </w:p>
    <w:p>
      <w:pPr>
        <w:ind w:right="480" w:firstLine="324"/>
        <w:spacing w:after="0" w:line="311" w:lineRule="auto"/>
        <w:rPr>
          <w:sz w:val="20"/>
          <w:szCs w:val="20"/>
          <w:color w:val="auto"/>
        </w:rPr>
      </w:pPr>
      <w:r>
        <w:rPr>
          <w:rFonts w:ascii="Arial" w:cs="Arial" w:eastAsia="Arial" w:hAnsi="Arial"/>
          <w:sz w:val="16"/>
          <w:szCs w:val="16"/>
          <w:color w:val="auto"/>
        </w:rPr>
        <w:t>The material terms and conditions of the Notes are set forth in the Form of Officers’ Certificate filed herewith as Exhibit 4.1 and incorporated by reference herein and in the Base Indenture and First Supplemental Indenture, which are incorporated by reference as Exhibit 4.2 and Exhibit 4.3, respectively, to Comcast’s Registration Statement on Form S-3 filed on August 1, 2019, and incorporated by reference herein.</w:t>
      </w:r>
    </w:p>
    <w:p>
      <w:pPr>
        <w:spacing w:after="0" w:line="145"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Item 9.01(d)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0" w:type="dxa"/>
            <w:vAlign w:val="bottom"/>
          </w:tcPr>
          <w:p>
            <w:pPr>
              <w:spacing w:after="0"/>
              <w:rPr>
                <w:sz w:val="20"/>
                <w:szCs w:val="20"/>
                <w:color w:val="auto"/>
              </w:rPr>
            </w:pPr>
            <w:r>
              <w:rPr>
                <w:rFonts w:ascii="Arial" w:cs="Arial" w:eastAsia="Arial" w:hAnsi="Arial"/>
                <w:sz w:val="18"/>
                <w:szCs w:val="18"/>
                <w:b w:val="1"/>
                <w:bCs w:val="1"/>
                <w:color w:val="auto"/>
              </w:rPr>
              <w:t>Exhibit</w:t>
            </w:r>
          </w:p>
        </w:tc>
        <w:tc>
          <w:tcPr>
            <w:tcW w:w="460" w:type="dxa"/>
            <w:vAlign w:val="bottom"/>
          </w:tcPr>
          <w:p>
            <w:pPr>
              <w:spacing w:after="0"/>
              <w:rPr>
                <w:sz w:val="18"/>
                <w:szCs w:val="18"/>
                <w:color w:val="auto"/>
              </w:rPr>
            </w:pPr>
          </w:p>
        </w:tc>
        <w:tc>
          <w:tcPr>
            <w:tcW w:w="10100" w:type="dxa"/>
            <w:vAlign w:val="bottom"/>
          </w:tcPr>
          <w:p>
            <w:pPr>
              <w:spacing w:after="0"/>
              <w:rPr>
                <w:sz w:val="18"/>
                <w:szCs w:val="18"/>
                <w:color w:val="auto"/>
              </w:rPr>
            </w:pPr>
          </w:p>
        </w:tc>
      </w:tr>
      <w:tr>
        <w:trPr>
          <w:trHeight w:val="234"/>
        </w:trPr>
        <w:tc>
          <w:tcPr>
            <w:tcW w:w="6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6"/>
              </w:rPr>
              <w:t>Number</w:t>
            </w:r>
          </w:p>
        </w:tc>
        <w:tc>
          <w:tcPr>
            <w:tcW w:w="460" w:type="dxa"/>
            <w:vAlign w:val="bottom"/>
          </w:tcPr>
          <w:p>
            <w:pPr>
              <w:spacing w:after="0"/>
              <w:rPr>
                <w:sz w:val="20"/>
                <w:szCs w:val="20"/>
                <w:color w:val="auto"/>
              </w:rPr>
            </w:pPr>
          </w:p>
        </w:tc>
        <w:tc>
          <w:tcPr>
            <w:tcW w:w="101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Description</w:t>
            </w:r>
          </w:p>
        </w:tc>
      </w:tr>
      <w:tr>
        <w:trPr>
          <w:trHeight w:val="224"/>
        </w:trPr>
        <w:tc>
          <w:tcPr>
            <w:tcW w:w="680" w:type="dxa"/>
            <w:vAlign w:val="bottom"/>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4.1</w:t>
              </w:r>
            </w:hyperlink>
          </w:p>
        </w:tc>
        <w:tc>
          <w:tcPr>
            <w:tcW w:w="460" w:type="dxa"/>
            <w:vAlign w:val="bottom"/>
          </w:tcPr>
          <w:p>
            <w:pPr>
              <w:spacing w:after="0"/>
              <w:rPr>
                <w:sz w:val="19"/>
                <w:szCs w:val="19"/>
                <w:color w:val="auto"/>
              </w:rPr>
            </w:pPr>
          </w:p>
        </w:tc>
        <w:tc>
          <w:tcPr>
            <w:tcW w:w="10100" w:type="dxa"/>
            <w:vAlign w:val="bottom"/>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Form of Officers’ Certificate setting forth the terms of the Notes</w:t>
              </w:r>
            </w:hyperlink>
          </w:p>
        </w:tc>
      </w:tr>
      <w:tr>
        <w:trPr>
          <w:trHeight w:val="418"/>
        </w:trPr>
        <w:tc>
          <w:tcPr>
            <w:tcW w:w="680" w:type="dxa"/>
            <w:vAlign w:val="bottom"/>
          </w:tcPr>
          <w:p>
            <w:pPr>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5.1</w:t>
              </w:r>
            </w:hyperlink>
          </w:p>
        </w:tc>
        <w:tc>
          <w:tcPr>
            <w:tcW w:w="460" w:type="dxa"/>
            <w:vAlign w:val="bottom"/>
          </w:tcPr>
          <w:p>
            <w:pPr>
              <w:spacing w:after="0"/>
              <w:rPr>
                <w:sz w:val="24"/>
                <w:szCs w:val="24"/>
                <w:color w:val="auto"/>
              </w:rPr>
            </w:pPr>
          </w:p>
        </w:tc>
        <w:tc>
          <w:tcPr>
            <w:tcW w:w="10100" w:type="dxa"/>
            <w:vAlign w:val="bottom"/>
          </w:tcPr>
          <w:p>
            <w:pPr>
              <w:spacing w:after="0"/>
              <w:rPr>
                <w:rFonts w:ascii="Arial" w:cs="Arial" w:eastAsia="Arial" w:hAnsi="Arial"/>
                <w:sz w:val="18"/>
                <w:szCs w:val="18"/>
                <w:color w:val="0000EE"/>
              </w:rPr>
            </w:pPr>
            <w:hyperlink w:anchor="page37">
              <w:r>
                <w:rPr>
                  <w:rFonts w:ascii="Arial" w:cs="Arial" w:eastAsia="Arial" w:hAnsi="Arial"/>
                  <w:sz w:val="18"/>
                  <w:szCs w:val="18"/>
                  <w:u w:val="single" w:color="auto"/>
                  <w:color w:val="0000EE"/>
                </w:rPr>
                <w:t>Opinion of Elizabeth Wideman, Esq</w:t>
              </w:r>
              <w:r>
                <w:rPr>
                  <w:rFonts w:ascii="Arial" w:cs="Arial" w:eastAsia="Arial" w:hAnsi="Arial"/>
                  <w:sz w:val="18"/>
                  <w:szCs w:val="18"/>
                  <w:color w:val="0000EE"/>
                </w:rPr>
                <w:t>.</w:t>
              </w:r>
            </w:hyperlink>
          </w:p>
        </w:tc>
      </w:tr>
      <w:tr>
        <w:trPr>
          <w:trHeight w:val="432"/>
        </w:trPr>
        <w:tc>
          <w:tcPr>
            <w:tcW w:w="680" w:type="dxa"/>
            <w:vAlign w:val="bottom"/>
          </w:tcPr>
          <w:p>
            <w:pPr>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5.2</w:t>
              </w:r>
            </w:hyperlink>
          </w:p>
        </w:tc>
        <w:tc>
          <w:tcPr>
            <w:tcW w:w="460" w:type="dxa"/>
            <w:vAlign w:val="bottom"/>
          </w:tcPr>
          <w:p>
            <w:pPr>
              <w:spacing w:after="0"/>
              <w:rPr>
                <w:sz w:val="24"/>
                <w:szCs w:val="24"/>
                <w:color w:val="auto"/>
              </w:rPr>
            </w:pPr>
          </w:p>
        </w:tc>
        <w:tc>
          <w:tcPr>
            <w:tcW w:w="10100" w:type="dxa"/>
            <w:vAlign w:val="bottom"/>
          </w:tcPr>
          <w:p>
            <w:pPr>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Opinion of Davis Polk &amp; Wardwell LLP</w:t>
              </w:r>
            </w:hyperlink>
          </w:p>
        </w:tc>
      </w:tr>
      <w:tr>
        <w:trPr>
          <w:trHeight w:val="432"/>
        </w:trPr>
        <w:tc>
          <w:tcPr>
            <w:tcW w:w="680" w:type="dxa"/>
            <w:vAlign w:val="bottom"/>
          </w:tcPr>
          <w:p>
            <w:pPr>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23.1</w:t>
              </w:r>
            </w:hyperlink>
          </w:p>
        </w:tc>
        <w:tc>
          <w:tcPr>
            <w:tcW w:w="460" w:type="dxa"/>
            <w:vAlign w:val="bottom"/>
          </w:tcPr>
          <w:p>
            <w:pPr>
              <w:spacing w:after="0"/>
              <w:rPr>
                <w:sz w:val="24"/>
                <w:szCs w:val="24"/>
                <w:color w:val="auto"/>
              </w:rPr>
            </w:pPr>
          </w:p>
        </w:tc>
        <w:tc>
          <w:tcPr>
            <w:tcW w:w="10100" w:type="dxa"/>
            <w:vAlign w:val="bottom"/>
          </w:tcPr>
          <w:p>
            <w:pPr>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Consent of Elizabeth Wideman, Esq. (contained in Exhibit 5.1)</w:t>
              </w:r>
            </w:hyperlink>
          </w:p>
        </w:tc>
      </w:tr>
      <w:tr>
        <w:trPr>
          <w:trHeight w:val="432"/>
        </w:trPr>
        <w:tc>
          <w:tcPr>
            <w:tcW w:w="680" w:type="dxa"/>
            <w:vAlign w:val="bottom"/>
          </w:tcPr>
          <w:p>
            <w:pPr>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23.2</w:t>
              </w:r>
            </w:hyperlink>
          </w:p>
        </w:tc>
        <w:tc>
          <w:tcPr>
            <w:tcW w:w="460" w:type="dxa"/>
            <w:vAlign w:val="bottom"/>
          </w:tcPr>
          <w:p>
            <w:pPr>
              <w:spacing w:after="0"/>
              <w:rPr>
                <w:sz w:val="24"/>
                <w:szCs w:val="24"/>
                <w:color w:val="auto"/>
              </w:rPr>
            </w:pPr>
          </w:p>
        </w:tc>
        <w:tc>
          <w:tcPr>
            <w:tcW w:w="10100" w:type="dxa"/>
            <w:vAlign w:val="bottom"/>
          </w:tcPr>
          <w:p>
            <w:pPr>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Consent of Davis Polk &amp; Wardwell LLP (contained in Exhibit 5.2)</w:t>
              </w:r>
            </w:hyperlink>
          </w:p>
        </w:tc>
      </w:tr>
      <w:tr>
        <w:trPr>
          <w:trHeight w:val="432"/>
        </w:trPr>
        <w:tc>
          <w:tcPr>
            <w:tcW w:w="680" w:type="dxa"/>
            <w:vAlign w:val="bottom"/>
          </w:tcPr>
          <w:p>
            <w:pPr>
              <w:spacing w:after="0"/>
              <w:rPr>
                <w:sz w:val="20"/>
                <w:szCs w:val="20"/>
                <w:color w:val="auto"/>
              </w:rPr>
            </w:pPr>
            <w:r>
              <w:rPr>
                <w:rFonts w:ascii="Arial" w:cs="Arial" w:eastAsia="Arial" w:hAnsi="Arial"/>
                <w:sz w:val="18"/>
                <w:szCs w:val="18"/>
                <w:color w:val="auto"/>
              </w:rPr>
              <w:t>104</w:t>
            </w:r>
          </w:p>
        </w:tc>
        <w:tc>
          <w:tcPr>
            <w:tcW w:w="460" w:type="dxa"/>
            <w:vAlign w:val="bottom"/>
          </w:tcPr>
          <w:p>
            <w:pPr>
              <w:spacing w:after="0"/>
              <w:rPr>
                <w:sz w:val="24"/>
                <w:szCs w:val="24"/>
                <w:color w:val="auto"/>
              </w:rPr>
            </w:pPr>
          </w:p>
        </w:tc>
        <w:tc>
          <w:tcPr>
            <w:tcW w:w="10100" w:type="dxa"/>
            <w:vAlign w:val="bottom"/>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783"/>
        </w:trPr>
        <w:tc>
          <w:tcPr>
            <w:tcW w:w="6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6"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64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00" w:type="dxa"/>
            <w:vAlign w:val="bottom"/>
          </w:tcPr>
          <w:p>
            <w:pPr>
              <w:spacing w:after="0"/>
              <w:rPr>
                <w:sz w:val="20"/>
                <w:szCs w:val="20"/>
                <w:color w:val="auto"/>
              </w:rPr>
            </w:pPr>
          </w:p>
        </w:tc>
        <w:tc>
          <w:tcPr>
            <w:tcW w:w="7540" w:type="dxa"/>
            <w:vAlign w:val="bottom"/>
            <w:gridSpan w:val="3"/>
          </w:tcPr>
          <w:p>
            <w:pPr>
              <w:ind w:left="1940"/>
              <w:spacing w:after="0"/>
              <w:rPr>
                <w:sz w:val="20"/>
                <w:szCs w:val="20"/>
                <w:color w:val="auto"/>
              </w:rPr>
            </w:pPr>
            <w:r>
              <w:rPr>
                <w:rFonts w:ascii="Arial" w:cs="Arial" w:eastAsia="Arial" w:hAnsi="Arial"/>
                <w:sz w:val="18"/>
                <w:szCs w:val="18"/>
                <w:b w:val="1"/>
                <w:bCs w:val="1"/>
                <w:color w:val="auto"/>
              </w:rPr>
              <w:t>COMCAST CORPORATION</w:t>
            </w:r>
          </w:p>
        </w:tc>
      </w:tr>
      <w:tr>
        <w:trPr>
          <w:trHeight w:val="648"/>
        </w:trPr>
        <w:tc>
          <w:tcPr>
            <w:tcW w:w="3700" w:type="dxa"/>
            <w:vAlign w:val="bottom"/>
          </w:tcPr>
          <w:p>
            <w:pPr>
              <w:spacing w:after="0"/>
              <w:rPr>
                <w:sz w:val="20"/>
                <w:szCs w:val="20"/>
                <w:color w:val="auto"/>
              </w:rPr>
            </w:pPr>
            <w:r>
              <w:rPr>
                <w:rFonts w:ascii="Arial" w:cs="Arial" w:eastAsia="Arial" w:hAnsi="Arial"/>
                <w:sz w:val="18"/>
                <w:szCs w:val="18"/>
                <w:color w:val="auto"/>
              </w:rPr>
              <w:t>Date:  August 25, 2020</w:t>
            </w:r>
          </w:p>
        </w:tc>
        <w:tc>
          <w:tcPr>
            <w:tcW w:w="7540" w:type="dxa"/>
            <w:vAlign w:val="bottom"/>
            <w:gridSpan w:val="3"/>
          </w:tcPr>
          <w:p>
            <w:pPr>
              <w:ind w:left="1940"/>
              <w:spacing w:after="0"/>
              <w:rPr>
                <w:sz w:val="20"/>
                <w:szCs w:val="20"/>
                <w:color w:val="auto"/>
              </w:rPr>
            </w:pPr>
            <w:r>
              <w:rPr>
                <w:rFonts w:ascii="Arial" w:cs="Arial" w:eastAsia="Arial" w:hAnsi="Arial"/>
                <w:sz w:val="18"/>
                <w:szCs w:val="18"/>
                <w:color w:val="auto"/>
              </w:rPr>
              <w:t>By:  /s/ Elizabeth Wideman</w:t>
            </w:r>
          </w:p>
        </w:tc>
      </w:tr>
      <w:tr>
        <w:trPr>
          <w:trHeight w:val="195"/>
        </w:trPr>
        <w:tc>
          <w:tcPr>
            <w:tcW w:w="370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5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58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Elizabeth Wideman</w:t>
            </w:r>
          </w:p>
        </w:tc>
      </w:tr>
      <w:tr>
        <w:trPr>
          <w:trHeight w:val="216"/>
        </w:trPr>
        <w:tc>
          <w:tcPr>
            <w:tcW w:w="370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4580" w:type="dxa"/>
            <w:vAlign w:val="bottom"/>
          </w:tcPr>
          <w:p>
            <w:pPr>
              <w:ind w:left="100"/>
              <w:spacing w:after="0"/>
              <w:rPr>
                <w:sz w:val="20"/>
                <w:szCs w:val="20"/>
                <w:color w:val="auto"/>
              </w:rPr>
            </w:pPr>
            <w:r>
              <w:rPr>
                <w:rFonts w:ascii="Arial" w:cs="Arial" w:eastAsia="Arial" w:hAnsi="Arial"/>
                <w:sz w:val="18"/>
                <w:szCs w:val="18"/>
                <w:color w:val="auto"/>
                <w:w w:val="90"/>
              </w:rPr>
              <w:t>Vice President, Senior Deputy General Counsel and Assistant</w:t>
            </w:r>
          </w:p>
        </w:tc>
      </w:tr>
      <w:tr>
        <w:trPr>
          <w:trHeight w:val="230"/>
        </w:trPr>
        <w:tc>
          <w:tcPr>
            <w:tcW w:w="370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580" w:type="dxa"/>
            <w:vAlign w:val="bottom"/>
          </w:tcPr>
          <w:p>
            <w:pPr>
              <w:ind w:left="100"/>
              <w:spacing w:after="0"/>
              <w:rPr>
                <w:sz w:val="20"/>
                <w:szCs w:val="20"/>
                <w:color w:val="auto"/>
              </w:rPr>
            </w:pPr>
            <w:r>
              <w:rPr>
                <w:rFonts w:ascii="Arial" w:cs="Arial" w:eastAsia="Arial" w:hAnsi="Arial"/>
                <w:sz w:val="18"/>
                <w:szCs w:val="18"/>
                <w:color w:val="auto"/>
              </w:rPr>
              <w:t>Secretary</w:t>
            </w:r>
          </w:p>
        </w:tc>
      </w:tr>
      <w:tr>
        <w:trPr>
          <w:trHeight w:val="783"/>
        </w:trPr>
        <w:tc>
          <w:tcPr>
            <w:tcW w:w="370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5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6"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4.1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Officers’ Certificate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August 25, 2020</w:t>
      </w:r>
    </w:p>
    <w:p>
      <w:pPr>
        <w:spacing w:after="0" w:line="225" w:lineRule="exact"/>
        <w:rPr>
          <w:sz w:val="20"/>
          <w:szCs w:val="20"/>
          <w:color w:val="auto"/>
        </w:rPr>
      </w:pPr>
    </w:p>
    <w:p>
      <w:pPr>
        <w:ind w:right="140" w:firstLine="648"/>
        <w:spacing w:after="0" w:line="292" w:lineRule="auto"/>
        <w:rPr>
          <w:sz w:val="20"/>
          <w:szCs w:val="20"/>
          <w:color w:val="auto"/>
        </w:rPr>
      </w:pPr>
      <w:r>
        <w:rPr>
          <w:rFonts w:ascii="Arial" w:cs="Arial" w:eastAsia="Arial" w:hAnsi="Arial"/>
          <w:sz w:val="16"/>
          <w:szCs w:val="16"/>
          <w:color w:val="auto"/>
        </w:rPr>
        <w:t>Pursuant to Section 2.03 of the Indenture dated as of September 18, 2013, by and among Comcast Corporation (the “</w:t>
      </w:r>
      <w:r>
        <w:rPr>
          <w:rFonts w:ascii="Arial" w:cs="Arial" w:eastAsia="Arial" w:hAnsi="Arial"/>
          <w:sz w:val="16"/>
          <w:szCs w:val="16"/>
          <w:b w:val="1"/>
          <w:bCs w:val="1"/>
          <w:color w:val="auto"/>
        </w:rPr>
        <w:t>Company</w:t>
      </w:r>
      <w:r>
        <w:rPr>
          <w:rFonts w:ascii="Arial" w:cs="Arial" w:eastAsia="Arial" w:hAnsi="Arial"/>
          <w:sz w:val="16"/>
          <w:szCs w:val="16"/>
          <w:color w:val="auto"/>
        </w:rPr>
        <w:t>”), the guarantors named therein and The Bank of New York Mellon, as trustee (the “</w:t>
      </w:r>
      <w:r>
        <w:rPr>
          <w:rFonts w:ascii="Arial" w:cs="Arial" w:eastAsia="Arial" w:hAnsi="Arial"/>
          <w:sz w:val="16"/>
          <w:szCs w:val="16"/>
          <w:b w:val="1"/>
          <w:bCs w:val="1"/>
          <w:color w:val="auto"/>
        </w:rPr>
        <w:t>Trustee</w:t>
      </w:r>
      <w:r>
        <w:rPr>
          <w:rFonts w:ascii="Arial" w:cs="Arial" w:eastAsia="Arial" w:hAnsi="Arial"/>
          <w:sz w:val="16"/>
          <w:szCs w:val="16"/>
          <w:color w:val="auto"/>
        </w:rPr>
        <w:t>”), as supplemented by the First Supplemental Indenture dated as of November 17, 2015 (as amended, the “</w:t>
      </w:r>
      <w:r>
        <w:rPr>
          <w:rFonts w:ascii="Arial" w:cs="Arial" w:eastAsia="Arial" w:hAnsi="Arial"/>
          <w:sz w:val="16"/>
          <w:szCs w:val="16"/>
          <w:b w:val="1"/>
          <w:bCs w:val="1"/>
          <w:color w:val="auto"/>
        </w:rPr>
        <w:t>Indenture</w:t>
      </w:r>
      <w:r>
        <w:rPr>
          <w:rFonts w:ascii="Arial" w:cs="Arial" w:eastAsia="Arial" w:hAnsi="Arial"/>
          <w:sz w:val="16"/>
          <w:szCs w:val="16"/>
          <w:color w:val="auto"/>
        </w:rPr>
        <w:t>”), by and among the Company, the guarantors named therein and the Trustee, and guaranteed on an unsecured and unsubordinated basis by Comcast Cable Communications, LLC and NBCUniversal Media, LLC, the undersigned officers of the Company do hereby certify, in connection with the issuance of the Company’s $1,750,000,000 aggregate principal amount of 1.500% Notes due 2031 (the “</w:t>
      </w:r>
      <w:r>
        <w:rPr>
          <w:rFonts w:ascii="Arial" w:cs="Arial" w:eastAsia="Arial" w:hAnsi="Arial"/>
          <w:sz w:val="16"/>
          <w:szCs w:val="16"/>
          <w:b w:val="1"/>
          <w:bCs w:val="1"/>
          <w:color w:val="auto"/>
        </w:rPr>
        <w:t>2031 Notes</w:t>
      </w:r>
      <w:r>
        <w:rPr>
          <w:rFonts w:ascii="Arial" w:cs="Arial" w:eastAsia="Arial" w:hAnsi="Arial"/>
          <w:sz w:val="16"/>
          <w:szCs w:val="16"/>
          <w:color w:val="auto"/>
        </w:rPr>
        <w:t>”), $1,500,000,000 aggregate principal amount of 2.450% Notes due 2052 (the “</w:t>
      </w:r>
      <w:r>
        <w:rPr>
          <w:rFonts w:ascii="Arial" w:cs="Arial" w:eastAsia="Arial" w:hAnsi="Arial"/>
          <w:sz w:val="16"/>
          <w:szCs w:val="16"/>
          <w:b w:val="1"/>
          <w:bCs w:val="1"/>
          <w:color w:val="auto"/>
        </w:rPr>
        <w:t>2052 Notes</w:t>
      </w:r>
      <w:r>
        <w:rPr>
          <w:rFonts w:ascii="Arial" w:cs="Arial" w:eastAsia="Arial" w:hAnsi="Arial"/>
          <w:sz w:val="16"/>
          <w:szCs w:val="16"/>
          <w:color w:val="auto"/>
        </w:rPr>
        <w:t>”) and $1,250,000,000 aggregate principal amount of 2.650% Notes due 2062 (the “</w:t>
      </w:r>
      <w:r>
        <w:rPr>
          <w:rFonts w:ascii="Arial" w:cs="Arial" w:eastAsia="Arial" w:hAnsi="Arial"/>
          <w:sz w:val="16"/>
          <w:szCs w:val="16"/>
          <w:b w:val="1"/>
          <w:bCs w:val="1"/>
          <w:color w:val="auto"/>
        </w:rPr>
        <w:t>2062 Notes</w:t>
      </w:r>
      <w:r>
        <w:rPr>
          <w:rFonts w:ascii="Arial" w:cs="Arial" w:eastAsia="Arial" w:hAnsi="Arial"/>
          <w:sz w:val="16"/>
          <w:szCs w:val="16"/>
          <w:color w:val="auto"/>
        </w:rPr>
        <w:t>,” and together with the 2031 Notes and 2052 Notes, the “</w:t>
      </w:r>
      <w:r>
        <w:rPr>
          <w:rFonts w:ascii="Arial" w:cs="Arial" w:eastAsia="Arial" w:hAnsi="Arial"/>
          <w:sz w:val="16"/>
          <w:szCs w:val="16"/>
          <w:b w:val="1"/>
          <w:bCs w:val="1"/>
          <w:color w:val="auto"/>
        </w:rPr>
        <w:t>Notes</w:t>
      </w:r>
      <w:r>
        <w:rPr>
          <w:rFonts w:ascii="Arial" w:cs="Arial" w:eastAsia="Arial" w:hAnsi="Arial"/>
          <w:sz w:val="16"/>
          <w:szCs w:val="16"/>
          <w:color w:val="auto"/>
        </w:rPr>
        <w:t>”), that the terms of the Notes are as follows: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54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8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9"/>
              </w:rPr>
              <w:t>1.</w:t>
            </w:r>
            <w:r>
              <w:rPr>
                <w:rFonts w:ascii="Arial" w:cs="Arial" w:eastAsia="Arial" w:hAnsi="Arial"/>
                <w:sz w:val="18"/>
                <w:szCs w:val="18"/>
                <w:b w:val="1"/>
                <w:bCs w:val="1"/>
                <w:u w:val="single" w:color="auto"/>
                <w:color w:val="auto"/>
                <w:w w:val="89"/>
              </w:rPr>
              <w:t>500%</w:t>
            </w:r>
            <w:r>
              <w:rPr>
                <w:rFonts w:ascii="Arial" w:cs="Arial" w:eastAsia="Arial" w:hAnsi="Arial"/>
                <w:sz w:val="18"/>
                <w:szCs w:val="18"/>
                <w:b w:val="1"/>
                <w:bCs w:val="1"/>
                <w:color w:val="auto"/>
                <w:w w:val="89"/>
              </w:rPr>
              <w:t xml:space="preserve"> Notes due 2031</w:t>
            </w:r>
          </w:p>
        </w:tc>
        <w:tc>
          <w:tcPr>
            <w:tcW w:w="4720" w:type="dxa"/>
            <w:vAlign w:val="bottom"/>
          </w:tcPr>
          <w:p>
            <w:pPr>
              <w:spacing w:after="0"/>
              <w:rPr>
                <w:sz w:val="17"/>
                <w:szCs w:val="17"/>
                <w:color w:val="auto"/>
              </w:rPr>
            </w:pPr>
          </w:p>
        </w:tc>
      </w:tr>
      <w:tr>
        <w:trPr>
          <w:trHeight w:val="453"/>
        </w:trPr>
        <w:tc>
          <w:tcPr>
            <w:tcW w:w="2540" w:type="dxa"/>
            <w:vAlign w:val="bottom"/>
          </w:tcPr>
          <w:p>
            <w:pPr>
              <w:spacing w:after="0"/>
              <w:rPr>
                <w:sz w:val="20"/>
                <w:szCs w:val="20"/>
                <w:color w:val="auto"/>
              </w:rPr>
            </w:pPr>
            <w:r>
              <w:rPr>
                <w:rFonts w:ascii="Arial" w:cs="Arial" w:eastAsia="Arial" w:hAnsi="Arial"/>
                <w:sz w:val="18"/>
                <w:szCs w:val="18"/>
                <w:i w:val="1"/>
                <w:iCs w:val="1"/>
                <w:color w:val="auto"/>
              </w:rPr>
              <w:t>Title:</w:t>
            </w:r>
          </w:p>
        </w:tc>
        <w:tc>
          <w:tcPr>
            <w:tcW w:w="8700" w:type="dxa"/>
            <w:vAlign w:val="bottom"/>
            <w:gridSpan w:val="3"/>
          </w:tcPr>
          <w:p>
            <w:pPr>
              <w:ind w:left="280"/>
              <w:spacing w:after="0"/>
              <w:rPr>
                <w:sz w:val="20"/>
                <w:szCs w:val="20"/>
                <w:color w:val="auto"/>
              </w:rPr>
            </w:pPr>
            <w:r>
              <w:rPr>
                <w:rFonts w:ascii="Arial" w:cs="Arial" w:eastAsia="Arial" w:hAnsi="Arial"/>
                <w:sz w:val="18"/>
                <w:szCs w:val="18"/>
                <w:color w:val="auto"/>
              </w:rPr>
              <w:t>1.500% Notes due 2031</w:t>
            </w:r>
          </w:p>
        </w:tc>
      </w:tr>
      <w:tr>
        <w:trPr>
          <w:trHeight w:val="418"/>
        </w:trPr>
        <w:tc>
          <w:tcPr>
            <w:tcW w:w="2540" w:type="dxa"/>
            <w:vAlign w:val="bottom"/>
          </w:tcPr>
          <w:p>
            <w:pPr>
              <w:spacing w:after="0"/>
              <w:rPr>
                <w:sz w:val="20"/>
                <w:szCs w:val="20"/>
                <w:color w:val="auto"/>
              </w:rPr>
            </w:pPr>
            <w:r>
              <w:rPr>
                <w:rFonts w:ascii="Arial" w:cs="Arial" w:eastAsia="Arial" w:hAnsi="Arial"/>
                <w:sz w:val="18"/>
                <w:szCs w:val="18"/>
                <w:i w:val="1"/>
                <w:iCs w:val="1"/>
                <w:color w:val="auto"/>
              </w:rPr>
              <w:t>Aggregate Principal Amount at</w:t>
            </w:r>
          </w:p>
        </w:tc>
        <w:tc>
          <w:tcPr>
            <w:tcW w:w="21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4720" w:type="dxa"/>
            <w:vAlign w:val="bottom"/>
          </w:tcPr>
          <w:p>
            <w:pPr>
              <w:spacing w:after="0"/>
              <w:rPr>
                <w:sz w:val="24"/>
                <w:szCs w:val="24"/>
                <w:color w:val="auto"/>
              </w:rPr>
            </w:pPr>
          </w:p>
        </w:tc>
      </w:tr>
      <w:tr>
        <w:trPr>
          <w:trHeight w:val="230"/>
        </w:trPr>
        <w:tc>
          <w:tcPr>
            <w:tcW w:w="2540" w:type="dxa"/>
            <w:vAlign w:val="bottom"/>
          </w:tcPr>
          <w:p>
            <w:pPr>
              <w:spacing w:after="0"/>
              <w:rPr>
                <w:sz w:val="20"/>
                <w:szCs w:val="20"/>
                <w:color w:val="auto"/>
              </w:rPr>
            </w:pPr>
            <w:r>
              <w:rPr>
                <w:rFonts w:ascii="Arial" w:cs="Arial" w:eastAsia="Arial" w:hAnsi="Arial"/>
                <w:sz w:val="18"/>
                <w:szCs w:val="18"/>
                <w:i w:val="1"/>
                <w:iCs w:val="1"/>
                <w:color w:val="auto"/>
              </w:rPr>
              <w:t>Maturity:</w:t>
            </w:r>
          </w:p>
        </w:tc>
        <w:tc>
          <w:tcPr>
            <w:tcW w:w="2180" w:type="dxa"/>
            <w:vAlign w:val="bottom"/>
          </w:tcPr>
          <w:p>
            <w:pPr>
              <w:ind w:left="280"/>
              <w:spacing w:after="0"/>
              <w:rPr>
                <w:sz w:val="20"/>
                <w:szCs w:val="20"/>
                <w:color w:val="auto"/>
              </w:rPr>
            </w:pPr>
            <w:r>
              <w:rPr>
                <w:rFonts w:ascii="Arial" w:cs="Arial" w:eastAsia="Arial" w:hAnsi="Arial"/>
                <w:sz w:val="18"/>
                <w:szCs w:val="18"/>
                <w:color w:val="auto"/>
              </w:rPr>
              <w:t>$1,750,000,000</w:t>
            </w:r>
          </w:p>
        </w:tc>
        <w:tc>
          <w:tcPr>
            <w:tcW w:w="1800" w:type="dxa"/>
            <w:vAlign w:val="bottom"/>
          </w:tcPr>
          <w:p>
            <w:pPr>
              <w:spacing w:after="0"/>
              <w:rPr>
                <w:sz w:val="20"/>
                <w:szCs w:val="20"/>
                <w:color w:val="auto"/>
              </w:rPr>
            </w:pPr>
          </w:p>
        </w:tc>
        <w:tc>
          <w:tcPr>
            <w:tcW w:w="4720" w:type="dxa"/>
            <w:vAlign w:val="bottom"/>
          </w:tcPr>
          <w:p>
            <w:pPr>
              <w:spacing w:after="0"/>
              <w:rPr>
                <w:sz w:val="20"/>
                <w:szCs w:val="20"/>
                <w:color w:val="auto"/>
              </w:rPr>
            </w:pPr>
          </w:p>
        </w:tc>
      </w:tr>
      <w:tr>
        <w:trPr>
          <w:trHeight w:val="432"/>
        </w:trPr>
        <w:tc>
          <w:tcPr>
            <w:tcW w:w="2540" w:type="dxa"/>
            <w:vAlign w:val="bottom"/>
          </w:tcPr>
          <w:p>
            <w:pPr>
              <w:spacing w:after="0"/>
              <w:rPr>
                <w:sz w:val="20"/>
                <w:szCs w:val="20"/>
                <w:color w:val="auto"/>
              </w:rPr>
            </w:pPr>
            <w:r>
              <w:rPr>
                <w:rFonts w:ascii="Arial" w:cs="Arial" w:eastAsia="Arial" w:hAnsi="Arial"/>
                <w:sz w:val="18"/>
                <w:szCs w:val="18"/>
                <w:i w:val="1"/>
                <w:iCs w:val="1"/>
                <w:color w:val="auto"/>
              </w:rPr>
              <w:t>Principal Payment Date:</w:t>
            </w:r>
          </w:p>
        </w:tc>
        <w:tc>
          <w:tcPr>
            <w:tcW w:w="8700" w:type="dxa"/>
            <w:vAlign w:val="bottom"/>
            <w:gridSpan w:val="3"/>
          </w:tcPr>
          <w:p>
            <w:pPr>
              <w:ind w:left="280"/>
              <w:spacing w:after="0"/>
              <w:rPr>
                <w:sz w:val="20"/>
                <w:szCs w:val="20"/>
                <w:color w:val="auto"/>
              </w:rPr>
            </w:pPr>
            <w:r>
              <w:rPr>
                <w:rFonts w:ascii="Arial" w:cs="Arial" w:eastAsia="Arial" w:hAnsi="Arial"/>
                <w:sz w:val="18"/>
                <w:szCs w:val="18"/>
                <w:color w:val="231F20"/>
              </w:rPr>
              <w:t>February 15, 2031</w:t>
            </w:r>
          </w:p>
        </w:tc>
      </w:tr>
      <w:tr>
        <w:trPr>
          <w:trHeight w:val="432"/>
        </w:trPr>
        <w:tc>
          <w:tcPr>
            <w:tcW w:w="2540" w:type="dxa"/>
            <w:vAlign w:val="bottom"/>
          </w:tcPr>
          <w:p>
            <w:pPr>
              <w:spacing w:after="0"/>
              <w:rPr>
                <w:sz w:val="20"/>
                <w:szCs w:val="20"/>
                <w:color w:val="auto"/>
              </w:rPr>
            </w:pPr>
            <w:r>
              <w:rPr>
                <w:rFonts w:ascii="Arial" w:cs="Arial" w:eastAsia="Arial" w:hAnsi="Arial"/>
                <w:sz w:val="18"/>
                <w:szCs w:val="18"/>
                <w:i w:val="1"/>
                <w:iCs w:val="1"/>
                <w:color w:val="auto"/>
              </w:rPr>
              <w:t>Interest:</w:t>
            </w:r>
          </w:p>
        </w:tc>
        <w:tc>
          <w:tcPr>
            <w:tcW w:w="2180" w:type="dxa"/>
            <w:vAlign w:val="bottom"/>
          </w:tcPr>
          <w:p>
            <w:pPr>
              <w:ind w:left="280"/>
              <w:spacing w:after="0"/>
              <w:rPr>
                <w:sz w:val="20"/>
                <w:szCs w:val="20"/>
                <w:color w:val="auto"/>
              </w:rPr>
            </w:pPr>
            <w:r>
              <w:rPr>
                <w:rFonts w:ascii="Arial" w:cs="Arial" w:eastAsia="Arial" w:hAnsi="Arial"/>
                <w:sz w:val="18"/>
                <w:szCs w:val="18"/>
                <w:color w:val="auto"/>
              </w:rPr>
              <w:t>1.500%</w:t>
            </w:r>
          </w:p>
        </w:tc>
        <w:tc>
          <w:tcPr>
            <w:tcW w:w="1800" w:type="dxa"/>
            <w:vAlign w:val="bottom"/>
          </w:tcPr>
          <w:p>
            <w:pPr>
              <w:spacing w:after="0"/>
              <w:rPr>
                <w:sz w:val="24"/>
                <w:szCs w:val="24"/>
                <w:color w:val="auto"/>
              </w:rPr>
            </w:pPr>
          </w:p>
        </w:tc>
        <w:tc>
          <w:tcPr>
            <w:tcW w:w="4720" w:type="dxa"/>
            <w:vAlign w:val="bottom"/>
          </w:tcPr>
          <w:p>
            <w:pPr>
              <w:spacing w:after="0"/>
              <w:rPr>
                <w:sz w:val="24"/>
                <w:szCs w:val="24"/>
                <w:color w:val="auto"/>
              </w:rPr>
            </w:pPr>
          </w:p>
        </w:tc>
      </w:tr>
      <w:tr>
        <w:trPr>
          <w:trHeight w:val="418"/>
        </w:trPr>
        <w:tc>
          <w:tcPr>
            <w:tcW w:w="2540" w:type="dxa"/>
            <w:vAlign w:val="bottom"/>
          </w:tcPr>
          <w:p>
            <w:pPr>
              <w:spacing w:after="0"/>
              <w:rPr>
                <w:sz w:val="20"/>
                <w:szCs w:val="20"/>
                <w:color w:val="auto"/>
              </w:rPr>
            </w:pPr>
            <w:r>
              <w:rPr>
                <w:rFonts w:ascii="Arial" w:cs="Arial" w:eastAsia="Arial" w:hAnsi="Arial"/>
                <w:sz w:val="18"/>
                <w:szCs w:val="18"/>
                <w:i w:val="1"/>
                <w:iCs w:val="1"/>
                <w:color w:val="auto"/>
              </w:rPr>
              <w:t>Redemption:</w:t>
            </w:r>
          </w:p>
        </w:tc>
        <w:tc>
          <w:tcPr>
            <w:tcW w:w="8700" w:type="dxa"/>
            <w:vAlign w:val="bottom"/>
            <w:gridSpan w:val="3"/>
          </w:tcPr>
          <w:p>
            <w:pPr>
              <w:ind w:left="280"/>
              <w:spacing w:after="0"/>
              <w:rPr>
                <w:sz w:val="20"/>
                <w:szCs w:val="20"/>
                <w:color w:val="auto"/>
              </w:rPr>
            </w:pPr>
            <w:r>
              <w:rPr>
                <w:rFonts w:ascii="Arial" w:cs="Arial" w:eastAsia="Arial" w:hAnsi="Arial"/>
                <w:sz w:val="18"/>
                <w:szCs w:val="18"/>
                <w:color w:val="auto"/>
                <w:w w:val="92"/>
              </w:rPr>
              <w:t>The Company may at its option redeem the 2031 Notes in whole or in part, at any time or from time to time prior to</w:t>
            </w:r>
          </w:p>
        </w:tc>
      </w:tr>
      <w:tr>
        <w:trPr>
          <w:trHeight w:val="216"/>
        </w:trPr>
        <w:tc>
          <w:tcPr>
            <w:tcW w:w="2540" w:type="dxa"/>
            <w:vAlign w:val="bottom"/>
          </w:tcPr>
          <w:p>
            <w:pPr>
              <w:spacing w:after="0"/>
              <w:rPr>
                <w:sz w:val="18"/>
                <w:szCs w:val="18"/>
                <w:color w:val="auto"/>
              </w:rPr>
            </w:pPr>
          </w:p>
        </w:tc>
        <w:tc>
          <w:tcPr>
            <w:tcW w:w="8700" w:type="dxa"/>
            <w:vAlign w:val="bottom"/>
            <w:gridSpan w:val="3"/>
          </w:tcPr>
          <w:p>
            <w:pPr>
              <w:ind w:left="280"/>
              <w:spacing w:after="0"/>
              <w:rPr>
                <w:sz w:val="20"/>
                <w:szCs w:val="20"/>
                <w:color w:val="auto"/>
              </w:rPr>
            </w:pPr>
            <w:r>
              <w:rPr>
                <w:rFonts w:ascii="Arial" w:cs="Arial" w:eastAsia="Arial" w:hAnsi="Arial"/>
                <w:sz w:val="18"/>
                <w:szCs w:val="18"/>
                <w:color w:val="auto"/>
                <w:w w:val="93"/>
              </w:rPr>
              <w:t xml:space="preserve">their maturity, on at least </w:t>
            </w:r>
            <w:r>
              <w:rPr>
                <w:rFonts w:ascii="Arial" w:cs="Arial" w:eastAsia="Arial" w:hAnsi="Arial"/>
                <w:sz w:val="18"/>
                <w:szCs w:val="18"/>
                <w:color w:val="231F20"/>
                <w:w w:val="93"/>
              </w:rPr>
              <w:t>15</w:t>
            </w:r>
            <w:r>
              <w:rPr>
                <w:rFonts w:ascii="Arial" w:cs="Arial" w:eastAsia="Arial" w:hAnsi="Arial"/>
                <w:sz w:val="18"/>
                <w:szCs w:val="18"/>
                <w:color w:val="auto"/>
                <w:w w:val="93"/>
              </w:rPr>
              <w:t xml:space="preserve"> days, but not more than </w:t>
            </w:r>
            <w:r>
              <w:rPr>
                <w:rFonts w:ascii="Arial" w:cs="Arial" w:eastAsia="Arial" w:hAnsi="Arial"/>
                <w:sz w:val="18"/>
                <w:szCs w:val="18"/>
                <w:color w:val="231F20"/>
                <w:w w:val="93"/>
              </w:rPr>
              <w:t>30</w:t>
            </w:r>
            <w:r>
              <w:rPr>
                <w:rFonts w:ascii="Arial" w:cs="Arial" w:eastAsia="Arial" w:hAnsi="Arial"/>
                <w:sz w:val="18"/>
                <w:szCs w:val="18"/>
                <w:color w:val="auto"/>
                <w:w w:val="93"/>
              </w:rPr>
              <w:t xml:space="preserve"> days, prior notice delivered electronically or mailed to the</w:t>
            </w:r>
          </w:p>
        </w:tc>
      </w:tr>
      <w:tr>
        <w:trPr>
          <w:trHeight w:val="216"/>
        </w:trPr>
        <w:tc>
          <w:tcPr>
            <w:tcW w:w="2540" w:type="dxa"/>
            <w:vAlign w:val="bottom"/>
          </w:tcPr>
          <w:p>
            <w:pPr>
              <w:spacing w:after="0"/>
              <w:rPr>
                <w:sz w:val="18"/>
                <w:szCs w:val="18"/>
                <w:color w:val="auto"/>
              </w:rPr>
            </w:pPr>
          </w:p>
        </w:tc>
        <w:tc>
          <w:tcPr>
            <w:tcW w:w="8700" w:type="dxa"/>
            <w:vAlign w:val="bottom"/>
            <w:gridSpan w:val="3"/>
          </w:tcPr>
          <w:p>
            <w:pPr>
              <w:ind w:left="280"/>
              <w:spacing w:after="0"/>
              <w:rPr>
                <w:sz w:val="20"/>
                <w:szCs w:val="20"/>
                <w:color w:val="auto"/>
              </w:rPr>
            </w:pPr>
            <w:r>
              <w:rPr>
                <w:rFonts w:ascii="Arial" w:cs="Arial" w:eastAsia="Arial" w:hAnsi="Arial"/>
                <w:sz w:val="18"/>
                <w:szCs w:val="18"/>
                <w:color w:val="auto"/>
                <w:w w:val="94"/>
              </w:rPr>
              <w:t>registered address of each holder of the 2031 Notes, at the “Redemption Price.” The Company will calculate the</w:t>
            </w:r>
          </w:p>
        </w:tc>
      </w:tr>
      <w:tr>
        <w:trPr>
          <w:trHeight w:val="212"/>
        </w:trPr>
        <w:tc>
          <w:tcPr>
            <w:tcW w:w="2540" w:type="dxa"/>
            <w:vAlign w:val="bottom"/>
          </w:tcPr>
          <w:p>
            <w:pPr>
              <w:spacing w:after="0"/>
              <w:rPr>
                <w:sz w:val="18"/>
                <w:szCs w:val="18"/>
                <w:color w:val="auto"/>
              </w:rPr>
            </w:pPr>
          </w:p>
        </w:tc>
        <w:tc>
          <w:tcPr>
            <w:tcW w:w="8700" w:type="dxa"/>
            <w:vAlign w:val="bottom"/>
            <w:gridSpan w:val="3"/>
          </w:tcPr>
          <w:p>
            <w:pPr>
              <w:ind w:left="280"/>
              <w:spacing w:after="0"/>
              <w:rPr>
                <w:sz w:val="20"/>
                <w:szCs w:val="20"/>
                <w:color w:val="auto"/>
              </w:rPr>
            </w:pPr>
            <w:r>
              <w:rPr>
                <w:rFonts w:ascii="Arial" w:cs="Arial" w:eastAsia="Arial" w:hAnsi="Arial"/>
                <w:sz w:val="18"/>
                <w:szCs w:val="18"/>
                <w:color w:val="auto"/>
                <w:w w:val="91"/>
              </w:rPr>
              <w:t>Redemption Price in connection with any redemption hereunder. Prior to November 15, 2030 (three (3) months prior</w:t>
            </w:r>
          </w:p>
        </w:tc>
      </w:tr>
      <w:tr>
        <w:trPr>
          <w:trHeight w:val="220"/>
        </w:trPr>
        <w:tc>
          <w:tcPr>
            <w:tcW w:w="2540" w:type="dxa"/>
            <w:vAlign w:val="bottom"/>
          </w:tcPr>
          <w:p>
            <w:pPr>
              <w:spacing w:after="0"/>
              <w:rPr>
                <w:sz w:val="19"/>
                <w:szCs w:val="19"/>
                <w:color w:val="auto"/>
              </w:rPr>
            </w:pPr>
          </w:p>
        </w:tc>
        <w:tc>
          <w:tcPr>
            <w:tcW w:w="8700" w:type="dxa"/>
            <w:vAlign w:val="bottom"/>
            <w:gridSpan w:val="3"/>
          </w:tcPr>
          <w:p>
            <w:pPr>
              <w:ind w:left="280"/>
              <w:spacing w:after="0"/>
              <w:rPr>
                <w:sz w:val="20"/>
                <w:szCs w:val="20"/>
                <w:color w:val="auto"/>
              </w:rPr>
            </w:pPr>
            <w:r>
              <w:rPr>
                <w:rFonts w:ascii="Arial" w:cs="Arial" w:eastAsia="Arial" w:hAnsi="Arial"/>
                <w:sz w:val="18"/>
                <w:szCs w:val="18"/>
                <w:color w:val="auto"/>
                <w:w w:val="94"/>
              </w:rPr>
              <w:t>to the maturity of the 2031 Notes) (the “</w:t>
            </w:r>
            <w:r>
              <w:rPr>
                <w:rFonts w:ascii="Arial" w:cs="Arial" w:eastAsia="Arial" w:hAnsi="Arial"/>
                <w:sz w:val="18"/>
                <w:szCs w:val="18"/>
                <w:b w:val="1"/>
                <w:bCs w:val="1"/>
                <w:color w:val="auto"/>
                <w:w w:val="94"/>
              </w:rPr>
              <w:t>2031 Par Call Date</w:t>
            </w:r>
            <w:r>
              <w:rPr>
                <w:rFonts w:ascii="Arial" w:cs="Arial" w:eastAsia="Arial" w:hAnsi="Arial"/>
                <w:sz w:val="18"/>
                <w:szCs w:val="18"/>
                <w:color w:val="auto"/>
                <w:w w:val="94"/>
              </w:rPr>
              <w:t>”), the Redemption Price is the greater of (i) 100% of</w:t>
            </w:r>
          </w:p>
        </w:tc>
      </w:tr>
      <w:tr>
        <w:trPr>
          <w:trHeight w:val="216"/>
        </w:trPr>
        <w:tc>
          <w:tcPr>
            <w:tcW w:w="2540" w:type="dxa"/>
            <w:vAlign w:val="bottom"/>
          </w:tcPr>
          <w:p>
            <w:pPr>
              <w:spacing w:after="0"/>
              <w:rPr>
                <w:sz w:val="18"/>
                <w:szCs w:val="18"/>
                <w:color w:val="auto"/>
              </w:rPr>
            </w:pPr>
          </w:p>
        </w:tc>
        <w:tc>
          <w:tcPr>
            <w:tcW w:w="8700" w:type="dxa"/>
            <w:vAlign w:val="bottom"/>
            <w:gridSpan w:val="3"/>
          </w:tcPr>
          <w:p>
            <w:pPr>
              <w:ind w:left="280"/>
              <w:spacing w:after="0"/>
              <w:rPr>
                <w:sz w:val="20"/>
                <w:szCs w:val="20"/>
                <w:color w:val="auto"/>
              </w:rPr>
            </w:pPr>
            <w:r>
              <w:rPr>
                <w:rFonts w:ascii="Arial" w:cs="Arial" w:eastAsia="Arial" w:hAnsi="Arial"/>
                <w:sz w:val="18"/>
                <w:szCs w:val="18"/>
                <w:color w:val="auto"/>
                <w:w w:val="91"/>
              </w:rPr>
              <w:t>the principal amount of the 2031 Notes, and (ii) the sum of the present values of the principal amount of such notes</w:t>
            </w:r>
          </w:p>
        </w:tc>
      </w:tr>
      <w:tr>
        <w:trPr>
          <w:trHeight w:val="230"/>
        </w:trPr>
        <w:tc>
          <w:tcPr>
            <w:tcW w:w="2540" w:type="dxa"/>
            <w:vAlign w:val="bottom"/>
          </w:tcPr>
          <w:p>
            <w:pPr>
              <w:spacing w:after="0"/>
              <w:rPr>
                <w:sz w:val="20"/>
                <w:szCs w:val="20"/>
                <w:color w:val="auto"/>
              </w:rPr>
            </w:pPr>
          </w:p>
        </w:tc>
        <w:tc>
          <w:tcPr>
            <w:tcW w:w="8700" w:type="dxa"/>
            <w:vAlign w:val="bottom"/>
            <w:gridSpan w:val="3"/>
          </w:tcPr>
          <w:p>
            <w:pPr>
              <w:ind w:left="280"/>
              <w:spacing w:after="0"/>
              <w:rPr>
                <w:sz w:val="20"/>
                <w:szCs w:val="20"/>
                <w:color w:val="auto"/>
              </w:rPr>
            </w:pPr>
            <w:r>
              <w:rPr>
                <w:rFonts w:ascii="Arial" w:cs="Arial" w:eastAsia="Arial" w:hAnsi="Arial"/>
                <w:sz w:val="18"/>
                <w:szCs w:val="18"/>
                <w:color w:val="auto"/>
              </w:rPr>
              <w:t>and the scheduled payments of interest thereon (exclusive of interest</w:t>
            </w:r>
          </w:p>
        </w:tc>
      </w:tr>
      <w:tr>
        <w:trPr>
          <w:trHeight w:val="567"/>
        </w:trPr>
        <w:tc>
          <w:tcPr>
            <w:tcW w:w="254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47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7" w:right="33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40" w:type="dxa"/>
            <w:vAlign w:val="bottom"/>
          </w:tcPr>
          <w:p>
            <w:pPr>
              <w:spacing w:after="0"/>
              <w:rPr>
                <w:sz w:val="18"/>
                <w:szCs w:val="18"/>
                <w:color w:val="auto"/>
              </w:rPr>
            </w:pPr>
          </w:p>
        </w:tc>
        <w:tc>
          <w:tcPr>
            <w:tcW w:w="8700" w:type="dxa"/>
            <w:vAlign w:val="bottom"/>
            <w:gridSpan w:val="5"/>
          </w:tcPr>
          <w:p>
            <w:pPr>
              <w:ind w:left="280"/>
              <w:spacing w:after="0"/>
              <w:rPr>
                <w:sz w:val="20"/>
                <w:szCs w:val="20"/>
                <w:color w:val="auto"/>
              </w:rPr>
            </w:pPr>
            <w:r>
              <w:rPr>
                <w:rFonts w:ascii="Arial" w:cs="Arial" w:eastAsia="Arial" w:hAnsi="Arial"/>
                <w:sz w:val="18"/>
                <w:szCs w:val="18"/>
                <w:color w:val="auto"/>
                <w:w w:val="92"/>
              </w:rPr>
              <w:t>accrued to the date of redemption) from the redemption date to the 2031 Par Call Date, in each case discounted to</w:t>
            </w:r>
          </w:p>
        </w:tc>
      </w:tr>
      <w:tr>
        <w:trPr>
          <w:trHeight w:val="216"/>
        </w:trPr>
        <w:tc>
          <w:tcPr>
            <w:tcW w:w="2540" w:type="dxa"/>
            <w:vAlign w:val="bottom"/>
          </w:tcPr>
          <w:p>
            <w:pPr>
              <w:spacing w:after="0"/>
              <w:rPr>
                <w:sz w:val="18"/>
                <w:szCs w:val="18"/>
                <w:color w:val="auto"/>
              </w:rPr>
            </w:pPr>
          </w:p>
        </w:tc>
        <w:tc>
          <w:tcPr>
            <w:tcW w:w="8700" w:type="dxa"/>
            <w:vAlign w:val="bottom"/>
            <w:gridSpan w:val="5"/>
          </w:tcPr>
          <w:p>
            <w:pPr>
              <w:ind w:left="280"/>
              <w:spacing w:after="0"/>
              <w:rPr>
                <w:sz w:val="20"/>
                <w:szCs w:val="20"/>
                <w:color w:val="auto"/>
              </w:rPr>
            </w:pPr>
            <w:r>
              <w:rPr>
                <w:rFonts w:ascii="Arial" w:cs="Arial" w:eastAsia="Arial" w:hAnsi="Arial"/>
                <w:sz w:val="18"/>
                <w:szCs w:val="18"/>
                <w:color w:val="auto"/>
                <w:w w:val="93"/>
              </w:rPr>
              <w:t>the redemption date on a semiannual basis (assuming a 360-day year consisting of twelve 30-day months) at the</w:t>
            </w:r>
          </w:p>
        </w:tc>
      </w:tr>
      <w:tr>
        <w:trPr>
          <w:trHeight w:val="216"/>
        </w:trPr>
        <w:tc>
          <w:tcPr>
            <w:tcW w:w="2540" w:type="dxa"/>
            <w:vAlign w:val="bottom"/>
          </w:tcPr>
          <w:p>
            <w:pPr>
              <w:spacing w:after="0"/>
              <w:rPr>
                <w:sz w:val="18"/>
                <w:szCs w:val="18"/>
                <w:color w:val="auto"/>
              </w:rPr>
            </w:pPr>
          </w:p>
        </w:tc>
        <w:tc>
          <w:tcPr>
            <w:tcW w:w="8700" w:type="dxa"/>
            <w:vAlign w:val="bottom"/>
            <w:gridSpan w:val="5"/>
          </w:tcPr>
          <w:p>
            <w:pPr>
              <w:ind w:left="280"/>
              <w:spacing w:after="0"/>
              <w:rPr>
                <w:sz w:val="20"/>
                <w:szCs w:val="20"/>
                <w:color w:val="auto"/>
              </w:rPr>
            </w:pPr>
            <w:r>
              <w:rPr>
                <w:rFonts w:ascii="Arial" w:cs="Arial" w:eastAsia="Arial" w:hAnsi="Arial"/>
                <w:sz w:val="18"/>
                <w:szCs w:val="18"/>
                <w:color w:val="auto"/>
                <w:w w:val="98"/>
              </w:rPr>
              <w:t>Treasury Rate (as defined in the 2031 Notes) plus 15 basis points. On and after the 2031 Par Call Date, the</w:t>
            </w:r>
          </w:p>
        </w:tc>
      </w:tr>
      <w:tr>
        <w:trPr>
          <w:trHeight w:val="216"/>
        </w:trPr>
        <w:tc>
          <w:tcPr>
            <w:tcW w:w="2540" w:type="dxa"/>
            <w:vAlign w:val="bottom"/>
          </w:tcPr>
          <w:p>
            <w:pPr>
              <w:spacing w:after="0"/>
              <w:rPr>
                <w:sz w:val="18"/>
                <w:szCs w:val="18"/>
                <w:color w:val="auto"/>
              </w:rPr>
            </w:pPr>
          </w:p>
        </w:tc>
        <w:tc>
          <w:tcPr>
            <w:tcW w:w="8700" w:type="dxa"/>
            <w:vAlign w:val="bottom"/>
            <w:gridSpan w:val="5"/>
          </w:tcPr>
          <w:p>
            <w:pPr>
              <w:ind w:left="280"/>
              <w:spacing w:after="0"/>
              <w:rPr>
                <w:sz w:val="20"/>
                <w:szCs w:val="20"/>
                <w:color w:val="auto"/>
              </w:rPr>
            </w:pPr>
            <w:r>
              <w:rPr>
                <w:rFonts w:ascii="Arial" w:cs="Arial" w:eastAsia="Arial" w:hAnsi="Arial"/>
                <w:sz w:val="18"/>
                <w:szCs w:val="18"/>
                <w:color w:val="auto"/>
                <w:w w:val="92"/>
              </w:rPr>
              <w:t>Redemption Price will equal 100% of the principal amount of such notes. In each case described in this paragraph,</w:t>
            </w:r>
          </w:p>
        </w:tc>
      </w:tr>
      <w:tr>
        <w:trPr>
          <w:trHeight w:val="216"/>
        </w:trPr>
        <w:tc>
          <w:tcPr>
            <w:tcW w:w="2540" w:type="dxa"/>
            <w:vAlign w:val="bottom"/>
          </w:tcPr>
          <w:p>
            <w:pPr>
              <w:spacing w:after="0"/>
              <w:rPr>
                <w:sz w:val="18"/>
                <w:szCs w:val="18"/>
                <w:color w:val="auto"/>
              </w:rPr>
            </w:pPr>
          </w:p>
        </w:tc>
        <w:tc>
          <w:tcPr>
            <w:tcW w:w="8700" w:type="dxa"/>
            <w:vAlign w:val="bottom"/>
            <w:gridSpan w:val="5"/>
          </w:tcPr>
          <w:p>
            <w:pPr>
              <w:ind w:left="280"/>
              <w:spacing w:after="0"/>
              <w:rPr>
                <w:sz w:val="20"/>
                <w:szCs w:val="20"/>
                <w:color w:val="auto"/>
              </w:rPr>
            </w:pPr>
            <w:r>
              <w:rPr>
                <w:rFonts w:ascii="Arial" w:cs="Arial" w:eastAsia="Arial" w:hAnsi="Arial"/>
                <w:sz w:val="18"/>
                <w:szCs w:val="18"/>
                <w:color w:val="auto"/>
                <w:w w:val="92"/>
              </w:rPr>
              <w:t>the Redemption Price will include accrued and unpaid interest thereon to the date of redemption, and in each case</w:t>
            </w:r>
          </w:p>
        </w:tc>
      </w:tr>
      <w:tr>
        <w:trPr>
          <w:trHeight w:val="230"/>
        </w:trPr>
        <w:tc>
          <w:tcPr>
            <w:tcW w:w="2540" w:type="dxa"/>
            <w:vAlign w:val="bottom"/>
          </w:tcPr>
          <w:p>
            <w:pPr>
              <w:spacing w:after="0"/>
              <w:rPr>
                <w:sz w:val="20"/>
                <w:szCs w:val="20"/>
                <w:color w:val="auto"/>
              </w:rPr>
            </w:pPr>
          </w:p>
        </w:tc>
        <w:tc>
          <w:tcPr>
            <w:tcW w:w="8700" w:type="dxa"/>
            <w:vAlign w:val="bottom"/>
            <w:gridSpan w:val="5"/>
          </w:tcPr>
          <w:p>
            <w:pPr>
              <w:ind w:left="280"/>
              <w:spacing w:after="0"/>
              <w:rPr>
                <w:sz w:val="20"/>
                <w:szCs w:val="20"/>
                <w:color w:val="auto"/>
              </w:rPr>
            </w:pPr>
            <w:r>
              <w:rPr>
                <w:rFonts w:ascii="Arial" w:cs="Arial" w:eastAsia="Arial" w:hAnsi="Arial"/>
                <w:sz w:val="18"/>
                <w:szCs w:val="18"/>
                <w:color w:val="auto"/>
                <w:w w:val="91"/>
              </w:rPr>
              <w:t>described in this paragraph, subject to the further description in the Prospectus Supplement dated August 11</w:t>
            </w:r>
            <w:r>
              <w:rPr>
                <w:rFonts w:ascii="Arial" w:cs="Arial" w:eastAsia="Arial" w:hAnsi="Arial"/>
                <w:sz w:val="18"/>
                <w:szCs w:val="18"/>
                <w:color w:val="231F20"/>
                <w:w w:val="91"/>
              </w:rPr>
              <w:t>, 2020</w:t>
            </w:r>
            <w:r>
              <w:rPr>
                <w:rFonts w:ascii="Arial" w:cs="Arial" w:eastAsia="Arial" w:hAnsi="Arial"/>
                <w:sz w:val="18"/>
                <w:szCs w:val="18"/>
                <w:color w:val="auto"/>
                <w:w w:val="91"/>
              </w:rPr>
              <w:t>.</w:t>
            </w:r>
          </w:p>
        </w:tc>
      </w:tr>
      <w:tr>
        <w:trPr>
          <w:trHeight w:val="418"/>
        </w:trPr>
        <w:tc>
          <w:tcPr>
            <w:tcW w:w="2540" w:type="dxa"/>
            <w:vAlign w:val="bottom"/>
          </w:tcPr>
          <w:p>
            <w:pPr>
              <w:spacing w:after="0"/>
              <w:rPr>
                <w:sz w:val="20"/>
                <w:szCs w:val="20"/>
                <w:color w:val="auto"/>
              </w:rPr>
            </w:pPr>
            <w:r>
              <w:rPr>
                <w:rFonts w:ascii="Arial" w:cs="Arial" w:eastAsia="Arial" w:hAnsi="Arial"/>
                <w:sz w:val="18"/>
                <w:szCs w:val="18"/>
                <w:i w:val="1"/>
                <w:iCs w:val="1"/>
                <w:color w:val="auto"/>
              </w:rPr>
              <w:t>Additional Issuances:</w:t>
            </w:r>
          </w:p>
        </w:tc>
        <w:tc>
          <w:tcPr>
            <w:tcW w:w="8700" w:type="dxa"/>
            <w:vAlign w:val="bottom"/>
            <w:gridSpan w:val="5"/>
          </w:tcPr>
          <w:p>
            <w:pPr>
              <w:ind w:left="280"/>
              <w:spacing w:after="0"/>
              <w:rPr>
                <w:sz w:val="20"/>
                <w:szCs w:val="20"/>
                <w:color w:val="auto"/>
              </w:rPr>
            </w:pPr>
            <w:r>
              <w:rPr>
                <w:rFonts w:ascii="Arial" w:cs="Arial" w:eastAsia="Arial" w:hAnsi="Arial"/>
                <w:sz w:val="18"/>
                <w:szCs w:val="18"/>
                <w:color w:val="auto"/>
                <w:w w:val="92"/>
              </w:rPr>
              <w:t>The 2031 Notes need not be issued at the same time and the series may be reopened for issuance of an unlimited</w:t>
            </w:r>
          </w:p>
        </w:tc>
      </w:tr>
      <w:tr>
        <w:trPr>
          <w:trHeight w:val="216"/>
        </w:trPr>
        <w:tc>
          <w:tcPr>
            <w:tcW w:w="2540" w:type="dxa"/>
            <w:vAlign w:val="bottom"/>
          </w:tcPr>
          <w:p>
            <w:pPr>
              <w:spacing w:after="0"/>
              <w:rPr>
                <w:sz w:val="18"/>
                <w:szCs w:val="18"/>
                <w:color w:val="auto"/>
              </w:rPr>
            </w:pPr>
          </w:p>
        </w:tc>
        <w:tc>
          <w:tcPr>
            <w:tcW w:w="8700" w:type="dxa"/>
            <w:vAlign w:val="bottom"/>
            <w:gridSpan w:val="5"/>
          </w:tcPr>
          <w:p>
            <w:pPr>
              <w:ind w:left="280"/>
              <w:spacing w:after="0"/>
              <w:rPr>
                <w:sz w:val="20"/>
                <w:szCs w:val="20"/>
                <w:color w:val="auto"/>
              </w:rPr>
            </w:pPr>
            <w:r>
              <w:rPr>
                <w:rFonts w:ascii="Arial" w:cs="Arial" w:eastAsia="Arial" w:hAnsi="Arial"/>
                <w:sz w:val="18"/>
                <w:szCs w:val="18"/>
                <w:color w:val="auto"/>
              </w:rPr>
              <w:t>principal amount of additional 2031 Notes under this series. Additional 2031 Notes of this series may be</w:t>
            </w:r>
          </w:p>
        </w:tc>
      </w:tr>
      <w:tr>
        <w:trPr>
          <w:trHeight w:val="216"/>
        </w:trPr>
        <w:tc>
          <w:tcPr>
            <w:tcW w:w="2540" w:type="dxa"/>
            <w:vAlign w:val="bottom"/>
          </w:tcPr>
          <w:p>
            <w:pPr>
              <w:spacing w:after="0"/>
              <w:rPr>
                <w:sz w:val="18"/>
                <w:szCs w:val="18"/>
                <w:color w:val="auto"/>
              </w:rPr>
            </w:pPr>
          </w:p>
        </w:tc>
        <w:tc>
          <w:tcPr>
            <w:tcW w:w="8700" w:type="dxa"/>
            <w:vAlign w:val="bottom"/>
            <w:gridSpan w:val="5"/>
          </w:tcPr>
          <w:p>
            <w:pPr>
              <w:ind w:left="280"/>
              <w:spacing w:after="0"/>
              <w:rPr>
                <w:sz w:val="20"/>
                <w:szCs w:val="20"/>
                <w:color w:val="auto"/>
              </w:rPr>
            </w:pPr>
            <w:r>
              <w:rPr>
                <w:rFonts w:ascii="Arial" w:cs="Arial" w:eastAsia="Arial" w:hAnsi="Arial"/>
                <w:sz w:val="18"/>
                <w:szCs w:val="18"/>
                <w:color w:val="auto"/>
                <w:w w:val="91"/>
              </w:rPr>
              <w:t>consolidated with, and form a single series with, 2031 Notes then outstanding, including for purposes of determining</w:t>
            </w:r>
          </w:p>
        </w:tc>
      </w:tr>
      <w:tr>
        <w:trPr>
          <w:trHeight w:val="216"/>
        </w:trPr>
        <w:tc>
          <w:tcPr>
            <w:tcW w:w="2540" w:type="dxa"/>
            <w:vAlign w:val="bottom"/>
          </w:tcPr>
          <w:p>
            <w:pPr>
              <w:spacing w:after="0"/>
              <w:rPr>
                <w:sz w:val="18"/>
                <w:szCs w:val="18"/>
                <w:color w:val="auto"/>
              </w:rPr>
            </w:pPr>
          </w:p>
        </w:tc>
        <w:tc>
          <w:tcPr>
            <w:tcW w:w="8700" w:type="dxa"/>
            <w:vAlign w:val="bottom"/>
            <w:gridSpan w:val="5"/>
          </w:tcPr>
          <w:p>
            <w:pPr>
              <w:ind w:left="280"/>
              <w:spacing w:after="0"/>
              <w:rPr>
                <w:sz w:val="20"/>
                <w:szCs w:val="20"/>
                <w:color w:val="auto"/>
              </w:rPr>
            </w:pPr>
            <w:r>
              <w:rPr>
                <w:rFonts w:ascii="Arial" w:cs="Arial" w:eastAsia="Arial" w:hAnsi="Arial"/>
                <w:sz w:val="18"/>
                <w:szCs w:val="18"/>
                <w:color w:val="auto"/>
                <w:w w:val="91"/>
              </w:rPr>
              <w:t>whether the required percentage of the holders of record has given approval or consent to an amendment or waiver</w:t>
            </w:r>
          </w:p>
        </w:tc>
      </w:tr>
      <w:tr>
        <w:trPr>
          <w:trHeight w:val="216"/>
        </w:trPr>
        <w:tc>
          <w:tcPr>
            <w:tcW w:w="2540" w:type="dxa"/>
            <w:vAlign w:val="bottom"/>
          </w:tcPr>
          <w:p>
            <w:pPr>
              <w:spacing w:after="0"/>
              <w:rPr>
                <w:sz w:val="18"/>
                <w:szCs w:val="18"/>
                <w:color w:val="auto"/>
              </w:rPr>
            </w:pPr>
          </w:p>
        </w:tc>
        <w:tc>
          <w:tcPr>
            <w:tcW w:w="8700" w:type="dxa"/>
            <w:vAlign w:val="bottom"/>
            <w:gridSpan w:val="5"/>
          </w:tcPr>
          <w:p>
            <w:pPr>
              <w:ind w:left="280"/>
              <w:spacing w:after="0"/>
              <w:rPr>
                <w:sz w:val="20"/>
                <w:szCs w:val="20"/>
                <w:color w:val="auto"/>
              </w:rPr>
            </w:pPr>
            <w:r>
              <w:rPr>
                <w:rFonts w:ascii="Arial" w:cs="Arial" w:eastAsia="Arial" w:hAnsi="Arial"/>
                <w:sz w:val="18"/>
                <w:szCs w:val="18"/>
                <w:color w:val="auto"/>
                <w:w w:val="95"/>
              </w:rPr>
              <w:t>or joined in directing the Trustee to take certain actions on behalf of all holders; provided that if such additional</w:t>
            </w:r>
          </w:p>
        </w:tc>
      </w:tr>
      <w:tr>
        <w:trPr>
          <w:trHeight w:val="216"/>
        </w:trPr>
        <w:tc>
          <w:tcPr>
            <w:tcW w:w="2540" w:type="dxa"/>
            <w:vAlign w:val="bottom"/>
          </w:tcPr>
          <w:p>
            <w:pPr>
              <w:spacing w:after="0"/>
              <w:rPr>
                <w:sz w:val="18"/>
                <w:szCs w:val="18"/>
                <w:color w:val="auto"/>
              </w:rPr>
            </w:pPr>
          </w:p>
        </w:tc>
        <w:tc>
          <w:tcPr>
            <w:tcW w:w="8700" w:type="dxa"/>
            <w:vAlign w:val="bottom"/>
            <w:gridSpan w:val="5"/>
          </w:tcPr>
          <w:p>
            <w:pPr>
              <w:ind w:left="280"/>
              <w:spacing w:after="0"/>
              <w:rPr>
                <w:sz w:val="20"/>
                <w:szCs w:val="20"/>
                <w:color w:val="auto"/>
              </w:rPr>
            </w:pPr>
            <w:r>
              <w:rPr>
                <w:rFonts w:ascii="Arial" w:cs="Arial" w:eastAsia="Arial" w:hAnsi="Arial"/>
                <w:sz w:val="18"/>
                <w:szCs w:val="18"/>
                <w:color w:val="auto"/>
                <w:w w:val="96"/>
              </w:rPr>
              <w:t>2031 Notes are not fungible with the 2031 Notes then outstanding for U.S. federal income tax purposes, such</w:t>
            </w:r>
          </w:p>
        </w:tc>
      </w:tr>
      <w:tr>
        <w:trPr>
          <w:trHeight w:val="230"/>
        </w:trPr>
        <w:tc>
          <w:tcPr>
            <w:tcW w:w="2540" w:type="dxa"/>
            <w:vAlign w:val="bottom"/>
          </w:tcPr>
          <w:p>
            <w:pPr>
              <w:spacing w:after="0"/>
              <w:rPr>
                <w:sz w:val="20"/>
                <w:szCs w:val="20"/>
                <w:color w:val="auto"/>
              </w:rPr>
            </w:pPr>
          </w:p>
        </w:tc>
        <w:tc>
          <w:tcPr>
            <w:tcW w:w="8700" w:type="dxa"/>
            <w:vAlign w:val="bottom"/>
            <w:gridSpan w:val="5"/>
          </w:tcPr>
          <w:p>
            <w:pPr>
              <w:ind w:left="280"/>
              <w:spacing w:after="0"/>
              <w:rPr>
                <w:sz w:val="20"/>
                <w:szCs w:val="20"/>
                <w:color w:val="auto"/>
              </w:rPr>
            </w:pPr>
            <w:r>
              <w:rPr>
                <w:rFonts w:ascii="Arial" w:cs="Arial" w:eastAsia="Arial" w:hAnsi="Arial"/>
                <w:sz w:val="18"/>
                <w:szCs w:val="18"/>
                <w:color w:val="auto"/>
              </w:rPr>
              <w:t>additional 2031 Notes will have one or more separate CUSIP numbers.</w:t>
            </w:r>
          </w:p>
        </w:tc>
      </w:tr>
      <w:tr>
        <w:trPr>
          <w:trHeight w:val="432"/>
        </w:trPr>
        <w:tc>
          <w:tcPr>
            <w:tcW w:w="2540" w:type="dxa"/>
            <w:vAlign w:val="bottom"/>
          </w:tcPr>
          <w:p>
            <w:pPr>
              <w:spacing w:after="0"/>
              <w:rPr>
                <w:sz w:val="20"/>
                <w:szCs w:val="20"/>
                <w:color w:val="auto"/>
              </w:rPr>
            </w:pPr>
            <w:r>
              <w:rPr>
                <w:rFonts w:ascii="Arial" w:cs="Arial" w:eastAsia="Arial" w:hAnsi="Arial"/>
                <w:sz w:val="18"/>
                <w:szCs w:val="18"/>
                <w:i w:val="1"/>
                <w:iCs w:val="1"/>
                <w:color w:val="auto"/>
              </w:rPr>
              <w:t>Conversion:</w:t>
            </w:r>
          </w:p>
        </w:tc>
        <w:tc>
          <w:tcPr>
            <w:tcW w:w="8700" w:type="dxa"/>
            <w:vAlign w:val="bottom"/>
            <w:gridSpan w:val="5"/>
          </w:tcPr>
          <w:p>
            <w:pPr>
              <w:ind w:left="280"/>
              <w:spacing w:after="0"/>
              <w:rPr>
                <w:sz w:val="20"/>
                <w:szCs w:val="20"/>
                <w:color w:val="auto"/>
              </w:rPr>
            </w:pPr>
            <w:r>
              <w:rPr>
                <w:rFonts w:ascii="Arial" w:cs="Arial" w:eastAsia="Arial" w:hAnsi="Arial"/>
                <w:sz w:val="18"/>
                <w:szCs w:val="18"/>
                <w:color w:val="auto"/>
              </w:rPr>
              <w:t>None</w:t>
            </w:r>
          </w:p>
        </w:tc>
      </w:tr>
      <w:tr>
        <w:trPr>
          <w:trHeight w:val="432"/>
        </w:trPr>
        <w:tc>
          <w:tcPr>
            <w:tcW w:w="2540" w:type="dxa"/>
            <w:vAlign w:val="bottom"/>
          </w:tcPr>
          <w:p>
            <w:pPr>
              <w:spacing w:after="0"/>
              <w:rPr>
                <w:sz w:val="20"/>
                <w:szCs w:val="20"/>
                <w:color w:val="auto"/>
              </w:rPr>
            </w:pPr>
            <w:r>
              <w:rPr>
                <w:rFonts w:ascii="Arial" w:cs="Arial" w:eastAsia="Arial" w:hAnsi="Arial"/>
                <w:sz w:val="18"/>
                <w:szCs w:val="18"/>
                <w:i w:val="1"/>
                <w:iCs w:val="1"/>
                <w:color w:val="auto"/>
              </w:rPr>
              <w:t>Sinking Fund:</w:t>
            </w:r>
          </w:p>
        </w:tc>
        <w:tc>
          <w:tcPr>
            <w:tcW w:w="8700" w:type="dxa"/>
            <w:vAlign w:val="bottom"/>
            <w:gridSpan w:val="5"/>
          </w:tcPr>
          <w:p>
            <w:pPr>
              <w:ind w:left="280"/>
              <w:spacing w:after="0"/>
              <w:rPr>
                <w:sz w:val="20"/>
                <w:szCs w:val="20"/>
                <w:color w:val="auto"/>
              </w:rPr>
            </w:pPr>
            <w:r>
              <w:rPr>
                <w:rFonts w:ascii="Arial" w:cs="Arial" w:eastAsia="Arial" w:hAnsi="Arial"/>
                <w:sz w:val="18"/>
                <w:szCs w:val="18"/>
                <w:color w:val="auto"/>
              </w:rPr>
              <w:t>None</w:t>
            </w:r>
          </w:p>
        </w:tc>
      </w:tr>
      <w:tr>
        <w:trPr>
          <w:trHeight w:val="414"/>
        </w:trPr>
        <w:tc>
          <w:tcPr>
            <w:tcW w:w="2540" w:type="dxa"/>
            <w:vAlign w:val="bottom"/>
          </w:tcPr>
          <w:p>
            <w:pPr>
              <w:spacing w:after="0"/>
              <w:rPr>
                <w:sz w:val="20"/>
                <w:szCs w:val="20"/>
                <w:color w:val="auto"/>
              </w:rPr>
            </w:pPr>
            <w:r>
              <w:rPr>
                <w:rFonts w:ascii="Arial" w:cs="Arial" w:eastAsia="Arial" w:hAnsi="Arial"/>
                <w:sz w:val="18"/>
                <w:szCs w:val="18"/>
                <w:i w:val="1"/>
                <w:iCs w:val="1"/>
                <w:color w:val="auto"/>
              </w:rPr>
              <w:t>Miscellaneous:</w:t>
            </w:r>
          </w:p>
        </w:tc>
        <w:tc>
          <w:tcPr>
            <w:tcW w:w="8700" w:type="dxa"/>
            <w:vAlign w:val="bottom"/>
            <w:gridSpan w:val="5"/>
          </w:tcPr>
          <w:p>
            <w:pPr>
              <w:ind w:left="280"/>
              <w:spacing w:after="0"/>
              <w:rPr>
                <w:sz w:val="20"/>
                <w:szCs w:val="20"/>
                <w:color w:val="auto"/>
              </w:rPr>
            </w:pPr>
            <w:r>
              <w:rPr>
                <w:rFonts w:ascii="Arial" w:cs="Arial" w:eastAsia="Arial" w:hAnsi="Arial"/>
                <w:sz w:val="18"/>
                <w:szCs w:val="18"/>
                <w:color w:val="auto"/>
                <w:w w:val="92"/>
              </w:rPr>
              <w:t>The terms of the 2031 Notes shall include such other terms as are set forth in the Form of Note due 2031 attached</w:t>
            </w:r>
          </w:p>
        </w:tc>
      </w:tr>
      <w:tr>
        <w:trPr>
          <w:trHeight w:val="194"/>
        </w:trPr>
        <w:tc>
          <w:tcPr>
            <w:tcW w:w="2540" w:type="dxa"/>
            <w:vAlign w:val="bottom"/>
          </w:tcPr>
          <w:p>
            <w:pPr>
              <w:spacing w:after="0"/>
              <w:rPr>
                <w:sz w:val="16"/>
                <w:szCs w:val="16"/>
                <w:color w:val="auto"/>
              </w:rPr>
            </w:pPr>
          </w:p>
        </w:tc>
        <w:tc>
          <w:tcPr>
            <w:tcW w:w="8700" w:type="dxa"/>
            <w:vAlign w:val="bottom"/>
            <w:gridSpan w:val="5"/>
          </w:tcPr>
          <w:p>
            <w:pPr>
              <w:ind w:left="280"/>
              <w:spacing w:after="0" w:line="194" w:lineRule="exact"/>
              <w:rPr>
                <w:sz w:val="20"/>
                <w:szCs w:val="20"/>
                <w:color w:val="auto"/>
              </w:rPr>
            </w:pPr>
            <w:r>
              <w:rPr>
                <w:rFonts w:ascii="Arial" w:cs="Arial" w:eastAsia="Arial" w:hAnsi="Arial"/>
                <w:sz w:val="18"/>
                <w:szCs w:val="18"/>
                <w:color w:val="auto"/>
              </w:rPr>
              <w:t xml:space="preserve">hereto as </w:t>
            </w:r>
            <w:r>
              <w:rPr>
                <w:rFonts w:ascii="Arial" w:cs="Arial" w:eastAsia="Arial" w:hAnsi="Arial"/>
                <w:sz w:val="18"/>
                <w:szCs w:val="18"/>
                <w:b w:val="1"/>
                <w:bCs w:val="1"/>
                <w:color w:val="auto"/>
              </w:rPr>
              <w:t>Exhibit A</w:t>
            </w:r>
            <w:r>
              <w:rPr>
                <w:rFonts w:ascii="Arial" w:cs="Arial" w:eastAsia="Arial" w:hAnsi="Arial"/>
                <w:sz w:val="18"/>
                <w:szCs w:val="18"/>
                <w:color w:val="auto"/>
              </w:rPr>
              <w:t>.</w:t>
            </w:r>
          </w:p>
        </w:tc>
      </w:tr>
      <w:tr>
        <w:trPr>
          <w:trHeight w:val="628"/>
        </w:trPr>
        <w:tc>
          <w:tcPr>
            <w:tcW w:w="2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18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9"/>
              </w:rPr>
              <w:t>2.</w:t>
            </w:r>
            <w:r>
              <w:rPr>
                <w:rFonts w:ascii="Arial" w:cs="Arial" w:eastAsia="Arial" w:hAnsi="Arial"/>
                <w:sz w:val="18"/>
                <w:szCs w:val="18"/>
                <w:b w:val="1"/>
                <w:bCs w:val="1"/>
                <w:u w:val="single" w:color="auto"/>
                <w:color w:val="auto"/>
                <w:w w:val="89"/>
              </w:rPr>
              <w:t>450%</w:t>
            </w:r>
            <w:r>
              <w:rPr>
                <w:rFonts w:ascii="Arial" w:cs="Arial" w:eastAsia="Arial" w:hAnsi="Arial"/>
                <w:sz w:val="18"/>
                <w:szCs w:val="18"/>
                <w:b w:val="1"/>
                <w:bCs w:val="1"/>
                <w:color w:val="auto"/>
                <w:w w:val="89"/>
              </w:rPr>
              <w:t xml:space="preserve"> Notes due 2052</w:t>
            </w:r>
          </w:p>
        </w:tc>
        <w:tc>
          <w:tcPr>
            <w:tcW w:w="4720" w:type="dxa"/>
            <w:vAlign w:val="bottom"/>
          </w:tcPr>
          <w:p>
            <w:pPr>
              <w:spacing w:after="0"/>
              <w:rPr>
                <w:sz w:val="24"/>
                <w:szCs w:val="24"/>
                <w:color w:val="auto"/>
              </w:rPr>
            </w:pPr>
          </w:p>
        </w:tc>
      </w:tr>
      <w:tr>
        <w:trPr>
          <w:trHeight w:val="453"/>
        </w:trPr>
        <w:tc>
          <w:tcPr>
            <w:tcW w:w="2540" w:type="dxa"/>
            <w:vAlign w:val="bottom"/>
          </w:tcPr>
          <w:p>
            <w:pPr>
              <w:spacing w:after="0"/>
              <w:rPr>
                <w:sz w:val="20"/>
                <w:szCs w:val="20"/>
                <w:color w:val="auto"/>
              </w:rPr>
            </w:pPr>
            <w:r>
              <w:rPr>
                <w:rFonts w:ascii="Arial" w:cs="Arial" w:eastAsia="Arial" w:hAnsi="Arial"/>
                <w:sz w:val="18"/>
                <w:szCs w:val="18"/>
                <w:i w:val="1"/>
                <w:iCs w:val="1"/>
                <w:color w:val="auto"/>
              </w:rPr>
              <w:t>Title:</w:t>
            </w:r>
          </w:p>
        </w:tc>
        <w:tc>
          <w:tcPr>
            <w:tcW w:w="8700" w:type="dxa"/>
            <w:vAlign w:val="bottom"/>
            <w:gridSpan w:val="5"/>
          </w:tcPr>
          <w:p>
            <w:pPr>
              <w:ind w:left="280"/>
              <w:spacing w:after="0"/>
              <w:rPr>
                <w:sz w:val="20"/>
                <w:szCs w:val="20"/>
                <w:color w:val="auto"/>
              </w:rPr>
            </w:pPr>
            <w:r>
              <w:rPr>
                <w:rFonts w:ascii="Arial" w:cs="Arial" w:eastAsia="Arial" w:hAnsi="Arial"/>
                <w:sz w:val="18"/>
                <w:szCs w:val="18"/>
                <w:color w:val="auto"/>
              </w:rPr>
              <w:t>2.450% Notes due 2052</w:t>
            </w:r>
          </w:p>
        </w:tc>
      </w:tr>
      <w:tr>
        <w:trPr>
          <w:trHeight w:val="418"/>
        </w:trPr>
        <w:tc>
          <w:tcPr>
            <w:tcW w:w="2540" w:type="dxa"/>
            <w:vAlign w:val="bottom"/>
          </w:tcPr>
          <w:p>
            <w:pPr>
              <w:spacing w:after="0"/>
              <w:rPr>
                <w:sz w:val="20"/>
                <w:szCs w:val="20"/>
                <w:color w:val="auto"/>
              </w:rPr>
            </w:pPr>
            <w:r>
              <w:rPr>
                <w:rFonts w:ascii="Arial" w:cs="Arial" w:eastAsia="Arial" w:hAnsi="Arial"/>
                <w:sz w:val="18"/>
                <w:szCs w:val="18"/>
                <w:i w:val="1"/>
                <w:iCs w:val="1"/>
                <w:color w:val="auto"/>
              </w:rPr>
              <w:t>Aggregate Principal Amount at</w:t>
            </w: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4720" w:type="dxa"/>
            <w:vAlign w:val="bottom"/>
          </w:tcPr>
          <w:p>
            <w:pPr>
              <w:spacing w:after="0"/>
              <w:rPr>
                <w:sz w:val="24"/>
                <w:szCs w:val="24"/>
                <w:color w:val="auto"/>
              </w:rPr>
            </w:pPr>
          </w:p>
        </w:tc>
      </w:tr>
      <w:tr>
        <w:trPr>
          <w:trHeight w:val="230"/>
        </w:trPr>
        <w:tc>
          <w:tcPr>
            <w:tcW w:w="2540" w:type="dxa"/>
            <w:vAlign w:val="bottom"/>
          </w:tcPr>
          <w:p>
            <w:pPr>
              <w:spacing w:after="0"/>
              <w:rPr>
                <w:sz w:val="20"/>
                <w:szCs w:val="20"/>
                <w:color w:val="auto"/>
              </w:rPr>
            </w:pPr>
            <w:r>
              <w:rPr>
                <w:rFonts w:ascii="Arial" w:cs="Arial" w:eastAsia="Arial" w:hAnsi="Arial"/>
                <w:sz w:val="18"/>
                <w:szCs w:val="18"/>
                <w:i w:val="1"/>
                <w:iCs w:val="1"/>
                <w:color w:val="auto"/>
              </w:rPr>
              <w:t>Maturity:</w:t>
            </w:r>
          </w:p>
        </w:tc>
        <w:tc>
          <w:tcPr>
            <w:tcW w:w="1720" w:type="dxa"/>
            <w:vAlign w:val="bottom"/>
            <w:gridSpan w:val="2"/>
          </w:tcPr>
          <w:p>
            <w:pPr>
              <w:ind w:left="280"/>
              <w:spacing w:after="0"/>
              <w:rPr>
                <w:sz w:val="20"/>
                <w:szCs w:val="20"/>
                <w:color w:val="auto"/>
              </w:rPr>
            </w:pPr>
            <w:r>
              <w:rPr>
                <w:rFonts w:ascii="Arial" w:cs="Arial" w:eastAsia="Arial" w:hAnsi="Arial"/>
                <w:sz w:val="18"/>
                <w:szCs w:val="18"/>
                <w:color w:val="auto"/>
              </w:rPr>
              <w:t>$1,500,000,000</w:t>
            </w:r>
          </w:p>
        </w:tc>
        <w:tc>
          <w:tcPr>
            <w:tcW w:w="4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4720" w:type="dxa"/>
            <w:vAlign w:val="bottom"/>
          </w:tcPr>
          <w:p>
            <w:pPr>
              <w:spacing w:after="0"/>
              <w:rPr>
                <w:sz w:val="20"/>
                <w:szCs w:val="20"/>
                <w:color w:val="auto"/>
              </w:rPr>
            </w:pPr>
          </w:p>
        </w:tc>
      </w:tr>
      <w:tr>
        <w:trPr>
          <w:trHeight w:val="432"/>
        </w:trPr>
        <w:tc>
          <w:tcPr>
            <w:tcW w:w="2540" w:type="dxa"/>
            <w:vAlign w:val="bottom"/>
          </w:tcPr>
          <w:p>
            <w:pPr>
              <w:spacing w:after="0"/>
              <w:rPr>
                <w:sz w:val="20"/>
                <w:szCs w:val="20"/>
                <w:color w:val="auto"/>
              </w:rPr>
            </w:pPr>
            <w:r>
              <w:rPr>
                <w:rFonts w:ascii="Arial" w:cs="Arial" w:eastAsia="Arial" w:hAnsi="Arial"/>
                <w:sz w:val="18"/>
                <w:szCs w:val="18"/>
                <w:i w:val="1"/>
                <w:iCs w:val="1"/>
                <w:color w:val="auto"/>
              </w:rPr>
              <w:t>Principal Payment Date:</w:t>
            </w:r>
          </w:p>
        </w:tc>
        <w:tc>
          <w:tcPr>
            <w:tcW w:w="8700" w:type="dxa"/>
            <w:vAlign w:val="bottom"/>
            <w:gridSpan w:val="5"/>
          </w:tcPr>
          <w:p>
            <w:pPr>
              <w:ind w:left="280"/>
              <w:spacing w:after="0"/>
              <w:rPr>
                <w:sz w:val="20"/>
                <w:szCs w:val="20"/>
                <w:color w:val="auto"/>
              </w:rPr>
            </w:pPr>
            <w:r>
              <w:rPr>
                <w:rFonts w:ascii="Arial" w:cs="Arial" w:eastAsia="Arial" w:hAnsi="Arial"/>
                <w:sz w:val="18"/>
                <w:szCs w:val="18"/>
                <w:color w:val="auto"/>
              </w:rPr>
              <w:t>August 15, 2052</w:t>
            </w:r>
          </w:p>
        </w:tc>
      </w:tr>
      <w:tr>
        <w:trPr>
          <w:trHeight w:val="783"/>
        </w:trPr>
        <w:tc>
          <w:tcPr>
            <w:tcW w:w="25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47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00" w:right="339" w:bottom="144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200" w:type="dxa"/>
            <w:vAlign w:val="bottom"/>
          </w:tcPr>
          <w:p>
            <w:pPr>
              <w:spacing w:after="0"/>
              <w:rPr>
                <w:sz w:val="20"/>
                <w:szCs w:val="20"/>
                <w:color w:val="auto"/>
              </w:rPr>
            </w:pPr>
            <w:r>
              <w:rPr>
                <w:rFonts w:ascii="Arial" w:cs="Arial" w:eastAsia="Arial" w:hAnsi="Arial"/>
                <w:sz w:val="18"/>
                <w:szCs w:val="18"/>
                <w:i w:val="1"/>
                <w:iCs w:val="1"/>
                <w:color w:val="auto"/>
              </w:rPr>
              <w:t>Interest:</w:t>
            </w:r>
          </w:p>
        </w:tc>
        <w:tc>
          <w:tcPr>
            <w:tcW w:w="9040" w:type="dxa"/>
            <w:vAlign w:val="bottom"/>
          </w:tcPr>
          <w:p>
            <w:pPr>
              <w:ind w:left="620"/>
              <w:spacing w:after="0"/>
              <w:rPr>
                <w:sz w:val="20"/>
                <w:szCs w:val="20"/>
                <w:color w:val="auto"/>
              </w:rPr>
            </w:pPr>
            <w:r>
              <w:rPr>
                <w:rFonts w:ascii="Arial" w:cs="Arial" w:eastAsia="Arial" w:hAnsi="Arial"/>
                <w:sz w:val="18"/>
                <w:szCs w:val="18"/>
                <w:color w:val="auto"/>
              </w:rPr>
              <w:t>2.450%</w:t>
            </w:r>
          </w:p>
        </w:tc>
      </w:tr>
      <w:tr>
        <w:trPr>
          <w:trHeight w:val="418"/>
        </w:trPr>
        <w:tc>
          <w:tcPr>
            <w:tcW w:w="2200" w:type="dxa"/>
            <w:vAlign w:val="bottom"/>
          </w:tcPr>
          <w:p>
            <w:pPr>
              <w:spacing w:after="0"/>
              <w:rPr>
                <w:sz w:val="20"/>
                <w:szCs w:val="20"/>
                <w:color w:val="auto"/>
              </w:rPr>
            </w:pPr>
            <w:r>
              <w:rPr>
                <w:rFonts w:ascii="Arial" w:cs="Arial" w:eastAsia="Arial" w:hAnsi="Arial"/>
                <w:sz w:val="18"/>
                <w:szCs w:val="18"/>
                <w:i w:val="1"/>
                <w:iCs w:val="1"/>
                <w:color w:val="auto"/>
              </w:rPr>
              <w:t>Redemption:</w:t>
            </w:r>
          </w:p>
        </w:tc>
        <w:tc>
          <w:tcPr>
            <w:tcW w:w="9040" w:type="dxa"/>
            <w:vAlign w:val="bottom"/>
          </w:tcPr>
          <w:p>
            <w:pPr>
              <w:ind w:left="620"/>
              <w:spacing w:after="0"/>
              <w:rPr>
                <w:sz w:val="20"/>
                <w:szCs w:val="20"/>
                <w:color w:val="auto"/>
              </w:rPr>
            </w:pPr>
            <w:r>
              <w:rPr>
                <w:rFonts w:ascii="Arial" w:cs="Arial" w:eastAsia="Arial" w:hAnsi="Arial"/>
                <w:sz w:val="18"/>
                <w:szCs w:val="18"/>
                <w:color w:val="auto"/>
                <w:w w:val="92"/>
              </w:rPr>
              <w:t>The Company may at its option redeem the 2052 Notes in whole or in part, at any time or from time to time prior to</w:t>
            </w:r>
          </w:p>
        </w:tc>
      </w:tr>
      <w:tr>
        <w:trPr>
          <w:trHeight w:val="216"/>
        </w:trPr>
        <w:tc>
          <w:tcPr>
            <w:tcW w:w="2200" w:type="dxa"/>
            <w:vAlign w:val="bottom"/>
          </w:tcPr>
          <w:p>
            <w:pPr>
              <w:spacing w:after="0"/>
              <w:rPr>
                <w:sz w:val="18"/>
                <w:szCs w:val="18"/>
                <w:color w:val="auto"/>
              </w:rPr>
            </w:pPr>
          </w:p>
        </w:tc>
        <w:tc>
          <w:tcPr>
            <w:tcW w:w="9040" w:type="dxa"/>
            <w:vAlign w:val="bottom"/>
          </w:tcPr>
          <w:p>
            <w:pPr>
              <w:ind w:left="620"/>
              <w:spacing w:after="0"/>
              <w:rPr>
                <w:sz w:val="20"/>
                <w:szCs w:val="20"/>
                <w:color w:val="auto"/>
              </w:rPr>
            </w:pPr>
            <w:r>
              <w:rPr>
                <w:rFonts w:ascii="Arial" w:cs="Arial" w:eastAsia="Arial" w:hAnsi="Arial"/>
                <w:sz w:val="18"/>
                <w:szCs w:val="18"/>
                <w:color w:val="auto"/>
                <w:w w:val="93"/>
              </w:rPr>
              <w:t xml:space="preserve">their maturity, on at least </w:t>
            </w:r>
            <w:r>
              <w:rPr>
                <w:rFonts w:ascii="Arial" w:cs="Arial" w:eastAsia="Arial" w:hAnsi="Arial"/>
                <w:sz w:val="18"/>
                <w:szCs w:val="18"/>
                <w:color w:val="231F20"/>
                <w:w w:val="93"/>
              </w:rPr>
              <w:t>15</w:t>
            </w:r>
            <w:r>
              <w:rPr>
                <w:rFonts w:ascii="Arial" w:cs="Arial" w:eastAsia="Arial" w:hAnsi="Arial"/>
                <w:sz w:val="18"/>
                <w:szCs w:val="18"/>
                <w:color w:val="auto"/>
                <w:w w:val="93"/>
              </w:rPr>
              <w:t xml:space="preserve"> days, but not more than </w:t>
            </w:r>
            <w:r>
              <w:rPr>
                <w:rFonts w:ascii="Arial" w:cs="Arial" w:eastAsia="Arial" w:hAnsi="Arial"/>
                <w:sz w:val="18"/>
                <w:szCs w:val="18"/>
                <w:color w:val="231F20"/>
                <w:w w:val="93"/>
              </w:rPr>
              <w:t>30</w:t>
            </w:r>
            <w:r>
              <w:rPr>
                <w:rFonts w:ascii="Arial" w:cs="Arial" w:eastAsia="Arial" w:hAnsi="Arial"/>
                <w:sz w:val="18"/>
                <w:szCs w:val="18"/>
                <w:color w:val="auto"/>
                <w:w w:val="93"/>
              </w:rPr>
              <w:t xml:space="preserve"> days, prior notice delivered electronically or mailed to the</w:t>
            </w:r>
          </w:p>
        </w:tc>
      </w:tr>
      <w:tr>
        <w:trPr>
          <w:trHeight w:val="216"/>
        </w:trPr>
        <w:tc>
          <w:tcPr>
            <w:tcW w:w="2200" w:type="dxa"/>
            <w:vAlign w:val="bottom"/>
          </w:tcPr>
          <w:p>
            <w:pPr>
              <w:spacing w:after="0"/>
              <w:rPr>
                <w:sz w:val="18"/>
                <w:szCs w:val="18"/>
                <w:color w:val="auto"/>
              </w:rPr>
            </w:pPr>
          </w:p>
        </w:tc>
        <w:tc>
          <w:tcPr>
            <w:tcW w:w="9040" w:type="dxa"/>
            <w:vAlign w:val="bottom"/>
          </w:tcPr>
          <w:p>
            <w:pPr>
              <w:ind w:left="620"/>
              <w:spacing w:after="0"/>
              <w:rPr>
                <w:sz w:val="20"/>
                <w:szCs w:val="20"/>
                <w:color w:val="auto"/>
              </w:rPr>
            </w:pPr>
            <w:r>
              <w:rPr>
                <w:rFonts w:ascii="Arial" w:cs="Arial" w:eastAsia="Arial" w:hAnsi="Arial"/>
                <w:sz w:val="18"/>
                <w:szCs w:val="18"/>
                <w:color w:val="auto"/>
                <w:w w:val="94"/>
              </w:rPr>
              <w:t>registered address of each holder of the 2052 Notes, at the “Redemption Price.” The Company will calculate the</w:t>
            </w:r>
          </w:p>
        </w:tc>
      </w:tr>
      <w:tr>
        <w:trPr>
          <w:trHeight w:val="212"/>
        </w:trPr>
        <w:tc>
          <w:tcPr>
            <w:tcW w:w="2200" w:type="dxa"/>
            <w:vAlign w:val="bottom"/>
          </w:tcPr>
          <w:p>
            <w:pPr>
              <w:spacing w:after="0"/>
              <w:rPr>
                <w:sz w:val="18"/>
                <w:szCs w:val="18"/>
                <w:color w:val="auto"/>
              </w:rPr>
            </w:pPr>
          </w:p>
        </w:tc>
        <w:tc>
          <w:tcPr>
            <w:tcW w:w="9040" w:type="dxa"/>
            <w:vAlign w:val="bottom"/>
          </w:tcPr>
          <w:p>
            <w:pPr>
              <w:ind w:left="620"/>
              <w:spacing w:after="0"/>
              <w:rPr>
                <w:sz w:val="20"/>
                <w:szCs w:val="20"/>
                <w:color w:val="auto"/>
              </w:rPr>
            </w:pPr>
            <w:r>
              <w:rPr>
                <w:rFonts w:ascii="Arial" w:cs="Arial" w:eastAsia="Arial" w:hAnsi="Arial"/>
                <w:sz w:val="18"/>
                <w:szCs w:val="18"/>
                <w:color w:val="auto"/>
                <w:w w:val="92"/>
              </w:rPr>
              <w:t>Redemption Price in connection with any redemption hereunder. Prior to February 15, 2052 (six (6) months prior to</w:t>
            </w:r>
          </w:p>
        </w:tc>
      </w:tr>
      <w:tr>
        <w:trPr>
          <w:trHeight w:val="220"/>
        </w:trPr>
        <w:tc>
          <w:tcPr>
            <w:tcW w:w="2200" w:type="dxa"/>
            <w:vAlign w:val="bottom"/>
          </w:tcPr>
          <w:p>
            <w:pPr>
              <w:spacing w:after="0"/>
              <w:rPr>
                <w:sz w:val="19"/>
                <w:szCs w:val="19"/>
                <w:color w:val="auto"/>
              </w:rPr>
            </w:pPr>
          </w:p>
        </w:tc>
        <w:tc>
          <w:tcPr>
            <w:tcW w:w="9040" w:type="dxa"/>
            <w:vAlign w:val="bottom"/>
          </w:tcPr>
          <w:p>
            <w:pPr>
              <w:ind w:left="620"/>
              <w:spacing w:after="0"/>
              <w:rPr>
                <w:sz w:val="20"/>
                <w:szCs w:val="20"/>
                <w:color w:val="auto"/>
              </w:rPr>
            </w:pPr>
            <w:r>
              <w:rPr>
                <w:rFonts w:ascii="Arial" w:cs="Arial" w:eastAsia="Arial" w:hAnsi="Arial"/>
                <w:sz w:val="18"/>
                <w:szCs w:val="18"/>
                <w:color w:val="auto"/>
                <w:w w:val="93"/>
              </w:rPr>
              <w:t>the maturity of the 2052 Notes) (the “</w:t>
            </w:r>
            <w:r>
              <w:rPr>
                <w:rFonts w:ascii="Arial" w:cs="Arial" w:eastAsia="Arial" w:hAnsi="Arial"/>
                <w:sz w:val="18"/>
                <w:szCs w:val="18"/>
                <w:b w:val="1"/>
                <w:bCs w:val="1"/>
                <w:color w:val="auto"/>
                <w:w w:val="93"/>
              </w:rPr>
              <w:t>2052 Par Call Date</w:t>
            </w:r>
            <w:r>
              <w:rPr>
                <w:rFonts w:ascii="Arial" w:cs="Arial" w:eastAsia="Arial" w:hAnsi="Arial"/>
                <w:sz w:val="18"/>
                <w:szCs w:val="18"/>
                <w:color w:val="auto"/>
                <w:w w:val="93"/>
              </w:rPr>
              <w:t>”), the Redemption Price is the greater of (i) 100% of the</w:t>
            </w:r>
          </w:p>
        </w:tc>
      </w:tr>
      <w:tr>
        <w:trPr>
          <w:trHeight w:val="216"/>
        </w:trPr>
        <w:tc>
          <w:tcPr>
            <w:tcW w:w="2200" w:type="dxa"/>
            <w:vAlign w:val="bottom"/>
          </w:tcPr>
          <w:p>
            <w:pPr>
              <w:spacing w:after="0"/>
              <w:rPr>
                <w:sz w:val="18"/>
                <w:szCs w:val="18"/>
                <w:color w:val="auto"/>
              </w:rPr>
            </w:pPr>
          </w:p>
        </w:tc>
        <w:tc>
          <w:tcPr>
            <w:tcW w:w="9040" w:type="dxa"/>
            <w:vAlign w:val="bottom"/>
          </w:tcPr>
          <w:p>
            <w:pPr>
              <w:ind w:left="620"/>
              <w:spacing w:after="0"/>
              <w:rPr>
                <w:sz w:val="20"/>
                <w:szCs w:val="20"/>
                <w:color w:val="auto"/>
              </w:rPr>
            </w:pPr>
            <w:r>
              <w:rPr>
                <w:rFonts w:ascii="Arial" w:cs="Arial" w:eastAsia="Arial" w:hAnsi="Arial"/>
                <w:sz w:val="18"/>
                <w:szCs w:val="18"/>
                <w:color w:val="auto"/>
                <w:w w:val="91"/>
              </w:rPr>
              <w:t>principal amount of the 2052 Notes, and (ii) the sum of the present values of the principal amount of such notes and</w:t>
            </w:r>
          </w:p>
        </w:tc>
      </w:tr>
      <w:tr>
        <w:trPr>
          <w:trHeight w:val="216"/>
        </w:trPr>
        <w:tc>
          <w:tcPr>
            <w:tcW w:w="2200" w:type="dxa"/>
            <w:vAlign w:val="bottom"/>
          </w:tcPr>
          <w:p>
            <w:pPr>
              <w:spacing w:after="0"/>
              <w:rPr>
                <w:sz w:val="18"/>
                <w:szCs w:val="18"/>
                <w:color w:val="auto"/>
              </w:rPr>
            </w:pPr>
          </w:p>
        </w:tc>
        <w:tc>
          <w:tcPr>
            <w:tcW w:w="9040" w:type="dxa"/>
            <w:vAlign w:val="bottom"/>
          </w:tcPr>
          <w:p>
            <w:pPr>
              <w:ind w:left="620"/>
              <w:spacing w:after="0"/>
              <w:rPr>
                <w:sz w:val="20"/>
                <w:szCs w:val="20"/>
                <w:color w:val="auto"/>
              </w:rPr>
            </w:pPr>
            <w:r>
              <w:rPr>
                <w:rFonts w:ascii="Arial" w:cs="Arial" w:eastAsia="Arial" w:hAnsi="Arial"/>
                <w:sz w:val="18"/>
                <w:szCs w:val="18"/>
                <w:color w:val="auto"/>
                <w:w w:val="97"/>
              </w:rPr>
              <w:t>the scheduled payments of interest thereon (exclusive of interest accrued to the date of redemption) from the</w:t>
            </w:r>
          </w:p>
        </w:tc>
      </w:tr>
      <w:tr>
        <w:trPr>
          <w:trHeight w:val="216"/>
        </w:trPr>
        <w:tc>
          <w:tcPr>
            <w:tcW w:w="2200" w:type="dxa"/>
            <w:vAlign w:val="bottom"/>
          </w:tcPr>
          <w:p>
            <w:pPr>
              <w:spacing w:after="0"/>
              <w:rPr>
                <w:sz w:val="18"/>
                <w:szCs w:val="18"/>
                <w:color w:val="auto"/>
              </w:rPr>
            </w:pPr>
          </w:p>
        </w:tc>
        <w:tc>
          <w:tcPr>
            <w:tcW w:w="9040" w:type="dxa"/>
            <w:vAlign w:val="bottom"/>
          </w:tcPr>
          <w:p>
            <w:pPr>
              <w:ind w:left="620"/>
              <w:spacing w:after="0"/>
              <w:rPr>
                <w:sz w:val="20"/>
                <w:szCs w:val="20"/>
                <w:color w:val="auto"/>
              </w:rPr>
            </w:pPr>
            <w:r>
              <w:rPr>
                <w:rFonts w:ascii="Arial" w:cs="Arial" w:eastAsia="Arial" w:hAnsi="Arial"/>
                <w:sz w:val="18"/>
                <w:szCs w:val="18"/>
                <w:color w:val="auto"/>
                <w:w w:val="92"/>
              </w:rPr>
              <w:t>redemption date to the 2052 Par Call Date, in each case discounted to the redemption date on a semiannual basis</w:t>
            </w:r>
          </w:p>
        </w:tc>
      </w:tr>
      <w:tr>
        <w:trPr>
          <w:trHeight w:val="216"/>
        </w:trPr>
        <w:tc>
          <w:tcPr>
            <w:tcW w:w="2200" w:type="dxa"/>
            <w:vAlign w:val="bottom"/>
          </w:tcPr>
          <w:p>
            <w:pPr>
              <w:spacing w:after="0"/>
              <w:rPr>
                <w:sz w:val="18"/>
                <w:szCs w:val="18"/>
                <w:color w:val="auto"/>
              </w:rPr>
            </w:pPr>
          </w:p>
        </w:tc>
        <w:tc>
          <w:tcPr>
            <w:tcW w:w="9040" w:type="dxa"/>
            <w:vAlign w:val="bottom"/>
          </w:tcPr>
          <w:p>
            <w:pPr>
              <w:ind w:left="620"/>
              <w:spacing w:after="0"/>
              <w:rPr>
                <w:sz w:val="20"/>
                <w:szCs w:val="20"/>
                <w:color w:val="auto"/>
              </w:rPr>
            </w:pPr>
            <w:r>
              <w:rPr>
                <w:rFonts w:ascii="Arial" w:cs="Arial" w:eastAsia="Arial" w:hAnsi="Arial"/>
                <w:sz w:val="18"/>
                <w:szCs w:val="18"/>
                <w:color w:val="auto"/>
                <w:w w:val="91"/>
              </w:rPr>
              <w:t>(assuming a 360-day year consisting of twelve 30-day months) at the Treasury Rate (as defined in the 2052 Notes)</w:t>
            </w:r>
          </w:p>
        </w:tc>
      </w:tr>
      <w:tr>
        <w:trPr>
          <w:trHeight w:val="216"/>
        </w:trPr>
        <w:tc>
          <w:tcPr>
            <w:tcW w:w="2200" w:type="dxa"/>
            <w:vAlign w:val="bottom"/>
          </w:tcPr>
          <w:p>
            <w:pPr>
              <w:spacing w:after="0"/>
              <w:rPr>
                <w:sz w:val="18"/>
                <w:szCs w:val="18"/>
                <w:color w:val="auto"/>
              </w:rPr>
            </w:pPr>
          </w:p>
        </w:tc>
        <w:tc>
          <w:tcPr>
            <w:tcW w:w="9040" w:type="dxa"/>
            <w:vAlign w:val="bottom"/>
          </w:tcPr>
          <w:p>
            <w:pPr>
              <w:ind w:left="620"/>
              <w:spacing w:after="0"/>
              <w:rPr>
                <w:sz w:val="20"/>
                <w:szCs w:val="20"/>
                <w:color w:val="auto"/>
              </w:rPr>
            </w:pPr>
            <w:r>
              <w:rPr>
                <w:rFonts w:ascii="Arial" w:cs="Arial" w:eastAsia="Arial" w:hAnsi="Arial"/>
                <w:sz w:val="18"/>
                <w:szCs w:val="18"/>
                <w:color w:val="auto"/>
                <w:w w:val="94"/>
              </w:rPr>
              <w:t>plus 20 basis points. On and after the 2052 Par Call Date, the Redemption Price will equal 100% of the principal</w:t>
            </w:r>
          </w:p>
        </w:tc>
      </w:tr>
      <w:tr>
        <w:trPr>
          <w:trHeight w:val="216"/>
        </w:trPr>
        <w:tc>
          <w:tcPr>
            <w:tcW w:w="2200" w:type="dxa"/>
            <w:vAlign w:val="bottom"/>
          </w:tcPr>
          <w:p>
            <w:pPr>
              <w:spacing w:after="0"/>
              <w:rPr>
                <w:sz w:val="18"/>
                <w:szCs w:val="18"/>
                <w:color w:val="auto"/>
              </w:rPr>
            </w:pPr>
          </w:p>
        </w:tc>
        <w:tc>
          <w:tcPr>
            <w:tcW w:w="9040" w:type="dxa"/>
            <w:vAlign w:val="bottom"/>
          </w:tcPr>
          <w:p>
            <w:pPr>
              <w:ind w:left="620"/>
              <w:spacing w:after="0"/>
              <w:rPr>
                <w:sz w:val="20"/>
                <w:szCs w:val="20"/>
                <w:color w:val="auto"/>
              </w:rPr>
            </w:pPr>
            <w:r>
              <w:rPr>
                <w:rFonts w:ascii="Arial" w:cs="Arial" w:eastAsia="Arial" w:hAnsi="Arial"/>
                <w:sz w:val="18"/>
                <w:szCs w:val="18"/>
                <w:color w:val="auto"/>
                <w:w w:val="94"/>
              </w:rPr>
              <w:t>amount of such notes. In each case described in this paragraph, the Redemption Price will include accrued and</w:t>
            </w:r>
          </w:p>
        </w:tc>
      </w:tr>
      <w:tr>
        <w:trPr>
          <w:trHeight w:val="216"/>
        </w:trPr>
        <w:tc>
          <w:tcPr>
            <w:tcW w:w="2200" w:type="dxa"/>
            <w:vAlign w:val="bottom"/>
          </w:tcPr>
          <w:p>
            <w:pPr>
              <w:spacing w:after="0"/>
              <w:rPr>
                <w:sz w:val="18"/>
                <w:szCs w:val="18"/>
                <w:color w:val="auto"/>
              </w:rPr>
            </w:pPr>
          </w:p>
        </w:tc>
        <w:tc>
          <w:tcPr>
            <w:tcW w:w="9040" w:type="dxa"/>
            <w:vAlign w:val="bottom"/>
          </w:tcPr>
          <w:p>
            <w:pPr>
              <w:ind w:left="620"/>
              <w:spacing w:after="0"/>
              <w:rPr>
                <w:sz w:val="20"/>
                <w:szCs w:val="20"/>
                <w:color w:val="auto"/>
              </w:rPr>
            </w:pPr>
            <w:r>
              <w:rPr>
                <w:rFonts w:ascii="Arial" w:cs="Arial" w:eastAsia="Arial" w:hAnsi="Arial"/>
                <w:sz w:val="18"/>
                <w:szCs w:val="18"/>
                <w:color w:val="auto"/>
                <w:w w:val="90"/>
              </w:rPr>
              <w:t>unpaid interest thereon to the date of redemption, and in each case described in this paragraph, subject to the further</w:t>
            </w:r>
          </w:p>
        </w:tc>
      </w:tr>
      <w:tr>
        <w:trPr>
          <w:trHeight w:val="230"/>
        </w:trPr>
        <w:tc>
          <w:tcPr>
            <w:tcW w:w="2200" w:type="dxa"/>
            <w:vAlign w:val="bottom"/>
          </w:tcPr>
          <w:p>
            <w:pPr>
              <w:spacing w:after="0"/>
              <w:rPr>
                <w:sz w:val="20"/>
                <w:szCs w:val="20"/>
                <w:color w:val="auto"/>
              </w:rPr>
            </w:pPr>
          </w:p>
        </w:tc>
        <w:tc>
          <w:tcPr>
            <w:tcW w:w="9040" w:type="dxa"/>
            <w:vAlign w:val="bottom"/>
          </w:tcPr>
          <w:p>
            <w:pPr>
              <w:ind w:left="620"/>
              <w:spacing w:after="0"/>
              <w:rPr>
                <w:sz w:val="20"/>
                <w:szCs w:val="20"/>
                <w:color w:val="auto"/>
              </w:rPr>
            </w:pPr>
            <w:r>
              <w:rPr>
                <w:rFonts w:ascii="Arial" w:cs="Arial" w:eastAsia="Arial" w:hAnsi="Arial"/>
                <w:sz w:val="18"/>
                <w:szCs w:val="18"/>
                <w:color w:val="auto"/>
              </w:rPr>
              <w:t>description in the Prospectus Supplement dated August 11, 2020.</w:t>
            </w:r>
          </w:p>
        </w:tc>
      </w:tr>
      <w:tr>
        <w:trPr>
          <w:trHeight w:val="418"/>
        </w:trPr>
        <w:tc>
          <w:tcPr>
            <w:tcW w:w="2200" w:type="dxa"/>
            <w:vAlign w:val="bottom"/>
          </w:tcPr>
          <w:p>
            <w:pPr>
              <w:spacing w:after="0"/>
              <w:rPr>
                <w:sz w:val="20"/>
                <w:szCs w:val="20"/>
                <w:color w:val="auto"/>
              </w:rPr>
            </w:pPr>
            <w:r>
              <w:rPr>
                <w:rFonts w:ascii="Arial" w:cs="Arial" w:eastAsia="Arial" w:hAnsi="Arial"/>
                <w:sz w:val="18"/>
                <w:szCs w:val="18"/>
                <w:i w:val="1"/>
                <w:iCs w:val="1"/>
                <w:color w:val="auto"/>
              </w:rPr>
              <w:t>Additional Issuances:</w:t>
            </w:r>
          </w:p>
        </w:tc>
        <w:tc>
          <w:tcPr>
            <w:tcW w:w="9040" w:type="dxa"/>
            <w:vAlign w:val="bottom"/>
          </w:tcPr>
          <w:p>
            <w:pPr>
              <w:ind w:left="620"/>
              <w:spacing w:after="0"/>
              <w:rPr>
                <w:sz w:val="20"/>
                <w:szCs w:val="20"/>
                <w:color w:val="auto"/>
              </w:rPr>
            </w:pPr>
            <w:r>
              <w:rPr>
                <w:rFonts w:ascii="Arial" w:cs="Arial" w:eastAsia="Arial" w:hAnsi="Arial"/>
                <w:sz w:val="18"/>
                <w:szCs w:val="18"/>
                <w:color w:val="auto"/>
                <w:w w:val="92"/>
              </w:rPr>
              <w:t>The 2052 Notes need not be issued at the same time and the series may be reopened for issuance of an unlimited</w:t>
            </w:r>
          </w:p>
        </w:tc>
      </w:tr>
      <w:tr>
        <w:trPr>
          <w:trHeight w:val="216"/>
        </w:trPr>
        <w:tc>
          <w:tcPr>
            <w:tcW w:w="2200" w:type="dxa"/>
            <w:vAlign w:val="bottom"/>
          </w:tcPr>
          <w:p>
            <w:pPr>
              <w:spacing w:after="0"/>
              <w:rPr>
                <w:sz w:val="18"/>
                <w:szCs w:val="18"/>
                <w:color w:val="auto"/>
              </w:rPr>
            </w:pPr>
          </w:p>
        </w:tc>
        <w:tc>
          <w:tcPr>
            <w:tcW w:w="9040" w:type="dxa"/>
            <w:vAlign w:val="bottom"/>
          </w:tcPr>
          <w:p>
            <w:pPr>
              <w:ind w:left="620"/>
              <w:spacing w:after="0"/>
              <w:rPr>
                <w:sz w:val="20"/>
                <w:szCs w:val="20"/>
                <w:color w:val="auto"/>
              </w:rPr>
            </w:pPr>
            <w:r>
              <w:rPr>
                <w:rFonts w:ascii="Arial" w:cs="Arial" w:eastAsia="Arial" w:hAnsi="Arial"/>
                <w:sz w:val="18"/>
                <w:szCs w:val="18"/>
                <w:color w:val="auto"/>
              </w:rPr>
              <w:t>principal amount of additional 2052 Notes under this series. Additional 2052 Notes of this series may be</w:t>
            </w:r>
          </w:p>
        </w:tc>
      </w:tr>
      <w:tr>
        <w:trPr>
          <w:trHeight w:val="216"/>
        </w:trPr>
        <w:tc>
          <w:tcPr>
            <w:tcW w:w="2200" w:type="dxa"/>
            <w:vAlign w:val="bottom"/>
          </w:tcPr>
          <w:p>
            <w:pPr>
              <w:spacing w:after="0"/>
              <w:rPr>
                <w:sz w:val="18"/>
                <w:szCs w:val="18"/>
                <w:color w:val="auto"/>
              </w:rPr>
            </w:pPr>
          </w:p>
        </w:tc>
        <w:tc>
          <w:tcPr>
            <w:tcW w:w="9040" w:type="dxa"/>
            <w:vAlign w:val="bottom"/>
          </w:tcPr>
          <w:p>
            <w:pPr>
              <w:ind w:left="620"/>
              <w:spacing w:after="0"/>
              <w:rPr>
                <w:sz w:val="20"/>
                <w:szCs w:val="20"/>
                <w:color w:val="auto"/>
              </w:rPr>
            </w:pPr>
            <w:r>
              <w:rPr>
                <w:rFonts w:ascii="Arial" w:cs="Arial" w:eastAsia="Arial" w:hAnsi="Arial"/>
                <w:sz w:val="18"/>
                <w:szCs w:val="18"/>
                <w:color w:val="auto"/>
                <w:w w:val="91"/>
              </w:rPr>
              <w:t>consolidated with, and form a single series with, 2052 Notes then outstanding, including for purposes of determining</w:t>
            </w:r>
          </w:p>
        </w:tc>
      </w:tr>
      <w:tr>
        <w:trPr>
          <w:trHeight w:val="216"/>
        </w:trPr>
        <w:tc>
          <w:tcPr>
            <w:tcW w:w="2200" w:type="dxa"/>
            <w:vAlign w:val="bottom"/>
          </w:tcPr>
          <w:p>
            <w:pPr>
              <w:spacing w:after="0"/>
              <w:rPr>
                <w:sz w:val="18"/>
                <w:szCs w:val="18"/>
                <w:color w:val="auto"/>
              </w:rPr>
            </w:pPr>
          </w:p>
        </w:tc>
        <w:tc>
          <w:tcPr>
            <w:tcW w:w="9040" w:type="dxa"/>
            <w:vAlign w:val="bottom"/>
          </w:tcPr>
          <w:p>
            <w:pPr>
              <w:ind w:left="620"/>
              <w:spacing w:after="0"/>
              <w:rPr>
                <w:sz w:val="20"/>
                <w:szCs w:val="20"/>
                <w:color w:val="auto"/>
              </w:rPr>
            </w:pPr>
            <w:r>
              <w:rPr>
                <w:rFonts w:ascii="Arial" w:cs="Arial" w:eastAsia="Arial" w:hAnsi="Arial"/>
                <w:sz w:val="18"/>
                <w:szCs w:val="18"/>
                <w:color w:val="auto"/>
                <w:w w:val="91"/>
              </w:rPr>
              <w:t>whether the required percentage of the holders of record has given approval or consent to an amendment or waiver</w:t>
            </w:r>
          </w:p>
        </w:tc>
      </w:tr>
      <w:tr>
        <w:trPr>
          <w:trHeight w:val="216"/>
        </w:trPr>
        <w:tc>
          <w:tcPr>
            <w:tcW w:w="2200" w:type="dxa"/>
            <w:vAlign w:val="bottom"/>
          </w:tcPr>
          <w:p>
            <w:pPr>
              <w:spacing w:after="0"/>
              <w:rPr>
                <w:sz w:val="18"/>
                <w:szCs w:val="18"/>
                <w:color w:val="auto"/>
              </w:rPr>
            </w:pPr>
          </w:p>
        </w:tc>
        <w:tc>
          <w:tcPr>
            <w:tcW w:w="9040" w:type="dxa"/>
            <w:vAlign w:val="bottom"/>
          </w:tcPr>
          <w:p>
            <w:pPr>
              <w:ind w:left="620"/>
              <w:spacing w:after="0"/>
              <w:rPr>
                <w:sz w:val="20"/>
                <w:szCs w:val="20"/>
                <w:color w:val="auto"/>
              </w:rPr>
            </w:pPr>
            <w:r>
              <w:rPr>
                <w:rFonts w:ascii="Arial" w:cs="Arial" w:eastAsia="Arial" w:hAnsi="Arial"/>
                <w:sz w:val="18"/>
                <w:szCs w:val="18"/>
                <w:color w:val="auto"/>
                <w:w w:val="95"/>
              </w:rPr>
              <w:t>or joined in directing the Trustee to take certain actions on behalf of all holders; provided that if such additional</w:t>
            </w:r>
          </w:p>
        </w:tc>
      </w:tr>
      <w:tr>
        <w:trPr>
          <w:trHeight w:val="216"/>
        </w:trPr>
        <w:tc>
          <w:tcPr>
            <w:tcW w:w="2200" w:type="dxa"/>
            <w:vAlign w:val="bottom"/>
          </w:tcPr>
          <w:p>
            <w:pPr>
              <w:spacing w:after="0"/>
              <w:rPr>
                <w:sz w:val="18"/>
                <w:szCs w:val="18"/>
                <w:color w:val="auto"/>
              </w:rPr>
            </w:pPr>
          </w:p>
        </w:tc>
        <w:tc>
          <w:tcPr>
            <w:tcW w:w="9040" w:type="dxa"/>
            <w:vAlign w:val="bottom"/>
          </w:tcPr>
          <w:p>
            <w:pPr>
              <w:ind w:left="620"/>
              <w:spacing w:after="0"/>
              <w:rPr>
                <w:sz w:val="20"/>
                <w:szCs w:val="20"/>
                <w:color w:val="auto"/>
              </w:rPr>
            </w:pPr>
            <w:r>
              <w:rPr>
                <w:rFonts w:ascii="Arial" w:cs="Arial" w:eastAsia="Arial" w:hAnsi="Arial"/>
                <w:sz w:val="18"/>
                <w:szCs w:val="18"/>
                <w:color w:val="auto"/>
                <w:w w:val="96"/>
              </w:rPr>
              <w:t>2052 Notes are not fungible with the 2052 Notes then outstanding for U.S. federal income tax purposes, such</w:t>
            </w:r>
          </w:p>
        </w:tc>
      </w:tr>
      <w:tr>
        <w:trPr>
          <w:trHeight w:val="230"/>
        </w:trPr>
        <w:tc>
          <w:tcPr>
            <w:tcW w:w="2200" w:type="dxa"/>
            <w:vAlign w:val="bottom"/>
          </w:tcPr>
          <w:p>
            <w:pPr>
              <w:spacing w:after="0"/>
              <w:rPr>
                <w:sz w:val="20"/>
                <w:szCs w:val="20"/>
                <w:color w:val="auto"/>
              </w:rPr>
            </w:pPr>
          </w:p>
        </w:tc>
        <w:tc>
          <w:tcPr>
            <w:tcW w:w="9040" w:type="dxa"/>
            <w:vAlign w:val="bottom"/>
          </w:tcPr>
          <w:p>
            <w:pPr>
              <w:ind w:left="620"/>
              <w:spacing w:after="0"/>
              <w:rPr>
                <w:sz w:val="20"/>
                <w:szCs w:val="20"/>
                <w:color w:val="auto"/>
              </w:rPr>
            </w:pPr>
            <w:r>
              <w:rPr>
                <w:rFonts w:ascii="Arial" w:cs="Arial" w:eastAsia="Arial" w:hAnsi="Arial"/>
                <w:sz w:val="18"/>
                <w:szCs w:val="18"/>
                <w:color w:val="auto"/>
              </w:rPr>
              <w:t>additional 2052 Notes will have one or more separate CUSIP numbers.</w:t>
            </w:r>
          </w:p>
        </w:tc>
      </w:tr>
      <w:tr>
        <w:trPr>
          <w:trHeight w:val="432"/>
        </w:trPr>
        <w:tc>
          <w:tcPr>
            <w:tcW w:w="2200" w:type="dxa"/>
            <w:vAlign w:val="bottom"/>
          </w:tcPr>
          <w:p>
            <w:pPr>
              <w:spacing w:after="0"/>
              <w:rPr>
                <w:sz w:val="20"/>
                <w:szCs w:val="20"/>
                <w:color w:val="auto"/>
              </w:rPr>
            </w:pPr>
            <w:r>
              <w:rPr>
                <w:rFonts w:ascii="Arial" w:cs="Arial" w:eastAsia="Arial" w:hAnsi="Arial"/>
                <w:sz w:val="18"/>
                <w:szCs w:val="18"/>
                <w:i w:val="1"/>
                <w:iCs w:val="1"/>
                <w:color w:val="auto"/>
              </w:rPr>
              <w:t>Conversion:</w:t>
            </w:r>
          </w:p>
        </w:tc>
        <w:tc>
          <w:tcPr>
            <w:tcW w:w="9040" w:type="dxa"/>
            <w:vAlign w:val="bottom"/>
          </w:tcPr>
          <w:p>
            <w:pPr>
              <w:ind w:left="620"/>
              <w:spacing w:after="0"/>
              <w:rPr>
                <w:sz w:val="20"/>
                <w:szCs w:val="20"/>
                <w:color w:val="auto"/>
              </w:rPr>
            </w:pPr>
            <w:r>
              <w:rPr>
                <w:rFonts w:ascii="Arial" w:cs="Arial" w:eastAsia="Arial" w:hAnsi="Arial"/>
                <w:sz w:val="18"/>
                <w:szCs w:val="18"/>
                <w:color w:val="auto"/>
              </w:rPr>
              <w:t>None</w:t>
            </w:r>
          </w:p>
        </w:tc>
      </w:tr>
      <w:tr>
        <w:trPr>
          <w:trHeight w:val="567"/>
        </w:trPr>
        <w:tc>
          <w:tcPr>
            <w:tcW w:w="2200" w:type="dxa"/>
            <w:vAlign w:val="bottom"/>
            <w:tcBorders>
              <w:bottom w:val="single" w:sz="8" w:color="auto"/>
            </w:tcBorders>
          </w:tcPr>
          <w:p>
            <w:pPr>
              <w:spacing w:after="0"/>
              <w:rPr>
                <w:sz w:val="24"/>
                <w:szCs w:val="24"/>
                <w:color w:val="auto"/>
              </w:rPr>
            </w:pPr>
          </w:p>
        </w:tc>
        <w:tc>
          <w:tcPr>
            <w:tcW w:w="9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00" w:right="339" w:bottom="144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540" w:type="dxa"/>
            <w:vAlign w:val="bottom"/>
          </w:tcPr>
          <w:p>
            <w:pPr>
              <w:spacing w:after="0"/>
              <w:rPr>
                <w:sz w:val="20"/>
                <w:szCs w:val="20"/>
                <w:color w:val="auto"/>
              </w:rPr>
            </w:pPr>
            <w:r>
              <w:rPr>
                <w:rFonts w:ascii="Arial" w:cs="Arial" w:eastAsia="Arial" w:hAnsi="Arial"/>
                <w:sz w:val="18"/>
                <w:szCs w:val="18"/>
                <w:i w:val="1"/>
                <w:iCs w:val="1"/>
                <w:color w:val="auto"/>
              </w:rPr>
              <w:t>Sinking Fund:</w:t>
            </w:r>
          </w:p>
        </w:tc>
        <w:tc>
          <w:tcPr>
            <w:tcW w:w="8700" w:type="dxa"/>
            <w:vAlign w:val="bottom"/>
            <w:gridSpan w:val="5"/>
          </w:tcPr>
          <w:p>
            <w:pPr>
              <w:ind w:left="280"/>
              <w:spacing w:after="0"/>
              <w:rPr>
                <w:sz w:val="20"/>
                <w:szCs w:val="20"/>
                <w:color w:val="auto"/>
              </w:rPr>
            </w:pPr>
            <w:r>
              <w:rPr>
                <w:rFonts w:ascii="Arial" w:cs="Arial" w:eastAsia="Arial" w:hAnsi="Arial"/>
                <w:sz w:val="18"/>
                <w:szCs w:val="18"/>
                <w:color w:val="auto"/>
              </w:rPr>
              <w:t>None</w:t>
            </w:r>
          </w:p>
        </w:tc>
      </w:tr>
      <w:tr>
        <w:trPr>
          <w:trHeight w:val="414"/>
        </w:trPr>
        <w:tc>
          <w:tcPr>
            <w:tcW w:w="2540" w:type="dxa"/>
            <w:vAlign w:val="bottom"/>
          </w:tcPr>
          <w:p>
            <w:pPr>
              <w:spacing w:after="0"/>
              <w:rPr>
                <w:sz w:val="20"/>
                <w:szCs w:val="20"/>
                <w:color w:val="auto"/>
              </w:rPr>
            </w:pPr>
            <w:r>
              <w:rPr>
                <w:rFonts w:ascii="Arial" w:cs="Arial" w:eastAsia="Arial" w:hAnsi="Arial"/>
                <w:sz w:val="18"/>
                <w:szCs w:val="18"/>
                <w:i w:val="1"/>
                <w:iCs w:val="1"/>
                <w:color w:val="auto"/>
              </w:rPr>
              <w:t>Miscellaneous:</w:t>
            </w:r>
          </w:p>
        </w:tc>
        <w:tc>
          <w:tcPr>
            <w:tcW w:w="8700" w:type="dxa"/>
            <w:vAlign w:val="bottom"/>
            <w:gridSpan w:val="5"/>
          </w:tcPr>
          <w:p>
            <w:pPr>
              <w:ind w:left="280"/>
              <w:spacing w:after="0"/>
              <w:rPr>
                <w:sz w:val="20"/>
                <w:szCs w:val="20"/>
                <w:color w:val="auto"/>
              </w:rPr>
            </w:pPr>
            <w:r>
              <w:rPr>
                <w:rFonts w:ascii="Arial" w:cs="Arial" w:eastAsia="Arial" w:hAnsi="Arial"/>
                <w:sz w:val="18"/>
                <w:szCs w:val="18"/>
                <w:color w:val="auto"/>
                <w:w w:val="92"/>
              </w:rPr>
              <w:t>The terms of the 2052 Notes shall include such other terms as are set forth in the Form of Note due 2052 attached</w:t>
            </w:r>
          </w:p>
        </w:tc>
      </w:tr>
      <w:tr>
        <w:trPr>
          <w:trHeight w:val="194"/>
        </w:trPr>
        <w:tc>
          <w:tcPr>
            <w:tcW w:w="2540" w:type="dxa"/>
            <w:vAlign w:val="bottom"/>
          </w:tcPr>
          <w:p>
            <w:pPr>
              <w:spacing w:after="0"/>
              <w:rPr>
                <w:sz w:val="16"/>
                <w:szCs w:val="16"/>
                <w:color w:val="auto"/>
              </w:rPr>
            </w:pPr>
          </w:p>
        </w:tc>
        <w:tc>
          <w:tcPr>
            <w:tcW w:w="8700" w:type="dxa"/>
            <w:vAlign w:val="bottom"/>
            <w:gridSpan w:val="5"/>
          </w:tcPr>
          <w:p>
            <w:pPr>
              <w:ind w:left="280"/>
              <w:spacing w:after="0" w:line="194" w:lineRule="exact"/>
              <w:rPr>
                <w:sz w:val="20"/>
                <w:szCs w:val="20"/>
                <w:color w:val="auto"/>
              </w:rPr>
            </w:pPr>
            <w:r>
              <w:rPr>
                <w:rFonts w:ascii="Arial" w:cs="Arial" w:eastAsia="Arial" w:hAnsi="Arial"/>
                <w:sz w:val="18"/>
                <w:szCs w:val="18"/>
                <w:color w:val="auto"/>
              </w:rPr>
              <w:t xml:space="preserve">hereto as </w:t>
            </w:r>
            <w:r>
              <w:rPr>
                <w:rFonts w:ascii="Arial" w:cs="Arial" w:eastAsia="Arial" w:hAnsi="Arial"/>
                <w:sz w:val="18"/>
                <w:szCs w:val="18"/>
                <w:b w:val="1"/>
                <w:bCs w:val="1"/>
                <w:color w:val="auto"/>
              </w:rPr>
              <w:t>Exhibit B</w:t>
            </w:r>
            <w:r>
              <w:rPr>
                <w:rFonts w:ascii="Arial" w:cs="Arial" w:eastAsia="Arial" w:hAnsi="Arial"/>
                <w:sz w:val="18"/>
                <w:szCs w:val="18"/>
                <w:color w:val="auto"/>
              </w:rPr>
              <w:t>.</w:t>
            </w:r>
          </w:p>
        </w:tc>
      </w:tr>
      <w:tr>
        <w:trPr>
          <w:trHeight w:val="628"/>
        </w:trPr>
        <w:tc>
          <w:tcPr>
            <w:tcW w:w="2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18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9"/>
              </w:rPr>
              <w:t>2.</w:t>
            </w:r>
            <w:r>
              <w:rPr>
                <w:rFonts w:ascii="Arial" w:cs="Arial" w:eastAsia="Arial" w:hAnsi="Arial"/>
                <w:sz w:val="18"/>
                <w:szCs w:val="18"/>
                <w:b w:val="1"/>
                <w:bCs w:val="1"/>
                <w:u w:val="single" w:color="auto"/>
                <w:color w:val="auto"/>
                <w:w w:val="89"/>
              </w:rPr>
              <w:t>650%</w:t>
            </w:r>
            <w:r>
              <w:rPr>
                <w:rFonts w:ascii="Arial" w:cs="Arial" w:eastAsia="Arial" w:hAnsi="Arial"/>
                <w:sz w:val="18"/>
                <w:szCs w:val="18"/>
                <w:b w:val="1"/>
                <w:bCs w:val="1"/>
                <w:color w:val="auto"/>
                <w:w w:val="89"/>
              </w:rPr>
              <w:t xml:space="preserve"> Notes due 2062</w:t>
            </w:r>
          </w:p>
        </w:tc>
        <w:tc>
          <w:tcPr>
            <w:tcW w:w="4720" w:type="dxa"/>
            <w:vAlign w:val="bottom"/>
          </w:tcPr>
          <w:p>
            <w:pPr>
              <w:spacing w:after="0"/>
              <w:rPr>
                <w:sz w:val="24"/>
                <w:szCs w:val="24"/>
                <w:color w:val="auto"/>
              </w:rPr>
            </w:pPr>
          </w:p>
        </w:tc>
      </w:tr>
      <w:tr>
        <w:trPr>
          <w:trHeight w:val="453"/>
        </w:trPr>
        <w:tc>
          <w:tcPr>
            <w:tcW w:w="2540" w:type="dxa"/>
            <w:vAlign w:val="bottom"/>
          </w:tcPr>
          <w:p>
            <w:pPr>
              <w:spacing w:after="0"/>
              <w:rPr>
                <w:sz w:val="20"/>
                <w:szCs w:val="20"/>
                <w:color w:val="auto"/>
              </w:rPr>
            </w:pPr>
            <w:r>
              <w:rPr>
                <w:rFonts w:ascii="Arial" w:cs="Arial" w:eastAsia="Arial" w:hAnsi="Arial"/>
                <w:sz w:val="18"/>
                <w:szCs w:val="18"/>
                <w:i w:val="1"/>
                <w:iCs w:val="1"/>
                <w:color w:val="auto"/>
              </w:rPr>
              <w:t>Title:</w:t>
            </w:r>
          </w:p>
        </w:tc>
        <w:tc>
          <w:tcPr>
            <w:tcW w:w="8700" w:type="dxa"/>
            <w:vAlign w:val="bottom"/>
            <w:gridSpan w:val="5"/>
          </w:tcPr>
          <w:p>
            <w:pPr>
              <w:ind w:left="280"/>
              <w:spacing w:after="0"/>
              <w:rPr>
                <w:sz w:val="20"/>
                <w:szCs w:val="20"/>
                <w:color w:val="auto"/>
              </w:rPr>
            </w:pPr>
            <w:r>
              <w:rPr>
                <w:rFonts w:ascii="Arial" w:cs="Arial" w:eastAsia="Arial" w:hAnsi="Arial"/>
                <w:sz w:val="18"/>
                <w:szCs w:val="18"/>
                <w:color w:val="auto"/>
              </w:rPr>
              <w:t>2.650% Notes due 2062</w:t>
            </w:r>
          </w:p>
        </w:tc>
      </w:tr>
      <w:tr>
        <w:trPr>
          <w:trHeight w:val="418"/>
        </w:trPr>
        <w:tc>
          <w:tcPr>
            <w:tcW w:w="2540" w:type="dxa"/>
            <w:vAlign w:val="bottom"/>
          </w:tcPr>
          <w:p>
            <w:pPr>
              <w:spacing w:after="0"/>
              <w:rPr>
                <w:sz w:val="20"/>
                <w:szCs w:val="20"/>
                <w:color w:val="auto"/>
              </w:rPr>
            </w:pPr>
            <w:r>
              <w:rPr>
                <w:rFonts w:ascii="Arial" w:cs="Arial" w:eastAsia="Arial" w:hAnsi="Arial"/>
                <w:sz w:val="18"/>
                <w:szCs w:val="18"/>
                <w:i w:val="1"/>
                <w:iCs w:val="1"/>
                <w:color w:val="auto"/>
              </w:rPr>
              <w:t>Aggregate Principal Amount at</w:t>
            </w: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4720" w:type="dxa"/>
            <w:vAlign w:val="bottom"/>
          </w:tcPr>
          <w:p>
            <w:pPr>
              <w:spacing w:after="0"/>
              <w:rPr>
                <w:sz w:val="24"/>
                <w:szCs w:val="24"/>
                <w:color w:val="auto"/>
              </w:rPr>
            </w:pPr>
          </w:p>
        </w:tc>
      </w:tr>
      <w:tr>
        <w:trPr>
          <w:trHeight w:val="230"/>
        </w:trPr>
        <w:tc>
          <w:tcPr>
            <w:tcW w:w="2540" w:type="dxa"/>
            <w:vAlign w:val="bottom"/>
          </w:tcPr>
          <w:p>
            <w:pPr>
              <w:spacing w:after="0"/>
              <w:rPr>
                <w:sz w:val="20"/>
                <w:szCs w:val="20"/>
                <w:color w:val="auto"/>
              </w:rPr>
            </w:pPr>
            <w:r>
              <w:rPr>
                <w:rFonts w:ascii="Arial" w:cs="Arial" w:eastAsia="Arial" w:hAnsi="Arial"/>
                <w:sz w:val="18"/>
                <w:szCs w:val="18"/>
                <w:i w:val="1"/>
                <w:iCs w:val="1"/>
                <w:color w:val="auto"/>
              </w:rPr>
              <w:t>Maturity:</w:t>
            </w:r>
          </w:p>
        </w:tc>
        <w:tc>
          <w:tcPr>
            <w:tcW w:w="1700" w:type="dxa"/>
            <w:vAlign w:val="bottom"/>
            <w:gridSpan w:val="2"/>
          </w:tcPr>
          <w:p>
            <w:pPr>
              <w:ind w:left="280"/>
              <w:spacing w:after="0"/>
              <w:rPr>
                <w:sz w:val="20"/>
                <w:szCs w:val="20"/>
                <w:color w:val="auto"/>
              </w:rPr>
            </w:pPr>
            <w:r>
              <w:rPr>
                <w:rFonts w:ascii="Arial" w:cs="Arial" w:eastAsia="Arial" w:hAnsi="Arial"/>
                <w:sz w:val="18"/>
                <w:szCs w:val="18"/>
                <w:color w:val="auto"/>
              </w:rPr>
              <w:t>$1,250,000,000</w:t>
            </w:r>
          </w:p>
        </w:tc>
        <w:tc>
          <w:tcPr>
            <w:tcW w:w="4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4720" w:type="dxa"/>
            <w:vAlign w:val="bottom"/>
          </w:tcPr>
          <w:p>
            <w:pPr>
              <w:spacing w:after="0"/>
              <w:rPr>
                <w:sz w:val="20"/>
                <w:szCs w:val="20"/>
                <w:color w:val="auto"/>
              </w:rPr>
            </w:pPr>
          </w:p>
        </w:tc>
      </w:tr>
      <w:tr>
        <w:trPr>
          <w:trHeight w:val="432"/>
        </w:trPr>
        <w:tc>
          <w:tcPr>
            <w:tcW w:w="2540" w:type="dxa"/>
            <w:vAlign w:val="bottom"/>
          </w:tcPr>
          <w:p>
            <w:pPr>
              <w:spacing w:after="0"/>
              <w:rPr>
                <w:sz w:val="20"/>
                <w:szCs w:val="20"/>
                <w:color w:val="auto"/>
              </w:rPr>
            </w:pPr>
            <w:r>
              <w:rPr>
                <w:rFonts w:ascii="Arial" w:cs="Arial" w:eastAsia="Arial" w:hAnsi="Arial"/>
                <w:sz w:val="18"/>
                <w:szCs w:val="18"/>
                <w:i w:val="1"/>
                <w:iCs w:val="1"/>
                <w:color w:val="auto"/>
              </w:rPr>
              <w:t>Principal Payment Date:</w:t>
            </w:r>
          </w:p>
        </w:tc>
        <w:tc>
          <w:tcPr>
            <w:tcW w:w="8700" w:type="dxa"/>
            <w:vAlign w:val="bottom"/>
            <w:gridSpan w:val="5"/>
          </w:tcPr>
          <w:p>
            <w:pPr>
              <w:ind w:left="280"/>
              <w:spacing w:after="0"/>
              <w:rPr>
                <w:sz w:val="20"/>
                <w:szCs w:val="20"/>
                <w:color w:val="auto"/>
              </w:rPr>
            </w:pPr>
            <w:r>
              <w:rPr>
                <w:rFonts w:ascii="Arial" w:cs="Arial" w:eastAsia="Arial" w:hAnsi="Arial"/>
                <w:sz w:val="18"/>
                <w:szCs w:val="18"/>
                <w:color w:val="auto"/>
              </w:rPr>
              <w:t>August 15, 2062</w:t>
            </w:r>
          </w:p>
        </w:tc>
      </w:tr>
      <w:tr>
        <w:trPr>
          <w:trHeight w:val="432"/>
        </w:trPr>
        <w:tc>
          <w:tcPr>
            <w:tcW w:w="2540" w:type="dxa"/>
            <w:vAlign w:val="bottom"/>
          </w:tcPr>
          <w:p>
            <w:pPr>
              <w:spacing w:after="0"/>
              <w:rPr>
                <w:sz w:val="20"/>
                <w:szCs w:val="20"/>
                <w:color w:val="auto"/>
              </w:rPr>
            </w:pPr>
            <w:r>
              <w:rPr>
                <w:rFonts w:ascii="Arial" w:cs="Arial" w:eastAsia="Arial" w:hAnsi="Arial"/>
                <w:sz w:val="18"/>
                <w:szCs w:val="18"/>
                <w:i w:val="1"/>
                <w:iCs w:val="1"/>
                <w:color w:val="auto"/>
              </w:rPr>
              <w:t>Interest:</w:t>
            </w:r>
          </w:p>
        </w:tc>
        <w:tc>
          <w:tcPr>
            <w:tcW w:w="960" w:type="dxa"/>
            <w:vAlign w:val="bottom"/>
          </w:tcPr>
          <w:p>
            <w:pPr>
              <w:ind w:left="280"/>
              <w:spacing w:after="0"/>
              <w:rPr>
                <w:sz w:val="20"/>
                <w:szCs w:val="20"/>
                <w:color w:val="auto"/>
              </w:rPr>
            </w:pPr>
            <w:r>
              <w:rPr>
                <w:rFonts w:ascii="Arial" w:cs="Arial" w:eastAsia="Arial" w:hAnsi="Arial"/>
                <w:sz w:val="18"/>
                <w:szCs w:val="18"/>
                <w:color w:val="auto"/>
              </w:rPr>
              <w:t>2.650%</w:t>
            </w: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4720" w:type="dxa"/>
            <w:vAlign w:val="bottom"/>
          </w:tcPr>
          <w:p>
            <w:pPr>
              <w:spacing w:after="0"/>
              <w:rPr>
                <w:sz w:val="24"/>
                <w:szCs w:val="24"/>
                <w:color w:val="auto"/>
              </w:rPr>
            </w:pPr>
          </w:p>
        </w:tc>
      </w:tr>
      <w:tr>
        <w:trPr>
          <w:trHeight w:val="418"/>
        </w:trPr>
        <w:tc>
          <w:tcPr>
            <w:tcW w:w="2540" w:type="dxa"/>
            <w:vAlign w:val="bottom"/>
          </w:tcPr>
          <w:p>
            <w:pPr>
              <w:spacing w:after="0"/>
              <w:rPr>
                <w:sz w:val="20"/>
                <w:szCs w:val="20"/>
                <w:color w:val="auto"/>
              </w:rPr>
            </w:pPr>
            <w:r>
              <w:rPr>
                <w:rFonts w:ascii="Arial" w:cs="Arial" w:eastAsia="Arial" w:hAnsi="Arial"/>
                <w:sz w:val="18"/>
                <w:szCs w:val="18"/>
                <w:i w:val="1"/>
                <w:iCs w:val="1"/>
                <w:color w:val="auto"/>
              </w:rPr>
              <w:t>Redemption:</w:t>
            </w:r>
          </w:p>
        </w:tc>
        <w:tc>
          <w:tcPr>
            <w:tcW w:w="8700" w:type="dxa"/>
            <w:vAlign w:val="bottom"/>
            <w:gridSpan w:val="5"/>
          </w:tcPr>
          <w:p>
            <w:pPr>
              <w:ind w:left="280"/>
              <w:spacing w:after="0"/>
              <w:rPr>
                <w:sz w:val="20"/>
                <w:szCs w:val="20"/>
                <w:color w:val="auto"/>
              </w:rPr>
            </w:pPr>
            <w:r>
              <w:rPr>
                <w:rFonts w:ascii="Arial" w:cs="Arial" w:eastAsia="Arial" w:hAnsi="Arial"/>
                <w:sz w:val="18"/>
                <w:szCs w:val="18"/>
                <w:color w:val="auto"/>
                <w:w w:val="92"/>
              </w:rPr>
              <w:t>The Company may at its option redeem the 2062 Notes in whole or in part, at any time or from time to time prior to</w:t>
            </w:r>
          </w:p>
        </w:tc>
      </w:tr>
      <w:tr>
        <w:trPr>
          <w:trHeight w:val="216"/>
        </w:trPr>
        <w:tc>
          <w:tcPr>
            <w:tcW w:w="2540" w:type="dxa"/>
            <w:vAlign w:val="bottom"/>
          </w:tcPr>
          <w:p>
            <w:pPr>
              <w:spacing w:after="0"/>
              <w:rPr>
                <w:sz w:val="18"/>
                <w:szCs w:val="18"/>
                <w:color w:val="auto"/>
              </w:rPr>
            </w:pPr>
          </w:p>
        </w:tc>
        <w:tc>
          <w:tcPr>
            <w:tcW w:w="8700" w:type="dxa"/>
            <w:vAlign w:val="bottom"/>
            <w:gridSpan w:val="5"/>
          </w:tcPr>
          <w:p>
            <w:pPr>
              <w:ind w:left="280"/>
              <w:spacing w:after="0"/>
              <w:rPr>
                <w:sz w:val="20"/>
                <w:szCs w:val="20"/>
                <w:color w:val="auto"/>
              </w:rPr>
            </w:pPr>
            <w:r>
              <w:rPr>
                <w:rFonts w:ascii="Arial" w:cs="Arial" w:eastAsia="Arial" w:hAnsi="Arial"/>
                <w:sz w:val="18"/>
                <w:szCs w:val="18"/>
                <w:color w:val="auto"/>
                <w:w w:val="93"/>
              </w:rPr>
              <w:t>their maturity, on at least 15 days, but not more than 30 days, prior notice delivered electronically or mailed to the</w:t>
            </w:r>
          </w:p>
        </w:tc>
      </w:tr>
      <w:tr>
        <w:trPr>
          <w:trHeight w:val="216"/>
        </w:trPr>
        <w:tc>
          <w:tcPr>
            <w:tcW w:w="2540" w:type="dxa"/>
            <w:vAlign w:val="bottom"/>
          </w:tcPr>
          <w:p>
            <w:pPr>
              <w:spacing w:after="0"/>
              <w:rPr>
                <w:sz w:val="18"/>
                <w:szCs w:val="18"/>
                <w:color w:val="auto"/>
              </w:rPr>
            </w:pPr>
          </w:p>
        </w:tc>
        <w:tc>
          <w:tcPr>
            <w:tcW w:w="8700" w:type="dxa"/>
            <w:vAlign w:val="bottom"/>
            <w:gridSpan w:val="5"/>
          </w:tcPr>
          <w:p>
            <w:pPr>
              <w:ind w:left="280"/>
              <w:spacing w:after="0"/>
              <w:rPr>
                <w:sz w:val="20"/>
                <w:szCs w:val="20"/>
                <w:color w:val="auto"/>
              </w:rPr>
            </w:pPr>
            <w:r>
              <w:rPr>
                <w:rFonts w:ascii="Arial" w:cs="Arial" w:eastAsia="Arial" w:hAnsi="Arial"/>
                <w:sz w:val="18"/>
                <w:szCs w:val="18"/>
                <w:color w:val="auto"/>
                <w:w w:val="94"/>
              </w:rPr>
              <w:t>registered address of each holder of the 2062 Notes, at the “Redemption Price.” The Company will calculate the</w:t>
            </w:r>
          </w:p>
        </w:tc>
      </w:tr>
      <w:tr>
        <w:trPr>
          <w:trHeight w:val="212"/>
        </w:trPr>
        <w:tc>
          <w:tcPr>
            <w:tcW w:w="2540" w:type="dxa"/>
            <w:vAlign w:val="bottom"/>
          </w:tcPr>
          <w:p>
            <w:pPr>
              <w:spacing w:after="0"/>
              <w:rPr>
                <w:sz w:val="18"/>
                <w:szCs w:val="18"/>
                <w:color w:val="auto"/>
              </w:rPr>
            </w:pPr>
          </w:p>
        </w:tc>
        <w:tc>
          <w:tcPr>
            <w:tcW w:w="8700" w:type="dxa"/>
            <w:vAlign w:val="bottom"/>
            <w:gridSpan w:val="5"/>
          </w:tcPr>
          <w:p>
            <w:pPr>
              <w:ind w:left="280"/>
              <w:spacing w:after="0"/>
              <w:rPr>
                <w:sz w:val="20"/>
                <w:szCs w:val="20"/>
                <w:color w:val="auto"/>
              </w:rPr>
            </w:pPr>
            <w:r>
              <w:rPr>
                <w:rFonts w:ascii="Arial" w:cs="Arial" w:eastAsia="Arial" w:hAnsi="Arial"/>
                <w:sz w:val="18"/>
                <w:szCs w:val="18"/>
                <w:color w:val="auto"/>
                <w:w w:val="92"/>
              </w:rPr>
              <w:t>Redemption Price in connection with any redemption hereunder. Prior to February 15, 2062 (six (6) months prior to</w:t>
            </w:r>
          </w:p>
        </w:tc>
      </w:tr>
      <w:tr>
        <w:trPr>
          <w:trHeight w:val="220"/>
        </w:trPr>
        <w:tc>
          <w:tcPr>
            <w:tcW w:w="2540" w:type="dxa"/>
            <w:vAlign w:val="bottom"/>
          </w:tcPr>
          <w:p>
            <w:pPr>
              <w:spacing w:after="0"/>
              <w:rPr>
                <w:sz w:val="19"/>
                <w:szCs w:val="19"/>
                <w:color w:val="auto"/>
              </w:rPr>
            </w:pPr>
          </w:p>
        </w:tc>
        <w:tc>
          <w:tcPr>
            <w:tcW w:w="8700" w:type="dxa"/>
            <w:vAlign w:val="bottom"/>
            <w:gridSpan w:val="5"/>
          </w:tcPr>
          <w:p>
            <w:pPr>
              <w:ind w:left="280"/>
              <w:spacing w:after="0"/>
              <w:rPr>
                <w:sz w:val="20"/>
                <w:szCs w:val="20"/>
                <w:color w:val="auto"/>
              </w:rPr>
            </w:pPr>
            <w:r>
              <w:rPr>
                <w:rFonts w:ascii="Arial" w:cs="Arial" w:eastAsia="Arial" w:hAnsi="Arial"/>
                <w:sz w:val="18"/>
                <w:szCs w:val="18"/>
                <w:color w:val="auto"/>
                <w:w w:val="93"/>
              </w:rPr>
              <w:t>the maturity of the 2062 Notes) (the “</w:t>
            </w:r>
            <w:r>
              <w:rPr>
                <w:rFonts w:ascii="Arial" w:cs="Arial" w:eastAsia="Arial" w:hAnsi="Arial"/>
                <w:sz w:val="18"/>
                <w:szCs w:val="18"/>
                <w:b w:val="1"/>
                <w:bCs w:val="1"/>
                <w:color w:val="auto"/>
                <w:w w:val="93"/>
              </w:rPr>
              <w:t>2062 Par Call Date</w:t>
            </w:r>
            <w:r>
              <w:rPr>
                <w:rFonts w:ascii="Arial" w:cs="Arial" w:eastAsia="Arial" w:hAnsi="Arial"/>
                <w:sz w:val="18"/>
                <w:szCs w:val="18"/>
                <w:color w:val="auto"/>
                <w:w w:val="93"/>
              </w:rPr>
              <w:t>”), the Redemption Price is the greater of (i) 100% of the</w:t>
            </w:r>
          </w:p>
        </w:tc>
      </w:tr>
      <w:tr>
        <w:trPr>
          <w:trHeight w:val="216"/>
        </w:trPr>
        <w:tc>
          <w:tcPr>
            <w:tcW w:w="2540" w:type="dxa"/>
            <w:vAlign w:val="bottom"/>
          </w:tcPr>
          <w:p>
            <w:pPr>
              <w:spacing w:after="0"/>
              <w:rPr>
                <w:sz w:val="18"/>
                <w:szCs w:val="18"/>
                <w:color w:val="auto"/>
              </w:rPr>
            </w:pPr>
          </w:p>
        </w:tc>
        <w:tc>
          <w:tcPr>
            <w:tcW w:w="8700" w:type="dxa"/>
            <w:vAlign w:val="bottom"/>
            <w:gridSpan w:val="5"/>
          </w:tcPr>
          <w:p>
            <w:pPr>
              <w:ind w:left="280"/>
              <w:spacing w:after="0"/>
              <w:rPr>
                <w:sz w:val="20"/>
                <w:szCs w:val="20"/>
                <w:color w:val="auto"/>
              </w:rPr>
            </w:pPr>
            <w:r>
              <w:rPr>
                <w:rFonts w:ascii="Arial" w:cs="Arial" w:eastAsia="Arial" w:hAnsi="Arial"/>
                <w:sz w:val="18"/>
                <w:szCs w:val="18"/>
                <w:color w:val="auto"/>
                <w:w w:val="91"/>
              </w:rPr>
              <w:t>principal amount of the 2062 Notes, and (ii) the sum of the present values of the principal amount of such notes and</w:t>
            </w:r>
          </w:p>
        </w:tc>
      </w:tr>
      <w:tr>
        <w:trPr>
          <w:trHeight w:val="216"/>
        </w:trPr>
        <w:tc>
          <w:tcPr>
            <w:tcW w:w="2540" w:type="dxa"/>
            <w:vAlign w:val="bottom"/>
          </w:tcPr>
          <w:p>
            <w:pPr>
              <w:spacing w:after="0"/>
              <w:rPr>
                <w:sz w:val="18"/>
                <w:szCs w:val="18"/>
                <w:color w:val="auto"/>
              </w:rPr>
            </w:pPr>
          </w:p>
        </w:tc>
        <w:tc>
          <w:tcPr>
            <w:tcW w:w="8700" w:type="dxa"/>
            <w:vAlign w:val="bottom"/>
            <w:gridSpan w:val="5"/>
          </w:tcPr>
          <w:p>
            <w:pPr>
              <w:ind w:left="280"/>
              <w:spacing w:after="0"/>
              <w:rPr>
                <w:sz w:val="20"/>
                <w:szCs w:val="20"/>
                <w:color w:val="auto"/>
              </w:rPr>
            </w:pPr>
            <w:r>
              <w:rPr>
                <w:rFonts w:ascii="Arial" w:cs="Arial" w:eastAsia="Arial" w:hAnsi="Arial"/>
                <w:sz w:val="18"/>
                <w:szCs w:val="18"/>
                <w:color w:val="auto"/>
                <w:w w:val="97"/>
              </w:rPr>
              <w:t>the scheduled payments of interest thereon (exclusive of interest accrued to the date of redemption) from the</w:t>
            </w:r>
          </w:p>
        </w:tc>
      </w:tr>
      <w:tr>
        <w:trPr>
          <w:trHeight w:val="216"/>
        </w:trPr>
        <w:tc>
          <w:tcPr>
            <w:tcW w:w="2540" w:type="dxa"/>
            <w:vAlign w:val="bottom"/>
          </w:tcPr>
          <w:p>
            <w:pPr>
              <w:spacing w:after="0"/>
              <w:rPr>
                <w:sz w:val="18"/>
                <w:szCs w:val="18"/>
                <w:color w:val="auto"/>
              </w:rPr>
            </w:pPr>
          </w:p>
        </w:tc>
        <w:tc>
          <w:tcPr>
            <w:tcW w:w="8700" w:type="dxa"/>
            <w:vAlign w:val="bottom"/>
            <w:gridSpan w:val="5"/>
          </w:tcPr>
          <w:p>
            <w:pPr>
              <w:ind w:left="280"/>
              <w:spacing w:after="0"/>
              <w:rPr>
                <w:sz w:val="20"/>
                <w:szCs w:val="20"/>
                <w:color w:val="auto"/>
              </w:rPr>
            </w:pPr>
            <w:r>
              <w:rPr>
                <w:rFonts w:ascii="Arial" w:cs="Arial" w:eastAsia="Arial" w:hAnsi="Arial"/>
                <w:sz w:val="18"/>
                <w:szCs w:val="18"/>
                <w:color w:val="auto"/>
                <w:w w:val="92"/>
              </w:rPr>
              <w:t>redemption date to the 2062 Par Call Date, in each case discounted to the redemption date on a semiannual basis</w:t>
            </w:r>
          </w:p>
        </w:tc>
      </w:tr>
      <w:tr>
        <w:trPr>
          <w:trHeight w:val="216"/>
        </w:trPr>
        <w:tc>
          <w:tcPr>
            <w:tcW w:w="2540" w:type="dxa"/>
            <w:vAlign w:val="bottom"/>
          </w:tcPr>
          <w:p>
            <w:pPr>
              <w:spacing w:after="0"/>
              <w:rPr>
                <w:sz w:val="18"/>
                <w:szCs w:val="18"/>
                <w:color w:val="auto"/>
              </w:rPr>
            </w:pPr>
          </w:p>
        </w:tc>
        <w:tc>
          <w:tcPr>
            <w:tcW w:w="8700" w:type="dxa"/>
            <w:vAlign w:val="bottom"/>
            <w:gridSpan w:val="5"/>
          </w:tcPr>
          <w:p>
            <w:pPr>
              <w:ind w:left="280"/>
              <w:spacing w:after="0"/>
              <w:rPr>
                <w:sz w:val="20"/>
                <w:szCs w:val="20"/>
                <w:color w:val="auto"/>
              </w:rPr>
            </w:pPr>
            <w:r>
              <w:rPr>
                <w:rFonts w:ascii="Arial" w:cs="Arial" w:eastAsia="Arial" w:hAnsi="Arial"/>
                <w:sz w:val="18"/>
                <w:szCs w:val="18"/>
                <w:color w:val="auto"/>
                <w:w w:val="91"/>
              </w:rPr>
              <w:t>(assuming a 360-day year consisting of twelve 30-day months) at the Treasury Rate (as defined in the 2062 Notes)</w:t>
            </w:r>
          </w:p>
        </w:tc>
      </w:tr>
      <w:tr>
        <w:trPr>
          <w:trHeight w:val="216"/>
        </w:trPr>
        <w:tc>
          <w:tcPr>
            <w:tcW w:w="2540" w:type="dxa"/>
            <w:vAlign w:val="bottom"/>
          </w:tcPr>
          <w:p>
            <w:pPr>
              <w:spacing w:after="0"/>
              <w:rPr>
                <w:sz w:val="18"/>
                <w:szCs w:val="18"/>
                <w:color w:val="auto"/>
              </w:rPr>
            </w:pPr>
          </w:p>
        </w:tc>
        <w:tc>
          <w:tcPr>
            <w:tcW w:w="8700" w:type="dxa"/>
            <w:vAlign w:val="bottom"/>
            <w:gridSpan w:val="5"/>
          </w:tcPr>
          <w:p>
            <w:pPr>
              <w:ind w:left="280"/>
              <w:spacing w:after="0"/>
              <w:rPr>
                <w:sz w:val="20"/>
                <w:szCs w:val="20"/>
                <w:color w:val="auto"/>
              </w:rPr>
            </w:pPr>
            <w:r>
              <w:rPr>
                <w:rFonts w:ascii="Arial" w:cs="Arial" w:eastAsia="Arial" w:hAnsi="Arial"/>
                <w:sz w:val="18"/>
                <w:szCs w:val="18"/>
                <w:color w:val="auto"/>
                <w:w w:val="94"/>
              </w:rPr>
              <w:t>plus 25 basis points. On and after the 2062 Par Call Date, the Redemption Price will equal 100% of the principal</w:t>
            </w:r>
          </w:p>
        </w:tc>
      </w:tr>
      <w:tr>
        <w:trPr>
          <w:trHeight w:val="216"/>
        </w:trPr>
        <w:tc>
          <w:tcPr>
            <w:tcW w:w="2540" w:type="dxa"/>
            <w:vAlign w:val="bottom"/>
          </w:tcPr>
          <w:p>
            <w:pPr>
              <w:spacing w:after="0"/>
              <w:rPr>
                <w:sz w:val="18"/>
                <w:szCs w:val="18"/>
                <w:color w:val="auto"/>
              </w:rPr>
            </w:pPr>
          </w:p>
        </w:tc>
        <w:tc>
          <w:tcPr>
            <w:tcW w:w="8700" w:type="dxa"/>
            <w:vAlign w:val="bottom"/>
            <w:gridSpan w:val="5"/>
          </w:tcPr>
          <w:p>
            <w:pPr>
              <w:ind w:left="280"/>
              <w:spacing w:after="0"/>
              <w:rPr>
                <w:sz w:val="20"/>
                <w:szCs w:val="20"/>
                <w:color w:val="auto"/>
              </w:rPr>
            </w:pPr>
            <w:r>
              <w:rPr>
                <w:rFonts w:ascii="Arial" w:cs="Arial" w:eastAsia="Arial" w:hAnsi="Arial"/>
                <w:sz w:val="18"/>
                <w:szCs w:val="18"/>
                <w:color w:val="auto"/>
                <w:w w:val="94"/>
              </w:rPr>
              <w:t>amount of such notes. In each case described in this paragraph, the Redemption Price will include accrued and</w:t>
            </w:r>
          </w:p>
        </w:tc>
      </w:tr>
      <w:tr>
        <w:trPr>
          <w:trHeight w:val="216"/>
        </w:trPr>
        <w:tc>
          <w:tcPr>
            <w:tcW w:w="2540" w:type="dxa"/>
            <w:vAlign w:val="bottom"/>
          </w:tcPr>
          <w:p>
            <w:pPr>
              <w:spacing w:after="0"/>
              <w:rPr>
                <w:sz w:val="18"/>
                <w:szCs w:val="18"/>
                <w:color w:val="auto"/>
              </w:rPr>
            </w:pPr>
          </w:p>
        </w:tc>
        <w:tc>
          <w:tcPr>
            <w:tcW w:w="8700" w:type="dxa"/>
            <w:vAlign w:val="bottom"/>
            <w:gridSpan w:val="5"/>
          </w:tcPr>
          <w:p>
            <w:pPr>
              <w:ind w:left="280"/>
              <w:spacing w:after="0"/>
              <w:rPr>
                <w:sz w:val="20"/>
                <w:szCs w:val="20"/>
                <w:color w:val="auto"/>
              </w:rPr>
            </w:pPr>
            <w:r>
              <w:rPr>
                <w:rFonts w:ascii="Arial" w:cs="Arial" w:eastAsia="Arial" w:hAnsi="Arial"/>
                <w:sz w:val="18"/>
                <w:szCs w:val="18"/>
                <w:color w:val="auto"/>
                <w:w w:val="90"/>
              </w:rPr>
              <w:t>unpaid interest thereon to the date of redemption, and in each case described in this paragraph, subject to the further</w:t>
            </w:r>
          </w:p>
        </w:tc>
      </w:tr>
      <w:tr>
        <w:trPr>
          <w:trHeight w:val="230"/>
        </w:trPr>
        <w:tc>
          <w:tcPr>
            <w:tcW w:w="2540" w:type="dxa"/>
            <w:vAlign w:val="bottom"/>
          </w:tcPr>
          <w:p>
            <w:pPr>
              <w:spacing w:after="0"/>
              <w:rPr>
                <w:sz w:val="20"/>
                <w:szCs w:val="20"/>
                <w:color w:val="auto"/>
              </w:rPr>
            </w:pPr>
          </w:p>
        </w:tc>
        <w:tc>
          <w:tcPr>
            <w:tcW w:w="8700" w:type="dxa"/>
            <w:vAlign w:val="bottom"/>
            <w:gridSpan w:val="5"/>
          </w:tcPr>
          <w:p>
            <w:pPr>
              <w:ind w:left="280"/>
              <w:spacing w:after="0"/>
              <w:rPr>
                <w:sz w:val="20"/>
                <w:szCs w:val="20"/>
                <w:color w:val="auto"/>
              </w:rPr>
            </w:pPr>
            <w:r>
              <w:rPr>
                <w:rFonts w:ascii="Arial" w:cs="Arial" w:eastAsia="Arial" w:hAnsi="Arial"/>
                <w:sz w:val="18"/>
                <w:szCs w:val="18"/>
                <w:color w:val="auto"/>
              </w:rPr>
              <w:t>description in the Prospectus Supplement dated August 11, 2020.</w:t>
            </w:r>
          </w:p>
        </w:tc>
      </w:tr>
      <w:tr>
        <w:trPr>
          <w:trHeight w:val="567"/>
        </w:trPr>
        <w:tc>
          <w:tcPr>
            <w:tcW w:w="25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47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00" w:right="339" w:bottom="144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00" w:type="dxa"/>
            <w:vAlign w:val="bottom"/>
          </w:tcPr>
          <w:p>
            <w:pPr>
              <w:spacing w:after="0"/>
              <w:rPr>
                <w:sz w:val="20"/>
                <w:szCs w:val="20"/>
                <w:color w:val="auto"/>
              </w:rPr>
            </w:pPr>
            <w:r>
              <w:rPr>
                <w:rFonts w:ascii="Arial" w:cs="Arial" w:eastAsia="Arial" w:hAnsi="Arial"/>
                <w:sz w:val="18"/>
                <w:szCs w:val="18"/>
                <w:i w:val="1"/>
                <w:iCs w:val="1"/>
                <w:color w:val="auto"/>
              </w:rPr>
              <w:t>Additional Issuances:</w:t>
            </w:r>
          </w:p>
        </w:tc>
        <w:tc>
          <w:tcPr>
            <w:tcW w:w="9020" w:type="dxa"/>
            <w:vAlign w:val="bottom"/>
            <w:gridSpan w:val="3"/>
          </w:tcPr>
          <w:p>
            <w:pPr>
              <w:ind w:left="620"/>
              <w:spacing w:after="0"/>
              <w:rPr>
                <w:sz w:val="20"/>
                <w:szCs w:val="20"/>
                <w:color w:val="auto"/>
              </w:rPr>
            </w:pPr>
            <w:r>
              <w:rPr>
                <w:rFonts w:ascii="Arial" w:cs="Arial" w:eastAsia="Arial" w:hAnsi="Arial"/>
                <w:sz w:val="18"/>
                <w:szCs w:val="18"/>
                <w:color w:val="auto"/>
                <w:w w:val="92"/>
              </w:rPr>
              <w:t>The 2062 Notes need not be issued at the same time and the series may be reopened for issuance of an unlimited</w:t>
            </w:r>
          </w:p>
        </w:tc>
      </w:tr>
      <w:tr>
        <w:trPr>
          <w:trHeight w:val="216"/>
        </w:trPr>
        <w:tc>
          <w:tcPr>
            <w:tcW w:w="2200" w:type="dxa"/>
            <w:vAlign w:val="bottom"/>
          </w:tcPr>
          <w:p>
            <w:pPr>
              <w:spacing w:after="0"/>
              <w:rPr>
                <w:sz w:val="18"/>
                <w:szCs w:val="18"/>
                <w:color w:val="auto"/>
              </w:rPr>
            </w:pPr>
          </w:p>
        </w:tc>
        <w:tc>
          <w:tcPr>
            <w:tcW w:w="9020" w:type="dxa"/>
            <w:vAlign w:val="bottom"/>
            <w:gridSpan w:val="3"/>
          </w:tcPr>
          <w:p>
            <w:pPr>
              <w:ind w:left="620"/>
              <w:spacing w:after="0"/>
              <w:rPr>
                <w:sz w:val="20"/>
                <w:szCs w:val="20"/>
                <w:color w:val="auto"/>
              </w:rPr>
            </w:pPr>
            <w:r>
              <w:rPr>
                <w:rFonts w:ascii="Arial" w:cs="Arial" w:eastAsia="Arial" w:hAnsi="Arial"/>
                <w:sz w:val="18"/>
                <w:szCs w:val="18"/>
                <w:color w:val="auto"/>
              </w:rPr>
              <w:t>principal amount of additional 2062 Notes under this series. Additional 2062 Notes of this series may be</w:t>
            </w:r>
          </w:p>
        </w:tc>
      </w:tr>
      <w:tr>
        <w:trPr>
          <w:trHeight w:val="216"/>
        </w:trPr>
        <w:tc>
          <w:tcPr>
            <w:tcW w:w="2200" w:type="dxa"/>
            <w:vAlign w:val="bottom"/>
          </w:tcPr>
          <w:p>
            <w:pPr>
              <w:spacing w:after="0"/>
              <w:rPr>
                <w:sz w:val="18"/>
                <w:szCs w:val="18"/>
                <w:color w:val="auto"/>
              </w:rPr>
            </w:pPr>
          </w:p>
        </w:tc>
        <w:tc>
          <w:tcPr>
            <w:tcW w:w="9020" w:type="dxa"/>
            <w:vAlign w:val="bottom"/>
            <w:gridSpan w:val="3"/>
          </w:tcPr>
          <w:p>
            <w:pPr>
              <w:ind w:left="620"/>
              <w:spacing w:after="0"/>
              <w:rPr>
                <w:sz w:val="20"/>
                <w:szCs w:val="20"/>
                <w:color w:val="auto"/>
              </w:rPr>
            </w:pPr>
            <w:r>
              <w:rPr>
                <w:rFonts w:ascii="Arial" w:cs="Arial" w:eastAsia="Arial" w:hAnsi="Arial"/>
                <w:sz w:val="18"/>
                <w:szCs w:val="18"/>
                <w:color w:val="auto"/>
                <w:w w:val="90"/>
              </w:rPr>
              <w:t>consolidated with, and form a single series with, 2062 Notes then outstanding, including for purposes of determining</w:t>
            </w:r>
          </w:p>
        </w:tc>
      </w:tr>
      <w:tr>
        <w:trPr>
          <w:trHeight w:val="216"/>
        </w:trPr>
        <w:tc>
          <w:tcPr>
            <w:tcW w:w="2200" w:type="dxa"/>
            <w:vAlign w:val="bottom"/>
          </w:tcPr>
          <w:p>
            <w:pPr>
              <w:spacing w:after="0"/>
              <w:rPr>
                <w:sz w:val="18"/>
                <w:szCs w:val="18"/>
                <w:color w:val="auto"/>
              </w:rPr>
            </w:pPr>
          </w:p>
        </w:tc>
        <w:tc>
          <w:tcPr>
            <w:tcW w:w="9020" w:type="dxa"/>
            <w:vAlign w:val="bottom"/>
            <w:gridSpan w:val="3"/>
          </w:tcPr>
          <w:p>
            <w:pPr>
              <w:ind w:left="620"/>
              <w:spacing w:after="0"/>
              <w:rPr>
                <w:sz w:val="20"/>
                <w:szCs w:val="20"/>
                <w:color w:val="auto"/>
              </w:rPr>
            </w:pPr>
            <w:r>
              <w:rPr>
                <w:rFonts w:ascii="Arial" w:cs="Arial" w:eastAsia="Arial" w:hAnsi="Arial"/>
                <w:sz w:val="18"/>
                <w:szCs w:val="18"/>
                <w:color w:val="auto"/>
                <w:w w:val="91"/>
              </w:rPr>
              <w:t>whether the required percentage of the holders of record has given approval or consent to an amendment or waiver</w:t>
            </w:r>
          </w:p>
        </w:tc>
      </w:tr>
      <w:tr>
        <w:trPr>
          <w:trHeight w:val="216"/>
        </w:trPr>
        <w:tc>
          <w:tcPr>
            <w:tcW w:w="2200" w:type="dxa"/>
            <w:vAlign w:val="bottom"/>
          </w:tcPr>
          <w:p>
            <w:pPr>
              <w:spacing w:after="0"/>
              <w:rPr>
                <w:sz w:val="18"/>
                <w:szCs w:val="18"/>
                <w:color w:val="auto"/>
              </w:rPr>
            </w:pPr>
          </w:p>
        </w:tc>
        <w:tc>
          <w:tcPr>
            <w:tcW w:w="9020" w:type="dxa"/>
            <w:vAlign w:val="bottom"/>
            <w:gridSpan w:val="3"/>
          </w:tcPr>
          <w:p>
            <w:pPr>
              <w:ind w:left="620"/>
              <w:spacing w:after="0"/>
              <w:rPr>
                <w:sz w:val="20"/>
                <w:szCs w:val="20"/>
                <w:color w:val="auto"/>
              </w:rPr>
            </w:pPr>
            <w:r>
              <w:rPr>
                <w:rFonts w:ascii="Arial" w:cs="Arial" w:eastAsia="Arial" w:hAnsi="Arial"/>
                <w:sz w:val="18"/>
                <w:szCs w:val="18"/>
                <w:color w:val="auto"/>
                <w:w w:val="95"/>
              </w:rPr>
              <w:t>or joined in directing the Trustee to take certain actions on behalf of all holders; provided that if such additional</w:t>
            </w:r>
          </w:p>
        </w:tc>
      </w:tr>
      <w:tr>
        <w:trPr>
          <w:trHeight w:val="216"/>
        </w:trPr>
        <w:tc>
          <w:tcPr>
            <w:tcW w:w="2200" w:type="dxa"/>
            <w:vAlign w:val="bottom"/>
          </w:tcPr>
          <w:p>
            <w:pPr>
              <w:spacing w:after="0"/>
              <w:rPr>
                <w:sz w:val="18"/>
                <w:szCs w:val="18"/>
                <w:color w:val="auto"/>
              </w:rPr>
            </w:pPr>
          </w:p>
        </w:tc>
        <w:tc>
          <w:tcPr>
            <w:tcW w:w="9020" w:type="dxa"/>
            <w:vAlign w:val="bottom"/>
            <w:gridSpan w:val="3"/>
          </w:tcPr>
          <w:p>
            <w:pPr>
              <w:ind w:left="620"/>
              <w:spacing w:after="0"/>
              <w:rPr>
                <w:sz w:val="20"/>
                <w:szCs w:val="20"/>
                <w:color w:val="auto"/>
              </w:rPr>
            </w:pPr>
            <w:r>
              <w:rPr>
                <w:rFonts w:ascii="Arial" w:cs="Arial" w:eastAsia="Arial" w:hAnsi="Arial"/>
                <w:sz w:val="18"/>
                <w:szCs w:val="18"/>
                <w:color w:val="auto"/>
                <w:w w:val="96"/>
              </w:rPr>
              <w:t>2062 Notes are not fungible with the 2062 Notes then outstanding for U.S. federal income tax purposes, such</w:t>
            </w:r>
          </w:p>
        </w:tc>
      </w:tr>
      <w:tr>
        <w:trPr>
          <w:trHeight w:val="230"/>
        </w:trPr>
        <w:tc>
          <w:tcPr>
            <w:tcW w:w="2200" w:type="dxa"/>
            <w:vAlign w:val="bottom"/>
          </w:tcPr>
          <w:p>
            <w:pPr>
              <w:spacing w:after="0"/>
              <w:rPr>
                <w:sz w:val="20"/>
                <w:szCs w:val="20"/>
                <w:color w:val="auto"/>
              </w:rPr>
            </w:pPr>
          </w:p>
        </w:tc>
        <w:tc>
          <w:tcPr>
            <w:tcW w:w="9020" w:type="dxa"/>
            <w:vAlign w:val="bottom"/>
            <w:gridSpan w:val="3"/>
          </w:tcPr>
          <w:p>
            <w:pPr>
              <w:ind w:left="620"/>
              <w:spacing w:after="0"/>
              <w:rPr>
                <w:sz w:val="20"/>
                <w:szCs w:val="20"/>
                <w:color w:val="auto"/>
              </w:rPr>
            </w:pPr>
            <w:r>
              <w:rPr>
                <w:rFonts w:ascii="Arial" w:cs="Arial" w:eastAsia="Arial" w:hAnsi="Arial"/>
                <w:sz w:val="18"/>
                <w:szCs w:val="18"/>
                <w:color w:val="auto"/>
              </w:rPr>
              <w:t>additional 2062 Notes will have one or more separate CUSIP numbers.</w:t>
            </w:r>
          </w:p>
        </w:tc>
      </w:tr>
      <w:tr>
        <w:trPr>
          <w:trHeight w:val="432"/>
        </w:trPr>
        <w:tc>
          <w:tcPr>
            <w:tcW w:w="2200" w:type="dxa"/>
            <w:vAlign w:val="bottom"/>
          </w:tcPr>
          <w:p>
            <w:pPr>
              <w:spacing w:after="0"/>
              <w:rPr>
                <w:sz w:val="20"/>
                <w:szCs w:val="20"/>
                <w:color w:val="auto"/>
              </w:rPr>
            </w:pPr>
            <w:r>
              <w:rPr>
                <w:rFonts w:ascii="Arial" w:cs="Arial" w:eastAsia="Arial" w:hAnsi="Arial"/>
                <w:sz w:val="18"/>
                <w:szCs w:val="18"/>
                <w:i w:val="1"/>
                <w:iCs w:val="1"/>
                <w:color w:val="auto"/>
              </w:rPr>
              <w:t>Conversion:</w:t>
            </w:r>
          </w:p>
        </w:tc>
        <w:tc>
          <w:tcPr>
            <w:tcW w:w="9020" w:type="dxa"/>
            <w:vAlign w:val="bottom"/>
            <w:gridSpan w:val="3"/>
          </w:tcPr>
          <w:p>
            <w:pPr>
              <w:ind w:left="620"/>
              <w:spacing w:after="0"/>
              <w:rPr>
                <w:sz w:val="20"/>
                <w:szCs w:val="20"/>
                <w:color w:val="auto"/>
              </w:rPr>
            </w:pPr>
            <w:r>
              <w:rPr>
                <w:rFonts w:ascii="Arial" w:cs="Arial" w:eastAsia="Arial" w:hAnsi="Arial"/>
                <w:sz w:val="18"/>
                <w:szCs w:val="18"/>
                <w:color w:val="auto"/>
              </w:rPr>
              <w:t>None</w:t>
            </w:r>
          </w:p>
        </w:tc>
      </w:tr>
      <w:tr>
        <w:trPr>
          <w:trHeight w:val="432"/>
        </w:trPr>
        <w:tc>
          <w:tcPr>
            <w:tcW w:w="2200" w:type="dxa"/>
            <w:vAlign w:val="bottom"/>
          </w:tcPr>
          <w:p>
            <w:pPr>
              <w:spacing w:after="0"/>
              <w:rPr>
                <w:sz w:val="20"/>
                <w:szCs w:val="20"/>
                <w:color w:val="auto"/>
              </w:rPr>
            </w:pPr>
            <w:r>
              <w:rPr>
                <w:rFonts w:ascii="Arial" w:cs="Arial" w:eastAsia="Arial" w:hAnsi="Arial"/>
                <w:sz w:val="18"/>
                <w:szCs w:val="18"/>
                <w:i w:val="1"/>
                <w:iCs w:val="1"/>
                <w:color w:val="auto"/>
              </w:rPr>
              <w:t>Sinking Fund:</w:t>
            </w:r>
          </w:p>
        </w:tc>
        <w:tc>
          <w:tcPr>
            <w:tcW w:w="9020" w:type="dxa"/>
            <w:vAlign w:val="bottom"/>
            <w:gridSpan w:val="3"/>
          </w:tcPr>
          <w:p>
            <w:pPr>
              <w:ind w:left="620"/>
              <w:spacing w:after="0"/>
              <w:rPr>
                <w:sz w:val="20"/>
                <w:szCs w:val="20"/>
                <w:color w:val="auto"/>
              </w:rPr>
            </w:pPr>
            <w:r>
              <w:rPr>
                <w:rFonts w:ascii="Arial" w:cs="Arial" w:eastAsia="Arial" w:hAnsi="Arial"/>
                <w:sz w:val="18"/>
                <w:szCs w:val="18"/>
                <w:color w:val="auto"/>
              </w:rPr>
              <w:t>None</w:t>
            </w:r>
          </w:p>
        </w:tc>
      </w:tr>
      <w:tr>
        <w:trPr>
          <w:trHeight w:val="414"/>
        </w:trPr>
        <w:tc>
          <w:tcPr>
            <w:tcW w:w="2200" w:type="dxa"/>
            <w:vAlign w:val="bottom"/>
          </w:tcPr>
          <w:p>
            <w:pPr>
              <w:spacing w:after="0"/>
              <w:rPr>
                <w:sz w:val="20"/>
                <w:szCs w:val="20"/>
                <w:color w:val="auto"/>
              </w:rPr>
            </w:pPr>
            <w:r>
              <w:rPr>
                <w:rFonts w:ascii="Arial" w:cs="Arial" w:eastAsia="Arial" w:hAnsi="Arial"/>
                <w:sz w:val="18"/>
                <w:szCs w:val="18"/>
                <w:i w:val="1"/>
                <w:iCs w:val="1"/>
                <w:color w:val="auto"/>
              </w:rPr>
              <w:t>Miscellaneous:</w:t>
            </w:r>
          </w:p>
        </w:tc>
        <w:tc>
          <w:tcPr>
            <w:tcW w:w="9020" w:type="dxa"/>
            <w:vAlign w:val="bottom"/>
            <w:gridSpan w:val="3"/>
          </w:tcPr>
          <w:p>
            <w:pPr>
              <w:ind w:left="620"/>
              <w:spacing w:after="0"/>
              <w:rPr>
                <w:sz w:val="20"/>
                <w:szCs w:val="20"/>
                <w:color w:val="auto"/>
              </w:rPr>
            </w:pPr>
            <w:r>
              <w:rPr>
                <w:rFonts w:ascii="Arial" w:cs="Arial" w:eastAsia="Arial" w:hAnsi="Arial"/>
                <w:sz w:val="18"/>
                <w:szCs w:val="18"/>
                <w:color w:val="auto"/>
                <w:w w:val="92"/>
              </w:rPr>
              <w:t>The terms of the 2062 Notes shall include such other terms as are set forth in the Form of Note due 2062 attached</w:t>
            </w:r>
          </w:p>
        </w:tc>
      </w:tr>
      <w:tr>
        <w:trPr>
          <w:trHeight w:val="194"/>
        </w:trPr>
        <w:tc>
          <w:tcPr>
            <w:tcW w:w="2200" w:type="dxa"/>
            <w:vAlign w:val="bottom"/>
          </w:tcPr>
          <w:p>
            <w:pPr>
              <w:spacing w:after="0"/>
              <w:rPr>
                <w:sz w:val="16"/>
                <w:szCs w:val="16"/>
                <w:color w:val="auto"/>
              </w:rPr>
            </w:pPr>
          </w:p>
        </w:tc>
        <w:tc>
          <w:tcPr>
            <w:tcW w:w="9020" w:type="dxa"/>
            <w:vAlign w:val="bottom"/>
            <w:gridSpan w:val="3"/>
          </w:tcPr>
          <w:p>
            <w:pPr>
              <w:ind w:left="620"/>
              <w:spacing w:after="0" w:line="194" w:lineRule="exact"/>
              <w:rPr>
                <w:sz w:val="20"/>
                <w:szCs w:val="20"/>
                <w:color w:val="auto"/>
              </w:rPr>
            </w:pPr>
            <w:r>
              <w:rPr>
                <w:rFonts w:ascii="Arial" w:cs="Arial" w:eastAsia="Arial" w:hAnsi="Arial"/>
                <w:sz w:val="18"/>
                <w:szCs w:val="18"/>
                <w:color w:val="auto"/>
              </w:rPr>
              <w:t xml:space="preserve">hereto as </w:t>
            </w:r>
            <w:r>
              <w:rPr>
                <w:rFonts w:ascii="Arial" w:cs="Arial" w:eastAsia="Arial" w:hAnsi="Arial"/>
                <w:sz w:val="18"/>
                <w:szCs w:val="18"/>
                <w:b w:val="1"/>
                <w:bCs w:val="1"/>
                <w:color w:val="auto"/>
              </w:rPr>
              <w:t>Exhibit C</w:t>
            </w:r>
            <w:r>
              <w:rPr>
                <w:rFonts w:ascii="Arial" w:cs="Arial" w:eastAsia="Arial" w:hAnsi="Arial"/>
                <w:sz w:val="18"/>
                <w:szCs w:val="18"/>
                <w:color w:val="auto"/>
              </w:rPr>
              <w:t>.</w:t>
            </w:r>
          </w:p>
        </w:tc>
      </w:tr>
      <w:tr>
        <w:trPr>
          <w:trHeight w:val="20"/>
        </w:trPr>
        <w:tc>
          <w:tcPr>
            <w:tcW w:w="2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Each such officer has read and understands the provisions of the Indenture and the definitions relating thereto. The statements made in this Officers’ Certificate are based upon the examination of the provisions of the Indenture and upon the relevant books and records of the Company. In such officer’s opinion, he has made such examination or investigation as is necessary to enable such officer to express an informed opinion as to whether or not the covenants and conditions of such Indenture relating to the issuance and authentication of the Notes have been complied with. In such officer’s opinion, such covenants and conditions have been complied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800" w:right="359" w:bottom="1440" w:gutter="0" w:footer="0" w:header="0"/>
        </w:sectPr>
      </w:pPr>
    </w:p>
    <w:bookmarkStart w:id="8" w:name="page9"/>
    <w:bookmarkEnd w:id="8"/>
    <w:p>
      <w:pPr>
        <w:spacing w:after="0"/>
        <w:rPr>
          <w:sz w:val="20"/>
          <w:szCs w:val="20"/>
          <w:color w:val="auto"/>
        </w:rPr>
      </w:pPr>
      <w:r>
        <w:rPr>
          <w:rFonts w:ascii="Arial" w:cs="Arial" w:eastAsia="Arial" w:hAnsi="Arial"/>
          <w:sz w:val="17"/>
          <w:szCs w:val="17"/>
          <w:color w:val="auto"/>
        </w:rPr>
        <w:t>IN WITNESS WHEREOF, the undersigned officers of the Company have duly executed this certificate as of the date first set forth above.</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tbl>
      <w:tblPr>
        <w:tblLayout w:type="fixed"/>
        <w:tblInd w:w="6560" w:type="dxa"/>
        <w:tblCellMar>
          <w:top w:w="0" w:type="dxa"/>
          <w:left w:w="0" w:type="dxa"/>
          <w:bottom w:w="0" w:type="dxa"/>
          <w:right w:w="0" w:type="dxa"/>
        </w:tblCellMar>
      </w:tblPr>
      <w:tr>
        <w:trPr>
          <w:trHeight w:val="195"/>
        </w:trPr>
        <w:tc>
          <w:tcPr>
            <w:tcW w:w="5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346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Jason S. Armstrong</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3460" w:type="dxa"/>
            <w:vAlign w:val="bottom"/>
          </w:tcPr>
          <w:p>
            <w:pPr>
              <w:ind w:left="100"/>
              <w:spacing w:after="0"/>
              <w:rPr>
                <w:sz w:val="20"/>
                <w:szCs w:val="20"/>
                <w:color w:val="auto"/>
              </w:rPr>
            </w:pPr>
            <w:r>
              <w:rPr>
                <w:rFonts w:ascii="Arial" w:cs="Arial" w:eastAsia="Arial" w:hAnsi="Arial"/>
                <w:sz w:val="18"/>
                <w:szCs w:val="18"/>
                <w:color w:val="auto"/>
              </w:rPr>
              <w:t>Executive Vice President and Treasurer</w:t>
            </w: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tbl>
      <w:tblPr>
        <w:tblLayout w:type="fixed"/>
        <w:tblInd w:w="6560" w:type="dxa"/>
        <w:tblCellMar>
          <w:top w:w="0" w:type="dxa"/>
          <w:left w:w="0" w:type="dxa"/>
          <w:bottom w:w="0" w:type="dxa"/>
          <w:right w:w="0" w:type="dxa"/>
        </w:tblCellMar>
      </w:tblPr>
      <w:tr>
        <w:trPr>
          <w:trHeight w:val="195"/>
        </w:trPr>
        <w:tc>
          <w:tcPr>
            <w:tcW w:w="5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346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Elizabeth Wideman</w:t>
            </w: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3460" w:type="dxa"/>
            <w:vAlign w:val="bottom"/>
          </w:tcPr>
          <w:p>
            <w:pPr>
              <w:ind w:left="100"/>
              <w:spacing w:after="0"/>
              <w:rPr>
                <w:sz w:val="20"/>
                <w:szCs w:val="20"/>
                <w:color w:val="auto"/>
              </w:rPr>
            </w:pPr>
            <w:r>
              <w:rPr>
                <w:rFonts w:ascii="Arial" w:cs="Arial" w:eastAsia="Arial" w:hAnsi="Arial"/>
                <w:sz w:val="18"/>
                <w:szCs w:val="18"/>
                <w:color w:val="auto"/>
              </w:rPr>
              <w:t>Vice President, Senior Deputy General</w:t>
            </w:r>
          </w:p>
        </w:tc>
      </w:tr>
      <w:tr>
        <w:trPr>
          <w:trHeight w:val="230"/>
        </w:trPr>
        <w:tc>
          <w:tcPr>
            <w:tcW w:w="560" w:type="dxa"/>
            <w:vAlign w:val="bottom"/>
          </w:tcPr>
          <w:p>
            <w:pPr>
              <w:spacing w:after="0"/>
              <w:rPr>
                <w:sz w:val="20"/>
                <w:szCs w:val="20"/>
                <w:color w:val="auto"/>
              </w:rPr>
            </w:pPr>
          </w:p>
        </w:tc>
        <w:tc>
          <w:tcPr>
            <w:tcW w:w="3460" w:type="dxa"/>
            <w:vAlign w:val="bottom"/>
          </w:tcPr>
          <w:p>
            <w:pPr>
              <w:ind w:left="100"/>
              <w:spacing w:after="0"/>
              <w:rPr>
                <w:sz w:val="20"/>
                <w:szCs w:val="20"/>
                <w:color w:val="auto"/>
              </w:rPr>
            </w:pPr>
            <w:r>
              <w:rPr>
                <w:rFonts w:ascii="Arial" w:cs="Arial" w:eastAsia="Arial" w:hAnsi="Arial"/>
                <w:sz w:val="18"/>
                <w:szCs w:val="18"/>
                <w:color w:val="auto"/>
              </w:rPr>
              <w:t>Counsel and Assistant Secretary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2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Officers’ Certificate Pursuant to the Indenture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374650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814" w:right="33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b w:val="1"/>
          <w:bCs w:val="1"/>
          <w:u w:val="single" w:color="auto"/>
          <w:color w:val="auto"/>
        </w:rPr>
        <w:t>EXHIBIT A</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[FORM OF NOTE DUE 2031]</w:t>
      </w:r>
    </w:p>
    <w:p>
      <w:pPr>
        <w:spacing w:after="0" w:line="225"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UNLESS AND UNTIL IT IS EXCHANGED IN WHOLE OR IN PART FOR SECURITIES IN DEFINITIVE REGISTERED FORM, THIS SECURITY 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 UNLESS THIS SECURITY IS PRESENTED BY AN AUTHORIZED REPRESENTATIVE OF THE DEPOSITORY TRUST COMPANY, A NEW YORK CORPORATION (“</w:t>
      </w:r>
      <w:r>
        <w:rPr>
          <w:rFonts w:ascii="Arial" w:cs="Arial" w:eastAsia="Arial" w:hAnsi="Arial"/>
          <w:sz w:val="17"/>
          <w:szCs w:val="17"/>
          <w:b w:val="1"/>
          <w:bCs w:val="1"/>
          <w:color w:val="auto"/>
        </w:rPr>
        <w:t>DTC</w:t>
      </w:r>
      <w:r>
        <w:rPr>
          <w:rFonts w:ascii="Arial" w:cs="Arial" w:eastAsia="Arial" w:hAnsi="Arial"/>
          <w:sz w:val="17"/>
          <w:szCs w:val="17"/>
          <w:color w:val="auto"/>
        </w:rPr>
        <w:t>”), TO THE ISSUER OR ITS AGENT FOR REGISTRATION OF TRANSFER, EXCHANGE OR PAYMENT, AND ANY SECURITY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1.500% Note due 2031</w:t>
      </w:r>
    </w:p>
    <w:p>
      <w:pPr>
        <w:sectPr>
          <w:pgSz w:w="11900" w:h="16838" w:orient="portrait"/>
          <w:cols w:equalWidth="0" w:num="1">
            <w:col w:w="11240"/>
          </w:cols>
          <w:pgMar w:left="320" w:top="796" w:right="339" w:bottom="1440" w:gutter="0" w:footer="0" w:header="0"/>
        </w:sectPr>
      </w:pP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No. [ ]</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jc w:val="right"/>
        <w:spacing w:after="0"/>
        <w:rPr>
          <w:sz w:val="20"/>
          <w:szCs w:val="20"/>
          <w:color w:val="auto"/>
        </w:rPr>
      </w:pPr>
      <w:r>
        <w:rPr>
          <w:rFonts w:ascii="Arial" w:cs="Arial" w:eastAsia="Arial" w:hAnsi="Arial"/>
          <w:sz w:val="17"/>
          <w:szCs w:val="17"/>
          <w:color w:val="auto"/>
        </w:rPr>
        <w:t>CUSIP No.: 20030N DN8</w:t>
      </w:r>
    </w:p>
    <w:p>
      <w:pPr>
        <w:spacing w:after="0" w:line="3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ISIN No.: US20030NDN84</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w:t>
      </w:r>
    </w:p>
    <w:p>
      <w:pPr>
        <w:spacing w:after="0" w:line="200" w:lineRule="exact"/>
        <w:rPr>
          <w:sz w:val="20"/>
          <w:szCs w:val="20"/>
          <w:color w:val="auto"/>
        </w:rPr>
      </w:pPr>
    </w:p>
    <w:p>
      <w:pPr>
        <w:sectPr>
          <w:pgSz w:w="11900" w:h="16838" w:orient="portrait"/>
          <w:cols w:equalWidth="0" w:num="2">
            <w:col w:w="8520" w:space="720"/>
            <w:col w:w="2000"/>
          </w:cols>
          <w:pgMar w:left="320" w:top="796" w:right="339" w:bottom="1440" w:gutter="0" w:footer="0" w:header="0"/>
          <w:type w:val="continuous"/>
        </w:sectPr>
      </w:pPr>
    </w:p>
    <w:p>
      <w:pPr>
        <w:spacing w:after="0" w:line="20" w:lineRule="exact"/>
        <w:rPr>
          <w:sz w:val="20"/>
          <w:szCs w:val="20"/>
          <w:color w:val="auto"/>
        </w:rPr>
      </w:pPr>
    </w:p>
    <w:p>
      <w:pPr>
        <w:ind w:right="460" w:firstLine="648"/>
        <w:spacing w:after="0" w:line="282" w:lineRule="auto"/>
        <w:rPr>
          <w:sz w:val="20"/>
          <w:szCs w:val="20"/>
          <w:color w:val="auto"/>
        </w:rPr>
      </w:pPr>
      <w:r>
        <w:rPr>
          <w:rFonts w:ascii="Arial" w:cs="Arial" w:eastAsia="Arial" w:hAnsi="Arial"/>
          <w:sz w:val="18"/>
          <w:szCs w:val="18"/>
          <w:color w:val="auto"/>
        </w:rPr>
        <w:t>COMCAST CORPORATION, a Pennsylvania corporation (the “</w:t>
      </w:r>
      <w:r>
        <w:rPr>
          <w:rFonts w:ascii="Arial" w:cs="Arial" w:eastAsia="Arial" w:hAnsi="Arial"/>
          <w:sz w:val="18"/>
          <w:szCs w:val="18"/>
          <w:b w:val="1"/>
          <w:bCs w:val="1"/>
          <w:color w:val="auto"/>
        </w:rPr>
        <w:t>Issuer</w:t>
      </w:r>
      <w:r>
        <w:rPr>
          <w:rFonts w:ascii="Arial" w:cs="Arial" w:eastAsia="Arial" w:hAnsi="Arial"/>
          <w:sz w:val="18"/>
          <w:szCs w:val="18"/>
          <w:color w:val="auto"/>
        </w:rPr>
        <w:t>”, which term includes any successor corporation), for value received promises to pay to CEDE &amp; CO. or registered assigns, the principal sum of $[ ] ([ ] Dollars) on February 15, 2031.</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Interest Payment Dates: February 15 and August 15 (each, an “</w:t>
      </w:r>
      <w:r>
        <w:rPr>
          <w:rFonts w:ascii="Arial" w:cs="Arial" w:eastAsia="Arial" w:hAnsi="Arial"/>
          <w:sz w:val="18"/>
          <w:szCs w:val="18"/>
          <w:b w:val="1"/>
          <w:bCs w:val="1"/>
          <w:color w:val="auto"/>
        </w:rPr>
        <w:t>Interest Payment Date</w:t>
      </w:r>
      <w:r>
        <w:rPr>
          <w:rFonts w:ascii="Arial" w:cs="Arial" w:eastAsia="Arial" w:hAnsi="Arial"/>
          <w:sz w:val="18"/>
          <w:szCs w:val="18"/>
          <w:color w:val="auto"/>
        </w:rPr>
        <w:t>”), commencing on February 15, 2021.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Interest Record Dates: February 1 and August 1 (each, an “</w:t>
      </w:r>
      <w:r>
        <w:rPr>
          <w:rFonts w:ascii="Arial" w:cs="Arial" w:eastAsia="Arial" w:hAnsi="Arial"/>
          <w:sz w:val="18"/>
          <w:szCs w:val="18"/>
          <w:b w:val="1"/>
          <w:bCs w:val="1"/>
          <w:color w:val="auto"/>
        </w:rPr>
        <w:t>Interest Record Date</w:t>
      </w:r>
      <w:r>
        <w:rPr>
          <w:rFonts w:ascii="Arial" w:cs="Arial" w:eastAsia="Arial" w:hAnsi="Arial"/>
          <w:sz w:val="18"/>
          <w:szCs w:val="18"/>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Reference is made to the further provisions of this Security contained herein, which will for all purposes have the same effect as if set forth at this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place.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type w:val="continuous"/>
        </w:sectPr>
      </w:pPr>
    </w:p>
    <w:bookmarkStart w:id="10" w:name="page11"/>
    <w:bookmarkEnd w:id="10"/>
    <w:p>
      <w:pPr>
        <w:ind w:right="560" w:firstLine="648"/>
        <w:spacing w:after="0" w:line="277" w:lineRule="auto"/>
        <w:rPr>
          <w:sz w:val="20"/>
          <w:szCs w:val="20"/>
          <w:color w:val="auto"/>
        </w:rPr>
      </w:pPr>
      <w:r>
        <w:rPr>
          <w:rFonts w:ascii="Arial" w:cs="Arial" w:eastAsia="Arial" w:hAnsi="Arial"/>
          <w:sz w:val="18"/>
          <w:szCs w:val="18"/>
          <w:color w:val="auto"/>
        </w:rPr>
        <w:t>IN WITNESS WHEREOF, the Issuer has caused this Security to be signed manually or by facsimile by its duly authorized officer under its corporate seal.</w:t>
      </w:r>
    </w:p>
    <w:p>
      <w:pPr>
        <w:spacing w:after="0" w:line="166" w:lineRule="exact"/>
        <w:rPr>
          <w:sz w:val="20"/>
          <w:szCs w:val="20"/>
          <w:color w:val="auto"/>
        </w:rPr>
      </w:pPr>
    </w:p>
    <w:p>
      <w:pPr>
        <w:ind w:left="6700"/>
        <w:spacing w:after="0"/>
        <w:rPr>
          <w:sz w:val="20"/>
          <w:szCs w:val="20"/>
          <w:color w:val="auto"/>
        </w:rPr>
      </w:pPr>
      <w:r>
        <w:rPr>
          <w:rFonts w:ascii="Arial" w:cs="Arial" w:eastAsia="Arial" w:hAnsi="Arial"/>
          <w:sz w:val="18"/>
          <w:szCs w:val="18"/>
          <w:b w:val="1"/>
          <w:bCs w:val="1"/>
          <w:color w:val="auto"/>
        </w:rPr>
        <w:t>COMCAST CORPORATION</w:t>
      </w:r>
    </w:p>
    <w:p>
      <w:pPr>
        <w:spacing w:after="0" w:line="200" w:lineRule="exact"/>
        <w:rPr>
          <w:sz w:val="20"/>
          <w:szCs w:val="20"/>
          <w:color w:val="auto"/>
        </w:rPr>
      </w:pPr>
    </w:p>
    <w:p>
      <w:pPr>
        <w:spacing w:after="0" w:line="245"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4651375</wp:posOffset>
            </wp:positionH>
            <wp:positionV relativeFrom="paragraph">
              <wp:posOffset>14605</wp:posOffset>
            </wp:positionV>
            <wp:extent cx="24860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3" w:lineRule="exact"/>
        <w:rPr>
          <w:sz w:val="20"/>
          <w:szCs w:val="20"/>
          <w:color w:val="auto"/>
        </w:rPr>
      </w:pPr>
    </w:p>
    <w:p>
      <w:pPr>
        <w:ind w:left="6700"/>
        <w:spacing w:after="0"/>
        <w:tabs>
          <w:tab w:leader="none" w:pos="73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Jason S. Armstrong</w:t>
      </w:r>
    </w:p>
    <w:p>
      <w:pPr>
        <w:spacing w:after="0" w:line="23" w:lineRule="exact"/>
        <w:rPr>
          <w:sz w:val="20"/>
          <w:szCs w:val="20"/>
          <w:color w:val="auto"/>
        </w:rPr>
      </w:pPr>
    </w:p>
    <w:p>
      <w:pPr>
        <w:ind w:left="6700"/>
        <w:spacing w:after="0"/>
        <w:tabs>
          <w:tab w:leader="none" w:pos="7300" w:val="left"/>
        </w:tabs>
        <w:rPr>
          <w:sz w:val="20"/>
          <w:szCs w:val="20"/>
          <w:color w:val="auto"/>
        </w:rPr>
      </w:pPr>
      <w:r>
        <w:rPr>
          <w:rFonts w:ascii="Arial" w:cs="Arial" w:eastAsia="Arial" w:hAnsi="Arial"/>
          <w:sz w:val="18"/>
          <w:szCs w:val="18"/>
          <w:color w:val="auto"/>
        </w:rPr>
        <w:t>Title:</w:t>
        <w:tab/>
        <w:t>Executive Vice President and Treasurer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[Seal of Comcast Corporation]</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60" w:type="dxa"/>
            <w:vAlign w:val="bottom"/>
          </w:tcPr>
          <w:p>
            <w:pPr>
              <w:spacing w:after="0"/>
              <w:rPr>
                <w:sz w:val="16"/>
                <w:szCs w:val="16"/>
                <w:color w:val="auto"/>
              </w:rPr>
            </w:pPr>
          </w:p>
        </w:tc>
        <w:tc>
          <w:tcPr>
            <w:tcW w:w="5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290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Elizabeth Wideman</w:t>
            </w:r>
          </w:p>
        </w:tc>
        <w:tc>
          <w:tcPr>
            <w:tcW w:w="7300" w:type="dxa"/>
            <w:vAlign w:val="bottom"/>
          </w:tcPr>
          <w:p>
            <w:pPr>
              <w:spacing w:after="0"/>
              <w:rPr>
                <w:sz w:val="16"/>
                <w:szCs w:val="16"/>
                <w:color w:val="auto"/>
              </w:rPr>
            </w:pPr>
          </w:p>
        </w:tc>
      </w:tr>
      <w:tr>
        <w:trPr>
          <w:trHeight w:val="216"/>
        </w:trPr>
        <w:tc>
          <w:tcPr>
            <w:tcW w:w="460" w:type="dxa"/>
            <w:vAlign w:val="bottom"/>
          </w:tcPr>
          <w:p>
            <w:pPr>
              <w:spacing w:after="0"/>
              <w:rPr>
                <w:sz w:val="18"/>
                <w:szCs w:val="18"/>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2900" w:type="dxa"/>
            <w:vAlign w:val="bottom"/>
          </w:tcPr>
          <w:p>
            <w:pPr>
              <w:ind w:left="100"/>
              <w:spacing w:after="0"/>
              <w:rPr>
                <w:sz w:val="20"/>
                <w:szCs w:val="20"/>
                <w:color w:val="auto"/>
              </w:rPr>
            </w:pPr>
            <w:r>
              <w:rPr>
                <w:rFonts w:ascii="Arial" w:cs="Arial" w:eastAsia="Arial" w:hAnsi="Arial"/>
                <w:sz w:val="18"/>
                <w:szCs w:val="18"/>
                <w:color w:val="auto"/>
                <w:w w:val="89"/>
              </w:rPr>
              <w:t>Vice President, Senior Deputy General</w:t>
            </w:r>
          </w:p>
        </w:tc>
        <w:tc>
          <w:tcPr>
            <w:tcW w:w="7300" w:type="dxa"/>
            <w:vAlign w:val="bottom"/>
          </w:tcPr>
          <w:p>
            <w:pPr>
              <w:spacing w:after="0"/>
              <w:rPr>
                <w:sz w:val="18"/>
                <w:szCs w:val="18"/>
                <w:color w:val="auto"/>
              </w:rPr>
            </w:pPr>
          </w:p>
        </w:tc>
      </w:tr>
      <w:tr>
        <w:trPr>
          <w:trHeight w:val="230"/>
        </w:trPr>
        <w:tc>
          <w:tcPr>
            <w:tcW w:w="4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900" w:type="dxa"/>
            <w:vAlign w:val="bottom"/>
          </w:tcPr>
          <w:p>
            <w:pPr>
              <w:ind w:left="100"/>
              <w:spacing w:after="0"/>
              <w:rPr>
                <w:sz w:val="20"/>
                <w:szCs w:val="20"/>
                <w:color w:val="auto"/>
              </w:rPr>
            </w:pPr>
            <w:r>
              <w:rPr>
                <w:rFonts w:ascii="Arial" w:cs="Arial" w:eastAsia="Arial" w:hAnsi="Arial"/>
                <w:sz w:val="18"/>
                <w:szCs w:val="18"/>
                <w:color w:val="auto"/>
              </w:rPr>
              <w:t>Counsel and Assistant Secretary</w:t>
            </w:r>
          </w:p>
        </w:tc>
        <w:tc>
          <w:tcPr>
            <w:tcW w:w="7300" w:type="dxa"/>
            <w:vAlign w:val="bottom"/>
          </w:tcPr>
          <w:p>
            <w:pPr>
              <w:spacing w:after="0"/>
              <w:rPr>
                <w:sz w:val="20"/>
                <w:szCs w:val="20"/>
                <w:color w:val="auto"/>
              </w:rPr>
            </w:pPr>
          </w:p>
        </w:tc>
      </w:tr>
      <w:tr>
        <w:trPr>
          <w:trHeight w:val="567"/>
        </w:trPr>
        <w:tc>
          <w:tcPr>
            <w:tcW w:w="4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tcPr>
          <w:p>
            <w:pPr>
              <w:spacing w:after="0"/>
              <w:rPr>
                <w:sz w:val="24"/>
                <w:szCs w:val="24"/>
                <w:color w:val="auto"/>
              </w:rPr>
            </w:pPr>
          </w:p>
        </w:tc>
        <w:tc>
          <w:tcPr>
            <w:tcW w:w="73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00" w:right="339" w:bottom="1440" w:gutter="0" w:footer="0" w:header="0"/>
        </w:sectPr>
      </w:pPr>
    </w:p>
    <w:bookmarkStart w:id="11" w:name="page12"/>
    <w:bookmarkEnd w:id="11"/>
    <w:p>
      <w:pPr>
        <w:ind w:left="660"/>
        <w:spacing w:after="0"/>
        <w:rPr>
          <w:sz w:val="20"/>
          <w:szCs w:val="20"/>
          <w:color w:val="auto"/>
        </w:rPr>
      </w:pPr>
      <w:r>
        <w:rPr>
          <w:rFonts w:ascii="Arial" w:cs="Arial" w:eastAsia="Arial" w:hAnsi="Arial"/>
          <w:sz w:val="18"/>
          <w:szCs w:val="18"/>
          <w:color w:val="auto"/>
        </w:rPr>
        <w:t>This is one of the series designated herein and referred to in the within-mentioned Indenture.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August 25, 2020</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7"/>
          <w:szCs w:val="17"/>
          <w:color w:val="auto"/>
        </w:rPr>
        <w:t>THE BANK OF NEW YORK MELLON,</w:t>
      </w:r>
    </w:p>
    <w:p>
      <w:pPr>
        <w:spacing w:after="0" w:line="35"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as Trustee</w:t>
      </w:r>
    </w:p>
    <w:p>
      <w:pPr>
        <w:spacing w:after="0" w:line="200" w:lineRule="exact"/>
        <w:rPr>
          <w:sz w:val="20"/>
          <w:szCs w:val="20"/>
          <w:color w:val="auto"/>
        </w:rPr>
      </w:pPr>
    </w:p>
    <w:p>
      <w:pPr>
        <w:spacing w:after="0" w:line="227"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942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800" w:right="1440" w:bottom="1440" w:gutter="0" w:footer="0" w:header="0"/>
        </w:sectPr>
      </w:pPr>
    </w:p>
    <w:bookmarkStart w:id="12" w:name="page13"/>
    <w:bookmarkEnd w:id="12"/>
    <w:p>
      <w:pPr>
        <w:jc w:val="center"/>
        <w:ind w:right="-59"/>
        <w:spacing w:after="0"/>
        <w:rPr>
          <w:sz w:val="20"/>
          <w:szCs w:val="20"/>
          <w:color w:val="auto"/>
        </w:rPr>
      </w:pPr>
      <w:r>
        <w:rPr>
          <w:rFonts w:ascii="Arial" w:cs="Arial" w:eastAsia="Arial" w:hAnsi="Arial"/>
          <w:sz w:val="18"/>
          <w:szCs w:val="18"/>
          <w:color w:val="auto"/>
        </w:rPr>
        <w:t>(REVERSE OF SECURITY)</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1.500% Note due 2031</w:t>
      </w:r>
    </w:p>
    <w:p>
      <w:pPr>
        <w:spacing w:after="0" w:line="225" w:lineRule="exact"/>
        <w:rPr>
          <w:sz w:val="20"/>
          <w:szCs w:val="20"/>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Interest.</w:t>
      </w:r>
    </w:p>
    <w:p>
      <w:pPr>
        <w:spacing w:after="0" w:line="221"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color w:val="auto"/>
        </w:rPr>
        <w:t>COMCAST CORPORATION, a Pennsylvania corporation (the “</w:t>
      </w:r>
      <w:r>
        <w:rPr>
          <w:rFonts w:ascii="Arial" w:cs="Arial" w:eastAsia="Arial" w:hAnsi="Arial"/>
          <w:sz w:val="18"/>
          <w:szCs w:val="18"/>
          <w:b w:val="1"/>
          <w:bCs w:val="1"/>
          <w:color w:val="auto"/>
        </w:rPr>
        <w:t>Issuer</w:t>
      </w:r>
      <w:r>
        <w:rPr>
          <w:rFonts w:ascii="Arial" w:cs="Arial" w:eastAsia="Arial" w:hAnsi="Arial"/>
          <w:sz w:val="18"/>
          <w:szCs w:val="18"/>
          <w:color w:val="auto"/>
        </w:rPr>
        <w:t>”), promises to pay interest on the principal amount of this Security at the rate per annum shown above. Cash interest on the Securities will accrue from the most recent date to which interest has been paid or, if no interest has been paid, from August 25, 2020. The Issuer will pay interest semi-annually in arrears on each Interest Payment Date, commencing February 15, 2021. Interest will be computed on the basis of a 360-day year of twelve 30-day months.</w:t>
      </w:r>
    </w:p>
    <w:p>
      <w:pPr>
        <w:spacing w:after="0" w:line="184"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Issuer shall pay interest on overdue principal from time to time on demand at the rate borne by the Securities and on overdue installments of interest (without regard to any applicable grace periods) to the extent lawful.</w:t>
      </w:r>
    </w:p>
    <w:p>
      <w:pPr>
        <w:spacing w:after="0" w:line="170" w:lineRule="exact"/>
        <w:rPr>
          <w:sz w:val="20"/>
          <w:szCs w:val="20"/>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Method of Payment.</w:t>
      </w:r>
    </w:p>
    <w:p>
      <w:pPr>
        <w:spacing w:after="0" w:line="225"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The Issuer shall pay interest on the Securities (except defaulted interest) to the persons who are the registered Holders at the close of business on the Interest Record Date immediately preceding the Interest Payment Date notwithstanding any transfer or exchange of such Security subsequent to such Interest Record Date and prior to such Interest Payment Date. Holders must surrender Securities to The Bank of New York Mellon (the “</w:t>
      </w:r>
      <w:r>
        <w:rPr>
          <w:rFonts w:ascii="Arial" w:cs="Arial" w:eastAsia="Arial" w:hAnsi="Arial"/>
          <w:sz w:val="17"/>
          <w:szCs w:val="17"/>
          <w:b w:val="1"/>
          <w:bCs w:val="1"/>
          <w:color w:val="auto"/>
        </w:rPr>
        <w:t>Trustee</w:t>
      </w:r>
      <w:r>
        <w:rPr>
          <w:rFonts w:ascii="Arial" w:cs="Arial" w:eastAsia="Arial" w:hAnsi="Arial"/>
          <w:sz w:val="17"/>
          <w:szCs w:val="17"/>
          <w:color w:val="auto"/>
        </w:rPr>
        <w:t>”) to collect principal payments. The Issuer shall pay principal and interest in money of the United States that at the time of payment is legal tender for payment of public and private debts (“</w:t>
      </w:r>
      <w:r>
        <w:rPr>
          <w:rFonts w:ascii="Arial" w:cs="Arial" w:eastAsia="Arial" w:hAnsi="Arial"/>
          <w:sz w:val="17"/>
          <w:szCs w:val="17"/>
          <w:b w:val="1"/>
          <w:bCs w:val="1"/>
          <w:color w:val="auto"/>
        </w:rPr>
        <w:t>U.S. Legal Tender</w:t>
      </w:r>
      <w:r>
        <w:rPr>
          <w:rFonts w:ascii="Arial" w:cs="Arial" w:eastAsia="Arial" w:hAnsi="Arial"/>
          <w:sz w:val="17"/>
          <w:szCs w:val="17"/>
          <w:color w:val="auto"/>
        </w:rPr>
        <w:t>”). However, the payments of interest, and any portion of the principal (other than interest payable at maturity or on any redemption or repayment date or the final payment of principal) shall be made by the Paying Agent, upon receipt from the Issuer of immediately available funds by 11:00 a.m., New York City time (or such other time as may be agreed to between the Issuer and the Paying Agent or the Issuer), directly to a Holder (by Federal funds wire transfer or otherwise) if the Holder has delivered written instructions to the Trustee 15 days prior to such payment date requesting that such payment will be so made and designating the bank account to which such payments shall be so made and in the case of payments of principal surrenders the same to the Trustee in exchange for a Security or Securities aggregating the same principal amount as the unredeemed principal amount of the Securities surrendered.</w:t>
      </w:r>
    </w:p>
    <w:p>
      <w:pPr>
        <w:spacing w:after="0" w:line="182" w:lineRule="exact"/>
        <w:rPr>
          <w:sz w:val="20"/>
          <w:szCs w:val="20"/>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Paying Agent.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Initially, the Trustee will act as Paying Agent. The Issuer may change any Paying Agent without notice to the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814" w:right="379" w:bottom="1440" w:gutter="0" w:footer="0" w:header="0"/>
        </w:sectPr>
      </w:pPr>
    </w:p>
    <w:bookmarkStart w:id="13" w:name="page14"/>
    <w:bookmarkEnd w:id="13"/>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Indenture.</w:t>
      </w:r>
    </w:p>
    <w:p>
      <w:pPr>
        <w:spacing w:after="0" w:line="225"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The Issuer issued the Securities under an Indenture dated as of September 18, 2013, by and among the Issuer, the guarantors named therein and the Trustee, as amended by the First Supplemental Indenture dated as of November 17, 2015, by and among the Issuer, the guarantors named therein (the “</w:t>
      </w:r>
      <w:r>
        <w:rPr>
          <w:rFonts w:ascii="Arial" w:cs="Arial" w:eastAsia="Arial" w:hAnsi="Arial"/>
          <w:sz w:val="16"/>
          <w:szCs w:val="16"/>
          <w:b w:val="1"/>
          <w:bCs w:val="1"/>
          <w:color w:val="auto"/>
        </w:rPr>
        <w:t>Guarantors</w:t>
      </w:r>
      <w:r>
        <w:rPr>
          <w:rFonts w:ascii="Arial" w:cs="Arial" w:eastAsia="Arial" w:hAnsi="Arial"/>
          <w:sz w:val="16"/>
          <w:szCs w:val="16"/>
          <w:color w:val="auto"/>
        </w:rPr>
        <w:t>”) and the Trustee (as amended, the “</w:t>
      </w:r>
      <w:r>
        <w:rPr>
          <w:rFonts w:ascii="Arial" w:cs="Arial" w:eastAsia="Arial" w:hAnsi="Arial"/>
          <w:sz w:val="16"/>
          <w:szCs w:val="16"/>
          <w:b w:val="1"/>
          <w:bCs w:val="1"/>
          <w:color w:val="auto"/>
        </w:rPr>
        <w:t>Indenture</w:t>
      </w:r>
      <w:r>
        <w:rPr>
          <w:rFonts w:ascii="Arial" w:cs="Arial" w:eastAsia="Arial" w:hAnsi="Arial"/>
          <w:sz w:val="16"/>
          <w:szCs w:val="16"/>
          <w:color w:val="auto"/>
        </w:rPr>
        <w:t>”). Capitalized terms herein are used as defined in the Indenture unless otherwise defined herein. The terms of the Securities include those stated in the Indenture and those made part of the Indenture by reference to the Trust Indenture Act of</w:t>
      </w:r>
    </w:p>
    <w:p>
      <w:pPr>
        <w:spacing w:after="0" w:line="1"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1939 (15 U.S.C. Sections 77aaa-77bbbb) (the “</w:t>
      </w:r>
      <w:r>
        <w:rPr>
          <w:rFonts w:ascii="Arial" w:cs="Arial" w:eastAsia="Arial" w:hAnsi="Arial"/>
          <w:sz w:val="18"/>
          <w:szCs w:val="18"/>
          <w:b w:val="1"/>
          <w:bCs w:val="1"/>
          <w:color w:val="auto"/>
        </w:rPr>
        <w:t>TIA</w:t>
      </w:r>
      <w:r>
        <w:rPr>
          <w:rFonts w:ascii="Arial" w:cs="Arial" w:eastAsia="Arial" w:hAnsi="Arial"/>
          <w:sz w:val="18"/>
          <w:szCs w:val="18"/>
          <w:color w:val="auto"/>
        </w:rPr>
        <w:t>”), as in effect on the date of the Indenture until such time as the Indenture is qualified under the TIA, and thereafter as in effect on the date on which the Indenture is qualified under the TIA. Notwithstanding anything to the contrary herein, the Securities are subject to all such terms, and Holders of Securities are referred to the Indenture and the TIA for a statement of them. To the extent the terms of the Indenture and this Security are inconsistent, the terms of the Indenture shall govern. This note is a “</w:t>
      </w:r>
      <w:r>
        <w:rPr>
          <w:rFonts w:ascii="Arial" w:cs="Arial" w:eastAsia="Arial" w:hAnsi="Arial"/>
          <w:sz w:val="18"/>
          <w:szCs w:val="18"/>
          <w:b w:val="1"/>
          <w:bCs w:val="1"/>
          <w:color w:val="auto"/>
        </w:rPr>
        <w:t>Security</w:t>
      </w:r>
      <w:r>
        <w:rPr>
          <w:rFonts w:ascii="Arial" w:cs="Arial" w:eastAsia="Arial" w:hAnsi="Arial"/>
          <w:sz w:val="18"/>
          <w:szCs w:val="18"/>
          <w:color w:val="auto"/>
        </w:rPr>
        <w:t>” and the notes are “</w:t>
      </w:r>
      <w:r>
        <w:rPr>
          <w:rFonts w:ascii="Arial" w:cs="Arial" w:eastAsia="Arial" w:hAnsi="Arial"/>
          <w:sz w:val="18"/>
          <w:szCs w:val="18"/>
          <w:b w:val="1"/>
          <w:bCs w:val="1"/>
          <w:color w:val="auto"/>
        </w:rPr>
        <w:t>Securities</w:t>
      </w:r>
      <w:r>
        <w:rPr>
          <w:rFonts w:ascii="Arial" w:cs="Arial" w:eastAsia="Arial" w:hAnsi="Arial"/>
          <w:sz w:val="18"/>
          <w:szCs w:val="18"/>
          <w:color w:val="auto"/>
        </w:rPr>
        <w:t>” under the Indenture.</w:t>
      </w:r>
    </w:p>
    <w:p>
      <w:pPr>
        <w:spacing w:after="0" w:line="191" w:lineRule="exact"/>
        <w:rPr>
          <w:sz w:val="20"/>
          <w:szCs w:val="20"/>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Guarantees.</w:t>
      </w:r>
    </w:p>
    <w:p>
      <w:pPr>
        <w:spacing w:after="0" w:line="225" w:lineRule="exact"/>
        <w:rPr>
          <w:sz w:val="20"/>
          <w:szCs w:val="20"/>
          <w:color w:val="auto"/>
        </w:rPr>
      </w:pPr>
    </w:p>
    <w:p>
      <w:pPr>
        <w:jc w:val="both"/>
        <w:ind w:right="40" w:firstLine="648"/>
        <w:spacing w:after="0" w:line="311" w:lineRule="auto"/>
        <w:rPr>
          <w:sz w:val="20"/>
          <w:szCs w:val="20"/>
          <w:color w:val="auto"/>
        </w:rPr>
      </w:pPr>
      <w:r>
        <w:rPr>
          <w:rFonts w:ascii="Arial" w:cs="Arial" w:eastAsia="Arial" w:hAnsi="Arial"/>
          <w:sz w:val="16"/>
          <w:szCs w:val="16"/>
          <w:color w:val="auto"/>
        </w:rPr>
        <w:t>Each Guarantor has irrevocably, fully and unconditionally guaranteed, jointly and severally, on an unsecured basis, the full and punctual payment (whether at maturity, upon redemption or otherwise) of the principal of and interest on, and all other amounts payable under, the Securities, and the full and punctual payment of all other amounts payable by the Issuer under the Indenture, subject to certain terms and conditions set forth in the Indenture.</w:t>
      </w:r>
    </w:p>
    <w:p>
      <w:pPr>
        <w:spacing w:after="0" w:line="149" w:lineRule="exact"/>
        <w:rPr>
          <w:sz w:val="20"/>
          <w:szCs w:val="20"/>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Denominations; Transfer; Exchange.</w:t>
      </w:r>
    </w:p>
    <w:p>
      <w:pPr>
        <w:spacing w:after="0" w:line="225" w:lineRule="exact"/>
        <w:rPr>
          <w:sz w:val="20"/>
          <w:szCs w:val="20"/>
          <w:color w:val="auto"/>
        </w:rPr>
      </w:pPr>
    </w:p>
    <w:p>
      <w:pPr>
        <w:ind w:right="20" w:firstLine="648"/>
        <w:spacing w:after="0" w:line="296" w:lineRule="auto"/>
        <w:rPr>
          <w:sz w:val="20"/>
          <w:szCs w:val="20"/>
          <w:color w:val="auto"/>
        </w:rPr>
      </w:pPr>
      <w:r>
        <w:rPr>
          <w:rFonts w:ascii="Arial" w:cs="Arial" w:eastAsia="Arial" w:hAnsi="Arial"/>
          <w:sz w:val="16"/>
          <w:szCs w:val="16"/>
          <w:color w:val="auto"/>
        </w:rPr>
        <w:t>The Securities are in registered form, without coupons, in denominations of $2,000 and multiples of $1,000 in excess thereof. A Holder shall register the transfer of or exchange Securities in accordance with the Indenture. The Issuer may require a Holder, among other things, to furnish appropriate endorsements and transfer documents and to pay certain transfer taxes or similar governmental charges payable in connection therewith as permitted by the Indenture. The Issuer need not issue, authenticate, register the transfer of or exchange any Securities or portions thereof for a period of fifteen (15) days before the giving of a notice of redemption, nor need the Issuer register the transfer or exchange any security selected for redemption in whole or in part.</w:t>
      </w:r>
    </w:p>
    <w:p>
      <w:pPr>
        <w:spacing w:after="0" w:line="161" w:lineRule="exact"/>
        <w:rPr>
          <w:sz w:val="20"/>
          <w:szCs w:val="20"/>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Persons Deemed Owners.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registered Holder of a Security shall be treated as the owner of it for all purposes.</w:t>
      </w:r>
    </w:p>
    <w:p>
      <w:pPr>
        <w:spacing w:after="0" w:line="225" w:lineRule="exact"/>
        <w:rPr>
          <w:sz w:val="20"/>
          <w:szCs w:val="20"/>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Unclaimed Funds.</w:t>
      </w:r>
    </w:p>
    <w:p>
      <w:pPr>
        <w:spacing w:after="0" w:line="225" w:lineRule="exact"/>
        <w:rPr>
          <w:sz w:val="20"/>
          <w:szCs w:val="20"/>
          <w:color w:val="auto"/>
        </w:rPr>
      </w:pPr>
    </w:p>
    <w:p>
      <w:pPr>
        <w:ind w:right="440" w:firstLine="648"/>
        <w:spacing w:after="0" w:line="308" w:lineRule="auto"/>
        <w:rPr>
          <w:sz w:val="20"/>
          <w:szCs w:val="20"/>
          <w:color w:val="auto"/>
        </w:rPr>
      </w:pPr>
      <w:r>
        <w:rPr>
          <w:rFonts w:ascii="Arial" w:cs="Arial" w:eastAsia="Arial" w:hAnsi="Arial"/>
          <w:sz w:val="17"/>
          <w:szCs w:val="17"/>
          <w:color w:val="auto"/>
        </w:rPr>
        <w:t>If funds for the payment of principal or interest remain unclaimed for two years, the Trustee and the Paying Agent will repay the funds to the Issuer at its written request. After that, all liability of the Trustee and such Paying Agent with respect to such funds shall cease.</w:t>
      </w:r>
    </w:p>
    <w:p>
      <w:pPr>
        <w:spacing w:after="0" w:line="146" w:lineRule="exact"/>
        <w:rPr>
          <w:sz w:val="20"/>
          <w:szCs w:val="20"/>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Legal Defeasance and Covenant Defeasance.</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The Issuer and the Guarantors may be discharged from their respective obligations under the Securities and under the Indenture with respect to the Securities except for certain provisions thereof, and may be discharged from obligations to comply with certain covenants contained in the Securities and in the Indenture with respect to the Securities, in each case upon satisfaction of certain conditions specified in the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27" w:right="339" w:bottom="1440" w:gutter="0" w:footer="0" w:header="0"/>
        </w:sectPr>
      </w:pPr>
    </w:p>
    <w:bookmarkStart w:id="14" w:name="page15"/>
    <w:bookmarkEnd w:id="14"/>
    <w:p>
      <w:pPr>
        <w:ind w:left="660"/>
        <w:spacing w:after="0"/>
        <w:rPr>
          <w:sz w:val="20"/>
          <w:szCs w:val="20"/>
          <w:color w:val="auto"/>
        </w:rPr>
      </w:pPr>
      <w:r>
        <w:rPr>
          <w:rFonts w:ascii="Arial" w:cs="Arial" w:eastAsia="Arial" w:hAnsi="Arial"/>
          <w:sz w:val="18"/>
          <w:szCs w:val="18"/>
          <w:color w:val="auto"/>
        </w:rPr>
        <w:t>10. Amendment; Supplement; Waiver.</w:t>
      </w:r>
    </w:p>
    <w:p>
      <w:pPr>
        <w:spacing w:after="0" w:line="225"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Subject to certain exceptions, the Securities and the provisions of the Indenture relating to the Securities may be amended or supplemented with the written consent of the Holders of at least a majority in aggregate principal amount of the Securities then outstanding, and any existing Default or Event of Default or compliance with certain provisions may be waived with the consent of the Holders of a majority in aggregate principal amount of the Securities then outstanding. Without notice to or consent of any Holder, the parties thereto may amend or supplement the Indenture and the Securities to, among other things, cure any ambiguity, defect or inconsistency, provide for uncertificated Securities in addition to or in place of certificated Securities or comply with any requirements of the Commission in connection with the qualification of the Indenture under the TIA, or make any other change that does not adversely affect the rights of any Holder of a Security.</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11. Restrictive Covenants.</w:t>
      </w:r>
    </w:p>
    <w:p>
      <w:pPr>
        <w:spacing w:after="0" w:line="225" w:lineRule="exact"/>
        <w:rPr>
          <w:sz w:val="20"/>
          <w:szCs w:val="20"/>
          <w:color w:val="auto"/>
        </w:rPr>
      </w:pPr>
    </w:p>
    <w:p>
      <w:pPr>
        <w:ind w:right="460" w:firstLine="648"/>
        <w:spacing w:after="0" w:line="311" w:lineRule="auto"/>
        <w:rPr>
          <w:sz w:val="20"/>
          <w:szCs w:val="20"/>
          <w:color w:val="auto"/>
        </w:rPr>
      </w:pPr>
      <w:r>
        <w:rPr>
          <w:rFonts w:ascii="Arial" w:cs="Arial" w:eastAsia="Arial" w:hAnsi="Arial"/>
          <w:sz w:val="16"/>
          <w:szCs w:val="16"/>
          <w:color w:val="auto"/>
        </w:rPr>
        <w:t>The Indenture contains certain covenants that, among other things, limit the ability of the Issuer and the Guarantors to incur liens securing indebtedness, or to enter into sale and leaseback transactions, and of the Issuer to merge or sell all or substantially all of its assets. The limitations are subject to a number of important qualifications and exceptions. The Issuer must annually report to the Trustee on compliance with such limitations.</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12. Redemption.</w:t>
      </w:r>
    </w:p>
    <w:p>
      <w:pPr>
        <w:spacing w:after="0" w:line="225" w:lineRule="exact"/>
        <w:rPr>
          <w:sz w:val="20"/>
          <w:szCs w:val="20"/>
          <w:color w:val="auto"/>
        </w:rPr>
      </w:pPr>
    </w:p>
    <w:p>
      <w:pPr>
        <w:jc w:val="both"/>
        <w:ind w:right="460" w:firstLine="648"/>
        <w:spacing w:after="0" w:line="311" w:lineRule="auto"/>
        <w:rPr>
          <w:sz w:val="20"/>
          <w:szCs w:val="20"/>
          <w:color w:val="auto"/>
        </w:rPr>
      </w:pPr>
      <w:r>
        <w:rPr>
          <w:rFonts w:ascii="Arial" w:cs="Arial" w:eastAsia="Arial" w:hAnsi="Arial"/>
          <w:sz w:val="16"/>
          <w:szCs w:val="16"/>
          <w:color w:val="auto"/>
        </w:rPr>
        <w:t>The Issuer will have the right at its option to redeem any of the Securities in whole or in part, at any time or from time to time prior to their maturity, on at least 15 days, but not more than 30 days, prior notice delivered electronically or mailed to the registered address of each Holder of the Securities, at the applicable Redemption Price. The Issuer will calculate the Redemption Price in connection with any redemption hereunder.</w:t>
      </w:r>
    </w:p>
    <w:p>
      <w:pPr>
        <w:spacing w:after="0" w:line="145" w:lineRule="exact"/>
        <w:rPr>
          <w:sz w:val="20"/>
          <w:szCs w:val="20"/>
          <w:color w:val="auto"/>
        </w:rPr>
      </w:pPr>
    </w:p>
    <w:p>
      <w:pPr>
        <w:ind w:firstLine="64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Redemption Price</w:t>
      </w:r>
      <w:r>
        <w:rPr>
          <w:rFonts w:ascii="Arial" w:cs="Arial" w:eastAsia="Arial" w:hAnsi="Arial"/>
          <w:sz w:val="18"/>
          <w:szCs w:val="18"/>
          <w:color w:val="auto"/>
        </w:rPr>
        <w:t>” means (a) at any time prior to November 15, 2030 (three (3) months prior to the maturity of the Securities) (the “</w:t>
      </w:r>
      <w:r>
        <w:rPr>
          <w:rFonts w:ascii="Arial" w:cs="Arial" w:eastAsia="Arial" w:hAnsi="Arial"/>
          <w:sz w:val="18"/>
          <w:szCs w:val="18"/>
          <w:b w:val="1"/>
          <w:bCs w:val="1"/>
          <w:color w:val="auto"/>
        </w:rPr>
        <w:t>Par Call</w:t>
      </w:r>
      <w:r>
        <w:rPr>
          <w:rFonts w:ascii="Arial" w:cs="Arial" w:eastAsia="Arial" w:hAnsi="Arial"/>
          <w:sz w:val="18"/>
          <w:szCs w:val="18"/>
          <w:color w:val="auto"/>
        </w:rPr>
        <w:t xml:space="preserve"> </w:t>
      </w:r>
      <w:r>
        <w:rPr>
          <w:rFonts w:ascii="Arial" w:cs="Arial" w:eastAsia="Arial" w:hAnsi="Arial"/>
          <w:sz w:val="18"/>
          <w:szCs w:val="18"/>
          <w:b w:val="1"/>
          <w:bCs w:val="1"/>
          <w:color w:val="auto"/>
        </w:rPr>
        <w:t>Date</w:t>
      </w:r>
      <w:r>
        <w:rPr>
          <w:rFonts w:ascii="Arial" w:cs="Arial" w:eastAsia="Arial" w:hAnsi="Arial"/>
          <w:sz w:val="18"/>
          <w:szCs w:val="18"/>
          <w:color w:val="auto"/>
        </w:rPr>
        <w:t>”), the greater of (i) 100% of the principal amount of such Securities and (ii) the sum of the present values of the principal amount of such Securities</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scheduled payments of interest thereon (exclusive of interest accrued to the date of redemption) from the redemption date to the Par Call Date, in each case discounted to the redemption date on a semiannual basis (assuming a 360-day year consisting of twelve 30-day months) at the Treasury Rate plus 15 basis points and (b) if the Securities are redeemed on or after the Par Call Date, 100% of the principal amount of such Securities; plus, in each case, accrued and unpaid interest thereon to the date of redemption.</w:t>
      </w:r>
    </w:p>
    <w:p>
      <w:pPr>
        <w:spacing w:after="0" w:line="187" w:lineRule="exact"/>
        <w:rPr>
          <w:sz w:val="20"/>
          <w:szCs w:val="20"/>
          <w:color w:val="auto"/>
        </w:rPr>
      </w:pPr>
    </w:p>
    <w:p>
      <w:pPr>
        <w:ind w:right="2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Treasury Rate</w:t>
      </w:r>
      <w:r>
        <w:rPr>
          <w:rFonts w:ascii="Arial" w:cs="Arial" w:eastAsia="Arial" w:hAnsi="Arial"/>
          <w:sz w:val="18"/>
          <w:szCs w:val="18"/>
          <w:color w:val="auto"/>
        </w:rPr>
        <w:t>” means, with respect to any redemption date, the rate per annum equal to the semiannual equivalent yield to maturity or interpolated (on a day count basis) of the Comparable Treasury Issue, assuming a price for the Comparable Treasury Issue (expressed as a percentage of its principal amount) equal to the Comparable Treasury Price for such redemption date.</w:t>
      </w:r>
    </w:p>
    <w:p>
      <w:pPr>
        <w:spacing w:after="0" w:line="176" w:lineRule="exact"/>
        <w:rPr>
          <w:sz w:val="20"/>
          <w:szCs w:val="20"/>
          <w:color w:val="auto"/>
        </w:rPr>
      </w:pPr>
    </w:p>
    <w:p>
      <w:pPr>
        <w:ind w:right="120" w:firstLine="648"/>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Comparable Treasury Issue</w:t>
      </w:r>
      <w:r>
        <w:rPr>
          <w:rFonts w:ascii="Arial" w:cs="Arial" w:eastAsia="Arial" w:hAnsi="Arial"/>
          <w:sz w:val="17"/>
          <w:szCs w:val="17"/>
          <w:color w:val="auto"/>
        </w:rPr>
        <w:t>” means the United States Treasury security or securities selected by an Independent Investment Banker as having an actual or interpolated maturity comparable to the remaining term of the Securities to be redeemed calculated as if the maturity date of such Securities were the applicable Par Call Date (the “Remaining Life”) that would be utilized, at the time of selection and in accordance with customary financial practice, in pricing new issues of corporate debt securities of comparable maturity to the Remaining Life of such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339090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800" w:right="379" w:bottom="1440" w:gutter="0" w:footer="0" w:header="0"/>
        </w:sectPr>
      </w:pPr>
    </w:p>
    <w:bookmarkStart w:id="15" w:name="page16"/>
    <w:bookmarkEnd w:id="15"/>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Independent Investment Banker</w:t>
      </w:r>
      <w:r>
        <w:rPr>
          <w:rFonts w:ascii="Arial" w:cs="Arial" w:eastAsia="Arial" w:hAnsi="Arial"/>
          <w:sz w:val="18"/>
          <w:szCs w:val="18"/>
          <w:color w:val="auto"/>
        </w:rPr>
        <w:t>” means one of the Reference Treasury Dealers appointed by the Issuer.</w:t>
      </w:r>
    </w:p>
    <w:p>
      <w:pPr>
        <w:spacing w:after="0" w:line="225" w:lineRule="exact"/>
        <w:rPr>
          <w:sz w:val="20"/>
          <w:szCs w:val="20"/>
          <w:color w:val="auto"/>
        </w:rPr>
      </w:pPr>
    </w:p>
    <w:p>
      <w:pPr>
        <w:ind w:right="2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Comparable Treasury Price</w:t>
      </w:r>
      <w:r>
        <w:rPr>
          <w:rFonts w:ascii="Arial" w:cs="Arial" w:eastAsia="Arial" w:hAnsi="Arial"/>
          <w:sz w:val="18"/>
          <w:szCs w:val="18"/>
          <w:color w:val="auto"/>
        </w:rPr>
        <w:t>” means, with respect to any redemption date, (i) the average of the Reference Treasury Dealer Quotations for such redemption date, after excluding the highest and lowest such Reference Treasury Dealer Quotation or (ii) if the Independent Investment Banker obtains fewer than four such Reference Treasury Dealer Quotations, the average of all such quotations.</w:t>
      </w:r>
    </w:p>
    <w:p>
      <w:pPr>
        <w:spacing w:after="0" w:line="176"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Reference Treasury Dealer</w:t>
      </w:r>
      <w:r>
        <w:rPr>
          <w:rFonts w:ascii="Arial" w:cs="Arial" w:eastAsia="Arial" w:hAnsi="Arial"/>
          <w:sz w:val="18"/>
          <w:szCs w:val="18"/>
          <w:color w:val="auto"/>
        </w:rPr>
        <w:t xml:space="preserve">” means each of BofA Securities, Inc., Goldman Sachs &amp; Co. LLC, Morgan Stanley &amp; Co. LLC and Wells Fargo Securities, LLC, or their affiliates which are primary United States government securities dealers and their respective successors;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if any of the foregoing shall cease to be a primary United States government securities dealer in the United States (a “</w:t>
      </w:r>
      <w:r>
        <w:rPr>
          <w:rFonts w:ascii="Arial" w:cs="Arial" w:eastAsia="Arial" w:hAnsi="Arial"/>
          <w:sz w:val="18"/>
          <w:szCs w:val="18"/>
          <w:b w:val="1"/>
          <w:bCs w:val="1"/>
          <w:color w:val="auto"/>
        </w:rPr>
        <w:t>Primary Treasury Dealer</w:t>
      </w:r>
      <w:r>
        <w:rPr>
          <w:rFonts w:ascii="Arial" w:cs="Arial" w:eastAsia="Arial" w:hAnsi="Arial"/>
          <w:sz w:val="18"/>
          <w:szCs w:val="18"/>
          <w:color w:val="auto"/>
        </w:rPr>
        <w:t>”), the Issuer will substitute therefor another Primary Treasury Dealer.</w:t>
      </w:r>
    </w:p>
    <w:p>
      <w:pPr>
        <w:spacing w:after="0" w:line="180" w:lineRule="exact"/>
        <w:rPr>
          <w:sz w:val="20"/>
          <w:szCs w:val="20"/>
          <w:color w:val="auto"/>
        </w:rPr>
      </w:pPr>
    </w:p>
    <w:p>
      <w:pPr>
        <w:ind w:right="80"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Reference Treasury Dealer Quotation</w:t>
      </w:r>
      <w:r>
        <w:rPr>
          <w:rFonts w:ascii="Arial" w:cs="Arial" w:eastAsia="Arial" w:hAnsi="Arial"/>
          <w:sz w:val="18"/>
          <w:szCs w:val="18"/>
          <w:color w:val="auto"/>
        </w:rPr>
        <w:t>” means, with respect to each Reference Treasury Dealer and any redemption date, the average, as determined by the Independent Investment Banker, of the bid and asked prices for the Comparable Treasury Issue (expressed in case as a percentage of its principal amount) quoted in writing to the Independent Investment Banker by such Reference Treasury Dealer at 3:30 pm New York time on the third business day preceding such redemption date.</w:t>
      </w:r>
    </w:p>
    <w:p>
      <w:pPr>
        <w:spacing w:after="0" w:line="184"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On and after the redemption date, interest will cease to accrue on the Securities or any portion of the Securities called for redemption (unless the Issuer defaults in the payment of the redemption price and accrued interest). On or before the redemption date, the Issuer will deposit with the Trustee money sufficient to pay the redemption price of and (unless the redemption date shall be an Interest Payment Date) accrued interest to the redemption date on the Securities to be redeemed on such date. If less than all of the Securities are to be redeemed, the Securities to be redeemed shall be selected by the Trustee by such method as the Trustee shall deem fair and appropriate (provided that Securities represented by a Global Security will be selected for redemption by the Depositary in accordance with its standard procedures therefor).</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13. Defaults and Remedies.</w:t>
      </w:r>
    </w:p>
    <w:p>
      <w:pPr>
        <w:spacing w:after="0" w:line="225"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If an Event of Default (other than certain bankruptcy Events of Default with respect to the Issuer or any of the Guarantors) occurs and is continuing, the Trustee or the Holders of at least 25% in aggregate principal amount of Securities then outstanding may declare all of the Securities to be due and payable immediately in the manner and with the effect provided in the Indenture. If a bankruptcy Event of Default with respect to the Issuer or any of the Guarantors occurs and is continuing, all the Securities shall be immediately due and payable immediately in the manner and with the effect provided in the Indenture without any notice or other action on the part of the Trustee or any Holder. Holders of Securities may not enforce the Indenture, the Securities or the Guarantees except as provided in the Indenture. The Trustee is not obligated to enforce the Indenture, the Securities or the Guarantees unless it has received indemnity satisfactory to it. The Indenture permits, subject to certain limitations therein provided, Holders of a majority in aggregate principal amount of the Securities then outstanding to direct the Trustee in its exercise of any trust or power. The Trustee may withhold from Holders of Securities notice of certain continuing Defaults or Events of Default if it determines that withholding notice is in their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796" w:right="399" w:bottom="1440" w:gutter="0" w:footer="0" w:header="0"/>
        </w:sectPr>
      </w:pPr>
    </w:p>
    <w:bookmarkStart w:id="16" w:name="page17"/>
    <w:bookmarkEnd w:id="16"/>
    <w:p>
      <w:pPr>
        <w:ind w:left="660"/>
        <w:spacing w:after="0"/>
        <w:rPr>
          <w:sz w:val="20"/>
          <w:szCs w:val="20"/>
          <w:color w:val="auto"/>
        </w:rPr>
      </w:pPr>
      <w:r>
        <w:rPr>
          <w:rFonts w:ascii="Arial" w:cs="Arial" w:eastAsia="Arial" w:hAnsi="Arial"/>
          <w:sz w:val="18"/>
          <w:szCs w:val="18"/>
          <w:color w:val="auto"/>
        </w:rPr>
        <w:t>14. Trustee Dealings with Issuer.</w:t>
      </w:r>
    </w:p>
    <w:p>
      <w:pPr>
        <w:spacing w:after="0" w:line="225"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 Trustee under the Indenture, in its individual or any other capacity, may become the owner or pledgee of Securities and may otherwise deal with the Issuer as if it were not the Trustee.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15. No Recourse Against Others.</w:t>
      </w:r>
    </w:p>
    <w:p>
      <w:pPr>
        <w:spacing w:after="0" w:line="22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No stockholder, director, officer, employee or incorporator, as such, of the Issuer, any Guarantor or any successor Person thereof shall have any liability for any obligation under the Securities, the Guarantees or the Indenture or for any claim based on, in respect of or by reason of, such obligations or their creation. Each Holder of a Security by accepting a Security waives and releases all such liability. The waiver and release are part of the consideration for the issuance of the Securities.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16. Authentication.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Security shall not be valid until the Trustee manually signs the certificate of authentication on this Security.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17. Abbreviations and Defined Terms.</w:t>
      </w:r>
    </w:p>
    <w:p>
      <w:pPr>
        <w:spacing w:after="0" w:line="225"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Customary abbreviations may be used in the name of a Holder of a Security or an assignee, such as: TEN COM (= tenants in common), TEN ENT (= tenants by the entireties), JT TEN (= joint tenants with right of survivorship and not as tenants in common), CUST (= Custodian), and U/G/M/A (= Uniform Gifts to Minors Act).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18. CUSIP Numbers.</w:t>
      </w:r>
    </w:p>
    <w:p>
      <w:pPr>
        <w:spacing w:after="0" w:line="225" w:lineRule="exact"/>
        <w:rPr>
          <w:sz w:val="20"/>
          <w:szCs w:val="20"/>
          <w:color w:val="auto"/>
        </w:rPr>
      </w:pPr>
    </w:p>
    <w:p>
      <w:pPr>
        <w:ind w:right="120" w:firstLine="648"/>
        <w:spacing w:after="0" w:line="286" w:lineRule="auto"/>
        <w:rPr>
          <w:sz w:val="20"/>
          <w:szCs w:val="20"/>
          <w:color w:val="auto"/>
        </w:rPr>
      </w:pPr>
      <w:r>
        <w:rPr>
          <w:rFonts w:ascii="Arial" w:cs="Arial" w:eastAsia="Arial" w:hAnsi="Arial"/>
          <w:sz w:val="17"/>
          <w:szCs w:val="17"/>
          <w:color w:val="auto"/>
        </w:rPr>
        <w:t>Pursuant to a recommendation promulgated by the Committee on Uniform Security Identification Procedures, the Issuer has caused CUSIP numbers to be printed on the Securities as a convenience to the Holders of the Securities. No representation is made as to the accuracy of such numbers as printed on the Securities and reliance may be placed only on the other identification numbers printed hereon.</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19. Governing Law.</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laws of the State of New York shall govern the Indenture and this Security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800" w:right="359" w:bottom="1440" w:gutter="0" w:footer="0" w:header="0"/>
        </w:sectPr>
      </w:pPr>
    </w:p>
    <w:bookmarkStart w:id="17" w:name="page18"/>
    <w:bookmarkEnd w:id="17"/>
    <w:p>
      <w:pPr>
        <w:ind w:left="5100"/>
        <w:spacing w:after="0"/>
        <w:rPr>
          <w:sz w:val="20"/>
          <w:szCs w:val="20"/>
          <w:color w:val="auto"/>
        </w:rPr>
      </w:pPr>
      <w:r>
        <w:rPr>
          <w:rFonts w:ascii="Arial" w:cs="Arial" w:eastAsia="Arial" w:hAnsi="Arial"/>
          <w:sz w:val="18"/>
          <w:szCs w:val="18"/>
          <w:color w:val="auto"/>
        </w:rPr>
        <w:t>ASSIGNMENT FORM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or we assign and transfer this Security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297815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(Print or type name, address and zip code of assignee or transferee)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(Insert Social Security or other identifying number of assignee or transferee)</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and irrevocably appoint_________________________________________ agent to transfer this Security on the books of the Issuer. The agent may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substitute another to act for him.</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Dated:</w:t>
            </w:r>
          </w:p>
        </w:tc>
        <w:tc>
          <w:tcPr>
            <w:tcW w:w="4960" w:type="dxa"/>
            <w:vAlign w:val="bottom"/>
          </w:tcPr>
          <w:p>
            <w:pPr>
              <w:spacing w:after="0"/>
              <w:rPr>
                <w:sz w:val="20"/>
                <w:szCs w:val="20"/>
                <w:color w:val="auto"/>
              </w:rPr>
            </w:pPr>
          </w:p>
        </w:tc>
        <w:tc>
          <w:tcPr>
            <w:tcW w:w="5600" w:type="dxa"/>
            <w:vAlign w:val="bottom"/>
            <w:gridSpan w:val="2"/>
          </w:tcPr>
          <w:p>
            <w:pPr>
              <w:ind w:left="60"/>
              <w:spacing w:after="0"/>
              <w:rPr>
                <w:sz w:val="20"/>
                <w:szCs w:val="20"/>
                <w:color w:val="auto"/>
              </w:rPr>
            </w:pPr>
            <w:r>
              <w:rPr>
                <w:rFonts w:ascii="Arial" w:cs="Arial" w:eastAsia="Arial" w:hAnsi="Arial"/>
                <w:sz w:val="18"/>
                <w:szCs w:val="18"/>
                <w:color w:val="auto"/>
              </w:rPr>
              <w:t>Signed:</w:t>
            </w:r>
          </w:p>
        </w:tc>
      </w:tr>
      <w:tr>
        <w:trPr>
          <w:trHeight w:val="224"/>
        </w:trPr>
        <w:tc>
          <w:tcPr>
            <w:tcW w:w="680" w:type="dxa"/>
            <w:vAlign w:val="bottom"/>
          </w:tcPr>
          <w:p>
            <w:pPr>
              <w:spacing w:after="0"/>
              <w:rPr>
                <w:sz w:val="19"/>
                <w:szCs w:val="19"/>
                <w:color w:val="auto"/>
              </w:rPr>
            </w:pPr>
          </w:p>
        </w:tc>
        <w:tc>
          <w:tcPr>
            <w:tcW w:w="496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494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1"/>
              </w:rPr>
              <w:t>(Signed exactly as name appears on the other side of this Security)</w:t>
            </w:r>
          </w:p>
        </w:tc>
      </w:tr>
    </w:tbl>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14605</wp:posOffset>
            </wp:positionV>
            <wp:extent cx="606044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060440" cy="8255"/>
                    </a:xfrm>
                    <a:prstGeom prst="rect">
                      <a:avLst/>
                    </a:prstGeom>
                    <a:noFill/>
                  </pic:spPr>
                </pic:pic>
              </a:graphicData>
            </a:graphic>
          </wp:anchor>
        </w:drawing>
      </w:r>
    </w:p>
    <w:p>
      <w:pPr>
        <w:spacing w:after="0" w:line="3" w:lineRule="exact"/>
        <w:rPr>
          <w:sz w:val="20"/>
          <w:szCs w:val="20"/>
          <w:color w:val="auto"/>
        </w:rPr>
      </w:pPr>
    </w:p>
    <w:p>
      <w:pPr>
        <w:ind w:left="1700" w:right="80"/>
        <w:spacing w:after="0" w:line="276" w:lineRule="auto"/>
        <w:rPr>
          <w:sz w:val="20"/>
          <w:szCs w:val="20"/>
          <w:color w:val="auto"/>
        </w:rPr>
      </w:pPr>
      <w:r>
        <w:rPr>
          <w:rFonts w:ascii="Arial" w:cs="Arial" w:eastAsia="Arial" w:hAnsi="Arial"/>
          <w:sz w:val="18"/>
          <w:szCs w:val="18"/>
          <w:color w:val="auto"/>
        </w:rPr>
        <w:t>Participant in a recognized Signature Guarantee Medallion Program (or other signature guarantor program reasonably acceptable to the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18" w:name="page19"/>
    <w:bookmarkEnd w:id="18"/>
    <w:p>
      <w:pPr>
        <w:jc w:val="right"/>
        <w:spacing w:after="0"/>
        <w:rPr>
          <w:sz w:val="20"/>
          <w:szCs w:val="20"/>
          <w:color w:val="auto"/>
        </w:rPr>
      </w:pPr>
      <w:r>
        <w:rPr>
          <w:rFonts w:ascii="Arial" w:cs="Arial" w:eastAsia="Arial" w:hAnsi="Arial"/>
          <w:sz w:val="18"/>
          <w:szCs w:val="18"/>
          <w:b w:val="1"/>
          <w:bCs w:val="1"/>
          <w:u w:val="single" w:color="auto"/>
          <w:color w:val="auto"/>
        </w:rPr>
        <w:t>EXHIBIT B</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[FORM OF NOTE DUE 2052]</w:t>
      </w:r>
    </w:p>
    <w:p>
      <w:pPr>
        <w:spacing w:after="0" w:line="225"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UNLESS AND UNTIL IT IS EXCHANGED IN WHOLE OR IN PART FOR SECURITIES IN DEFINITIVE REGISTERED FORM, THIS SECURITY 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 UNLESS THIS SECURITY IS PRESENTED BY AN AUTHORIZED REPRESENTATIVE OF THE DEPOSITORY TRUST COMPANY, A NEW YORK CORPORATION (“</w:t>
      </w:r>
      <w:r>
        <w:rPr>
          <w:rFonts w:ascii="Arial" w:cs="Arial" w:eastAsia="Arial" w:hAnsi="Arial"/>
          <w:sz w:val="17"/>
          <w:szCs w:val="17"/>
          <w:b w:val="1"/>
          <w:bCs w:val="1"/>
          <w:color w:val="auto"/>
        </w:rPr>
        <w:t>DTC</w:t>
      </w:r>
      <w:r>
        <w:rPr>
          <w:rFonts w:ascii="Arial" w:cs="Arial" w:eastAsia="Arial" w:hAnsi="Arial"/>
          <w:sz w:val="17"/>
          <w:szCs w:val="17"/>
          <w:color w:val="auto"/>
        </w:rPr>
        <w:t>”), TO THE ISSUER OR ITS AGENT FOR REGISTRATION OF TRANSFER, EXCHANGE OR PAYMENT, AND ANY SECURITY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2.450% Note due 2052</w:t>
      </w:r>
    </w:p>
    <w:p>
      <w:pPr>
        <w:sectPr>
          <w:pgSz w:w="11900" w:h="16838" w:orient="portrait"/>
          <w:cols w:equalWidth="0" w:num="1">
            <w:col w:w="11240"/>
          </w:cols>
          <w:pgMar w:left="320" w:top="796" w:right="339" w:bottom="1440" w:gutter="0" w:footer="0" w:header="0"/>
        </w:sect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 [ ]</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jc w:val="right"/>
        <w:spacing w:after="0"/>
        <w:rPr>
          <w:sz w:val="20"/>
          <w:szCs w:val="20"/>
          <w:color w:val="auto"/>
        </w:rPr>
      </w:pPr>
      <w:r>
        <w:rPr>
          <w:rFonts w:ascii="Arial" w:cs="Arial" w:eastAsia="Arial" w:hAnsi="Arial"/>
          <w:sz w:val="17"/>
          <w:szCs w:val="17"/>
          <w:color w:val="auto"/>
        </w:rPr>
        <w:t>CUSIP No.: 20030N DP3</w:t>
      </w:r>
    </w:p>
    <w:p>
      <w:pPr>
        <w:spacing w:after="0" w:line="3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ISIN No.: US20030NDP33</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w:t>
      </w:r>
    </w:p>
    <w:p>
      <w:pPr>
        <w:spacing w:after="0" w:line="200" w:lineRule="exact"/>
        <w:rPr>
          <w:sz w:val="20"/>
          <w:szCs w:val="20"/>
          <w:color w:val="auto"/>
        </w:rPr>
      </w:pPr>
    </w:p>
    <w:p>
      <w:pPr>
        <w:sectPr>
          <w:pgSz w:w="11900" w:h="16838" w:orient="portrait"/>
          <w:cols w:equalWidth="0" w:num="2">
            <w:col w:w="8540" w:space="720"/>
            <w:col w:w="1980"/>
          </w:cols>
          <w:pgMar w:left="320" w:top="796" w:right="339" w:bottom="1440" w:gutter="0" w:footer="0" w:header="0"/>
          <w:type w:val="continuous"/>
        </w:sectPr>
      </w:pPr>
    </w:p>
    <w:p>
      <w:pPr>
        <w:spacing w:after="0" w:line="7" w:lineRule="exact"/>
        <w:rPr>
          <w:sz w:val="20"/>
          <w:szCs w:val="20"/>
          <w:color w:val="auto"/>
        </w:rPr>
      </w:pPr>
    </w:p>
    <w:p>
      <w:pPr>
        <w:ind w:right="460" w:firstLine="648"/>
        <w:spacing w:after="0" w:line="282" w:lineRule="auto"/>
        <w:rPr>
          <w:sz w:val="20"/>
          <w:szCs w:val="20"/>
          <w:color w:val="auto"/>
        </w:rPr>
      </w:pPr>
      <w:r>
        <w:rPr>
          <w:rFonts w:ascii="Arial" w:cs="Arial" w:eastAsia="Arial" w:hAnsi="Arial"/>
          <w:sz w:val="18"/>
          <w:szCs w:val="18"/>
          <w:color w:val="auto"/>
        </w:rPr>
        <w:t>COMCAST CORPORATION, a Pennsylvania corporation (the “</w:t>
      </w:r>
      <w:r>
        <w:rPr>
          <w:rFonts w:ascii="Arial" w:cs="Arial" w:eastAsia="Arial" w:hAnsi="Arial"/>
          <w:sz w:val="18"/>
          <w:szCs w:val="18"/>
          <w:b w:val="1"/>
          <w:bCs w:val="1"/>
          <w:color w:val="auto"/>
        </w:rPr>
        <w:t>Issuer</w:t>
      </w:r>
      <w:r>
        <w:rPr>
          <w:rFonts w:ascii="Arial" w:cs="Arial" w:eastAsia="Arial" w:hAnsi="Arial"/>
          <w:sz w:val="18"/>
          <w:szCs w:val="18"/>
          <w:color w:val="auto"/>
        </w:rPr>
        <w:t>”, which term includes any successor corporation), for value received promises to pay to CEDE &amp; CO. or registered assigns, the principal sum of $[ ] ([ ] Dollars) on August 15, 2052.</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Interest Payment Dates: February 15 and August 15 (each, an “</w:t>
      </w:r>
      <w:r>
        <w:rPr>
          <w:rFonts w:ascii="Arial" w:cs="Arial" w:eastAsia="Arial" w:hAnsi="Arial"/>
          <w:sz w:val="18"/>
          <w:szCs w:val="18"/>
          <w:b w:val="1"/>
          <w:bCs w:val="1"/>
          <w:color w:val="auto"/>
        </w:rPr>
        <w:t>Interest Payment Date</w:t>
      </w:r>
      <w:r>
        <w:rPr>
          <w:rFonts w:ascii="Arial" w:cs="Arial" w:eastAsia="Arial" w:hAnsi="Arial"/>
          <w:sz w:val="18"/>
          <w:szCs w:val="18"/>
          <w:color w:val="auto"/>
        </w:rPr>
        <w:t>”), commencing on February 15, 2021.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Interest Record Dates: February 1 and August 1 (each, an “</w:t>
      </w:r>
      <w:r>
        <w:rPr>
          <w:rFonts w:ascii="Arial" w:cs="Arial" w:eastAsia="Arial" w:hAnsi="Arial"/>
          <w:sz w:val="18"/>
          <w:szCs w:val="18"/>
          <w:b w:val="1"/>
          <w:bCs w:val="1"/>
          <w:color w:val="auto"/>
        </w:rPr>
        <w:t>Interest Record Date</w:t>
      </w:r>
      <w:r>
        <w:rPr>
          <w:rFonts w:ascii="Arial" w:cs="Arial" w:eastAsia="Arial" w:hAnsi="Arial"/>
          <w:sz w:val="18"/>
          <w:szCs w:val="18"/>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Reference is made to the further provisions of this Security contained herein, which will for all purposes have the same effect as if set forth at this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place.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type w:val="continuous"/>
        </w:sectPr>
      </w:pPr>
    </w:p>
    <w:bookmarkStart w:id="19" w:name="page20"/>
    <w:bookmarkEnd w:id="19"/>
    <w:p>
      <w:pPr>
        <w:ind w:right="560" w:firstLine="648"/>
        <w:spacing w:after="0" w:line="277" w:lineRule="auto"/>
        <w:rPr>
          <w:sz w:val="20"/>
          <w:szCs w:val="20"/>
          <w:color w:val="auto"/>
        </w:rPr>
      </w:pPr>
      <w:r>
        <w:rPr>
          <w:rFonts w:ascii="Arial" w:cs="Arial" w:eastAsia="Arial" w:hAnsi="Arial"/>
          <w:sz w:val="18"/>
          <w:szCs w:val="18"/>
          <w:color w:val="auto"/>
        </w:rPr>
        <w:t>IN WITNESS WHEREOF, the Issuer has caused this Security to be signed manually or by facsimile by its duly authorized officer under its corporate seal.</w:t>
      </w:r>
    </w:p>
    <w:p>
      <w:pPr>
        <w:spacing w:after="0" w:line="166" w:lineRule="exact"/>
        <w:rPr>
          <w:sz w:val="20"/>
          <w:szCs w:val="20"/>
          <w:color w:val="auto"/>
        </w:rPr>
      </w:pPr>
    </w:p>
    <w:p>
      <w:pPr>
        <w:ind w:left="6700"/>
        <w:spacing w:after="0"/>
        <w:rPr>
          <w:sz w:val="20"/>
          <w:szCs w:val="20"/>
          <w:color w:val="auto"/>
        </w:rPr>
      </w:pPr>
      <w:r>
        <w:rPr>
          <w:rFonts w:ascii="Arial" w:cs="Arial" w:eastAsia="Arial" w:hAnsi="Arial"/>
          <w:sz w:val="18"/>
          <w:szCs w:val="18"/>
          <w:b w:val="1"/>
          <w:bCs w:val="1"/>
          <w:color w:val="auto"/>
        </w:rPr>
        <w:t>COMCAST CORPORATION</w:t>
      </w:r>
    </w:p>
    <w:p>
      <w:pPr>
        <w:spacing w:after="0" w:line="200" w:lineRule="exact"/>
        <w:rPr>
          <w:sz w:val="20"/>
          <w:szCs w:val="20"/>
          <w:color w:val="auto"/>
        </w:rPr>
      </w:pPr>
    </w:p>
    <w:p>
      <w:pPr>
        <w:spacing w:after="0" w:line="245"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4651375</wp:posOffset>
            </wp:positionH>
            <wp:positionV relativeFrom="paragraph">
              <wp:posOffset>14605</wp:posOffset>
            </wp:positionV>
            <wp:extent cx="248602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3" w:lineRule="exact"/>
        <w:rPr>
          <w:sz w:val="20"/>
          <w:szCs w:val="20"/>
          <w:color w:val="auto"/>
        </w:rPr>
      </w:pPr>
    </w:p>
    <w:p>
      <w:pPr>
        <w:ind w:left="6700"/>
        <w:spacing w:after="0"/>
        <w:tabs>
          <w:tab w:leader="none" w:pos="73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Jason S. Armstrong</w:t>
      </w:r>
    </w:p>
    <w:p>
      <w:pPr>
        <w:spacing w:after="0" w:line="23" w:lineRule="exact"/>
        <w:rPr>
          <w:sz w:val="20"/>
          <w:szCs w:val="20"/>
          <w:color w:val="auto"/>
        </w:rPr>
      </w:pPr>
    </w:p>
    <w:p>
      <w:pPr>
        <w:ind w:left="6700"/>
        <w:spacing w:after="0"/>
        <w:tabs>
          <w:tab w:leader="none" w:pos="7300" w:val="left"/>
        </w:tabs>
        <w:rPr>
          <w:sz w:val="20"/>
          <w:szCs w:val="20"/>
          <w:color w:val="auto"/>
        </w:rPr>
      </w:pPr>
      <w:r>
        <w:rPr>
          <w:rFonts w:ascii="Arial" w:cs="Arial" w:eastAsia="Arial" w:hAnsi="Arial"/>
          <w:sz w:val="18"/>
          <w:szCs w:val="18"/>
          <w:color w:val="auto"/>
        </w:rPr>
        <w:t>Title:</w:t>
        <w:tab/>
        <w:t>Executive Vice President and Treasurer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[Seal of Comcast Corporation]</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140" w:type="dxa"/>
            <w:vAlign w:val="bottom"/>
          </w:tcPr>
          <w:p>
            <w:pPr>
              <w:ind w:left="460"/>
              <w:spacing w:after="0" w:line="195" w:lineRule="exact"/>
              <w:rPr>
                <w:sz w:val="20"/>
                <w:szCs w:val="20"/>
                <w:color w:val="auto"/>
              </w:rPr>
            </w:pPr>
            <w:r>
              <w:rPr>
                <w:rFonts w:ascii="Arial" w:cs="Arial" w:eastAsia="Arial" w:hAnsi="Arial"/>
                <w:sz w:val="18"/>
                <w:szCs w:val="18"/>
                <w:color w:val="auto"/>
              </w:rPr>
              <w:t>Name:</w:t>
            </w:r>
          </w:p>
        </w:tc>
        <w:tc>
          <w:tcPr>
            <w:tcW w:w="28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Elizabeth Wideman</w:t>
            </w:r>
          </w:p>
        </w:tc>
        <w:tc>
          <w:tcPr>
            <w:tcW w:w="7300" w:type="dxa"/>
            <w:vAlign w:val="bottom"/>
          </w:tcPr>
          <w:p>
            <w:pPr>
              <w:spacing w:after="0"/>
              <w:rPr>
                <w:sz w:val="16"/>
                <w:szCs w:val="16"/>
                <w:color w:val="auto"/>
              </w:rPr>
            </w:pPr>
          </w:p>
        </w:tc>
      </w:tr>
      <w:tr>
        <w:trPr>
          <w:trHeight w:val="216"/>
        </w:trPr>
        <w:tc>
          <w:tcPr>
            <w:tcW w:w="1140" w:type="dxa"/>
            <w:vAlign w:val="bottom"/>
          </w:tcPr>
          <w:p>
            <w:pPr>
              <w:ind w:left="460"/>
              <w:spacing w:after="0"/>
              <w:rPr>
                <w:sz w:val="20"/>
                <w:szCs w:val="20"/>
                <w:color w:val="auto"/>
              </w:rPr>
            </w:pPr>
            <w:r>
              <w:rPr>
                <w:rFonts w:ascii="Arial" w:cs="Arial" w:eastAsia="Arial" w:hAnsi="Arial"/>
                <w:sz w:val="18"/>
                <w:szCs w:val="18"/>
                <w:color w:val="auto"/>
              </w:rPr>
              <w:t>Title:</w:t>
            </w:r>
          </w:p>
        </w:tc>
        <w:tc>
          <w:tcPr>
            <w:tcW w:w="2800" w:type="dxa"/>
            <w:vAlign w:val="bottom"/>
          </w:tcPr>
          <w:p>
            <w:pPr>
              <w:spacing w:after="0"/>
              <w:rPr>
                <w:sz w:val="20"/>
                <w:szCs w:val="20"/>
                <w:color w:val="auto"/>
              </w:rPr>
            </w:pPr>
            <w:r>
              <w:rPr>
                <w:rFonts w:ascii="Arial" w:cs="Arial" w:eastAsia="Arial" w:hAnsi="Arial"/>
                <w:sz w:val="18"/>
                <w:szCs w:val="18"/>
                <w:color w:val="auto"/>
                <w:w w:val="89"/>
              </w:rPr>
              <w:t>Vice President, Senior Deputy General</w:t>
            </w:r>
          </w:p>
        </w:tc>
        <w:tc>
          <w:tcPr>
            <w:tcW w:w="7300" w:type="dxa"/>
            <w:vAlign w:val="bottom"/>
          </w:tcPr>
          <w:p>
            <w:pPr>
              <w:spacing w:after="0"/>
              <w:rPr>
                <w:sz w:val="18"/>
                <w:szCs w:val="18"/>
                <w:color w:val="auto"/>
              </w:rPr>
            </w:pPr>
          </w:p>
        </w:tc>
      </w:tr>
      <w:tr>
        <w:trPr>
          <w:trHeight w:val="230"/>
        </w:trPr>
        <w:tc>
          <w:tcPr>
            <w:tcW w:w="1140" w:type="dxa"/>
            <w:vAlign w:val="bottom"/>
          </w:tcPr>
          <w:p>
            <w:pPr>
              <w:spacing w:after="0"/>
              <w:rPr>
                <w:sz w:val="20"/>
                <w:szCs w:val="20"/>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Counsel and Assistant Secretary</w:t>
            </w:r>
          </w:p>
        </w:tc>
        <w:tc>
          <w:tcPr>
            <w:tcW w:w="7300" w:type="dxa"/>
            <w:vAlign w:val="bottom"/>
          </w:tcPr>
          <w:p>
            <w:pPr>
              <w:spacing w:after="0"/>
              <w:rPr>
                <w:sz w:val="20"/>
                <w:szCs w:val="20"/>
                <w:color w:val="auto"/>
              </w:rPr>
            </w:pPr>
          </w:p>
        </w:tc>
      </w:tr>
      <w:tr>
        <w:trPr>
          <w:trHeight w:val="810"/>
        </w:trPr>
        <w:tc>
          <w:tcPr>
            <w:tcW w:w="114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73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14" w:right="339" w:bottom="1440" w:gutter="0" w:footer="0" w:header="0"/>
        </w:sectPr>
      </w:pPr>
    </w:p>
    <w:bookmarkStart w:id="20" w:name="page21"/>
    <w:bookmarkEnd w:id="20"/>
    <w:p>
      <w:pPr>
        <w:ind w:left="660"/>
        <w:spacing w:after="0"/>
        <w:rPr>
          <w:sz w:val="20"/>
          <w:szCs w:val="20"/>
          <w:color w:val="auto"/>
        </w:rPr>
      </w:pPr>
      <w:r>
        <w:rPr>
          <w:rFonts w:ascii="Arial" w:cs="Arial" w:eastAsia="Arial" w:hAnsi="Arial"/>
          <w:sz w:val="18"/>
          <w:szCs w:val="18"/>
          <w:color w:val="auto"/>
        </w:rPr>
        <w:t>This is one of the series designated herein and referred to in the within-mentioned Indenture.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August 25, 2020</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7"/>
          <w:szCs w:val="17"/>
          <w:color w:val="auto"/>
        </w:rPr>
        <w:t>THE BANK OF NEW YORK MELLON,</w:t>
      </w:r>
    </w:p>
    <w:p>
      <w:pPr>
        <w:spacing w:after="0" w:line="35"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as Trustee</w:t>
      </w:r>
    </w:p>
    <w:p>
      <w:pPr>
        <w:spacing w:after="0" w:line="200" w:lineRule="exact"/>
        <w:rPr>
          <w:sz w:val="20"/>
          <w:szCs w:val="20"/>
          <w:color w:val="auto"/>
        </w:rPr>
      </w:pPr>
    </w:p>
    <w:p>
      <w:pPr>
        <w:spacing w:after="0" w:line="227"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942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800" w:right="1440" w:bottom="1440" w:gutter="0" w:footer="0" w:header="0"/>
        </w:sectPr>
      </w:pPr>
    </w:p>
    <w:bookmarkStart w:id="21" w:name="page22"/>
    <w:bookmarkEnd w:id="21"/>
    <w:p>
      <w:pPr>
        <w:jc w:val="center"/>
        <w:ind w:right="-59"/>
        <w:spacing w:after="0"/>
        <w:rPr>
          <w:sz w:val="20"/>
          <w:szCs w:val="20"/>
          <w:color w:val="auto"/>
        </w:rPr>
      </w:pPr>
      <w:r>
        <w:rPr>
          <w:rFonts w:ascii="Arial" w:cs="Arial" w:eastAsia="Arial" w:hAnsi="Arial"/>
          <w:sz w:val="18"/>
          <w:szCs w:val="18"/>
          <w:color w:val="auto"/>
        </w:rPr>
        <w:t>(REVERSE OF SECURITY)</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2.450% Note due 2052</w:t>
      </w:r>
    </w:p>
    <w:p>
      <w:pPr>
        <w:spacing w:after="0" w:line="225" w:lineRule="exact"/>
        <w:rPr>
          <w:sz w:val="20"/>
          <w:szCs w:val="20"/>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Interest.</w:t>
      </w:r>
    </w:p>
    <w:p>
      <w:pPr>
        <w:spacing w:after="0" w:line="221"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color w:val="auto"/>
        </w:rPr>
        <w:t>COMCAST CORPORATION, a Pennsylvania corporation (the “</w:t>
      </w:r>
      <w:r>
        <w:rPr>
          <w:rFonts w:ascii="Arial" w:cs="Arial" w:eastAsia="Arial" w:hAnsi="Arial"/>
          <w:sz w:val="18"/>
          <w:szCs w:val="18"/>
          <w:b w:val="1"/>
          <w:bCs w:val="1"/>
          <w:color w:val="auto"/>
        </w:rPr>
        <w:t>Issuer</w:t>
      </w:r>
      <w:r>
        <w:rPr>
          <w:rFonts w:ascii="Arial" w:cs="Arial" w:eastAsia="Arial" w:hAnsi="Arial"/>
          <w:sz w:val="18"/>
          <w:szCs w:val="18"/>
          <w:color w:val="auto"/>
        </w:rPr>
        <w:t>”), promises to pay interest on the principal amount of this Security at the rate per annum shown above. Cash interest on the Securities will accrue from the most recent date to which interest has been paid or, if no interest has been paid, from August 25, 2020. The Issuer will pay interest semi-annually in arrears on each Interest Payment Date, commencing February 15, 2021. Interest will be computed on the basis of a 360-day year of twelve 30-day months.</w:t>
      </w:r>
    </w:p>
    <w:p>
      <w:pPr>
        <w:spacing w:after="0" w:line="184"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Issuer shall pay interest on overdue principal from time to time on demand at the rate borne by the Securities and on overdue installments of interest (without regard to any applicable grace periods) to the extent lawful.</w:t>
      </w:r>
    </w:p>
    <w:p>
      <w:pPr>
        <w:spacing w:after="0" w:line="170" w:lineRule="exact"/>
        <w:rPr>
          <w:sz w:val="20"/>
          <w:szCs w:val="20"/>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Method of Payment.</w:t>
      </w:r>
    </w:p>
    <w:p>
      <w:pPr>
        <w:spacing w:after="0" w:line="225"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The Issuer shall pay interest on the Securities (except defaulted interest) to the persons who are the registered Holders at the close of business on the Interest Record Date immediately preceding the Interest Payment Date notwithstanding any transfer or exchange of such Security subsequent to such Interest Record Date and prior to such Interest Payment Date. Holders must surrender Securities to The Bank of New York Mellon (the “</w:t>
      </w:r>
      <w:r>
        <w:rPr>
          <w:rFonts w:ascii="Arial" w:cs="Arial" w:eastAsia="Arial" w:hAnsi="Arial"/>
          <w:sz w:val="17"/>
          <w:szCs w:val="17"/>
          <w:b w:val="1"/>
          <w:bCs w:val="1"/>
          <w:color w:val="auto"/>
        </w:rPr>
        <w:t>Trustee</w:t>
      </w:r>
      <w:r>
        <w:rPr>
          <w:rFonts w:ascii="Arial" w:cs="Arial" w:eastAsia="Arial" w:hAnsi="Arial"/>
          <w:sz w:val="17"/>
          <w:szCs w:val="17"/>
          <w:color w:val="auto"/>
        </w:rPr>
        <w:t>”) to collect principal payments. The Issuer shall pay principal and interest in money of the United States that at the time of payment is legal tender for payment of public and private debts (“</w:t>
      </w:r>
      <w:r>
        <w:rPr>
          <w:rFonts w:ascii="Arial" w:cs="Arial" w:eastAsia="Arial" w:hAnsi="Arial"/>
          <w:sz w:val="17"/>
          <w:szCs w:val="17"/>
          <w:b w:val="1"/>
          <w:bCs w:val="1"/>
          <w:color w:val="auto"/>
        </w:rPr>
        <w:t>U.S. Legal Tender</w:t>
      </w:r>
      <w:r>
        <w:rPr>
          <w:rFonts w:ascii="Arial" w:cs="Arial" w:eastAsia="Arial" w:hAnsi="Arial"/>
          <w:sz w:val="17"/>
          <w:szCs w:val="17"/>
          <w:color w:val="auto"/>
        </w:rPr>
        <w:t>”). However, the payments of interest, and any portion of the principal (other than interest payable at maturity or on any redemption or repayment date or the final payment of principal) shall be made by the Paying Agent, upon receipt from the Issuer of immediately available funds by 11:00 a.m., New York City time (or such other time as may be agreed to between the Issuer and the Paying Agent or the Issuer), directly to a Holder (by Federal funds wire transfer or otherwise) if the Holder has delivered written instructions to the Trustee 15 days prior to such payment date requesting that such payment will be so made and designating the bank account to which such payments shall be so made and in the case of payments of principal surrenders the same to the Trustee in exchange for a Security or Securities aggregating the same principal amount as the unredeemed principal amount of the Securities surrendered.</w:t>
      </w:r>
    </w:p>
    <w:p>
      <w:pPr>
        <w:spacing w:after="0" w:line="182" w:lineRule="exact"/>
        <w:rPr>
          <w:sz w:val="20"/>
          <w:szCs w:val="20"/>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Paying Agent.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Initially, the Trustee will act as Paying Agent. The Issuer may change any Paying Agent without notice to the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814" w:right="379" w:bottom="1440" w:gutter="0" w:footer="0" w:header="0"/>
        </w:sectPr>
      </w:pPr>
    </w:p>
    <w:bookmarkStart w:id="22" w:name="page23"/>
    <w:bookmarkEnd w:id="22"/>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Indenture.</w:t>
      </w:r>
    </w:p>
    <w:p>
      <w:pPr>
        <w:spacing w:after="0" w:line="225"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The Issuer issued the Securities under an Indenture dated as of September 18, 2013, by and among the Issuer, the guarantors named therein and the Trustee, as amended by the First Supplemental Indenture dated as of November 17, 2015, by and among the Issuer, the guarantors named therein (the “</w:t>
      </w:r>
      <w:r>
        <w:rPr>
          <w:rFonts w:ascii="Arial" w:cs="Arial" w:eastAsia="Arial" w:hAnsi="Arial"/>
          <w:sz w:val="16"/>
          <w:szCs w:val="16"/>
          <w:b w:val="1"/>
          <w:bCs w:val="1"/>
          <w:color w:val="auto"/>
        </w:rPr>
        <w:t>Guarantors</w:t>
      </w:r>
      <w:r>
        <w:rPr>
          <w:rFonts w:ascii="Arial" w:cs="Arial" w:eastAsia="Arial" w:hAnsi="Arial"/>
          <w:sz w:val="16"/>
          <w:szCs w:val="16"/>
          <w:color w:val="auto"/>
        </w:rPr>
        <w:t>”) and the Trustee (as amended, the “</w:t>
      </w:r>
      <w:r>
        <w:rPr>
          <w:rFonts w:ascii="Arial" w:cs="Arial" w:eastAsia="Arial" w:hAnsi="Arial"/>
          <w:sz w:val="16"/>
          <w:szCs w:val="16"/>
          <w:b w:val="1"/>
          <w:bCs w:val="1"/>
          <w:color w:val="auto"/>
        </w:rPr>
        <w:t>Indenture</w:t>
      </w:r>
      <w:r>
        <w:rPr>
          <w:rFonts w:ascii="Arial" w:cs="Arial" w:eastAsia="Arial" w:hAnsi="Arial"/>
          <w:sz w:val="16"/>
          <w:szCs w:val="16"/>
          <w:color w:val="auto"/>
        </w:rPr>
        <w:t>”). Capitalized terms herein are used as defined in the Indenture unless otherwise defined herein. The terms of the Securities include those stated in the Indenture and those made part of the Indenture by reference to the Trust Indenture Act of</w:t>
      </w:r>
    </w:p>
    <w:p>
      <w:pPr>
        <w:spacing w:after="0" w:line="1"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1939 (15 U.S.C. Sections 77aaa-77bbbb) (the “</w:t>
      </w:r>
      <w:r>
        <w:rPr>
          <w:rFonts w:ascii="Arial" w:cs="Arial" w:eastAsia="Arial" w:hAnsi="Arial"/>
          <w:sz w:val="18"/>
          <w:szCs w:val="18"/>
          <w:b w:val="1"/>
          <w:bCs w:val="1"/>
          <w:color w:val="auto"/>
        </w:rPr>
        <w:t>TIA</w:t>
      </w:r>
      <w:r>
        <w:rPr>
          <w:rFonts w:ascii="Arial" w:cs="Arial" w:eastAsia="Arial" w:hAnsi="Arial"/>
          <w:sz w:val="18"/>
          <w:szCs w:val="18"/>
          <w:color w:val="auto"/>
        </w:rPr>
        <w:t>”), as in effect on the date of the Indenture until such time as the Indenture is qualified under the TIA, and thereafter as in effect on the date on which the Indenture is qualified under the TIA. Notwithstanding anything to the contrary herein, the Securities are subject to all such terms, and Holders of Securities are referred to the Indenture and the TIA for a statement of them. To the extent the terms of the Indenture and this Security are inconsistent, the terms of the Indenture shall govern. This note is a “</w:t>
      </w:r>
      <w:r>
        <w:rPr>
          <w:rFonts w:ascii="Arial" w:cs="Arial" w:eastAsia="Arial" w:hAnsi="Arial"/>
          <w:sz w:val="18"/>
          <w:szCs w:val="18"/>
          <w:b w:val="1"/>
          <w:bCs w:val="1"/>
          <w:color w:val="auto"/>
        </w:rPr>
        <w:t>Security</w:t>
      </w:r>
      <w:r>
        <w:rPr>
          <w:rFonts w:ascii="Arial" w:cs="Arial" w:eastAsia="Arial" w:hAnsi="Arial"/>
          <w:sz w:val="18"/>
          <w:szCs w:val="18"/>
          <w:color w:val="auto"/>
        </w:rPr>
        <w:t>” and the notes are “</w:t>
      </w:r>
      <w:r>
        <w:rPr>
          <w:rFonts w:ascii="Arial" w:cs="Arial" w:eastAsia="Arial" w:hAnsi="Arial"/>
          <w:sz w:val="18"/>
          <w:szCs w:val="18"/>
          <w:b w:val="1"/>
          <w:bCs w:val="1"/>
          <w:color w:val="auto"/>
        </w:rPr>
        <w:t>Securities</w:t>
      </w:r>
      <w:r>
        <w:rPr>
          <w:rFonts w:ascii="Arial" w:cs="Arial" w:eastAsia="Arial" w:hAnsi="Arial"/>
          <w:sz w:val="18"/>
          <w:szCs w:val="18"/>
          <w:color w:val="auto"/>
        </w:rPr>
        <w:t>” under the Indenture.</w:t>
      </w:r>
    </w:p>
    <w:p>
      <w:pPr>
        <w:spacing w:after="0" w:line="191" w:lineRule="exact"/>
        <w:rPr>
          <w:sz w:val="20"/>
          <w:szCs w:val="20"/>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Guarantees.</w:t>
      </w:r>
    </w:p>
    <w:p>
      <w:pPr>
        <w:spacing w:after="0" w:line="225" w:lineRule="exact"/>
        <w:rPr>
          <w:sz w:val="20"/>
          <w:szCs w:val="20"/>
          <w:color w:val="auto"/>
        </w:rPr>
      </w:pPr>
    </w:p>
    <w:p>
      <w:pPr>
        <w:jc w:val="both"/>
        <w:ind w:right="40" w:firstLine="648"/>
        <w:spacing w:after="0" w:line="311" w:lineRule="auto"/>
        <w:rPr>
          <w:sz w:val="20"/>
          <w:szCs w:val="20"/>
          <w:color w:val="auto"/>
        </w:rPr>
      </w:pPr>
      <w:r>
        <w:rPr>
          <w:rFonts w:ascii="Arial" w:cs="Arial" w:eastAsia="Arial" w:hAnsi="Arial"/>
          <w:sz w:val="16"/>
          <w:szCs w:val="16"/>
          <w:color w:val="auto"/>
        </w:rPr>
        <w:t>Each Guarantor has irrevocably, fully and unconditionally guaranteed, jointly and severally, on an unsecured basis, the full and punctual payment (whether at maturity, upon redemption or otherwise) of the principal of and interest on, and all other amounts payable under, the Securities, and the full and punctual payment of all other amounts payable by the Issuer under the Indenture, subject to certain terms and conditions set forth in the Indenture.</w:t>
      </w:r>
    </w:p>
    <w:p>
      <w:pPr>
        <w:spacing w:after="0" w:line="149" w:lineRule="exact"/>
        <w:rPr>
          <w:sz w:val="20"/>
          <w:szCs w:val="20"/>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Denominations; Transfer; Exchange.</w:t>
      </w:r>
    </w:p>
    <w:p>
      <w:pPr>
        <w:spacing w:after="0" w:line="225" w:lineRule="exact"/>
        <w:rPr>
          <w:sz w:val="20"/>
          <w:szCs w:val="20"/>
          <w:color w:val="auto"/>
        </w:rPr>
      </w:pPr>
    </w:p>
    <w:p>
      <w:pPr>
        <w:ind w:right="20" w:firstLine="648"/>
        <w:spacing w:after="0" w:line="296" w:lineRule="auto"/>
        <w:rPr>
          <w:sz w:val="20"/>
          <w:szCs w:val="20"/>
          <w:color w:val="auto"/>
        </w:rPr>
      </w:pPr>
      <w:r>
        <w:rPr>
          <w:rFonts w:ascii="Arial" w:cs="Arial" w:eastAsia="Arial" w:hAnsi="Arial"/>
          <w:sz w:val="16"/>
          <w:szCs w:val="16"/>
          <w:color w:val="auto"/>
        </w:rPr>
        <w:t>The Securities are in registered form, without coupons, in denominations of $2,000 and multiples of $1,000 in excess thereof. A Holder shall register the transfer of or exchange Securities in accordance with the Indenture. The Issuer may require a Holder, among other things, to furnish appropriate endorsements and transfer documents and to pay certain transfer taxes or similar governmental charges payable in connection therewith as permitted by the Indenture. The Issuer need not issue, authenticate, register the transfer of or exchange any Securities or portions thereof for a period of fifteen (15) days before the giving of a notice of redemption, nor need the Issuer register the transfer or exchange any security selected for redemption in whole or in part.</w:t>
      </w:r>
    </w:p>
    <w:p>
      <w:pPr>
        <w:spacing w:after="0" w:line="161" w:lineRule="exact"/>
        <w:rPr>
          <w:sz w:val="20"/>
          <w:szCs w:val="20"/>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Persons Deemed Owners.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registered Holder of a Security shall be treated as the owner of it for all purposes.</w:t>
      </w:r>
    </w:p>
    <w:p>
      <w:pPr>
        <w:spacing w:after="0" w:line="225" w:lineRule="exact"/>
        <w:rPr>
          <w:sz w:val="20"/>
          <w:szCs w:val="20"/>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Unclaimed Funds.</w:t>
      </w:r>
    </w:p>
    <w:p>
      <w:pPr>
        <w:spacing w:after="0" w:line="225" w:lineRule="exact"/>
        <w:rPr>
          <w:sz w:val="20"/>
          <w:szCs w:val="20"/>
          <w:color w:val="auto"/>
        </w:rPr>
      </w:pPr>
    </w:p>
    <w:p>
      <w:pPr>
        <w:ind w:right="440" w:firstLine="648"/>
        <w:spacing w:after="0" w:line="308" w:lineRule="auto"/>
        <w:rPr>
          <w:sz w:val="20"/>
          <w:szCs w:val="20"/>
          <w:color w:val="auto"/>
        </w:rPr>
      </w:pPr>
      <w:r>
        <w:rPr>
          <w:rFonts w:ascii="Arial" w:cs="Arial" w:eastAsia="Arial" w:hAnsi="Arial"/>
          <w:sz w:val="17"/>
          <w:szCs w:val="17"/>
          <w:color w:val="auto"/>
        </w:rPr>
        <w:t>If funds for the payment of principal or interest remain unclaimed for two years, the Trustee and the Paying Agent will repay the funds to the Issuer at its written request. After that, all liability of the Trustee and such Paying Agent with respect to such funds shall cease.</w:t>
      </w:r>
    </w:p>
    <w:p>
      <w:pPr>
        <w:spacing w:after="0" w:line="146" w:lineRule="exact"/>
        <w:rPr>
          <w:sz w:val="20"/>
          <w:szCs w:val="20"/>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Legal Defeasance and Covenant Defeasance.</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The Issuer and the Guarantors may be discharged from their respective obligations under the Securities and under the Indenture with respect to the Securities except for certain provisions thereof, and may be discharged from obligations to comply with certain covenants contained in the Securities and in the Indenture with respect to the Securities, in each case upon satisfaction of certain conditions specified in the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27" w:right="339" w:bottom="1440" w:gutter="0" w:footer="0" w:header="0"/>
        </w:sectPr>
      </w:pPr>
    </w:p>
    <w:bookmarkStart w:id="23" w:name="page24"/>
    <w:bookmarkEnd w:id="23"/>
    <w:p>
      <w:pPr>
        <w:ind w:left="660"/>
        <w:spacing w:after="0"/>
        <w:rPr>
          <w:sz w:val="20"/>
          <w:szCs w:val="20"/>
          <w:color w:val="auto"/>
        </w:rPr>
      </w:pPr>
      <w:r>
        <w:rPr>
          <w:rFonts w:ascii="Arial" w:cs="Arial" w:eastAsia="Arial" w:hAnsi="Arial"/>
          <w:sz w:val="18"/>
          <w:szCs w:val="18"/>
          <w:color w:val="auto"/>
        </w:rPr>
        <w:t>10. Amendment; Supplement; Waiver.</w:t>
      </w:r>
    </w:p>
    <w:p>
      <w:pPr>
        <w:spacing w:after="0" w:line="225"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Subject to certain exceptions, the Securities and the provisions of the Indenture relating to the Securities may be amended or supplemented with the written consent of the Holders of at least a majority in aggregate principal amount of the Securities then outstanding, and any existing Default or Event of Default or compliance with certain provisions may be waived with the consent of the Holders of a majority in aggregate principal amount of the Securities then outstanding. Without notice to or consent of any Holder, the parties thereto may amend or supplement the Indenture and the Securities to, among other things, cure any ambiguity, defect or inconsistency, provide for uncertificated Securities in addition to or in place of certificated Securities or comply with any requirements of the Commission in connection with the qualification of the Indenture under the TIA, or make any other change that does not adversely affect the rights of any Holder of a Security.</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11. Restrictive Covenants.</w:t>
      </w:r>
    </w:p>
    <w:p>
      <w:pPr>
        <w:spacing w:after="0" w:line="225" w:lineRule="exact"/>
        <w:rPr>
          <w:sz w:val="20"/>
          <w:szCs w:val="20"/>
          <w:color w:val="auto"/>
        </w:rPr>
      </w:pPr>
    </w:p>
    <w:p>
      <w:pPr>
        <w:ind w:right="460" w:firstLine="648"/>
        <w:spacing w:after="0" w:line="311" w:lineRule="auto"/>
        <w:rPr>
          <w:sz w:val="20"/>
          <w:szCs w:val="20"/>
          <w:color w:val="auto"/>
        </w:rPr>
      </w:pPr>
      <w:r>
        <w:rPr>
          <w:rFonts w:ascii="Arial" w:cs="Arial" w:eastAsia="Arial" w:hAnsi="Arial"/>
          <w:sz w:val="16"/>
          <w:szCs w:val="16"/>
          <w:color w:val="auto"/>
        </w:rPr>
        <w:t>The Indenture contains certain covenants that, among other things, limit the ability of the Issuer and the Guarantors to incur liens securing indebtedness, or to enter into sale and leaseback transactions, and of the Issuer to merge or sell all or substantially all of its assets. The limitations are subject to a number of important qualifications and exceptions. The Issuer must annually report to the Trustee on compliance with such limitations.</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12. Redemption.</w:t>
      </w:r>
    </w:p>
    <w:p>
      <w:pPr>
        <w:spacing w:after="0" w:line="225" w:lineRule="exact"/>
        <w:rPr>
          <w:sz w:val="20"/>
          <w:szCs w:val="20"/>
          <w:color w:val="auto"/>
        </w:rPr>
      </w:pPr>
    </w:p>
    <w:p>
      <w:pPr>
        <w:jc w:val="both"/>
        <w:ind w:right="460" w:firstLine="648"/>
        <w:spacing w:after="0" w:line="311" w:lineRule="auto"/>
        <w:rPr>
          <w:sz w:val="20"/>
          <w:szCs w:val="20"/>
          <w:color w:val="auto"/>
        </w:rPr>
      </w:pPr>
      <w:r>
        <w:rPr>
          <w:rFonts w:ascii="Arial" w:cs="Arial" w:eastAsia="Arial" w:hAnsi="Arial"/>
          <w:sz w:val="16"/>
          <w:szCs w:val="16"/>
          <w:color w:val="auto"/>
        </w:rPr>
        <w:t>The Issuer will have the right at its option to redeem any of the Securities in whole or in part, at any time or from time to time prior to their maturity, on at least 15 days, but not more than 30 days, prior notice delivered electronically or mailed to the registered address of each Holder of the Securities, at the applicable Redemption Price. The Issuer will calculate the Redemption Price in connection with any redemption hereunder.</w:t>
      </w:r>
    </w:p>
    <w:p>
      <w:pPr>
        <w:spacing w:after="0" w:line="145" w:lineRule="exact"/>
        <w:rPr>
          <w:sz w:val="20"/>
          <w:szCs w:val="20"/>
          <w:color w:val="auto"/>
        </w:rPr>
      </w:pPr>
    </w:p>
    <w:p>
      <w:pPr>
        <w:ind w:firstLine="64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Redemption Price</w:t>
      </w:r>
      <w:r>
        <w:rPr>
          <w:rFonts w:ascii="Arial" w:cs="Arial" w:eastAsia="Arial" w:hAnsi="Arial"/>
          <w:sz w:val="18"/>
          <w:szCs w:val="18"/>
          <w:color w:val="auto"/>
        </w:rPr>
        <w:t>” means (a) at any time prior to February 15, 2052 (six (6) months prior to the maturity of the Securities) (the “</w:t>
      </w:r>
      <w:r>
        <w:rPr>
          <w:rFonts w:ascii="Arial" w:cs="Arial" w:eastAsia="Arial" w:hAnsi="Arial"/>
          <w:sz w:val="18"/>
          <w:szCs w:val="18"/>
          <w:b w:val="1"/>
          <w:bCs w:val="1"/>
          <w:color w:val="auto"/>
        </w:rPr>
        <w:t>Par Call</w:t>
      </w:r>
      <w:r>
        <w:rPr>
          <w:rFonts w:ascii="Arial" w:cs="Arial" w:eastAsia="Arial" w:hAnsi="Arial"/>
          <w:sz w:val="18"/>
          <w:szCs w:val="18"/>
          <w:color w:val="auto"/>
        </w:rPr>
        <w:t xml:space="preserve"> </w:t>
      </w:r>
      <w:r>
        <w:rPr>
          <w:rFonts w:ascii="Arial" w:cs="Arial" w:eastAsia="Arial" w:hAnsi="Arial"/>
          <w:sz w:val="18"/>
          <w:szCs w:val="18"/>
          <w:b w:val="1"/>
          <w:bCs w:val="1"/>
          <w:color w:val="auto"/>
        </w:rPr>
        <w:t>Date</w:t>
      </w:r>
      <w:r>
        <w:rPr>
          <w:rFonts w:ascii="Arial" w:cs="Arial" w:eastAsia="Arial" w:hAnsi="Arial"/>
          <w:sz w:val="18"/>
          <w:szCs w:val="18"/>
          <w:color w:val="auto"/>
        </w:rPr>
        <w:t>”), the greater of (i) 100% of the principal amount of such Securities and (ii) the sum of the present values of the principal amount of such Securities</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scheduled payments of interest thereon (exclusive of interest accrued to the date of redemption) from the redemption date to the Par Call Date, in each case discounted to the redemption date on a semiannual basis (assuming a 360-day year consisting of twelve 30-day months) at the Treasury Rate plus 20 basis points and (b) if the Securities are redeemed on or after the Par Call Date, 100% of the principal amount of such Securities; plus, in each case, accrued and unpaid interest thereon to the date of redemption.</w:t>
      </w:r>
    </w:p>
    <w:p>
      <w:pPr>
        <w:spacing w:after="0" w:line="187" w:lineRule="exact"/>
        <w:rPr>
          <w:sz w:val="20"/>
          <w:szCs w:val="20"/>
          <w:color w:val="auto"/>
        </w:rPr>
      </w:pPr>
    </w:p>
    <w:p>
      <w:pPr>
        <w:ind w:right="2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Treasury Rate</w:t>
      </w:r>
      <w:r>
        <w:rPr>
          <w:rFonts w:ascii="Arial" w:cs="Arial" w:eastAsia="Arial" w:hAnsi="Arial"/>
          <w:sz w:val="18"/>
          <w:szCs w:val="18"/>
          <w:color w:val="auto"/>
        </w:rPr>
        <w:t>” means, with respect to any redemption date, the rate per annum equal to the semiannual equivalent yield to maturity or interpolated (on a day count basis) of the Comparable Treasury Issue, assuming a price for the Comparable Treasury Issue (expressed as a percentage of its principal amount) equal to the Comparable Treasury Price for such redemption date.</w:t>
      </w:r>
    </w:p>
    <w:p>
      <w:pPr>
        <w:spacing w:after="0" w:line="176" w:lineRule="exact"/>
        <w:rPr>
          <w:sz w:val="20"/>
          <w:szCs w:val="20"/>
          <w:color w:val="auto"/>
        </w:rPr>
      </w:pPr>
    </w:p>
    <w:p>
      <w:pPr>
        <w:ind w:right="120" w:firstLine="648"/>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Comparable Treasury Issue</w:t>
      </w:r>
      <w:r>
        <w:rPr>
          <w:rFonts w:ascii="Arial" w:cs="Arial" w:eastAsia="Arial" w:hAnsi="Arial"/>
          <w:sz w:val="17"/>
          <w:szCs w:val="17"/>
          <w:color w:val="auto"/>
        </w:rPr>
        <w:t>” means the United States Treasury security or securities selected by an Independent Investment Banker as having an actual or interpolated maturity comparable to the remaining term of the Securities to be redeemed calculated as if the maturity date of such Securities were the applicable Par Call Date (the “Remaining Life”) that would be utilized, at the time of selection and in accordance with customary financial practice, in pricing new issues of corporate debt securities of comparable maturity to the Remaining Life of such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339090</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800" w:right="379" w:bottom="1440" w:gutter="0" w:footer="0" w:header="0"/>
        </w:sectPr>
      </w:pPr>
    </w:p>
    <w:bookmarkStart w:id="24" w:name="page25"/>
    <w:bookmarkEnd w:id="24"/>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Independent Investment Banker</w:t>
      </w:r>
      <w:r>
        <w:rPr>
          <w:rFonts w:ascii="Arial" w:cs="Arial" w:eastAsia="Arial" w:hAnsi="Arial"/>
          <w:sz w:val="18"/>
          <w:szCs w:val="18"/>
          <w:color w:val="auto"/>
        </w:rPr>
        <w:t>” means one of the Reference Treasury Dealers appointed by the Issuer.</w:t>
      </w:r>
    </w:p>
    <w:p>
      <w:pPr>
        <w:spacing w:after="0" w:line="225" w:lineRule="exact"/>
        <w:rPr>
          <w:sz w:val="20"/>
          <w:szCs w:val="20"/>
          <w:color w:val="auto"/>
        </w:rPr>
      </w:pPr>
    </w:p>
    <w:p>
      <w:pPr>
        <w:ind w:right="2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Comparable Treasury Price</w:t>
      </w:r>
      <w:r>
        <w:rPr>
          <w:rFonts w:ascii="Arial" w:cs="Arial" w:eastAsia="Arial" w:hAnsi="Arial"/>
          <w:sz w:val="18"/>
          <w:szCs w:val="18"/>
          <w:color w:val="auto"/>
        </w:rPr>
        <w:t>” means, with respect to any redemption date, (i) the average of the Reference Treasury Dealer Quotations for such redemption date, after excluding the highest and lowest such Reference Treasury Dealer Quotation or (ii) if the Independent Investment Banker obtains fewer than four such Reference Treasury Dealer Quotations, the average of all such quotations.</w:t>
      </w:r>
    </w:p>
    <w:p>
      <w:pPr>
        <w:spacing w:after="0" w:line="176"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Reference Treasury Dealer</w:t>
      </w:r>
      <w:r>
        <w:rPr>
          <w:rFonts w:ascii="Arial" w:cs="Arial" w:eastAsia="Arial" w:hAnsi="Arial"/>
          <w:sz w:val="18"/>
          <w:szCs w:val="18"/>
          <w:color w:val="auto"/>
        </w:rPr>
        <w:t xml:space="preserve">” means each of BofA Securities, Inc., Goldman Sachs &amp; Co. LLC, Morgan Stanley &amp; Co. LLC and Wells Fargo Securities, LLC, or their affiliates which are primary United States government securities dealers and their respective successors;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if any of the foregoing shall cease to be a primary United States government securities dealer in the United States (a “</w:t>
      </w:r>
      <w:r>
        <w:rPr>
          <w:rFonts w:ascii="Arial" w:cs="Arial" w:eastAsia="Arial" w:hAnsi="Arial"/>
          <w:sz w:val="18"/>
          <w:szCs w:val="18"/>
          <w:b w:val="1"/>
          <w:bCs w:val="1"/>
          <w:color w:val="auto"/>
        </w:rPr>
        <w:t>Primary Treasury Dealer</w:t>
      </w:r>
      <w:r>
        <w:rPr>
          <w:rFonts w:ascii="Arial" w:cs="Arial" w:eastAsia="Arial" w:hAnsi="Arial"/>
          <w:sz w:val="18"/>
          <w:szCs w:val="18"/>
          <w:color w:val="auto"/>
        </w:rPr>
        <w:t>”), the Issuer will substitute therefor another Primary Treasury Dealer.</w:t>
      </w:r>
    </w:p>
    <w:p>
      <w:pPr>
        <w:spacing w:after="0" w:line="180" w:lineRule="exact"/>
        <w:rPr>
          <w:sz w:val="20"/>
          <w:szCs w:val="20"/>
          <w:color w:val="auto"/>
        </w:rPr>
      </w:pPr>
    </w:p>
    <w:p>
      <w:pPr>
        <w:ind w:right="80"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Reference Treasury Dealer Quotation</w:t>
      </w:r>
      <w:r>
        <w:rPr>
          <w:rFonts w:ascii="Arial" w:cs="Arial" w:eastAsia="Arial" w:hAnsi="Arial"/>
          <w:sz w:val="18"/>
          <w:szCs w:val="18"/>
          <w:color w:val="auto"/>
        </w:rPr>
        <w:t>” means, with respect to each Reference Treasury Dealer and any redemption date, the average, as determined by the Independent Investment Banker, of the bid and asked prices for the Comparable Treasury Issue (expressed in case as a percentage of its principal amount) quoted in writing to the Independent Investment Banker by such Reference Treasury Dealer at 3:30 pm New York time on the third business day preceding such redemption date.</w:t>
      </w:r>
    </w:p>
    <w:p>
      <w:pPr>
        <w:spacing w:after="0" w:line="184"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On and after the redemption date, interest will cease to accrue on the Securities or any portion of the Securities called for redemption (unless the Issuer defaults in the payment of the redemption price and accrued interest). On or before the redemption date, the Issuer will deposit with the Trustee money sufficient to pay the redemption price of and (unless the redemption date shall be an Interest Payment Date) accrued interest to the redemption date on the Securities to be redeemed on such date. If less than all of the Securities are to be redeemed, the Securities to be redeemed shall be selected by the Trustee by such method as the Trustee shall deem fair and appropriate (provided that Securities represented by a Global Security will be selected for redemption by the Depositary in accordance with its standard procedures therefor).</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13. Defaults and Remedies.</w:t>
      </w:r>
    </w:p>
    <w:p>
      <w:pPr>
        <w:spacing w:after="0" w:line="225"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If an Event of Default (other than certain bankruptcy Events of Default with respect to the Issuer or any of the Guarantors) occurs and is continuing, the Trustee or the Holders of at least 25% in aggregate principal amount of Securities then outstanding may declare all of the Securities to be due and payable immediately in the manner and with the effect provided in the Indenture. If a bankruptcy Event of Default with respect to the Issuer or any of the Guarantors occurs and is continuing, all the Securities shall be immediately due and payable immediately in the manner and with the effect provided in the Indenture without any notice or other action on the part of the Trustee or any Holder. Holders of Securities may not enforce the Indenture, the Securities or the Guarantees except as provided in the Indenture. The Trustee is not obligated to enforce the Indenture, the Securities or the Guarantees unless it has received indemnity satisfactory to it. The Indenture permits, subject to certain limitations therein provided, Holders of a majority in aggregate principal amount of the Securities then outstanding to direct the Trustee in its exercise of any trust or power. The Trustee may withhold from Holders of Securities notice of certain continuing Defaults or Events of Default if it determines that withholding notice is in their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796" w:right="399" w:bottom="1440" w:gutter="0" w:footer="0" w:header="0"/>
        </w:sectPr>
      </w:pPr>
    </w:p>
    <w:bookmarkStart w:id="25" w:name="page26"/>
    <w:bookmarkEnd w:id="25"/>
    <w:p>
      <w:pPr>
        <w:ind w:left="660"/>
        <w:spacing w:after="0"/>
        <w:rPr>
          <w:sz w:val="20"/>
          <w:szCs w:val="20"/>
          <w:color w:val="auto"/>
        </w:rPr>
      </w:pPr>
      <w:r>
        <w:rPr>
          <w:rFonts w:ascii="Arial" w:cs="Arial" w:eastAsia="Arial" w:hAnsi="Arial"/>
          <w:sz w:val="18"/>
          <w:szCs w:val="18"/>
          <w:color w:val="auto"/>
        </w:rPr>
        <w:t>14. Trustee Dealings with Issuer.</w:t>
      </w:r>
    </w:p>
    <w:p>
      <w:pPr>
        <w:spacing w:after="0" w:line="225"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 Trustee under the Indenture, in its individual or any other capacity, may become the owner or pledgee of Securities and may otherwise deal with the Issuer as if it were not the Trustee.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15. No Recourse Against Others.</w:t>
      </w:r>
    </w:p>
    <w:p>
      <w:pPr>
        <w:spacing w:after="0" w:line="22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No stockholder, director, officer, employee or incorporator, as such, of the Issuer, any Guarantor or any successor Person thereof shall have any liability for any obligation under the Securities, the Guarantees or the Indenture or for any claim based on, in respect of or by reason of, such obligations or their creation. Each Holder of a Security by accepting a Security waives and releases all such liability. The waiver and release are part of the consideration for the issuance of the Securities.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16. Authentication.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Security shall not be valid until the Trustee manually signs the certificate of authentication on this Security.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17. Abbreviations and Defined Terms.</w:t>
      </w:r>
    </w:p>
    <w:p>
      <w:pPr>
        <w:spacing w:after="0" w:line="225"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Customary abbreviations may be used in the name of a Holder of a Security or an assignee, such as: TEN COM (= tenants in common), TEN ENT (= tenants by the entireties), JT TEN (= joint tenants with right of survivorship and not as tenants in common), CUST (= Custodian), and U/G/M/A (= Uniform Gifts to Minors Act).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18. CUSIP Numbers.</w:t>
      </w:r>
    </w:p>
    <w:p>
      <w:pPr>
        <w:spacing w:after="0" w:line="225" w:lineRule="exact"/>
        <w:rPr>
          <w:sz w:val="20"/>
          <w:szCs w:val="20"/>
          <w:color w:val="auto"/>
        </w:rPr>
      </w:pPr>
    </w:p>
    <w:p>
      <w:pPr>
        <w:ind w:right="120" w:firstLine="648"/>
        <w:spacing w:after="0" w:line="286" w:lineRule="auto"/>
        <w:rPr>
          <w:sz w:val="20"/>
          <w:szCs w:val="20"/>
          <w:color w:val="auto"/>
        </w:rPr>
      </w:pPr>
      <w:r>
        <w:rPr>
          <w:rFonts w:ascii="Arial" w:cs="Arial" w:eastAsia="Arial" w:hAnsi="Arial"/>
          <w:sz w:val="17"/>
          <w:szCs w:val="17"/>
          <w:color w:val="auto"/>
        </w:rPr>
        <w:t>Pursuant to a recommendation promulgated by the Committee on Uniform Security Identification Procedures, the Issuer has caused CUSIP numbers to be printed on the Securities as a convenience to the Holders of the Securities. No representation is made as to the accuracy of such numbers as printed on the Securities and reliance may be placed only on the other identification numbers printed hereon.</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19. Governing Law.</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laws of the State of New York shall govern the Indenture and this Security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800" w:right="359" w:bottom="1440" w:gutter="0" w:footer="0" w:header="0"/>
        </w:sectPr>
      </w:pPr>
    </w:p>
    <w:bookmarkStart w:id="26" w:name="page27"/>
    <w:bookmarkEnd w:id="26"/>
    <w:p>
      <w:pPr>
        <w:ind w:left="5100"/>
        <w:spacing w:after="0"/>
        <w:rPr>
          <w:sz w:val="20"/>
          <w:szCs w:val="20"/>
          <w:color w:val="auto"/>
        </w:rPr>
      </w:pPr>
      <w:r>
        <w:rPr>
          <w:rFonts w:ascii="Arial" w:cs="Arial" w:eastAsia="Arial" w:hAnsi="Arial"/>
          <w:sz w:val="18"/>
          <w:szCs w:val="18"/>
          <w:color w:val="auto"/>
        </w:rPr>
        <w:t>ASSIGNMENT FORM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or we assign and transfer this Security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(Print or type name, address and zip code of assignee or transferee)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(Insert Social Security or other identifying number of assignee or transferee)</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color w:val="auto"/>
        </w:rPr>
        <w:t>and irrevocably appoint_________________________________________ agent to transfer this Security on the books of the Issuer. The agent may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substitute another to act for him.</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Dated:</w:t>
            </w:r>
          </w:p>
        </w:tc>
        <w:tc>
          <w:tcPr>
            <w:tcW w:w="10560" w:type="dxa"/>
            <w:vAlign w:val="bottom"/>
            <w:gridSpan w:val="3"/>
          </w:tcPr>
          <w:p>
            <w:pPr>
              <w:ind w:left="4960"/>
              <w:spacing w:after="0"/>
              <w:rPr>
                <w:sz w:val="20"/>
                <w:szCs w:val="20"/>
                <w:color w:val="auto"/>
              </w:rPr>
            </w:pPr>
            <w:r>
              <w:rPr>
                <w:rFonts w:ascii="Arial" w:cs="Arial" w:eastAsia="Arial" w:hAnsi="Arial"/>
                <w:sz w:val="18"/>
                <w:szCs w:val="18"/>
                <w:color w:val="auto"/>
              </w:rPr>
              <w:t>Signed:</w:t>
            </w:r>
          </w:p>
        </w:tc>
      </w:tr>
      <w:tr>
        <w:trPr>
          <w:trHeight w:val="224"/>
        </w:trPr>
        <w:tc>
          <w:tcPr>
            <w:tcW w:w="680" w:type="dxa"/>
            <w:vAlign w:val="bottom"/>
          </w:tcPr>
          <w:p>
            <w:pPr>
              <w:spacing w:after="0"/>
              <w:rPr>
                <w:sz w:val="19"/>
                <w:szCs w:val="19"/>
                <w:color w:val="auto"/>
              </w:rPr>
            </w:pPr>
          </w:p>
        </w:tc>
        <w:tc>
          <w:tcPr>
            <w:tcW w:w="496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494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1"/>
              </w:rPr>
              <w:t>(Signed exactly as name appears on the other side of this Security)</w:t>
            </w:r>
          </w:p>
        </w:tc>
      </w:tr>
    </w:tbl>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14605</wp:posOffset>
            </wp:positionV>
            <wp:extent cx="606044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060440" cy="8255"/>
                    </a:xfrm>
                    <a:prstGeom prst="rect">
                      <a:avLst/>
                    </a:prstGeom>
                    <a:noFill/>
                  </pic:spPr>
                </pic:pic>
              </a:graphicData>
            </a:graphic>
          </wp:anchor>
        </w:drawing>
      </w:r>
    </w:p>
    <w:p>
      <w:pPr>
        <w:spacing w:after="0" w:line="3" w:lineRule="exact"/>
        <w:rPr>
          <w:sz w:val="20"/>
          <w:szCs w:val="20"/>
          <w:color w:val="auto"/>
        </w:rPr>
      </w:pPr>
    </w:p>
    <w:p>
      <w:pPr>
        <w:ind w:left="1700" w:right="40"/>
        <w:spacing w:after="0" w:line="276" w:lineRule="auto"/>
        <w:rPr>
          <w:sz w:val="20"/>
          <w:szCs w:val="20"/>
          <w:color w:val="auto"/>
        </w:rPr>
      </w:pPr>
      <w:r>
        <w:rPr>
          <w:rFonts w:ascii="Arial" w:cs="Arial" w:eastAsia="Arial" w:hAnsi="Arial"/>
          <w:sz w:val="18"/>
          <w:szCs w:val="18"/>
          <w:color w:val="auto"/>
        </w:rPr>
        <w:t>Participant in a recognized Signature Guarantee Medallion Program (or other signature guarantor program reasonably acceptable to the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14" w:right="3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u w:val="single" w:color="auto"/>
          <w:color w:val="auto"/>
        </w:rPr>
        <w:t>EXHIBIT C</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[FORM OF NOTE DUE 2062]</w:t>
      </w:r>
    </w:p>
    <w:p>
      <w:pPr>
        <w:spacing w:after="0" w:line="225"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UNLESS AND UNTIL IT IS EXCHANGED IN WHOLE OR IN PART FOR SECURITIES IN DEFINITIVE REGISTERED FORM, THIS SECURITY 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 UNLESS THIS SECURITY IS PRESENTED BY AN AUTHORIZED REPRESENTATIVE OF THE DEPOSITORY TRUST COMPANY, A NEW YORK CORPORATION (“</w:t>
      </w:r>
      <w:r>
        <w:rPr>
          <w:rFonts w:ascii="Arial" w:cs="Arial" w:eastAsia="Arial" w:hAnsi="Arial"/>
          <w:sz w:val="17"/>
          <w:szCs w:val="17"/>
          <w:b w:val="1"/>
          <w:bCs w:val="1"/>
          <w:color w:val="auto"/>
        </w:rPr>
        <w:t>DTC</w:t>
      </w:r>
      <w:r>
        <w:rPr>
          <w:rFonts w:ascii="Arial" w:cs="Arial" w:eastAsia="Arial" w:hAnsi="Arial"/>
          <w:sz w:val="17"/>
          <w:szCs w:val="17"/>
          <w:color w:val="auto"/>
        </w:rPr>
        <w:t>”), TO THE ISSUER OR ITS AGENT FOR REGISTRATION OF TRANSFER, EXCHANGE OR PAYMENT, AND ANY SECURITY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2.650% Note due 2062</w:t>
      </w:r>
    </w:p>
    <w:p>
      <w:pPr>
        <w:sectPr>
          <w:pgSz w:w="11900" w:h="16838" w:orient="portrait"/>
          <w:cols w:equalWidth="0" w:num="1">
            <w:col w:w="11240"/>
          </w:cols>
          <w:pgMar w:left="320" w:top="796" w:right="339" w:bottom="1440" w:gutter="0" w:footer="0" w:header="0"/>
        </w:sectPr>
      </w:pP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No. [ ]</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jc w:val="right"/>
        <w:spacing w:after="0"/>
        <w:rPr>
          <w:sz w:val="20"/>
          <w:szCs w:val="20"/>
          <w:color w:val="auto"/>
        </w:rPr>
      </w:pPr>
      <w:r>
        <w:rPr>
          <w:rFonts w:ascii="Arial" w:cs="Arial" w:eastAsia="Arial" w:hAnsi="Arial"/>
          <w:sz w:val="17"/>
          <w:szCs w:val="17"/>
          <w:color w:val="auto"/>
        </w:rPr>
        <w:t>CUSIP No.: 20030N DQ1</w:t>
      </w:r>
    </w:p>
    <w:p>
      <w:pPr>
        <w:spacing w:after="0" w:line="3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ISIN No.: US20030NDQ16</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w:t>
      </w:r>
    </w:p>
    <w:p>
      <w:pPr>
        <w:spacing w:after="0" w:line="200" w:lineRule="exact"/>
        <w:rPr>
          <w:sz w:val="20"/>
          <w:szCs w:val="20"/>
          <w:color w:val="auto"/>
        </w:rPr>
      </w:pPr>
    </w:p>
    <w:p>
      <w:pPr>
        <w:sectPr>
          <w:pgSz w:w="11900" w:h="16838" w:orient="portrait"/>
          <w:cols w:equalWidth="0" w:num="2">
            <w:col w:w="8520" w:space="720"/>
            <w:col w:w="2000"/>
          </w:cols>
          <w:pgMar w:left="320" w:top="796" w:right="339" w:bottom="1440" w:gutter="0" w:footer="0" w:header="0"/>
          <w:type w:val="continuous"/>
        </w:sectPr>
      </w:pPr>
    </w:p>
    <w:p>
      <w:pPr>
        <w:spacing w:after="0" w:line="7" w:lineRule="exact"/>
        <w:rPr>
          <w:sz w:val="20"/>
          <w:szCs w:val="20"/>
          <w:color w:val="auto"/>
        </w:rPr>
      </w:pPr>
    </w:p>
    <w:p>
      <w:pPr>
        <w:ind w:right="460" w:firstLine="648"/>
        <w:spacing w:after="0" w:line="282" w:lineRule="auto"/>
        <w:rPr>
          <w:sz w:val="20"/>
          <w:szCs w:val="20"/>
          <w:color w:val="auto"/>
        </w:rPr>
      </w:pPr>
      <w:r>
        <w:rPr>
          <w:rFonts w:ascii="Arial" w:cs="Arial" w:eastAsia="Arial" w:hAnsi="Arial"/>
          <w:sz w:val="18"/>
          <w:szCs w:val="18"/>
          <w:color w:val="auto"/>
        </w:rPr>
        <w:t>COMCAST CORPORATION, a Pennsylvania corporation (the “</w:t>
      </w:r>
      <w:r>
        <w:rPr>
          <w:rFonts w:ascii="Arial" w:cs="Arial" w:eastAsia="Arial" w:hAnsi="Arial"/>
          <w:sz w:val="18"/>
          <w:szCs w:val="18"/>
          <w:b w:val="1"/>
          <w:bCs w:val="1"/>
          <w:color w:val="auto"/>
        </w:rPr>
        <w:t>Issuer</w:t>
      </w:r>
      <w:r>
        <w:rPr>
          <w:rFonts w:ascii="Arial" w:cs="Arial" w:eastAsia="Arial" w:hAnsi="Arial"/>
          <w:sz w:val="18"/>
          <w:szCs w:val="18"/>
          <w:color w:val="auto"/>
        </w:rPr>
        <w:t>”, which term includes any successor corporation), for value received promises to pay to CEDE &amp; CO. or registered assigns, the principal sum of $[ ] ([ ] Dollars) on August 15, 2062.</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Interest Payment Dates: February 15 and August 15 (each, an “</w:t>
      </w:r>
      <w:r>
        <w:rPr>
          <w:rFonts w:ascii="Arial" w:cs="Arial" w:eastAsia="Arial" w:hAnsi="Arial"/>
          <w:sz w:val="18"/>
          <w:szCs w:val="18"/>
          <w:b w:val="1"/>
          <w:bCs w:val="1"/>
          <w:color w:val="auto"/>
        </w:rPr>
        <w:t>Interest Payment Date</w:t>
      </w:r>
      <w:r>
        <w:rPr>
          <w:rFonts w:ascii="Arial" w:cs="Arial" w:eastAsia="Arial" w:hAnsi="Arial"/>
          <w:sz w:val="18"/>
          <w:szCs w:val="18"/>
          <w:color w:val="auto"/>
        </w:rPr>
        <w:t>”), commencing on February 15, 2021.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Interest Record Dates: February 1 and August 1 (each, an “</w:t>
      </w:r>
      <w:r>
        <w:rPr>
          <w:rFonts w:ascii="Arial" w:cs="Arial" w:eastAsia="Arial" w:hAnsi="Arial"/>
          <w:sz w:val="18"/>
          <w:szCs w:val="18"/>
          <w:b w:val="1"/>
          <w:bCs w:val="1"/>
          <w:color w:val="auto"/>
        </w:rPr>
        <w:t>Interest Record Date</w:t>
      </w:r>
      <w:r>
        <w:rPr>
          <w:rFonts w:ascii="Arial" w:cs="Arial" w:eastAsia="Arial" w:hAnsi="Arial"/>
          <w:sz w:val="18"/>
          <w:szCs w:val="18"/>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Reference is made to the further provisions of this Security contained herein, which will for all purposes have the same effect as if set forth at this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place.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type w:val="continuous"/>
        </w:sectPr>
      </w:pPr>
    </w:p>
    <w:bookmarkStart w:id="28" w:name="page29"/>
    <w:bookmarkEnd w:id="28"/>
    <w:p>
      <w:pPr>
        <w:ind w:right="560" w:firstLine="648"/>
        <w:spacing w:after="0" w:line="277" w:lineRule="auto"/>
        <w:rPr>
          <w:sz w:val="20"/>
          <w:szCs w:val="20"/>
          <w:color w:val="auto"/>
        </w:rPr>
      </w:pPr>
      <w:r>
        <w:rPr>
          <w:rFonts w:ascii="Arial" w:cs="Arial" w:eastAsia="Arial" w:hAnsi="Arial"/>
          <w:sz w:val="18"/>
          <w:szCs w:val="18"/>
          <w:color w:val="auto"/>
        </w:rPr>
        <w:t>IN WITNESS WHEREOF, the Issuer has caused this Security to be signed manually or by facsimile by its duly authorized officer under its corporate seal.</w:t>
      </w:r>
    </w:p>
    <w:p>
      <w:pPr>
        <w:spacing w:after="0" w:line="166" w:lineRule="exact"/>
        <w:rPr>
          <w:sz w:val="20"/>
          <w:szCs w:val="20"/>
          <w:color w:val="auto"/>
        </w:rPr>
      </w:pPr>
    </w:p>
    <w:p>
      <w:pPr>
        <w:ind w:left="6700"/>
        <w:spacing w:after="0"/>
        <w:rPr>
          <w:sz w:val="20"/>
          <w:szCs w:val="20"/>
          <w:color w:val="auto"/>
        </w:rPr>
      </w:pPr>
      <w:r>
        <w:rPr>
          <w:rFonts w:ascii="Arial" w:cs="Arial" w:eastAsia="Arial" w:hAnsi="Arial"/>
          <w:sz w:val="18"/>
          <w:szCs w:val="18"/>
          <w:b w:val="1"/>
          <w:bCs w:val="1"/>
          <w:color w:val="auto"/>
        </w:rPr>
        <w:t>COMCAST CORPORATION</w:t>
      </w:r>
    </w:p>
    <w:p>
      <w:pPr>
        <w:spacing w:after="0" w:line="200" w:lineRule="exact"/>
        <w:rPr>
          <w:sz w:val="20"/>
          <w:szCs w:val="20"/>
          <w:color w:val="auto"/>
        </w:rPr>
      </w:pPr>
    </w:p>
    <w:p>
      <w:pPr>
        <w:spacing w:after="0" w:line="245"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4651375</wp:posOffset>
            </wp:positionH>
            <wp:positionV relativeFrom="paragraph">
              <wp:posOffset>14605</wp:posOffset>
            </wp:positionV>
            <wp:extent cx="248602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3" w:lineRule="exact"/>
        <w:rPr>
          <w:sz w:val="20"/>
          <w:szCs w:val="20"/>
          <w:color w:val="auto"/>
        </w:rPr>
      </w:pPr>
    </w:p>
    <w:p>
      <w:pPr>
        <w:ind w:left="6700"/>
        <w:spacing w:after="0"/>
        <w:tabs>
          <w:tab w:leader="none" w:pos="73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Jason S. Armstrong</w:t>
      </w:r>
    </w:p>
    <w:p>
      <w:pPr>
        <w:spacing w:after="0" w:line="23" w:lineRule="exact"/>
        <w:rPr>
          <w:sz w:val="20"/>
          <w:szCs w:val="20"/>
          <w:color w:val="auto"/>
        </w:rPr>
      </w:pPr>
    </w:p>
    <w:p>
      <w:pPr>
        <w:ind w:left="6700"/>
        <w:spacing w:after="0"/>
        <w:tabs>
          <w:tab w:leader="none" w:pos="7300" w:val="left"/>
        </w:tabs>
        <w:rPr>
          <w:sz w:val="20"/>
          <w:szCs w:val="20"/>
          <w:color w:val="auto"/>
        </w:rPr>
      </w:pPr>
      <w:r>
        <w:rPr>
          <w:rFonts w:ascii="Arial" w:cs="Arial" w:eastAsia="Arial" w:hAnsi="Arial"/>
          <w:sz w:val="18"/>
          <w:szCs w:val="18"/>
          <w:color w:val="auto"/>
        </w:rPr>
        <w:t>Title:</w:t>
        <w:tab/>
        <w:t>Executive Vice President and Treasurer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[Seal of Comcast Corporation]</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140" w:type="dxa"/>
            <w:vAlign w:val="bottom"/>
          </w:tcPr>
          <w:p>
            <w:pPr>
              <w:ind w:left="460"/>
              <w:spacing w:after="0" w:line="195" w:lineRule="exact"/>
              <w:rPr>
                <w:sz w:val="20"/>
                <w:szCs w:val="20"/>
                <w:color w:val="auto"/>
              </w:rPr>
            </w:pPr>
            <w:r>
              <w:rPr>
                <w:rFonts w:ascii="Arial" w:cs="Arial" w:eastAsia="Arial" w:hAnsi="Arial"/>
                <w:sz w:val="18"/>
                <w:szCs w:val="18"/>
                <w:color w:val="auto"/>
              </w:rPr>
              <w:t>Name:</w:t>
            </w:r>
          </w:p>
        </w:tc>
        <w:tc>
          <w:tcPr>
            <w:tcW w:w="28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Elizabeth Wideman</w:t>
            </w:r>
          </w:p>
        </w:tc>
        <w:tc>
          <w:tcPr>
            <w:tcW w:w="7300" w:type="dxa"/>
            <w:vAlign w:val="bottom"/>
          </w:tcPr>
          <w:p>
            <w:pPr>
              <w:spacing w:after="0"/>
              <w:rPr>
                <w:sz w:val="16"/>
                <w:szCs w:val="16"/>
                <w:color w:val="auto"/>
              </w:rPr>
            </w:pPr>
          </w:p>
        </w:tc>
      </w:tr>
      <w:tr>
        <w:trPr>
          <w:trHeight w:val="216"/>
        </w:trPr>
        <w:tc>
          <w:tcPr>
            <w:tcW w:w="1140" w:type="dxa"/>
            <w:vAlign w:val="bottom"/>
          </w:tcPr>
          <w:p>
            <w:pPr>
              <w:ind w:left="460"/>
              <w:spacing w:after="0"/>
              <w:rPr>
                <w:sz w:val="20"/>
                <w:szCs w:val="20"/>
                <w:color w:val="auto"/>
              </w:rPr>
            </w:pPr>
            <w:r>
              <w:rPr>
                <w:rFonts w:ascii="Arial" w:cs="Arial" w:eastAsia="Arial" w:hAnsi="Arial"/>
                <w:sz w:val="18"/>
                <w:szCs w:val="18"/>
                <w:color w:val="auto"/>
              </w:rPr>
              <w:t>Title:</w:t>
            </w:r>
          </w:p>
        </w:tc>
        <w:tc>
          <w:tcPr>
            <w:tcW w:w="2800" w:type="dxa"/>
            <w:vAlign w:val="bottom"/>
          </w:tcPr>
          <w:p>
            <w:pPr>
              <w:spacing w:after="0"/>
              <w:rPr>
                <w:sz w:val="20"/>
                <w:szCs w:val="20"/>
                <w:color w:val="auto"/>
              </w:rPr>
            </w:pPr>
            <w:r>
              <w:rPr>
                <w:rFonts w:ascii="Arial" w:cs="Arial" w:eastAsia="Arial" w:hAnsi="Arial"/>
                <w:sz w:val="18"/>
                <w:szCs w:val="18"/>
                <w:color w:val="auto"/>
                <w:w w:val="89"/>
              </w:rPr>
              <w:t>Vice President, Senior Deputy General</w:t>
            </w:r>
          </w:p>
        </w:tc>
        <w:tc>
          <w:tcPr>
            <w:tcW w:w="7300" w:type="dxa"/>
            <w:vAlign w:val="bottom"/>
          </w:tcPr>
          <w:p>
            <w:pPr>
              <w:spacing w:after="0"/>
              <w:rPr>
                <w:sz w:val="18"/>
                <w:szCs w:val="18"/>
                <w:color w:val="auto"/>
              </w:rPr>
            </w:pPr>
          </w:p>
        </w:tc>
      </w:tr>
      <w:tr>
        <w:trPr>
          <w:trHeight w:val="230"/>
        </w:trPr>
        <w:tc>
          <w:tcPr>
            <w:tcW w:w="1140" w:type="dxa"/>
            <w:vAlign w:val="bottom"/>
          </w:tcPr>
          <w:p>
            <w:pPr>
              <w:spacing w:after="0"/>
              <w:rPr>
                <w:sz w:val="20"/>
                <w:szCs w:val="20"/>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Counsel and Assistant Secretary</w:t>
            </w:r>
          </w:p>
        </w:tc>
        <w:tc>
          <w:tcPr>
            <w:tcW w:w="7300" w:type="dxa"/>
            <w:vAlign w:val="bottom"/>
          </w:tcPr>
          <w:p>
            <w:pPr>
              <w:spacing w:after="0"/>
              <w:rPr>
                <w:sz w:val="20"/>
                <w:szCs w:val="20"/>
                <w:color w:val="auto"/>
              </w:rPr>
            </w:pPr>
          </w:p>
        </w:tc>
      </w:tr>
      <w:tr>
        <w:trPr>
          <w:trHeight w:val="581"/>
        </w:trPr>
        <w:tc>
          <w:tcPr>
            <w:tcW w:w="114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73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00" w:right="339" w:bottom="1440" w:gutter="0" w:footer="0" w:header="0"/>
        </w:sectPr>
      </w:pPr>
    </w:p>
    <w:bookmarkStart w:id="29" w:name="page30"/>
    <w:bookmarkEnd w:id="29"/>
    <w:p>
      <w:pPr>
        <w:ind w:left="660"/>
        <w:spacing w:after="0"/>
        <w:rPr>
          <w:sz w:val="20"/>
          <w:szCs w:val="20"/>
          <w:color w:val="auto"/>
        </w:rPr>
      </w:pPr>
      <w:r>
        <w:rPr>
          <w:rFonts w:ascii="Arial" w:cs="Arial" w:eastAsia="Arial" w:hAnsi="Arial"/>
          <w:sz w:val="18"/>
          <w:szCs w:val="18"/>
          <w:color w:val="auto"/>
        </w:rPr>
        <w:t>This is one of the series designated herein and referred to in the within-mentioned Indenture.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August 25, 2020</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7"/>
          <w:szCs w:val="17"/>
          <w:color w:val="auto"/>
        </w:rPr>
        <w:t>THE BANK OF NEW YORK MELLON,</w:t>
      </w:r>
    </w:p>
    <w:p>
      <w:pPr>
        <w:spacing w:after="0" w:line="35"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as Trustee</w:t>
      </w:r>
    </w:p>
    <w:p>
      <w:pPr>
        <w:spacing w:after="0" w:line="200" w:lineRule="exact"/>
        <w:rPr>
          <w:sz w:val="20"/>
          <w:szCs w:val="20"/>
          <w:color w:val="auto"/>
        </w:rPr>
      </w:pPr>
    </w:p>
    <w:p>
      <w:pPr>
        <w:spacing w:after="0" w:line="227"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942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800" w:right="1440" w:bottom="1440" w:gutter="0" w:footer="0" w:header="0"/>
        </w:sectPr>
      </w:pPr>
    </w:p>
    <w:bookmarkStart w:id="30" w:name="page31"/>
    <w:bookmarkEnd w:id="30"/>
    <w:p>
      <w:pPr>
        <w:jc w:val="center"/>
        <w:ind w:right="-59"/>
        <w:spacing w:after="0"/>
        <w:rPr>
          <w:sz w:val="20"/>
          <w:szCs w:val="20"/>
          <w:color w:val="auto"/>
        </w:rPr>
      </w:pPr>
      <w:r>
        <w:rPr>
          <w:rFonts w:ascii="Arial" w:cs="Arial" w:eastAsia="Arial" w:hAnsi="Arial"/>
          <w:sz w:val="18"/>
          <w:szCs w:val="18"/>
          <w:color w:val="auto"/>
        </w:rPr>
        <w:t>(REVERSE OF SECURITY)</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2.650% Note due 2062</w:t>
      </w:r>
    </w:p>
    <w:p>
      <w:pPr>
        <w:spacing w:after="0" w:line="225" w:lineRule="exact"/>
        <w:rPr>
          <w:sz w:val="20"/>
          <w:szCs w:val="20"/>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Interest.</w:t>
      </w:r>
    </w:p>
    <w:p>
      <w:pPr>
        <w:spacing w:after="0" w:line="221"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color w:val="auto"/>
        </w:rPr>
        <w:t>COMCAST CORPORATION, a Pennsylvania corporation (the “</w:t>
      </w:r>
      <w:r>
        <w:rPr>
          <w:rFonts w:ascii="Arial" w:cs="Arial" w:eastAsia="Arial" w:hAnsi="Arial"/>
          <w:sz w:val="18"/>
          <w:szCs w:val="18"/>
          <w:b w:val="1"/>
          <w:bCs w:val="1"/>
          <w:color w:val="auto"/>
        </w:rPr>
        <w:t>Issuer</w:t>
      </w:r>
      <w:r>
        <w:rPr>
          <w:rFonts w:ascii="Arial" w:cs="Arial" w:eastAsia="Arial" w:hAnsi="Arial"/>
          <w:sz w:val="18"/>
          <w:szCs w:val="18"/>
          <w:color w:val="auto"/>
        </w:rPr>
        <w:t>”), promises to pay interest on the principal amount of this Security at the rate per annum shown above. Cash interest on the Securities will accrue from the most recent date to which interest has been paid or, if no interest has been paid, from August 25, 2020. The Issuer will pay interest semi-annually in arrears on each Interest Payment Date, commencing February 15, 2021. Interest will be computed on the basis of a 360-day year of twelve 30-day months.</w:t>
      </w:r>
    </w:p>
    <w:p>
      <w:pPr>
        <w:spacing w:after="0" w:line="184"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Issuer shall pay interest on overdue principal from time to time on demand at the rate borne by the Securities and on overdue installments of interest (without regard to any applicable grace periods) to the extent lawful.</w:t>
      </w:r>
    </w:p>
    <w:p>
      <w:pPr>
        <w:spacing w:after="0" w:line="170" w:lineRule="exact"/>
        <w:rPr>
          <w:sz w:val="20"/>
          <w:szCs w:val="20"/>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Method of Payment.</w:t>
      </w:r>
    </w:p>
    <w:p>
      <w:pPr>
        <w:spacing w:after="0" w:line="225"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The Issuer shall pay interest on the Securities (except defaulted interest) to the persons who are the registered Holders at the close of business on the Interest Record Date immediately preceding the Interest Payment Date notwithstanding any transfer or exchange of such Security subsequent to such Interest Record Date and prior to such Interest Payment Date. Holders must surrender Securities to The Bank of New York Mellon (the “</w:t>
      </w:r>
      <w:r>
        <w:rPr>
          <w:rFonts w:ascii="Arial" w:cs="Arial" w:eastAsia="Arial" w:hAnsi="Arial"/>
          <w:sz w:val="17"/>
          <w:szCs w:val="17"/>
          <w:b w:val="1"/>
          <w:bCs w:val="1"/>
          <w:color w:val="auto"/>
        </w:rPr>
        <w:t>Trustee</w:t>
      </w:r>
      <w:r>
        <w:rPr>
          <w:rFonts w:ascii="Arial" w:cs="Arial" w:eastAsia="Arial" w:hAnsi="Arial"/>
          <w:sz w:val="17"/>
          <w:szCs w:val="17"/>
          <w:color w:val="auto"/>
        </w:rPr>
        <w:t>”) to collect principal payments. The Issuer shall pay principal and interest in money of the United States that at the time of payment is legal tender for payment of public and private debts (“</w:t>
      </w:r>
      <w:r>
        <w:rPr>
          <w:rFonts w:ascii="Arial" w:cs="Arial" w:eastAsia="Arial" w:hAnsi="Arial"/>
          <w:sz w:val="17"/>
          <w:szCs w:val="17"/>
          <w:b w:val="1"/>
          <w:bCs w:val="1"/>
          <w:color w:val="auto"/>
        </w:rPr>
        <w:t>U.S. Legal Tender</w:t>
      </w:r>
      <w:r>
        <w:rPr>
          <w:rFonts w:ascii="Arial" w:cs="Arial" w:eastAsia="Arial" w:hAnsi="Arial"/>
          <w:sz w:val="17"/>
          <w:szCs w:val="17"/>
          <w:color w:val="auto"/>
        </w:rPr>
        <w:t>”). However, the payments of interest, and any portion of the principal (other than interest payable at maturity or on any redemption or repayment date or the final payment of principal) shall be made by the Paying Agent, upon receipt from the Issuer of immediately available funds by 11:00 a.m., New York City time (or such other time as may be agreed to between the Issuer and the Paying Agent or the Issuer), directly to a Holder (by Federal funds wire transfer or otherwise) if the Holder has delivered written instructions to the Trustee 15 days prior to such payment date requesting that such payment will be so made and designating the bank account to which such payments shall be so made and in the case of payments of principal surrenders the same to the Trustee in exchange for a Security or Securities aggregating the same principal amount as the unredeemed principal amount of the Securities surrendered.</w:t>
      </w:r>
    </w:p>
    <w:p>
      <w:pPr>
        <w:spacing w:after="0" w:line="182" w:lineRule="exact"/>
        <w:rPr>
          <w:sz w:val="20"/>
          <w:szCs w:val="20"/>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Paying Agent.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Initially, the Trustee will act as Paying Agent. The Issuer may change any Paying Agent without notice to the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800" w:right="379" w:bottom="1440" w:gutter="0" w:footer="0" w:header="0"/>
        </w:sectPr>
      </w:pPr>
    </w:p>
    <w:bookmarkStart w:id="31" w:name="page32"/>
    <w:bookmarkEnd w:id="31"/>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Indenture.</w:t>
      </w:r>
    </w:p>
    <w:p>
      <w:pPr>
        <w:spacing w:after="0" w:line="225"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The Issuer issued the Securities under an Indenture dated as of September 18, 2013, by and among the Issuer, the guarantors named therein and the Trustee, as amended by the First Supplemental Indenture dated as of November 17, 2015, by and among the Issuer, the guarantors named therein (the “</w:t>
      </w:r>
      <w:r>
        <w:rPr>
          <w:rFonts w:ascii="Arial" w:cs="Arial" w:eastAsia="Arial" w:hAnsi="Arial"/>
          <w:sz w:val="16"/>
          <w:szCs w:val="16"/>
          <w:b w:val="1"/>
          <w:bCs w:val="1"/>
          <w:color w:val="auto"/>
        </w:rPr>
        <w:t>Guarantors</w:t>
      </w:r>
      <w:r>
        <w:rPr>
          <w:rFonts w:ascii="Arial" w:cs="Arial" w:eastAsia="Arial" w:hAnsi="Arial"/>
          <w:sz w:val="16"/>
          <w:szCs w:val="16"/>
          <w:color w:val="auto"/>
        </w:rPr>
        <w:t>”) and the Trustee (as amended, the “</w:t>
      </w:r>
      <w:r>
        <w:rPr>
          <w:rFonts w:ascii="Arial" w:cs="Arial" w:eastAsia="Arial" w:hAnsi="Arial"/>
          <w:sz w:val="16"/>
          <w:szCs w:val="16"/>
          <w:b w:val="1"/>
          <w:bCs w:val="1"/>
          <w:color w:val="auto"/>
        </w:rPr>
        <w:t>Indenture</w:t>
      </w:r>
      <w:r>
        <w:rPr>
          <w:rFonts w:ascii="Arial" w:cs="Arial" w:eastAsia="Arial" w:hAnsi="Arial"/>
          <w:sz w:val="16"/>
          <w:szCs w:val="16"/>
          <w:color w:val="auto"/>
        </w:rPr>
        <w:t>”). Capitalized terms herein are used as defined in the Indenture unless otherwise defined herein. The terms of the Securities include those stated in the Indenture and those made part of the Indenture by reference to the Trust Indenture Act of</w:t>
      </w:r>
    </w:p>
    <w:p>
      <w:pPr>
        <w:spacing w:after="0" w:line="1"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1939 (15 U.S.C. Sections 77aaa-77bbbb) (the “</w:t>
      </w:r>
      <w:r>
        <w:rPr>
          <w:rFonts w:ascii="Arial" w:cs="Arial" w:eastAsia="Arial" w:hAnsi="Arial"/>
          <w:sz w:val="18"/>
          <w:szCs w:val="18"/>
          <w:b w:val="1"/>
          <w:bCs w:val="1"/>
          <w:color w:val="auto"/>
        </w:rPr>
        <w:t>TIA</w:t>
      </w:r>
      <w:r>
        <w:rPr>
          <w:rFonts w:ascii="Arial" w:cs="Arial" w:eastAsia="Arial" w:hAnsi="Arial"/>
          <w:sz w:val="18"/>
          <w:szCs w:val="18"/>
          <w:color w:val="auto"/>
        </w:rPr>
        <w:t>”), as in effect on the date of the Indenture until such time as the Indenture is qualified under the TIA, and thereafter as in effect on the date on which the Indenture is qualified under the TIA. Notwithstanding anything to the contrary herein, the Securities are subject to all such terms, and Holders of Securities are referred to the Indenture and the TIA for a statement of them. To the extent the terms of the Indenture and this Security are inconsistent, the terms of the Indenture shall govern. This note is a “</w:t>
      </w:r>
      <w:r>
        <w:rPr>
          <w:rFonts w:ascii="Arial" w:cs="Arial" w:eastAsia="Arial" w:hAnsi="Arial"/>
          <w:sz w:val="18"/>
          <w:szCs w:val="18"/>
          <w:b w:val="1"/>
          <w:bCs w:val="1"/>
          <w:color w:val="auto"/>
        </w:rPr>
        <w:t>Security</w:t>
      </w:r>
      <w:r>
        <w:rPr>
          <w:rFonts w:ascii="Arial" w:cs="Arial" w:eastAsia="Arial" w:hAnsi="Arial"/>
          <w:sz w:val="18"/>
          <w:szCs w:val="18"/>
          <w:color w:val="auto"/>
        </w:rPr>
        <w:t>” and the notes are “</w:t>
      </w:r>
      <w:r>
        <w:rPr>
          <w:rFonts w:ascii="Arial" w:cs="Arial" w:eastAsia="Arial" w:hAnsi="Arial"/>
          <w:sz w:val="18"/>
          <w:szCs w:val="18"/>
          <w:b w:val="1"/>
          <w:bCs w:val="1"/>
          <w:color w:val="auto"/>
        </w:rPr>
        <w:t>Securities</w:t>
      </w:r>
      <w:r>
        <w:rPr>
          <w:rFonts w:ascii="Arial" w:cs="Arial" w:eastAsia="Arial" w:hAnsi="Arial"/>
          <w:sz w:val="18"/>
          <w:szCs w:val="18"/>
          <w:color w:val="auto"/>
        </w:rPr>
        <w:t>” under the Indenture.</w:t>
      </w:r>
    </w:p>
    <w:p>
      <w:pPr>
        <w:spacing w:after="0" w:line="191" w:lineRule="exact"/>
        <w:rPr>
          <w:sz w:val="20"/>
          <w:szCs w:val="20"/>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Guarantees.</w:t>
      </w:r>
    </w:p>
    <w:p>
      <w:pPr>
        <w:spacing w:after="0" w:line="225" w:lineRule="exact"/>
        <w:rPr>
          <w:sz w:val="20"/>
          <w:szCs w:val="20"/>
          <w:color w:val="auto"/>
        </w:rPr>
      </w:pPr>
    </w:p>
    <w:p>
      <w:pPr>
        <w:jc w:val="both"/>
        <w:ind w:right="40" w:firstLine="648"/>
        <w:spacing w:after="0" w:line="311" w:lineRule="auto"/>
        <w:rPr>
          <w:sz w:val="20"/>
          <w:szCs w:val="20"/>
          <w:color w:val="auto"/>
        </w:rPr>
      </w:pPr>
      <w:r>
        <w:rPr>
          <w:rFonts w:ascii="Arial" w:cs="Arial" w:eastAsia="Arial" w:hAnsi="Arial"/>
          <w:sz w:val="16"/>
          <w:szCs w:val="16"/>
          <w:color w:val="auto"/>
        </w:rPr>
        <w:t>Each Guarantor has irrevocably, fully and unconditionally guaranteed, jointly and severally, on an unsecured basis, the full and punctual payment (whether at maturity, upon redemption or otherwise) of the principal of and interest on, and all other amounts payable under, the Securities, and the full and punctual payment of all other amounts payable by the Issuer under the Indenture, subject to certain terms and conditions set forth in the Indenture.</w:t>
      </w:r>
    </w:p>
    <w:p>
      <w:pPr>
        <w:spacing w:after="0" w:line="149" w:lineRule="exact"/>
        <w:rPr>
          <w:sz w:val="20"/>
          <w:szCs w:val="20"/>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Denominations; Transfer; Exchange.</w:t>
      </w:r>
    </w:p>
    <w:p>
      <w:pPr>
        <w:spacing w:after="0" w:line="225" w:lineRule="exact"/>
        <w:rPr>
          <w:sz w:val="20"/>
          <w:szCs w:val="20"/>
          <w:color w:val="auto"/>
        </w:rPr>
      </w:pPr>
    </w:p>
    <w:p>
      <w:pPr>
        <w:ind w:right="20" w:firstLine="648"/>
        <w:spacing w:after="0" w:line="296" w:lineRule="auto"/>
        <w:rPr>
          <w:sz w:val="20"/>
          <w:szCs w:val="20"/>
          <w:color w:val="auto"/>
        </w:rPr>
      </w:pPr>
      <w:r>
        <w:rPr>
          <w:rFonts w:ascii="Arial" w:cs="Arial" w:eastAsia="Arial" w:hAnsi="Arial"/>
          <w:sz w:val="16"/>
          <w:szCs w:val="16"/>
          <w:color w:val="auto"/>
        </w:rPr>
        <w:t>The Securities are in registered form, without coupons, in denominations of $2,000 and multiples of $1,000 in excess thereof. A Holder shall register the transfer of or exchange Securities in accordance with the Indenture. The Issuer may require a Holder, among other things, to furnish appropriate endorsements and transfer documents and to pay certain transfer taxes or similar governmental charges payable in connection therewith as permitted by the Indenture. The Issuer need not issue, authenticate, register the transfer of or exchange any Securities or portions thereof for a period of fifteen (15) days before the giving of a notice of redemption, nor need the Issuer register the transfer or exchange any security selected for redemption in whole or in part.</w:t>
      </w:r>
    </w:p>
    <w:p>
      <w:pPr>
        <w:spacing w:after="0" w:line="161" w:lineRule="exact"/>
        <w:rPr>
          <w:sz w:val="20"/>
          <w:szCs w:val="20"/>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Persons Deemed Owners.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registered Holder of a Security shall be treated as the owner of it for all purposes.</w:t>
      </w:r>
    </w:p>
    <w:p>
      <w:pPr>
        <w:spacing w:after="0" w:line="225" w:lineRule="exact"/>
        <w:rPr>
          <w:sz w:val="20"/>
          <w:szCs w:val="20"/>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Unclaimed Funds.</w:t>
      </w:r>
    </w:p>
    <w:p>
      <w:pPr>
        <w:spacing w:after="0" w:line="225" w:lineRule="exact"/>
        <w:rPr>
          <w:sz w:val="20"/>
          <w:szCs w:val="20"/>
          <w:color w:val="auto"/>
        </w:rPr>
      </w:pPr>
    </w:p>
    <w:p>
      <w:pPr>
        <w:ind w:right="440" w:firstLine="648"/>
        <w:spacing w:after="0" w:line="308" w:lineRule="auto"/>
        <w:rPr>
          <w:sz w:val="20"/>
          <w:szCs w:val="20"/>
          <w:color w:val="auto"/>
        </w:rPr>
      </w:pPr>
      <w:r>
        <w:rPr>
          <w:rFonts w:ascii="Arial" w:cs="Arial" w:eastAsia="Arial" w:hAnsi="Arial"/>
          <w:sz w:val="17"/>
          <w:szCs w:val="17"/>
          <w:color w:val="auto"/>
        </w:rPr>
        <w:t>If funds for the payment of principal or interest remain unclaimed for two years, the Trustee and the Paying Agent will repay the funds to the Issuer at its written request. After that, all liability of the Trustee and such Paying Agent with respect to such funds shall cease.</w:t>
      </w:r>
    </w:p>
    <w:p>
      <w:pPr>
        <w:spacing w:after="0" w:line="146" w:lineRule="exact"/>
        <w:rPr>
          <w:sz w:val="20"/>
          <w:szCs w:val="20"/>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Legal Defeasance and Covenant Defeasance.</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The Issuer and the Guarantors may be discharged from their respective obligations under the Securities and under the Indenture with respect to the Securities except for certain provisions thereof, and may be discharged from obligations to comply with certain covenants contained in the Securities and in the Indenture with respect to the Securities, in each case upon satisfaction of certain conditions specified in the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27" w:right="339" w:bottom="1440" w:gutter="0" w:footer="0" w:header="0"/>
        </w:sectPr>
      </w:pPr>
    </w:p>
    <w:bookmarkStart w:id="32" w:name="page33"/>
    <w:bookmarkEnd w:id="32"/>
    <w:p>
      <w:pPr>
        <w:ind w:left="660"/>
        <w:spacing w:after="0"/>
        <w:rPr>
          <w:sz w:val="20"/>
          <w:szCs w:val="20"/>
          <w:color w:val="auto"/>
        </w:rPr>
      </w:pPr>
      <w:r>
        <w:rPr>
          <w:rFonts w:ascii="Arial" w:cs="Arial" w:eastAsia="Arial" w:hAnsi="Arial"/>
          <w:sz w:val="18"/>
          <w:szCs w:val="18"/>
          <w:color w:val="auto"/>
        </w:rPr>
        <w:t>10. Amendment; Supplement; Waiver.</w:t>
      </w:r>
    </w:p>
    <w:p>
      <w:pPr>
        <w:spacing w:after="0" w:line="225"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Subject to certain exceptions, the Securities and the provisions of the Indenture relating to the Securities may be amended or supplemented with the written consent of the Holders of at least a majority in aggregate principal amount of the Securities then outstanding, and any existing Default or Event of Default or compliance with certain provisions may be waived with the consent of the Holders of a majority in aggregate principal amount of the Securities then outstanding. Without notice to or consent of any Holder, the parties thereto may amend or supplement the Indenture and the Securities to, among other things, cure any ambiguity, defect or inconsistency, provide for uncertificated Securities in addition to or in place of certificated Securities or comply with any requirements of the Commission in connection with the qualification of the Indenture under the TIA, or make any other change that does not adversely affect the rights of any Holder of a Security.</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11. Restrictive Covenants.</w:t>
      </w:r>
    </w:p>
    <w:p>
      <w:pPr>
        <w:spacing w:after="0" w:line="225" w:lineRule="exact"/>
        <w:rPr>
          <w:sz w:val="20"/>
          <w:szCs w:val="20"/>
          <w:color w:val="auto"/>
        </w:rPr>
      </w:pPr>
    </w:p>
    <w:p>
      <w:pPr>
        <w:ind w:right="460" w:firstLine="648"/>
        <w:spacing w:after="0" w:line="311" w:lineRule="auto"/>
        <w:rPr>
          <w:sz w:val="20"/>
          <w:szCs w:val="20"/>
          <w:color w:val="auto"/>
        </w:rPr>
      </w:pPr>
      <w:r>
        <w:rPr>
          <w:rFonts w:ascii="Arial" w:cs="Arial" w:eastAsia="Arial" w:hAnsi="Arial"/>
          <w:sz w:val="16"/>
          <w:szCs w:val="16"/>
          <w:color w:val="auto"/>
        </w:rPr>
        <w:t>The Indenture contains certain covenants that, among other things, limit the ability of the Issuer and the Guarantors to incur liens securing indebtedness, or to enter into sale and leaseback transactions, and of the Issuer to merge or sell all or substantially all of its assets. The limitations are subject to a number of important qualifications and exceptions. The Issuer must annually report to the Trustee on compliance with such limitations.</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12. Redemption.</w:t>
      </w:r>
    </w:p>
    <w:p>
      <w:pPr>
        <w:spacing w:after="0" w:line="225" w:lineRule="exact"/>
        <w:rPr>
          <w:sz w:val="20"/>
          <w:szCs w:val="20"/>
          <w:color w:val="auto"/>
        </w:rPr>
      </w:pPr>
    </w:p>
    <w:p>
      <w:pPr>
        <w:jc w:val="both"/>
        <w:ind w:right="460" w:firstLine="648"/>
        <w:spacing w:after="0" w:line="311" w:lineRule="auto"/>
        <w:rPr>
          <w:sz w:val="20"/>
          <w:szCs w:val="20"/>
          <w:color w:val="auto"/>
        </w:rPr>
      </w:pPr>
      <w:r>
        <w:rPr>
          <w:rFonts w:ascii="Arial" w:cs="Arial" w:eastAsia="Arial" w:hAnsi="Arial"/>
          <w:sz w:val="16"/>
          <w:szCs w:val="16"/>
          <w:color w:val="auto"/>
        </w:rPr>
        <w:t>The Issuer will have the right at its option to redeem any of the Securities in whole or in part, at any time or from time to time prior to their maturity, on at least 15 days, but not more than 30 days, prior notice delivered electronically or mailed to the registered address of each Holder of the Securities, at the applicable Redemption Price. The Issuer will calculate the Redemption Price in connection with any redemption hereunder.</w:t>
      </w:r>
    </w:p>
    <w:p>
      <w:pPr>
        <w:spacing w:after="0" w:line="145" w:lineRule="exact"/>
        <w:rPr>
          <w:sz w:val="20"/>
          <w:szCs w:val="20"/>
          <w:color w:val="auto"/>
        </w:rPr>
      </w:pPr>
    </w:p>
    <w:p>
      <w:pPr>
        <w:ind w:firstLine="64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Redemption Price</w:t>
      </w:r>
      <w:r>
        <w:rPr>
          <w:rFonts w:ascii="Arial" w:cs="Arial" w:eastAsia="Arial" w:hAnsi="Arial"/>
          <w:sz w:val="18"/>
          <w:szCs w:val="18"/>
          <w:color w:val="auto"/>
        </w:rPr>
        <w:t>” means (a) at any time prior to February 15, 2062 (six (6) months prior to the maturity of the Securities) (the “</w:t>
      </w:r>
      <w:r>
        <w:rPr>
          <w:rFonts w:ascii="Arial" w:cs="Arial" w:eastAsia="Arial" w:hAnsi="Arial"/>
          <w:sz w:val="18"/>
          <w:szCs w:val="18"/>
          <w:b w:val="1"/>
          <w:bCs w:val="1"/>
          <w:color w:val="auto"/>
        </w:rPr>
        <w:t>Par Call</w:t>
      </w:r>
      <w:r>
        <w:rPr>
          <w:rFonts w:ascii="Arial" w:cs="Arial" w:eastAsia="Arial" w:hAnsi="Arial"/>
          <w:sz w:val="18"/>
          <w:szCs w:val="18"/>
          <w:color w:val="auto"/>
        </w:rPr>
        <w:t xml:space="preserve"> </w:t>
      </w:r>
      <w:r>
        <w:rPr>
          <w:rFonts w:ascii="Arial" w:cs="Arial" w:eastAsia="Arial" w:hAnsi="Arial"/>
          <w:sz w:val="18"/>
          <w:szCs w:val="18"/>
          <w:b w:val="1"/>
          <w:bCs w:val="1"/>
          <w:color w:val="auto"/>
        </w:rPr>
        <w:t>Date</w:t>
      </w:r>
      <w:r>
        <w:rPr>
          <w:rFonts w:ascii="Arial" w:cs="Arial" w:eastAsia="Arial" w:hAnsi="Arial"/>
          <w:sz w:val="18"/>
          <w:szCs w:val="18"/>
          <w:color w:val="auto"/>
        </w:rPr>
        <w:t>”), the greater of (i) 100% of the principal amount of such Securities and (ii) the sum of the present values of the principal amount of such Securities</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scheduled payments of interest thereon (exclusive of interest accrued to the date of redemption) from the redemption date to the Par Call Date, in each case discounted to the redemption date on a semiannual basis (assuming a 360-day year consisting of twelve 30-day months) at the Treasury Rate plus 25 basis points and (b) if the Securities are redeemed on or after the Par Call Date, 100% of the principal amount of such Securities; plus, in each case, accrued and unpaid interest thereon to the date of redemption.</w:t>
      </w:r>
    </w:p>
    <w:p>
      <w:pPr>
        <w:spacing w:after="0" w:line="187" w:lineRule="exact"/>
        <w:rPr>
          <w:sz w:val="20"/>
          <w:szCs w:val="20"/>
          <w:color w:val="auto"/>
        </w:rPr>
      </w:pPr>
    </w:p>
    <w:p>
      <w:pPr>
        <w:ind w:right="2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Treasury Rate</w:t>
      </w:r>
      <w:r>
        <w:rPr>
          <w:rFonts w:ascii="Arial" w:cs="Arial" w:eastAsia="Arial" w:hAnsi="Arial"/>
          <w:sz w:val="18"/>
          <w:szCs w:val="18"/>
          <w:color w:val="auto"/>
        </w:rPr>
        <w:t>” means, with respect to any redemption date, the rate per annum equal to the semiannual equivalent yield to maturity or interpolated (on a day count basis) of the Comparable Treasury Issue, assuming a price for the Comparable Treasury Issue (expressed as a percentage of its principal amount) equal to the Comparable Treasury Price for such redemption date.</w:t>
      </w:r>
    </w:p>
    <w:p>
      <w:pPr>
        <w:spacing w:after="0" w:line="176" w:lineRule="exact"/>
        <w:rPr>
          <w:sz w:val="20"/>
          <w:szCs w:val="20"/>
          <w:color w:val="auto"/>
        </w:rPr>
      </w:pPr>
    </w:p>
    <w:p>
      <w:pPr>
        <w:ind w:right="120" w:firstLine="648"/>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Comparable Treasury Issue</w:t>
      </w:r>
      <w:r>
        <w:rPr>
          <w:rFonts w:ascii="Arial" w:cs="Arial" w:eastAsia="Arial" w:hAnsi="Arial"/>
          <w:sz w:val="17"/>
          <w:szCs w:val="17"/>
          <w:color w:val="auto"/>
        </w:rPr>
        <w:t>” means the United States Treasury security or securities selected by an Independent Investment Banker as having an actual or interpolated maturity comparable to the remaining term of the Securities to be redeemed calculated as if the maturity date of such Securities were the applicable Par Call Date (the “Remaining Life”) that would be utilized, at the time of selection and in accordance with customary financial practice, in pricing new issues of corporate debt securities of comparable maturity to the Remaining Life of such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339090</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800" w:right="379" w:bottom="1440" w:gutter="0" w:footer="0" w:header="0"/>
        </w:sectPr>
      </w:pPr>
    </w:p>
    <w:bookmarkStart w:id="33" w:name="page34"/>
    <w:bookmarkEnd w:id="33"/>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Independent Investment Banker</w:t>
      </w:r>
      <w:r>
        <w:rPr>
          <w:rFonts w:ascii="Arial" w:cs="Arial" w:eastAsia="Arial" w:hAnsi="Arial"/>
          <w:sz w:val="18"/>
          <w:szCs w:val="18"/>
          <w:color w:val="auto"/>
        </w:rPr>
        <w:t>” means one of the Reference Treasury Dealers appointed by the Issuer.</w:t>
      </w:r>
    </w:p>
    <w:p>
      <w:pPr>
        <w:spacing w:after="0" w:line="225" w:lineRule="exact"/>
        <w:rPr>
          <w:sz w:val="20"/>
          <w:szCs w:val="20"/>
          <w:color w:val="auto"/>
        </w:rPr>
      </w:pPr>
    </w:p>
    <w:p>
      <w:pPr>
        <w:ind w:right="2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Comparable Treasury Price</w:t>
      </w:r>
      <w:r>
        <w:rPr>
          <w:rFonts w:ascii="Arial" w:cs="Arial" w:eastAsia="Arial" w:hAnsi="Arial"/>
          <w:sz w:val="18"/>
          <w:szCs w:val="18"/>
          <w:color w:val="auto"/>
        </w:rPr>
        <w:t>” means, with respect to any redemption date, (i) the average of the Reference Treasury Dealer Quotations for such redemption date, after excluding the highest and lowest such Reference Treasury Dealer Quotation or (ii) if the Independent Investment Banker obtains fewer than four such Reference Treasury Dealer Quotations, the average of all such quotations.</w:t>
      </w:r>
    </w:p>
    <w:p>
      <w:pPr>
        <w:spacing w:after="0" w:line="176"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Reference Treasury Dealer</w:t>
      </w:r>
      <w:r>
        <w:rPr>
          <w:rFonts w:ascii="Arial" w:cs="Arial" w:eastAsia="Arial" w:hAnsi="Arial"/>
          <w:sz w:val="18"/>
          <w:szCs w:val="18"/>
          <w:color w:val="auto"/>
        </w:rPr>
        <w:t xml:space="preserve">” means each of BofA Securities, Inc., Goldman Sachs &amp; Co. LLC, Morgan Stanley &amp; Co. LLC and Wells Fargo Securities, LLC, or their affiliates which are primary United States government securities dealers and their respective successors;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if any of the foregoing shall cease to be a primary United States government securities dealer in the United States (a “</w:t>
      </w:r>
      <w:r>
        <w:rPr>
          <w:rFonts w:ascii="Arial" w:cs="Arial" w:eastAsia="Arial" w:hAnsi="Arial"/>
          <w:sz w:val="18"/>
          <w:szCs w:val="18"/>
          <w:b w:val="1"/>
          <w:bCs w:val="1"/>
          <w:color w:val="auto"/>
        </w:rPr>
        <w:t>Primary Treasury Dealer</w:t>
      </w:r>
      <w:r>
        <w:rPr>
          <w:rFonts w:ascii="Arial" w:cs="Arial" w:eastAsia="Arial" w:hAnsi="Arial"/>
          <w:sz w:val="18"/>
          <w:szCs w:val="18"/>
          <w:color w:val="auto"/>
        </w:rPr>
        <w:t>”), the Issuer will substitute therefor another Primary Treasury Dealer.</w:t>
      </w:r>
    </w:p>
    <w:p>
      <w:pPr>
        <w:spacing w:after="0" w:line="180" w:lineRule="exact"/>
        <w:rPr>
          <w:sz w:val="20"/>
          <w:szCs w:val="20"/>
          <w:color w:val="auto"/>
        </w:rPr>
      </w:pPr>
    </w:p>
    <w:p>
      <w:pPr>
        <w:ind w:right="80"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Reference Treasury Dealer Quotation</w:t>
      </w:r>
      <w:r>
        <w:rPr>
          <w:rFonts w:ascii="Arial" w:cs="Arial" w:eastAsia="Arial" w:hAnsi="Arial"/>
          <w:sz w:val="18"/>
          <w:szCs w:val="18"/>
          <w:color w:val="auto"/>
        </w:rPr>
        <w:t>” means, with respect to each Reference Treasury Dealer and any redemption date, the average, as determined by the Independent Investment Banker, of the bid and asked prices for the Comparable Treasury Issue (expressed in case as a percentage of its principal amount) quoted in writing to the Independent Investment Banker by such Reference Treasury Dealer at 3:30 pm New York time on the third business day preceding such redemption date.</w:t>
      </w:r>
    </w:p>
    <w:p>
      <w:pPr>
        <w:spacing w:after="0" w:line="184"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On and after the redemption date, interest will cease to accrue on the Securities or any portion of the Securities called for redemption (unless the Issuer defaults in the payment of the redemption price and accrued interest). On or before the redemption date, the Issuer will deposit with the Trustee money sufficient to pay the redemption price of and (unless the redemption date shall be an Interest Payment Date) accrued interest to the redemption date on the Securities to be redeemed on such date. If less than all of the Securities are to be redeemed, the Securities to be redeemed shall be selected by the Trustee by such method as the Trustee shall deem fair and appropriate (provided that Securities represented by a Global Security will be selected for redemption by the Depositary in accordance with its standard procedures therefor).</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13. Defaults and Remedies.</w:t>
      </w:r>
    </w:p>
    <w:p>
      <w:pPr>
        <w:spacing w:after="0" w:line="225"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If an Event of Default (other than certain bankruptcy Events of Default with respect to the Issuer or any of the Guarantors) occurs and is continuing, the Trustee or the Holders of at least 25% in aggregate principal amount of Securities then outstanding may declare all of the Securities to be due and payable immediately in the manner and with the effect provided in the Indenture. If a bankruptcy Event of Default with respect to the Issuer or any of the Guarantors occurs and is continuing, all the Securities shall be immediately due and payable immediately in the manner and with the effect provided in the Indenture without any notice or other action on the part of the Trustee or any Holder. Holders of Securities may not enforce the Indenture, the Securities or the Guarantees except as provided in the Indenture. The Trustee is not obligated to enforce the Indenture, the Securities or the Guarantees unless it has received indemnity satisfactory to it. The Indenture permits, subject to certain limitations therein provided, Holders of a majority in aggregate principal amount of the Securities then outstanding to direct the Trustee in its exercise of any trust or power. The Trustee may withhold from Holders of Securities notice of certain continuing Defaults or Events of Default if it determines that withholding notice is in their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796" w:right="399" w:bottom="1440" w:gutter="0" w:footer="0" w:header="0"/>
        </w:sectPr>
      </w:pPr>
    </w:p>
    <w:bookmarkStart w:id="34" w:name="page35"/>
    <w:bookmarkEnd w:id="34"/>
    <w:p>
      <w:pPr>
        <w:ind w:left="660"/>
        <w:spacing w:after="0"/>
        <w:rPr>
          <w:sz w:val="20"/>
          <w:szCs w:val="20"/>
          <w:color w:val="auto"/>
        </w:rPr>
      </w:pPr>
      <w:r>
        <w:rPr>
          <w:rFonts w:ascii="Arial" w:cs="Arial" w:eastAsia="Arial" w:hAnsi="Arial"/>
          <w:sz w:val="18"/>
          <w:szCs w:val="18"/>
          <w:color w:val="auto"/>
        </w:rPr>
        <w:t>14. Trustee Dealings with Issuer.</w:t>
      </w:r>
    </w:p>
    <w:p>
      <w:pPr>
        <w:spacing w:after="0" w:line="225"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 Trustee under the Indenture, in its individual or any other capacity, may become the owner or pledgee of Securities and may otherwise deal with the Issuer as if it were not the Trustee.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15. No Recourse Against Others.</w:t>
      </w:r>
    </w:p>
    <w:p>
      <w:pPr>
        <w:spacing w:after="0" w:line="22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No stockholder, director, officer, employee or incorporator, as such, of the Issuer, any Guarantor or any successor Person thereof shall have any liability for any obligation under the Securities, the Guarantees or the Indenture or for any claim based on, in respect of or by reason of, such obligations or their creation. Each Holder of a Security by accepting a Security waives and releases all such liability. The waiver and release are part of the consideration for the issuance of the Securities.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16. Authentication.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Security shall not be valid until the Trustee manually signs the certificate of authentication on this Security.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17. Abbreviations and Defined Terms.</w:t>
      </w:r>
    </w:p>
    <w:p>
      <w:pPr>
        <w:spacing w:after="0" w:line="225"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Customary abbreviations may be used in the name of a Holder of a Security or an assignee, such as: TEN COM (= tenants in common), TEN ENT (= tenants by the entireties), JT TEN (= joint tenants with right of survivorship and not as tenants in common), CUST (= Custodian), and U/G/M/A (= Uniform Gifts to Minors Act).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18. CUSIP Numbers.</w:t>
      </w:r>
    </w:p>
    <w:p>
      <w:pPr>
        <w:spacing w:after="0" w:line="225" w:lineRule="exact"/>
        <w:rPr>
          <w:sz w:val="20"/>
          <w:szCs w:val="20"/>
          <w:color w:val="auto"/>
        </w:rPr>
      </w:pPr>
    </w:p>
    <w:p>
      <w:pPr>
        <w:ind w:right="120" w:firstLine="648"/>
        <w:spacing w:after="0" w:line="286" w:lineRule="auto"/>
        <w:rPr>
          <w:sz w:val="20"/>
          <w:szCs w:val="20"/>
          <w:color w:val="auto"/>
        </w:rPr>
      </w:pPr>
      <w:r>
        <w:rPr>
          <w:rFonts w:ascii="Arial" w:cs="Arial" w:eastAsia="Arial" w:hAnsi="Arial"/>
          <w:sz w:val="17"/>
          <w:szCs w:val="17"/>
          <w:color w:val="auto"/>
        </w:rPr>
        <w:t>Pursuant to a recommendation promulgated by the Committee on Uniform Security Identification Procedures, the Issuer has caused CUSIP numbers to be printed on the Securities as a convenience to the Holders of the Securities. No representation is made as to the accuracy of such numbers as printed on the Securities and reliance may be placed only on the other identification numbers printed hereon.</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19. Governing Law.</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laws of the State of New York shall govern the Indenture and this Security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800" w:right="359" w:bottom="1440" w:gutter="0" w:footer="0" w:header="0"/>
        </w:sectPr>
      </w:pPr>
    </w:p>
    <w:bookmarkStart w:id="35" w:name="page36"/>
    <w:bookmarkEnd w:id="35"/>
    <w:p>
      <w:pPr>
        <w:ind w:left="5100"/>
        <w:spacing w:after="0"/>
        <w:rPr>
          <w:sz w:val="20"/>
          <w:szCs w:val="20"/>
          <w:color w:val="auto"/>
        </w:rPr>
      </w:pPr>
      <w:r>
        <w:rPr>
          <w:rFonts w:ascii="Arial" w:cs="Arial" w:eastAsia="Arial" w:hAnsi="Arial"/>
          <w:sz w:val="18"/>
          <w:szCs w:val="18"/>
          <w:color w:val="auto"/>
        </w:rPr>
        <w:t>ASSIGNMENT FORM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or we assign and transfer this Security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(Print or type name, address and zip code of assignee or transferee)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(Insert Social Security or other identifying number of assignee or transferee)</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color w:val="auto"/>
        </w:rPr>
        <w:t>and irrevocably appoint_________________________________________ agent to transfer this Security on the books of the Issuer. The agent may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substitute another to act for him.</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Dated:</w:t>
            </w:r>
          </w:p>
        </w:tc>
        <w:tc>
          <w:tcPr>
            <w:tcW w:w="10560" w:type="dxa"/>
            <w:vAlign w:val="bottom"/>
            <w:gridSpan w:val="3"/>
          </w:tcPr>
          <w:p>
            <w:pPr>
              <w:ind w:left="4960"/>
              <w:spacing w:after="0"/>
              <w:rPr>
                <w:sz w:val="20"/>
                <w:szCs w:val="20"/>
                <w:color w:val="auto"/>
              </w:rPr>
            </w:pPr>
            <w:r>
              <w:rPr>
                <w:rFonts w:ascii="Arial" w:cs="Arial" w:eastAsia="Arial" w:hAnsi="Arial"/>
                <w:sz w:val="18"/>
                <w:szCs w:val="18"/>
                <w:color w:val="auto"/>
              </w:rPr>
              <w:t>Signed:</w:t>
            </w:r>
          </w:p>
        </w:tc>
      </w:tr>
      <w:tr>
        <w:trPr>
          <w:trHeight w:val="224"/>
        </w:trPr>
        <w:tc>
          <w:tcPr>
            <w:tcW w:w="680" w:type="dxa"/>
            <w:vAlign w:val="bottom"/>
          </w:tcPr>
          <w:p>
            <w:pPr>
              <w:spacing w:after="0"/>
              <w:rPr>
                <w:sz w:val="19"/>
                <w:szCs w:val="19"/>
                <w:color w:val="auto"/>
              </w:rPr>
            </w:pPr>
          </w:p>
        </w:tc>
        <w:tc>
          <w:tcPr>
            <w:tcW w:w="496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494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1"/>
              </w:rPr>
              <w:t>(Signed exactly as name appears on the other side of this Security)</w:t>
            </w:r>
          </w:p>
        </w:tc>
      </w:tr>
    </w:tbl>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14605</wp:posOffset>
            </wp:positionV>
            <wp:extent cx="606044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060440" cy="8255"/>
                    </a:xfrm>
                    <a:prstGeom prst="rect">
                      <a:avLst/>
                    </a:prstGeom>
                    <a:noFill/>
                  </pic:spPr>
                </pic:pic>
              </a:graphicData>
            </a:graphic>
          </wp:anchor>
        </w:drawing>
      </w:r>
    </w:p>
    <w:p>
      <w:pPr>
        <w:spacing w:after="0" w:line="3" w:lineRule="exact"/>
        <w:rPr>
          <w:sz w:val="20"/>
          <w:szCs w:val="20"/>
          <w:color w:val="auto"/>
        </w:rPr>
      </w:pPr>
    </w:p>
    <w:p>
      <w:pPr>
        <w:ind w:left="1700" w:right="80"/>
        <w:spacing w:after="0" w:line="276" w:lineRule="auto"/>
        <w:rPr>
          <w:sz w:val="20"/>
          <w:szCs w:val="20"/>
          <w:color w:val="auto"/>
        </w:rPr>
      </w:pPr>
      <w:r>
        <w:rPr>
          <w:rFonts w:ascii="Arial" w:cs="Arial" w:eastAsia="Arial" w:hAnsi="Arial"/>
          <w:sz w:val="18"/>
          <w:szCs w:val="18"/>
          <w:color w:val="auto"/>
        </w:rPr>
        <w:t>Participant in a recognized Signature Guarantee Medallion Program (or other signature guarantor program reasonably acceptable to the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477520</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14" w:right="3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2807970</wp:posOffset>
            </wp:positionH>
            <wp:positionV relativeFrom="paragraph">
              <wp:posOffset>291465</wp:posOffset>
            </wp:positionV>
            <wp:extent cx="1534160" cy="7797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534160" cy="779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August 25,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Comcast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One Comcast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 19103-2838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 am Vice President, Senior Deputy General Counsel and Assistant Secretary of Comcast Corporation, a Pennsylvania corporation (the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Company</w:t>
      </w:r>
      <w:r>
        <w:rPr>
          <w:rFonts w:ascii="Arial" w:cs="Arial" w:eastAsia="Arial" w:hAnsi="Arial"/>
          <w:sz w:val="16"/>
          <w:szCs w:val="16"/>
          <w:color w:val="auto"/>
        </w:rPr>
        <w:t>”), and have acted for the Company in connection with the issuance by the Company, pursuant to the Underwriting Agreement dated August 11,</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2020 (the “</w:t>
      </w:r>
      <w:r>
        <w:rPr>
          <w:rFonts w:ascii="Arial" w:cs="Arial" w:eastAsia="Arial" w:hAnsi="Arial"/>
          <w:sz w:val="17"/>
          <w:szCs w:val="17"/>
          <w:b w:val="1"/>
          <w:bCs w:val="1"/>
          <w:color w:val="auto"/>
        </w:rPr>
        <w:t>Underwriting Agreement</w:t>
      </w:r>
      <w:r>
        <w:rPr>
          <w:rFonts w:ascii="Arial" w:cs="Arial" w:eastAsia="Arial" w:hAnsi="Arial"/>
          <w:sz w:val="17"/>
          <w:szCs w:val="17"/>
          <w:color w:val="auto"/>
        </w:rPr>
        <w:t>”) among the Company, the Guarantors (as defined below) and the several underwriters named therein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Underwriters</w:t>
      </w:r>
      <w:r>
        <w:rPr>
          <w:rFonts w:ascii="Arial" w:cs="Arial" w:eastAsia="Arial" w:hAnsi="Arial"/>
          <w:sz w:val="16"/>
          <w:szCs w:val="16"/>
          <w:color w:val="auto"/>
        </w:rPr>
        <w:t>”), of $1,750,000,000 aggregate principal amount of its 1.500% Notes due 2031 (the “</w:t>
      </w:r>
      <w:r>
        <w:rPr>
          <w:rFonts w:ascii="Arial" w:cs="Arial" w:eastAsia="Arial" w:hAnsi="Arial"/>
          <w:sz w:val="16"/>
          <w:szCs w:val="16"/>
          <w:b w:val="1"/>
          <w:bCs w:val="1"/>
          <w:color w:val="auto"/>
        </w:rPr>
        <w:t>2031 Notes</w:t>
      </w:r>
      <w:r>
        <w:rPr>
          <w:rFonts w:ascii="Arial" w:cs="Arial" w:eastAsia="Arial" w:hAnsi="Arial"/>
          <w:sz w:val="16"/>
          <w:szCs w:val="16"/>
          <w:color w:val="auto"/>
        </w:rPr>
        <w:t>”), $1,500,000,000 aggregate principal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amount of its 2.450% Notes due 2052 (the “</w:t>
      </w:r>
      <w:r>
        <w:rPr>
          <w:rFonts w:ascii="Arial" w:cs="Arial" w:eastAsia="Arial" w:hAnsi="Arial"/>
          <w:sz w:val="16"/>
          <w:szCs w:val="16"/>
          <w:b w:val="1"/>
          <w:bCs w:val="1"/>
          <w:color w:val="auto"/>
        </w:rPr>
        <w:t>2052 Notes</w:t>
      </w:r>
      <w:r>
        <w:rPr>
          <w:rFonts w:ascii="Arial" w:cs="Arial" w:eastAsia="Arial" w:hAnsi="Arial"/>
          <w:sz w:val="16"/>
          <w:szCs w:val="16"/>
          <w:color w:val="auto"/>
        </w:rPr>
        <w:t>”) and $1,250,000,000 aggregate principal amount of its 2.650% Notes due 2062 (the “</w:t>
      </w:r>
      <w:r>
        <w:rPr>
          <w:rFonts w:ascii="Arial" w:cs="Arial" w:eastAsia="Arial" w:hAnsi="Arial"/>
          <w:sz w:val="16"/>
          <w:szCs w:val="16"/>
          <w:b w:val="1"/>
          <w:bCs w:val="1"/>
          <w:color w:val="auto"/>
        </w:rPr>
        <w:t>2062 Notes</w:t>
      </w:r>
      <w:r>
        <w:rPr>
          <w:rFonts w:ascii="Arial" w:cs="Arial" w:eastAsia="Arial" w:hAnsi="Arial"/>
          <w:sz w:val="16"/>
          <w:szCs w:val="16"/>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and together with the 2031 Notes and 2052 Notes, the “</w:t>
      </w:r>
      <w:r>
        <w:rPr>
          <w:rFonts w:ascii="Arial" w:cs="Arial" w:eastAsia="Arial" w:hAnsi="Arial"/>
          <w:sz w:val="17"/>
          <w:szCs w:val="17"/>
          <w:b w:val="1"/>
          <w:bCs w:val="1"/>
          <w:color w:val="auto"/>
        </w:rPr>
        <w:t>Notes</w:t>
      </w:r>
      <w:r>
        <w:rPr>
          <w:rFonts w:ascii="Arial" w:cs="Arial" w:eastAsia="Arial" w:hAnsi="Arial"/>
          <w:sz w:val="17"/>
          <w:szCs w:val="17"/>
          <w:color w:val="auto"/>
        </w:rPr>
        <w:t>”). The Notes are to be issued pursuant to the provisions of the Indenture dated as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September 18, 2013, as amended by the First Supplemental Indenture thereto dated as of November 17, 2015, by and among the Company, the guarantors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named therein (the “</w:t>
      </w:r>
      <w:r>
        <w:rPr>
          <w:rFonts w:ascii="Arial" w:cs="Arial" w:eastAsia="Arial" w:hAnsi="Arial"/>
          <w:sz w:val="16"/>
          <w:szCs w:val="16"/>
          <w:b w:val="1"/>
          <w:bCs w:val="1"/>
          <w:color w:val="auto"/>
        </w:rPr>
        <w:t>Guarantors</w:t>
      </w:r>
      <w:r>
        <w:rPr>
          <w:rFonts w:ascii="Arial" w:cs="Arial" w:eastAsia="Arial" w:hAnsi="Arial"/>
          <w:sz w:val="16"/>
          <w:szCs w:val="16"/>
          <w:color w:val="auto"/>
        </w:rPr>
        <w:t xml:space="preserve">”) and The Bank of New York Mellon, as trustee (the </w:t>
      </w:r>
      <w:r>
        <w:rPr>
          <w:rFonts w:ascii="Arial" w:cs="Arial" w:eastAsia="Arial" w:hAnsi="Arial"/>
          <w:sz w:val="16"/>
          <w:szCs w:val="16"/>
          <w:b w:val="1"/>
          <w:bCs w:val="1"/>
          <w:color w:val="auto"/>
        </w:rPr>
        <w:t>“Trustee”</w:t>
      </w:r>
      <w:r>
        <w:rPr>
          <w:rFonts w:ascii="Arial" w:cs="Arial" w:eastAsia="Arial" w:hAnsi="Arial"/>
          <w:sz w:val="16"/>
          <w:szCs w:val="16"/>
          <w:color w:val="auto"/>
        </w:rPr>
        <w:t>), and guaranteed on an unsecured and unsubordinated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basis by the Guarantors.</w:t>
      </w:r>
    </w:p>
    <w:p>
      <w:pPr>
        <w:spacing w:after="0" w:line="211"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I have examined originals or copies, certified or otherwise identified to my satisfaction, of such documents, corporate records, certificates of public officials and other instruments as I have deemed necessary or advisable for the purpose of rendering this opinion.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Based upon the foregoing, I am of the opinion that:</w:t>
      </w:r>
    </w:p>
    <w:p>
      <w:pPr>
        <w:spacing w:after="0" w:line="225" w:lineRule="exact"/>
        <w:rPr>
          <w:sz w:val="20"/>
          <w:szCs w:val="20"/>
          <w:color w:val="auto"/>
        </w:rPr>
      </w:pPr>
    </w:p>
    <w:p>
      <w:pPr>
        <w:ind w:left="1100" w:hanging="444"/>
        <w:spacing w:after="0"/>
        <w:tabs>
          <w:tab w:leader="none" w:pos="11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Indenture has been duly authorized, executed and delivered by the Company.</w:t>
      </w:r>
    </w:p>
    <w:p>
      <w:pPr>
        <w:spacing w:after="0" w:line="225" w:lineRule="exact"/>
        <w:rPr>
          <w:rFonts w:ascii="Arial" w:cs="Arial" w:eastAsia="Arial" w:hAnsi="Arial"/>
          <w:sz w:val="18"/>
          <w:szCs w:val="18"/>
          <w:color w:val="auto"/>
        </w:rPr>
      </w:pPr>
    </w:p>
    <w:p>
      <w:pPr>
        <w:ind w:left="1100" w:hanging="444"/>
        <w:spacing w:after="0"/>
        <w:tabs>
          <w:tab w:leader="none" w:pos="11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Notes have been duly authorized by the Company.</w:t>
      </w:r>
    </w:p>
    <w:p>
      <w:pPr>
        <w:spacing w:after="0" w:line="225"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I am a member of the Bar of the Commonwealth of Pennsylvania and the foregoing opinion is limited to the laws of the Commonwealth of Pennsylvania and the federal laws of the United States of America.</w:t>
      </w:r>
    </w:p>
    <w:p>
      <w:pPr>
        <w:spacing w:after="0" w:line="197"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I hereby consent to the filing of this opinion as an exhibit to a report on Form 8-K filed by the Company on the date hereof and its incorporation by reference into the Company’s registration statement on Form S-3 filed on August 1, 2019, as amended as of the date of the Underwriting Agreement (File No. 333-232941). In addition, I consent to the reference to my name under the caption “Legal Matters” in the prospectus, which is a part of the registration statement. In giving this consent, I do not admit that I am in the category of persons whose consent is required under Section 7 of the Securities Act of 1933, as amended.</w:t>
      </w:r>
    </w:p>
    <w:p>
      <w:pPr>
        <w:spacing w:after="0" w:line="188"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Very truly yours,</w:t>
      </w:r>
    </w:p>
    <w:p>
      <w:pPr>
        <w:spacing w:after="0" w:line="200" w:lineRule="exact"/>
        <w:rPr>
          <w:sz w:val="20"/>
          <w:szCs w:val="20"/>
          <w:color w:val="auto"/>
        </w:rPr>
      </w:pPr>
    </w:p>
    <w:p>
      <w:pPr>
        <w:spacing w:after="0" w:line="241"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Elizabeth Wideman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942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Name: Elizabeth Wideman</w:t>
      </w:r>
    </w:p>
    <w:p>
      <w:pPr>
        <w:spacing w:after="0" w:line="23" w:lineRule="exact"/>
        <w:rPr>
          <w:sz w:val="20"/>
          <w:szCs w:val="20"/>
          <w:color w:val="auto"/>
        </w:rPr>
      </w:pPr>
    </w:p>
    <w:p>
      <w:pPr>
        <w:ind w:left="7320"/>
        <w:spacing w:after="0"/>
        <w:rPr>
          <w:sz w:val="20"/>
          <w:szCs w:val="20"/>
          <w:color w:val="auto"/>
        </w:rPr>
      </w:pPr>
      <w:r>
        <w:rPr>
          <w:rFonts w:ascii="Arial" w:cs="Arial" w:eastAsia="Arial" w:hAnsi="Arial"/>
          <w:sz w:val="16"/>
          <w:szCs w:val="16"/>
          <w:color w:val="auto"/>
        </w:rPr>
        <w:t>Title: Vice President, Senior Deputy General Counsel</w:t>
      </w:r>
    </w:p>
    <w:p>
      <w:pPr>
        <w:spacing w:after="0" w:line="32"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and Assistant Secretary</w:t>
      </w:r>
    </w:p>
    <w:p>
      <w:pPr>
        <w:sectPr>
          <w:pgSz w:w="11900" w:h="16838" w:orient="portrait"/>
          <w:cols w:equalWidth="0" w:num="1">
            <w:col w:w="11240"/>
          </w:cols>
          <w:pgMar w:left="320" w:top="337" w:right="339" w:bottom="1440" w:gutter="0" w:footer="0" w:header="0"/>
        </w:sectPr>
      </w:pPr>
    </w:p>
    <w:bookmarkStart w:id="37" w:name="page38"/>
    <w:bookmarkEnd w:id="37"/>
    <w:p>
      <w:pPr>
        <w:ind w:left="10160"/>
        <w:spacing w:after="0"/>
        <w:rPr>
          <w:sz w:val="20"/>
          <w:szCs w:val="20"/>
          <w:color w:val="auto"/>
        </w:rPr>
      </w:pPr>
      <w:r>
        <w:rPr>
          <w:rFonts w:ascii="Arial" w:cs="Arial" w:eastAsia="Arial" w:hAnsi="Arial"/>
          <w:sz w:val="21"/>
          <w:szCs w:val="21"/>
          <w:b w:val="1"/>
          <w:bCs w:val="1"/>
          <w:color w:val="auto"/>
        </w:rPr>
        <w:t>Exhibit 5.2</w:t>
      </w:r>
    </w:p>
    <w:p>
      <w:pPr>
        <w:sectPr>
          <w:pgSz w:w="11900" w:h="16838" w:orient="portrait"/>
          <w:cols w:equalWidth="0" w:num="1">
            <w:col w:w="11240"/>
          </w:cols>
          <w:pgMar w:left="320" w:top="105" w:right="339" w:bottom="1440" w:gutter="0" w:footer="0" w:header="0"/>
        </w:sectPr>
      </w:pPr>
    </w:p>
    <w:p>
      <w:pPr>
        <w:spacing w:after="0" w:line="200" w:lineRule="exact"/>
        <w:rPr>
          <w:sz w:val="20"/>
          <w:szCs w:val="20"/>
          <w:color w:val="auto"/>
        </w:rPr>
      </w:pPr>
    </w:p>
    <w:p>
      <w:pPr>
        <w:spacing w:after="0" w:line="303" w:lineRule="exact"/>
        <w:rPr>
          <w:sz w:val="20"/>
          <w:szCs w:val="20"/>
          <w:color w:val="auto"/>
        </w:rPr>
      </w:pPr>
    </w:p>
    <w:p>
      <w:pPr>
        <w:ind w:left="8100"/>
        <w:spacing w:after="0"/>
        <w:rPr>
          <w:sz w:val="20"/>
          <w:szCs w:val="20"/>
          <w:color w:val="auto"/>
        </w:rPr>
      </w:pPr>
      <w:r>
        <w:rPr>
          <w:rFonts w:ascii="Arial" w:cs="Arial" w:eastAsia="Arial" w:hAnsi="Arial"/>
          <w:sz w:val="16"/>
          <w:szCs w:val="16"/>
          <w:b w:val="1"/>
          <w:bCs w:val="1"/>
          <w:color w:val="auto"/>
        </w:rPr>
        <w:t>New York</w:t>
      </w:r>
    </w:p>
    <w:p>
      <w:pPr>
        <w:spacing w:after="0" w:line="25" w:lineRule="exact"/>
        <w:rPr>
          <w:sz w:val="20"/>
          <w:szCs w:val="20"/>
          <w:color w:val="auto"/>
        </w:rPr>
      </w:pPr>
    </w:p>
    <w:p>
      <w:pPr>
        <w:ind w:left="8100"/>
        <w:spacing w:after="0"/>
        <w:rPr>
          <w:sz w:val="20"/>
          <w:szCs w:val="20"/>
          <w:color w:val="auto"/>
        </w:rPr>
      </w:pPr>
      <w:r>
        <w:rPr>
          <w:rFonts w:ascii="Arial" w:cs="Arial" w:eastAsia="Arial" w:hAnsi="Arial"/>
          <w:sz w:val="16"/>
          <w:szCs w:val="16"/>
          <w:b w:val="1"/>
          <w:bCs w:val="1"/>
          <w:color w:val="auto"/>
        </w:rPr>
        <w:t>Northern California</w:t>
      </w:r>
    </w:p>
    <w:p>
      <w:pPr>
        <w:spacing w:after="0" w:line="5" w:lineRule="exact"/>
        <w:rPr>
          <w:sz w:val="20"/>
          <w:szCs w:val="20"/>
          <w:color w:val="auto"/>
        </w:rPr>
      </w:pPr>
    </w:p>
    <w:p>
      <w:pPr>
        <w:ind w:left="8100"/>
        <w:spacing w:after="0"/>
        <w:rPr>
          <w:sz w:val="20"/>
          <w:szCs w:val="20"/>
          <w:color w:val="auto"/>
        </w:rPr>
      </w:pPr>
      <w:r>
        <w:rPr>
          <w:rFonts w:ascii="Arial" w:cs="Arial" w:eastAsia="Arial" w:hAnsi="Arial"/>
          <w:sz w:val="16"/>
          <w:szCs w:val="16"/>
          <w:b w:val="1"/>
          <w:bCs w:val="1"/>
          <w:color w:val="auto"/>
        </w:rPr>
        <w:t>Washington DC</w:t>
      </w:r>
    </w:p>
    <w:p>
      <w:pPr>
        <w:spacing w:after="0" w:line="5" w:lineRule="exact"/>
        <w:rPr>
          <w:sz w:val="20"/>
          <w:szCs w:val="20"/>
          <w:color w:val="auto"/>
        </w:rPr>
      </w:pPr>
    </w:p>
    <w:p>
      <w:pPr>
        <w:ind w:left="8100"/>
        <w:spacing w:after="0"/>
        <w:rPr>
          <w:sz w:val="20"/>
          <w:szCs w:val="20"/>
          <w:color w:val="auto"/>
        </w:rPr>
      </w:pPr>
      <w:r>
        <w:rPr>
          <w:rFonts w:ascii="Arial" w:cs="Arial" w:eastAsia="Arial" w:hAnsi="Arial"/>
          <w:sz w:val="16"/>
          <w:szCs w:val="16"/>
          <w:b w:val="1"/>
          <w:bCs w:val="1"/>
          <w:color w:val="auto"/>
        </w:rPr>
        <w:t>São Paulo</w:t>
      </w:r>
    </w:p>
    <w:p>
      <w:pPr>
        <w:spacing w:after="0" w:line="5" w:lineRule="exact"/>
        <w:rPr>
          <w:sz w:val="20"/>
          <w:szCs w:val="20"/>
          <w:color w:val="auto"/>
        </w:rPr>
      </w:pPr>
    </w:p>
    <w:p>
      <w:pPr>
        <w:ind w:left="8100"/>
        <w:spacing w:after="0"/>
        <w:rPr>
          <w:sz w:val="20"/>
          <w:szCs w:val="20"/>
          <w:color w:val="auto"/>
        </w:rPr>
      </w:pPr>
      <w:r>
        <w:rPr>
          <w:rFonts w:ascii="Arial" w:cs="Arial" w:eastAsia="Arial" w:hAnsi="Arial"/>
          <w:sz w:val="16"/>
          <w:szCs w:val="16"/>
          <w:b w:val="1"/>
          <w:bCs w:val="1"/>
          <w:color w:val="auto"/>
        </w:rPr>
        <w:t>London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1328420" cy="2571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328420" cy="2571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Paris</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Madrid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Tokyo</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Beijing</w:t>
      </w:r>
    </w:p>
    <w:p>
      <w:pPr>
        <w:spacing w:after="0" w:line="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Hong Kong</w:t>
      </w:r>
    </w:p>
    <w:p>
      <w:pPr>
        <w:spacing w:after="0" w:line="211" w:lineRule="exact"/>
        <w:rPr>
          <w:sz w:val="20"/>
          <w:szCs w:val="20"/>
          <w:color w:val="auto"/>
        </w:rPr>
      </w:pPr>
    </w:p>
    <w:p>
      <w:pPr>
        <w:sectPr>
          <w:pgSz w:w="11900" w:h="16838" w:orient="portrait"/>
          <w:cols w:equalWidth="0" w:num="2">
            <w:col w:w="9580" w:space="440"/>
            <w:col w:w="1220"/>
          </w:cols>
          <w:pgMar w:left="320" w:top="105" w:right="339" w:bottom="1440" w:gutter="0" w:footer="0" w:header="0"/>
          <w:type w:val="continuous"/>
        </w:sect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400" w:type="dxa"/>
            <w:vAlign w:val="bottom"/>
          </w:tcPr>
          <w:p>
            <w:pPr>
              <w:spacing w:after="0"/>
              <w:rPr>
                <w:sz w:val="20"/>
                <w:szCs w:val="20"/>
                <w:color w:val="auto"/>
              </w:rPr>
            </w:pPr>
            <w:r>
              <w:rPr>
                <w:rFonts w:ascii="Arial" w:cs="Arial" w:eastAsia="Arial" w:hAnsi="Arial"/>
                <w:sz w:val="16"/>
                <w:szCs w:val="16"/>
                <w:color w:val="auto"/>
              </w:rPr>
              <w:t>Davis Polk &amp; Wardwell LLP</w:t>
            </w:r>
          </w:p>
        </w:tc>
        <w:tc>
          <w:tcPr>
            <w:tcW w:w="1680" w:type="dxa"/>
            <w:vAlign w:val="bottom"/>
          </w:tcPr>
          <w:p>
            <w:pPr>
              <w:ind w:left="420"/>
              <w:spacing w:after="0"/>
              <w:rPr>
                <w:sz w:val="20"/>
                <w:szCs w:val="20"/>
                <w:color w:val="auto"/>
              </w:rPr>
            </w:pPr>
            <w:r>
              <w:rPr>
                <w:rFonts w:ascii="Arial" w:cs="Arial" w:eastAsia="Arial" w:hAnsi="Arial"/>
                <w:sz w:val="16"/>
                <w:szCs w:val="16"/>
                <w:color w:val="auto"/>
              </w:rPr>
              <w:t>212 450 4000 tel</w:t>
            </w:r>
          </w:p>
        </w:tc>
      </w:tr>
      <w:tr>
        <w:trPr>
          <w:trHeight w:val="189"/>
        </w:trPr>
        <w:tc>
          <w:tcPr>
            <w:tcW w:w="2400" w:type="dxa"/>
            <w:vAlign w:val="bottom"/>
          </w:tcPr>
          <w:p>
            <w:pPr>
              <w:spacing w:after="0"/>
              <w:rPr>
                <w:sz w:val="20"/>
                <w:szCs w:val="20"/>
                <w:color w:val="auto"/>
              </w:rPr>
            </w:pPr>
            <w:r>
              <w:rPr>
                <w:rFonts w:ascii="Arial" w:cs="Arial" w:eastAsia="Arial" w:hAnsi="Arial"/>
                <w:sz w:val="16"/>
                <w:szCs w:val="16"/>
                <w:color w:val="auto"/>
              </w:rPr>
              <w:t>450 Lexington Avenue</w:t>
            </w:r>
          </w:p>
        </w:tc>
        <w:tc>
          <w:tcPr>
            <w:tcW w:w="1680" w:type="dxa"/>
            <w:vAlign w:val="bottom"/>
          </w:tcPr>
          <w:p>
            <w:pPr>
              <w:ind w:left="420"/>
              <w:spacing w:after="0"/>
              <w:rPr>
                <w:sz w:val="20"/>
                <w:szCs w:val="20"/>
                <w:color w:val="auto"/>
              </w:rPr>
            </w:pPr>
            <w:r>
              <w:rPr>
                <w:rFonts w:ascii="Arial" w:cs="Arial" w:eastAsia="Arial" w:hAnsi="Arial"/>
                <w:sz w:val="16"/>
                <w:szCs w:val="16"/>
                <w:color w:val="auto"/>
              </w:rPr>
              <w:t>212 701 5800 fax</w:t>
            </w:r>
          </w:p>
        </w:tc>
      </w:tr>
      <w:tr>
        <w:trPr>
          <w:trHeight w:val="195"/>
        </w:trPr>
        <w:tc>
          <w:tcPr>
            <w:tcW w:w="2400" w:type="dxa"/>
            <w:vAlign w:val="bottom"/>
          </w:tcPr>
          <w:p>
            <w:pPr>
              <w:spacing w:after="0"/>
              <w:rPr>
                <w:sz w:val="20"/>
                <w:szCs w:val="20"/>
                <w:color w:val="auto"/>
              </w:rPr>
            </w:pPr>
            <w:r>
              <w:rPr>
                <w:rFonts w:ascii="Arial" w:cs="Arial" w:eastAsia="Arial" w:hAnsi="Arial"/>
                <w:sz w:val="16"/>
                <w:szCs w:val="16"/>
                <w:color w:val="auto"/>
              </w:rPr>
              <w:t>New York, NY 10017</w:t>
            </w:r>
          </w:p>
        </w:tc>
        <w:tc>
          <w:tcPr>
            <w:tcW w:w="1680" w:type="dxa"/>
            <w:vAlign w:val="bottom"/>
          </w:tcPr>
          <w:p>
            <w:pPr>
              <w:spacing w:after="0"/>
              <w:rPr>
                <w:sz w:val="16"/>
                <w:szCs w:val="16"/>
                <w:color w:val="auto"/>
              </w:rPr>
            </w:pPr>
          </w:p>
        </w:tc>
      </w:tr>
    </w:tbl>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August 25, 2020</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Comcast Corporation</w:t>
      </w:r>
    </w:p>
    <w:p>
      <w:pPr>
        <w:spacing w:after="0" w:line="234" w:lineRule="auto"/>
        <w:rPr>
          <w:sz w:val="20"/>
          <w:szCs w:val="20"/>
          <w:color w:val="auto"/>
        </w:rPr>
      </w:pPr>
      <w:r>
        <w:rPr>
          <w:rFonts w:ascii="Arial" w:cs="Arial" w:eastAsia="Arial" w:hAnsi="Arial"/>
          <w:sz w:val="18"/>
          <w:szCs w:val="18"/>
          <w:color w:val="auto"/>
        </w:rPr>
        <w:t>One Comcast Center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 19103-2838</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6"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Comcast Corporation, a Pennsylvania corporation (the “</w:t>
      </w:r>
      <w:r>
        <w:rPr>
          <w:rFonts w:ascii="Arial" w:cs="Arial" w:eastAsia="Arial" w:hAnsi="Arial"/>
          <w:sz w:val="18"/>
          <w:szCs w:val="18"/>
          <w:b w:val="1"/>
          <w:bCs w:val="1"/>
          <w:color w:val="auto"/>
        </w:rPr>
        <w:t>Company</w:t>
      </w:r>
      <w:r>
        <w:rPr>
          <w:rFonts w:ascii="Arial" w:cs="Arial" w:eastAsia="Arial" w:hAnsi="Arial"/>
          <w:sz w:val="18"/>
          <w:szCs w:val="18"/>
          <w:color w:val="auto"/>
        </w:rPr>
        <w:t>”), and the guarantors listed in Schedule I hereto (the “</w:t>
      </w:r>
      <w:r>
        <w:rPr>
          <w:rFonts w:ascii="Arial" w:cs="Arial" w:eastAsia="Arial" w:hAnsi="Arial"/>
          <w:sz w:val="18"/>
          <w:szCs w:val="18"/>
          <w:b w:val="1"/>
          <w:bCs w:val="1"/>
          <w:color w:val="auto"/>
        </w:rPr>
        <w:t>Guarantors</w:t>
      </w:r>
      <w:r>
        <w:rPr>
          <w:rFonts w:ascii="Arial" w:cs="Arial" w:eastAsia="Arial" w:hAnsi="Arial"/>
          <w:sz w:val="18"/>
          <w:szCs w:val="18"/>
          <w:color w:val="auto"/>
        </w:rPr>
        <w:t>”), have filed with the Securities and Exchange Commission a Registration Statement on Form S-3 (File No. 333-232941) (the “</w:t>
      </w:r>
      <w:r>
        <w:rPr>
          <w:rFonts w:ascii="Arial" w:cs="Arial" w:eastAsia="Arial" w:hAnsi="Arial"/>
          <w:sz w:val="18"/>
          <w:szCs w:val="18"/>
          <w:b w:val="1"/>
          <w:bCs w:val="1"/>
          <w:color w:val="auto"/>
        </w:rPr>
        <w:t>Registration</w:t>
      </w:r>
      <w:r>
        <w:rPr>
          <w:rFonts w:ascii="Arial" w:cs="Arial" w:eastAsia="Arial" w:hAnsi="Arial"/>
          <w:sz w:val="18"/>
          <w:szCs w:val="18"/>
          <w:color w:val="auto"/>
        </w:rPr>
        <w:t xml:space="preserve"> </w:t>
      </w:r>
      <w:r>
        <w:rPr>
          <w:rFonts w:ascii="Arial" w:cs="Arial" w:eastAsia="Arial" w:hAnsi="Arial"/>
          <w:sz w:val="18"/>
          <w:szCs w:val="18"/>
          <w:b w:val="1"/>
          <w:bCs w:val="1"/>
          <w:color w:val="auto"/>
        </w:rPr>
        <w:t>Statement</w:t>
      </w:r>
      <w:r>
        <w:rPr>
          <w:rFonts w:ascii="Arial" w:cs="Arial" w:eastAsia="Arial" w:hAnsi="Arial"/>
          <w:sz w:val="18"/>
          <w:szCs w:val="18"/>
          <w:color w:val="auto"/>
        </w:rPr>
        <w:t>”) for the purpose of registering under the Securities Act of 1933, as amended (the “</w:t>
      </w:r>
      <w:r>
        <w:rPr>
          <w:rFonts w:ascii="Arial" w:cs="Arial" w:eastAsia="Arial" w:hAnsi="Arial"/>
          <w:sz w:val="18"/>
          <w:szCs w:val="18"/>
          <w:b w:val="1"/>
          <w:bCs w:val="1"/>
          <w:color w:val="auto"/>
        </w:rPr>
        <w:t>Securities Act</w:t>
      </w:r>
      <w:r>
        <w:rPr>
          <w:rFonts w:ascii="Arial" w:cs="Arial" w:eastAsia="Arial" w:hAnsi="Arial"/>
          <w:sz w:val="18"/>
          <w:szCs w:val="18"/>
          <w:color w:val="auto"/>
        </w:rPr>
        <w:t>”), certain securities, including</w:t>
      </w:r>
      <w:r>
        <w:rPr>
          <w:rFonts w:ascii="Arial" w:cs="Arial" w:eastAsia="Arial" w:hAnsi="Arial"/>
          <w:sz w:val="18"/>
          <w:szCs w:val="18"/>
          <w:b w:val="1"/>
          <w:bCs w:val="1"/>
          <w:color w:val="auto"/>
        </w:rPr>
        <w:t xml:space="preserve"> </w:t>
      </w:r>
      <w:r>
        <w:rPr>
          <w:rFonts w:ascii="Arial" w:cs="Arial" w:eastAsia="Arial" w:hAnsi="Arial"/>
          <w:sz w:val="18"/>
          <w:szCs w:val="18"/>
          <w:color w:val="auto"/>
        </w:rPr>
        <w:t>$1,750,000,000 aggregate principal amount of its 1.500% Notes due 2031 (the “</w:t>
      </w:r>
      <w:r>
        <w:rPr>
          <w:rFonts w:ascii="Arial" w:cs="Arial" w:eastAsia="Arial" w:hAnsi="Arial"/>
          <w:sz w:val="18"/>
          <w:szCs w:val="18"/>
          <w:b w:val="1"/>
          <w:bCs w:val="1"/>
          <w:color w:val="auto"/>
        </w:rPr>
        <w:t>2031 Notes</w:t>
      </w:r>
      <w:r>
        <w:rPr>
          <w:rFonts w:ascii="Arial" w:cs="Arial" w:eastAsia="Arial" w:hAnsi="Arial"/>
          <w:sz w:val="18"/>
          <w:szCs w:val="18"/>
          <w:color w:val="auto"/>
        </w:rPr>
        <w:t>”), $1,500,000,000 aggregate principal amount of its 2.450% Notes due 2052 (the “</w:t>
      </w:r>
      <w:r>
        <w:rPr>
          <w:rFonts w:ascii="Arial" w:cs="Arial" w:eastAsia="Arial" w:hAnsi="Arial"/>
          <w:sz w:val="18"/>
          <w:szCs w:val="18"/>
          <w:b w:val="1"/>
          <w:bCs w:val="1"/>
          <w:color w:val="auto"/>
        </w:rPr>
        <w:t>2052 Notes</w:t>
      </w:r>
      <w:r>
        <w:rPr>
          <w:rFonts w:ascii="Arial" w:cs="Arial" w:eastAsia="Arial" w:hAnsi="Arial"/>
          <w:sz w:val="18"/>
          <w:szCs w:val="18"/>
          <w:color w:val="auto"/>
        </w:rPr>
        <w:t>”) and $1,250,000,000 aggregate principal amount of its 2.650% Notes due 2062 (the “</w:t>
      </w:r>
      <w:r>
        <w:rPr>
          <w:rFonts w:ascii="Arial" w:cs="Arial" w:eastAsia="Arial" w:hAnsi="Arial"/>
          <w:sz w:val="18"/>
          <w:szCs w:val="18"/>
          <w:b w:val="1"/>
          <w:bCs w:val="1"/>
          <w:color w:val="auto"/>
        </w:rPr>
        <w:t>2062</w:t>
      </w:r>
      <w:r>
        <w:rPr>
          <w:rFonts w:ascii="Arial" w:cs="Arial" w:eastAsia="Arial" w:hAnsi="Arial"/>
          <w:sz w:val="18"/>
          <w:szCs w:val="18"/>
          <w:color w:val="auto"/>
        </w:rPr>
        <w:t xml:space="preserve"> </w:t>
      </w:r>
      <w:r>
        <w:rPr>
          <w:rFonts w:ascii="Arial" w:cs="Arial" w:eastAsia="Arial" w:hAnsi="Arial"/>
          <w:sz w:val="18"/>
          <w:szCs w:val="18"/>
          <w:b w:val="1"/>
          <w:bCs w:val="1"/>
          <w:color w:val="auto"/>
        </w:rPr>
        <w:t>Notes</w:t>
      </w:r>
      <w:r>
        <w:rPr>
          <w:rFonts w:ascii="Arial" w:cs="Arial" w:eastAsia="Arial" w:hAnsi="Arial"/>
          <w:sz w:val="18"/>
          <w:szCs w:val="18"/>
          <w:color w:val="auto"/>
        </w:rPr>
        <w:t>,” and together with the 2031 Notes and 2052 Notes, the “</w:t>
      </w:r>
      <w:r>
        <w:rPr>
          <w:rFonts w:ascii="Arial" w:cs="Arial" w:eastAsia="Arial" w:hAnsi="Arial"/>
          <w:sz w:val="18"/>
          <w:szCs w:val="18"/>
          <w:b w:val="1"/>
          <w:bCs w:val="1"/>
          <w:color w:val="auto"/>
        </w:rPr>
        <w:t>Notes</w:t>
      </w:r>
      <w:r>
        <w:rPr>
          <w:rFonts w:ascii="Arial" w:cs="Arial" w:eastAsia="Arial" w:hAnsi="Arial"/>
          <w:sz w:val="18"/>
          <w:szCs w:val="18"/>
          <w:color w:val="auto"/>
        </w:rPr>
        <w:t>”). The Notes are to be issued pursuant to the provisions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Indenture dated as of September 18, 2013 (the “</w:t>
      </w:r>
      <w:r>
        <w:rPr>
          <w:rFonts w:ascii="Arial" w:cs="Arial" w:eastAsia="Arial" w:hAnsi="Arial"/>
          <w:sz w:val="18"/>
          <w:szCs w:val="18"/>
          <w:b w:val="1"/>
          <w:bCs w:val="1"/>
          <w:color w:val="auto"/>
        </w:rPr>
        <w:t>Base Indenture”</w:t>
      </w:r>
      <w:r>
        <w:rPr>
          <w:rFonts w:ascii="Arial" w:cs="Arial" w:eastAsia="Arial" w:hAnsi="Arial"/>
          <w:sz w:val="18"/>
          <w:szCs w:val="18"/>
          <w:color w:val="auto"/>
        </w:rPr>
        <w:t>), as amended by the First Supplemental Indenture thereto dated as of November 17, 2015 (the “</w:t>
      </w:r>
      <w:r>
        <w:rPr>
          <w:rFonts w:ascii="Arial" w:cs="Arial" w:eastAsia="Arial" w:hAnsi="Arial"/>
          <w:sz w:val="18"/>
          <w:szCs w:val="18"/>
          <w:b w:val="1"/>
          <w:bCs w:val="1"/>
          <w:color w:val="auto"/>
        </w:rPr>
        <w:t>First Supplemental Indenture</w:t>
      </w:r>
      <w:r>
        <w:rPr>
          <w:rFonts w:ascii="Arial" w:cs="Arial" w:eastAsia="Arial" w:hAnsi="Arial"/>
          <w:sz w:val="18"/>
          <w:szCs w:val="18"/>
          <w:color w:val="auto"/>
        </w:rPr>
        <w:t>,” and together with the Base Indenture, the “</w:t>
      </w:r>
      <w:r>
        <w:rPr>
          <w:rFonts w:ascii="Arial" w:cs="Arial" w:eastAsia="Arial" w:hAnsi="Arial"/>
          <w:sz w:val="18"/>
          <w:szCs w:val="18"/>
          <w:b w:val="1"/>
          <w:bCs w:val="1"/>
          <w:color w:val="auto"/>
        </w:rPr>
        <w:t>Indenture</w:t>
      </w:r>
      <w:r>
        <w:rPr>
          <w:rFonts w:ascii="Arial" w:cs="Arial" w:eastAsia="Arial" w:hAnsi="Arial"/>
          <w:sz w:val="18"/>
          <w:szCs w:val="18"/>
          <w:color w:val="auto"/>
        </w:rPr>
        <w:t>”) by and among the Company, the Guarantors party thereto (the “</w:t>
      </w:r>
      <w:r>
        <w:rPr>
          <w:rFonts w:ascii="Arial" w:cs="Arial" w:eastAsia="Arial" w:hAnsi="Arial"/>
          <w:sz w:val="18"/>
          <w:szCs w:val="18"/>
          <w:b w:val="1"/>
          <w:bCs w:val="1"/>
          <w:color w:val="auto"/>
        </w:rPr>
        <w:t>Guarantors</w:t>
      </w:r>
      <w:r>
        <w:rPr>
          <w:rFonts w:ascii="Arial" w:cs="Arial" w:eastAsia="Arial" w:hAnsi="Arial"/>
          <w:sz w:val="18"/>
          <w:szCs w:val="18"/>
          <w:color w:val="auto"/>
        </w:rPr>
        <w:t>”) and The Bank of New York Mellon, as trustee (the “</w:t>
      </w:r>
      <w:r>
        <w:rPr>
          <w:rFonts w:ascii="Arial" w:cs="Arial" w:eastAsia="Arial" w:hAnsi="Arial"/>
          <w:sz w:val="18"/>
          <w:szCs w:val="18"/>
          <w:b w:val="1"/>
          <w:bCs w:val="1"/>
          <w:color w:val="auto"/>
        </w:rPr>
        <w:t>Trustee”</w:t>
      </w:r>
      <w:r>
        <w:rPr>
          <w:rFonts w:ascii="Arial" w:cs="Arial" w:eastAsia="Arial" w:hAnsi="Arial"/>
          <w:sz w:val="18"/>
          <w:szCs w:val="18"/>
          <w:color w:val="auto"/>
        </w:rPr>
        <w:t>). The Notes will be guaranteed by each of the Guarantors (the “</w:t>
      </w:r>
      <w:r>
        <w:rPr>
          <w:rFonts w:ascii="Arial" w:cs="Arial" w:eastAsia="Arial" w:hAnsi="Arial"/>
          <w:sz w:val="18"/>
          <w:szCs w:val="18"/>
          <w:b w:val="1"/>
          <w:bCs w:val="1"/>
          <w:color w:val="auto"/>
        </w:rPr>
        <w:t>Guarantees</w:t>
      </w:r>
      <w:r>
        <w:rPr>
          <w:rFonts w:ascii="Arial" w:cs="Arial" w:eastAsia="Arial" w:hAnsi="Arial"/>
          <w:sz w:val="18"/>
          <w:szCs w:val="18"/>
          <w:color w:val="auto"/>
        </w:rPr>
        <w:t>” and, together with the Notes, the “</w:t>
      </w:r>
      <w:r>
        <w:rPr>
          <w:rFonts w:ascii="Arial" w:cs="Arial" w:eastAsia="Arial" w:hAnsi="Arial"/>
          <w:sz w:val="18"/>
          <w:szCs w:val="18"/>
          <w:b w:val="1"/>
          <w:bCs w:val="1"/>
          <w:color w:val="auto"/>
        </w:rPr>
        <w:t>Securities</w:t>
      </w:r>
      <w:r>
        <w:rPr>
          <w:rFonts w:ascii="Arial" w:cs="Arial" w:eastAsia="Arial" w:hAnsi="Arial"/>
          <w:sz w:val="18"/>
          <w:szCs w:val="18"/>
          <w:color w:val="auto"/>
        </w:rPr>
        <w:t>”). The Securities are to be sold pursuant to the Underwriting Agreement dated August 11, 2020 (the “</w:t>
      </w:r>
      <w:r>
        <w:rPr>
          <w:rFonts w:ascii="Arial" w:cs="Arial" w:eastAsia="Arial" w:hAnsi="Arial"/>
          <w:sz w:val="18"/>
          <w:szCs w:val="18"/>
          <w:b w:val="1"/>
          <w:bCs w:val="1"/>
          <w:color w:val="auto"/>
        </w:rPr>
        <w:t>Underwriting Agreement</w:t>
      </w:r>
      <w:r>
        <w:rPr>
          <w:rFonts w:ascii="Arial" w:cs="Arial" w:eastAsia="Arial" w:hAnsi="Arial"/>
          <w:sz w:val="18"/>
          <w:szCs w:val="18"/>
          <w:color w:val="auto"/>
        </w:rPr>
        <w:t>”) among the Company, the Guarantors and the several underwriters named therein (the “</w:t>
      </w:r>
      <w:r>
        <w:rPr>
          <w:rFonts w:ascii="Arial" w:cs="Arial" w:eastAsia="Arial" w:hAnsi="Arial"/>
          <w:sz w:val="18"/>
          <w:szCs w:val="18"/>
          <w:b w:val="1"/>
          <w:bCs w:val="1"/>
          <w:color w:val="auto"/>
        </w:rPr>
        <w:t>Underwriters</w:t>
      </w:r>
      <w:r>
        <w:rPr>
          <w:rFonts w:ascii="Arial" w:cs="Arial" w:eastAsia="Arial" w:hAnsi="Arial"/>
          <w:sz w:val="18"/>
          <w:szCs w:val="18"/>
          <w:color w:val="auto"/>
        </w:rPr>
        <w:t>”).</w:t>
      </w:r>
    </w:p>
    <w:p>
      <w:pPr>
        <w:spacing w:after="0" w:line="191" w:lineRule="exact"/>
        <w:rPr>
          <w:sz w:val="20"/>
          <w:szCs w:val="20"/>
          <w:color w:val="auto"/>
        </w:rPr>
      </w:pPr>
    </w:p>
    <w:p>
      <w:pPr>
        <w:ind w:right="580"/>
        <w:spacing w:after="0" w:line="246" w:lineRule="auto"/>
        <w:rPr>
          <w:sz w:val="20"/>
          <w:szCs w:val="20"/>
          <w:color w:val="auto"/>
        </w:rPr>
      </w:pPr>
      <w:r>
        <w:rPr>
          <w:rFonts w:ascii="Arial" w:cs="Arial" w:eastAsia="Arial" w:hAnsi="Arial"/>
          <w:sz w:val="18"/>
          <w:szCs w:val="18"/>
          <w:color w:val="auto"/>
        </w:rPr>
        <w:t>We, as your counsel, have examined originals or copies of such documents, corporate records, certificates of public officials and other instruments as we have deemed necessary or advisable for the purpose of rendering this opinion.</w:t>
      </w:r>
    </w:p>
    <w:p>
      <w:pPr>
        <w:spacing w:after="0" w:line="183"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In rendering the opinion expressed herein, we have, without independent inquiry or investigation, assumed that (i) all documents submitted to us as originals are authentic and complete, (ii) all documents submitted to us as copies conform to authentic, complete originals, (iii) all signatures on all documents that we reviewed are genuine, (iv) all natural persons executing documents had and have the legal capacity to do so, (v) all statements in certificates of public officials and officers of the Company and the Guarantors that we reviewed were and are accurate and (vi) all representations made by the Company and the Guarantors as to matters of fact in the documents that we reviewed were and are accurate.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344805</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5" w:right="339" w:bottom="1440" w:gutter="0" w:footer="0" w:header="0"/>
          <w:type w:val="continuous"/>
        </w:sectPr>
      </w:pPr>
    </w:p>
    <w:bookmarkStart w:id="38" w:name="page39"/>
    <w:bookmarkEnd w:id="38"/>
    <w:p>
      <w:pPr>
        <w:jc w:val="right"/>
        <w:spacing w:after="0"/>
        <w:rPr>
          <w:sz w:val="20"/>
          <w:szCs w:val="20"/>
          <w:color w:val="auto"/>
        </w:rPr>
      </w:pPr>
      <w:r>
        <w:rPr>
          <w:rFonts w:ascii="Arial" w:cs="Arial" w:eastAsia="Arial" w:hAnsi="Arial"/>
          <w:sz w:val="18"/>
          <w:szCs w:val="18"/>
          <w:color w:val="auto"/>
        </w:rPr>
        <w:t>August 25, 2020</w:t>
      </w:r>
    </w:p>
    <w:p>
      <w:pPr>
        <w:spacing w:after="0" w:line="200" w:lineRule="exact"/>
        <w:rPr>
          <w:sz w:val="20"/>
          <w:szCs w:val="20"/>
          <w:color w:val="auto"/>
        </w:rPr>
      </w:pPr>
    </w:p>
    <w:p>
      <w:pPr>
        <w:spacing w:after="0" w:line="241"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Based upon the foregoing, and subject to the additional assumptions and qualifications set forth below, we advise you that, in our opinion, assuming the Notes have been duly executed and authenticated in accordance with the provisions of the Indenture and delivered to and paid for by the Underwriters pursuant to the Underwriting Agreement, the Notes will constitute valid and binding obligations of the Company and the Guarantors, as applicable, enforceable in accordance with their terms, subject to applicable bankruptcy, insolvency and similar laws affecting creditors’ rights generally, concepts of reasonableness and equitable principles of general applicability, provided that we express no opinion as to, (x) (i) the effect of fraudulent conveyance, fraudulent transfer or similar provision of applicable law on the conclusions expressed above or (ii) any provision of the Indenture that purports to avoid the effect of fraudulent conveyance, fraudulent transfer or similar provision of applicable law by limiting the amount of any Guarantor’s obligation or (y) the validity, legally binding effect or enforceability of any provision that permits holders to collect any portion of stated principal amount upon acceleration of the Debt Securities to the extent determined to constitute unearned interest.</w:t>
      </w:r>
    </w:p>
    <w:p>
      <w:pPr>
        <w:spacing w:after="0" w:line="192" w:lineRule="exact"/>
        <w:rPr>
          <w:sz w:val="20"/>
          <w:szCs w:val="20"/>
          <w:color w:val="auto"/>
        </w:rPr>
      </w:pPr>
    </w:p>
    <w:p>
      <w:pPr>
        <w:ind w:right="100"/>
        <w:spacing w:after="0" w:line="251" w:lineRule="auto"/>
        <w:rPr>
          <w:sz w:val="20"/>
          <w:szCs w:val="20"/>
          <w:color w:val="auto"/>
        </w:rPr>
      </w:pPr>
      <w:r>
        <w:rPr>
          <w:rFonts w:ascii="Arial" w:cs="Arial" w:eastAsia="Arial" w:hAnsi="Arial"/>
          <w:sz w:val="17"/>
          <w:szCs w:val="17"/>
          <w:color w:val="auto"/>
        </w:rPr>
        <w:t>Assuming the due authorization of the Notes by the Company and the due authorization of the Guarantee endorsed on each Note by each Guarantor (other than any Guarantor organized under the laws of Delaware or New York), the Guarantees, assuming the Notes (and the Guarantees endorsed thereon) have been duly executed and authenticated in accordance with the provisions of the Indenture and delivered to and paid for by the Underwriters pursuant to the Underwriting Agreement, will be valid and binding obligations of each Guarantor, enforceable in accordance with their terms, subject to applicable bankruptcy, insolvency and similar laws affecting creditors’ rights generally, concepts of reasonableness and equitable principles of general applicability; provided that we express no opinion as to the (x) (i) effect of fraudulent conveyance, fraudulent transfer or similar provision of applicable law on the conclusions expressed above or (ii) any provision of the Guarantee that purports to avoid the effect of fraudulent conveyance, fraudulent transfer or similar provision of applicable law by limiting the amount of the Guarantor’s obligation or (y) validity, legally binding effect or enforceability of any provision that permits holders to collect any portion of stated principal amount upon acceleration of the Notes to the extent determined to constitute unearned interest.</w:t>
      </w:r>
    </w:p>
    <w:p>
      <w:pPr>
        <w:spacing w:after="0" w:line="183"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In connection with the opinion expressed above, we have assumed that the Company and each Guarantor is validly existing and in good standing under the laws of the Commonwealth of Pennsylvania or the State of Delaware, as applicable. In addition, we have assumed that the Indenture and the Securities (collectively, the “</w:t>
      </w:r>
      <w:r>
        <w:rPr>
          <w:rFonts w:ascii="Arial" w:cs="Arial" w:eastAsia="Arial" w:hAnsi="Arial"/>
          <w:sz w:val="18"/>
          <w:szCs w:val="18"/>
          <w:b w:val="1"/>
          <w:bCs w:val="1"/>
          <w:color w:val="auto"/>
        </w:rPr>
        <w:t>Documents</w:t>
      </w:r>
      <w:r>
        <w:rPr>
          <w:rFonts w:ascii="Arial" w:cs="Arial" w:eastAsia="Arial" w:hAnsi="Arial"/>
          <w:sz w:val="18"/>
          <w:szCs w:val="18"/>
          <w:color w:val="auto"/>
        </w:rPr>
        <w:t>”) are valid, binding and enforceable agreements of each party thereto (other than as expressly covered above in respect of the Company and the Guarantors). We have also assumed that the execution, delivery and performance by each party to each Document to which it is a party (a) are within their corporate or limited liability company powers, as applicable, (b) do not contravene, or constitute a default under, the certificate of incorporation or bylaws or other constitutive documents of the Company or any Guarantor, (c) require no action by or in respect of, or filing with, any governmental body, agency or official and (d) do not contravene, or constitute a default under, any provision of applicable law or regulation or any judgment, injunction, order or decree or any agreement or other instrument binding upon the Company or any Guarantor, provided that we make no such assumption to the extent that we have specifically opined as to such matters with respect to the Company and each Guarantor.</w:t>
      </w:r>
    </w:p>
    <w:p>
      <w:pPr>
        <w:spacing w:after="0" w:line="30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color w:val="auto"/>
        </w:rPr>
        <w:t>August 25, 2020</w:t>
      </w:r>
    </w:p>
    <w:p>
      <w:pPr>
        <w:spacing w:after="0" w:line="200" w:lineRule="exact"/>
        <w:rPr>
          <w:sz w:val="20"/>
          <w:szCs w:val="20"/>
          <w:color w:val="auto"/>
        </w:rPr>
      </w:pPr>
    </w:p>
    <w:p>
      <w:pPr>
        <w:spacing w:after="0" w:line="241" w:lineRule="exact"/>
        <w:rPr>
          <w:sz w:val="20"/>
          <w:szCs w:val="20"/>
          <w:color w:val="auto"/>
        </w:rPr>
      </w:pPr>
    </w:p>
    <w:p>
      <w:pPr>
        <w:ind w:right="40"/>
        <w:spacing w:after="0" w:line="257" w:lineRule="auto"/>
        <w:rPr>
          <w:sz w:val="20"/>
          <w:szCs w:val="20"/>
          <w:color w:val="auto"/>
        </w:rPr>
      </w:pPr>
      <w:r>
        <w:rPr>
          <w:rFonts w:ascii="Arial" w:cs="Arial" w:eastAsia="Arial" w:hAnsi="Arial"/>
          <w:sz w:val="17"/>
          <w:szCs w:val="17"/>
          <w:color w:val="auto"/>
        </w:rPr>
        <w:t>We are members of the Bar of the State of New York and the foregoing opinion is limited to the laws of the State of New York and the Limited Liability Company laws of the State of Delaware, except that we express no opinion as to any law, rule or regulation that is applicable to the Company or the Guarantors, the Documents or such transactions solely because such law, rule or regulation is part of a regulatory regime applicable to any party to any of the Documents or any of its affiliates due to the specific assets or business of such party or such affiliate.</w:t>
      </w:r>
    </w:p>
    <w:p>
      <w:pPr>
        <w:spacing w:after="0" w:line="175"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We hereby consent to the filing of this opinion as an exhibit to the Registration Statement to a report on Form 8-K to be filed by the Company on the date hereof and its incorporation by reference into the Registration Statement and further consent to the reference to our name under the caption “Legal Matters” in the prospectus supplement which is a part of the Registration Statement. In giving this consent, we do not admit that we are in the category of persons whose consent is required under Section 7 of the Securities Act.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 Davis Polk &amp; Wardwell LLP</w:t>
      </w:r>
    </w:p>
    <w:p>
      <w:pPr>
        <w:spacing w:after="0" w:line="200" w:lineRule="exact"/>
        <w:rPr>
          <w:sz w:val="20"/>
          <w:szCs w:val="20"/>
          <w:color w:val="auto"/>
        </w:rPr>
      </w:pPr>
    </w:p>
    <w:p>
      <w:pPr>
        <w:spacing w:after="0" w:line="30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5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1."/>
      <w:numFmt w:val="decimal"/>
      <w:start w:val="1"/>
    </w:lvl>
  </w:abstractNum>
  <w:abstractNum w:abstractNumId="2">
    <w:nsid w:val="6B68079A"/>
    <w:multiLevelType w:val="hybridMultilevel"/>
    <w:lvl w:ilvl="0">
      <w:lvlJc w:val="left"/>
      <w:lvlText w:val="%1."/>
      <w:numFmt w:val="decimal"/>
      <w:start w:val="2"/>
    </w:lvl>
  </w:abstractNum>
  <w:abstractNum w:abstractNumId="3">
    <w:nsid w:val="4E6AFB66"/>
    <w:multiLevelType w:val="hybridMultilevel"/>
    <w:lvl w:ilvl="0">
      <w:lvlJc w:val="left"/>
      <w:lvlText w:val="%1."/>
      <w:numFmt w:val="decimal"/>
      <w:start w:val="3"/>
    </w:lvl>
  </w:abstractNum>
  <w:abstractNum w:abstractNumId="4">
    <w:nsid w:val="25E45D32"/>
    <w:multiLevelType w:val="hybridMultilevel"/>
    <w:lvl w:ilvl="0">
      <w:lvlJc w:val="left"/>
      <w:lvlText w:val="%1."/>
      <w:numFmt w:val="decimal"/>
      <w:start w:val="4"/>
    </w:lvl>
  </w:abstractNum>
  <w:abstractNum w:abstractNumId="5">
    <w:nsid w:val="519B500D"/>
    <w:multiLevelType w:val="hybridMultilevel"/>
    <w:lvl w:ilvl="0">
      <w:lvlJc w:val="left"/>
      <w:lvlText w:val="%1."/>
      <w:numFmt w:val="decimal"/>
      <w:start w:val="5"/>
    </w:lvl>
  </w:abstractNum>
  <w:abstractNum w:abstractNumId="6">
    <w:nsid w:val="431BD7B7"/>
    <w:multiLevelType w:val="hybridMultilevel"/>
    <w:lvl w:ilvl="0">
      <w:lvlJc w:val="left"/>
      <w:lvlText w:val="%1."/>
      <w:numFmt w:val="decimal"/>
      <w:start w:val="6"/>
    </w:lvl>
  </w:abstractNum>
  <w:abstractNum w:abstractNumId="7">
    <w:nsid w:val="3F2DBA31"/>
    <w:multiLevelType w:val="hybridMultilevel"/>
    <w:lvl w:ilvl="0">
      <w:lvlJc w:val="left"/>
      <w:lvlText w:val="%1."/>
      <w:numFmt w:val="decimal"/>
      <w:start w:val="7"/>
    </w:lvl>
  </w:abstractNum>
  <w:abstractNum w:abstractNumId="8">
    <w:nsid w:val="7C83E458"/>
    <w:multiLevelType w:val="hybridMultilevel"/>
    <w:lvl w:ilvl="0">
      <w:lvlJc w:val="left"/>
      <w:lvlText w:val="%1."/>
      <w:numFmt w:val="decimal"/>
      <w:start w:val="8"/>
    </w:lvl>
  </w:abstractNum>
  <w:abstractNum w:abstractNumId="9">
    <w:nsid w:val="257130A3"/>
    <w:multiLevelType w:val="hybridMultilevel"/>
    <w:lvl w:ilvl="0">
      <w:lvlJc w:val="left"/>
      <w:lvlText w:val="%1."/>
      <w:numFmt w:val="decimal"/>
      <w:start w:val="9"/>
    </w:lvl>
  </w:abstractNum>
  <w:abstractNum w:abstractNumId="10">
    <w:nsid w:val="62BBD95A"/>
    <w:multiLevelType w:val="hybridMultilevel"/>
    <w:lvl w:ilvl="0">
      <w:lvlJc w:val="left"/>
      <w:lvlText w:val="%1."/>
      <w:numFmt w:val="decimal"/>
      <w:start w:val="1"/>
    </w:lvl>
  </w:abstractNum>
  <w:abstractNum w:abstractNumId="11">
    <w:nsid w:val="436C6125"/>
    <w:multiLevelType w:val="hybridMultilevel"/>
    <w:lvl w:ilvl="0">
      <w:lvlJc w:val="left"/>
      <w:lvlText w:val="%1."/>
      <w:numFmt w:val="decimal"/>
      <w:start w:val="2"/>
    </w:lvl>
  </w:abstractNum>
  <w:abstractNum w:abstractNumId="12">
    <w:nsid w:val="628C895D"/>
    <w:multiLevelType w:val="hybridMultilevel"/>
    <w:lvl w:ilvl="0">
      <w:lvlJc w:val="left"/>
      <w:lvlText w:val="%1."/>
      <w:numFmt w:val="decimal"/>
      <w:start w:val="3"/>
    </w:lvl>
  </w:abstractNum>
  <w:abstractNum w:abstractNumId="13">
    <w:nsid w:val="333AB105"/>
    <w:multiLevelType w:val="hybridMultilevel"/>
    <w:lvl w:ilvl="0">
      <w:lvlJc w:val="left"/>
      <w:lvlText w:val="%1."/>
      <w:numFmt w:val="decimal"/>
      <w:start w:val="4"/>
    </w:lvl>
  </w:abstractNum>
  <w:abstractNum w:abstractNumId="14">
    <w:nsid w:val="721DA317"/>
    <w:multiLevelType w:val="hybridMultilevel"/>
    <w:lvl w:ilvl="0">
      <w:lvlJc w:val="left"/>
      <w:lvlText w:val="%1."/>
      <w:numFmt w:val="decimal"/>
      <w:start w:val="5"/>
    </w:lvl>
  </w:abstractNum>
  <w:abstractNum w:abstractNumId="15">
    <w:nsid w:val="2443A858"/>
    <w:multiLevelType w:val="hybridMultilevel"/>
    <w:lvl w:ilvl="0">
      <w:lvlJc w:val="left"/>
      <w:lvlText w:val="%1."/>
      <w:numFmt w:val="decimal"/>
      <w:start w:val="6"/>
    </w:lvl>
  </w:abstractNum>
  <w:abstractNum w:abstractNumId="16">
    <w:nsid w:val="2D1D5AE9"/>
    <w:multiLevelType w:val="hybridMultilevel"/>
    <w:lvl w:ilvl="0">
      <w:lvlJc w:val="left"/>
      <w:lvlText w:val="%1."/>
      <w:numFmt w:val="decimal"/>
      <w:start w:val="7"/>
    </w:lvl>
  </w:abstractNum>
  <w:abstractNum w:abstractNumId="17">
    <w:nsid w:val="6763845E"/>
    <w:multiLevelType w:val="hybridMultilevel"/>
    <w:lvl w:ilvl="0">
      <w:lvlJc w:val="left"/>
      <w:lvlText w:val="%1."/>
      <w:numFmt w:val="decimal"/>
      <w:start w:val="8"/>
    </w:lvl>
  </w:abstractNum>
  <w:abstractNum w:abstractNumId="18">
    <w:nsid w:val="75A2A8D4"/>
    <w:multiLevelType w:val="hybridMultilevel"/>
    <w:lvl w:ilvl="0">
      <w:lvlJc w:val="left"/>
      <w:lvlText w:val="%1."/>
      <w:numFmt w:val="decimal"/>
      <w:start w:val="9"/>
    </w:lvl>
  </w:abstractNum>
  <w:abstractNum w:abstractNumId="19">
    <w:nsid w:val="8EDBDAB"/>
    <w:multiLevelType w:val="hybridMultilevel"/>
    <w:lvl w:ilvl="0">
      <w:lvlJc w:val="left"/>
      <w:lvlText w:val="%1."/>
      <w:numFmt w:val="decimal"/>
      <w:start w:val="1"/>
    </w:lvl>
  </w:abstractNum>
  <w:abstractNum w:abstractNumId="20">
    <w:nsid w:val="79838CB2"/>
    <w:multiLevelType w:val="hybridMultilevel"/>
    <w:lvl w:ilvl="0">
      <w:lvlJc w:val="left"/>
      <w:lvlText w:val="%1."/>
      <w:numFmt w:val="decimal"/>
      <w:start w:val="2"/>
    </w:lvl>
  </w:abstractNum>
  <w:abstractNum w:abstractNumId="21">
    <w:nsid w:val="4353D0CD"/>
    <w:multiLevelType w:val="hybridMultilevel"/>
    <w:lvl w:ilvl="0">
      <w:lvlJc w:val="left"/>
      <w:lvlText w:val="%1."/>
      <w:numFmt w:val="decimal"/>
      <w:start w:val="3"/>
    </w:lvl>
  </w:abstractNum>
  <w:abstractNum w:abstractNumId="22">
    <w:nsid w:val="B03E0C6"/>
    <w:multiLevelType w:val="hybridMultilevel"/>
    <w:lvl w:ilvl="0">
      <w:lvlJc w:val="left"/>
      <w:lvlText w:val="%1."/>
      <w:numFmt w:val="decimal"/>
      <w:start w:val="4"/>
    </w:lvl>
  </w:abstractNum>
  <w:abstractNum w:abstractNumId="23">
    <w:nsid w:val="189A769B"/>
    <w:multiLevelType w:val="hybridMultilevel"/>
    <w:lvl w:ilvl="0">
      <w:lvlJc w:val="left"/>
      <w:lvlText w:val="%1."/>
      <w:numFmt w:val="decimal"/>
      <w:start w:val="5"/>
    </w:lvl>
  </w:abstractNum>
  <w:abstractNum w:abstractNumId="24">
    <w:nsid w:val="54E49EB4"/>
    <w:multiLevelType w:val="hybridMultilevel"/>
    <w:lvl w:ilvl="0">
      <w:lvlJc w:val="left"/>
      <w:lvlText w:val="%1."/>
      <w:numFmt w:val="decimal"/>
      <w:start w:val="6"/>
    </w:lvl>
  </w:abstractNum>
  <w:abstractNum w:abstractNumId="25">
    <w:nsid w:val="71F32454"/>
    <w:multiLevelType w:val="hybridMultilevel"/>
    <w:lvl w:ilvl="0">
      <w:lvlJc w:val="left"/>
      <w:lvlText w:val="%1."/>
      <w:numFmt w:val="decimal"/>
      <w:start w:val="7"/>
    </w:lvl>
  </w:abstractNum>
  <w:abstractNum w:abstractNumId="26">
    <w:nsid w:val="2CA88611"/>
    <w:multiLevelType w:val="hybridMultilevel"/>
    <w:lvl w:ilvl="0">
      <w:lvlJc w:val="left"/>
      <w:lvlText w:val="%1."/>
      <w:numFmt w:val="decimal"/>
      <w:start w:val="8"/>
    </w:lvl>
  </w:abstractNum>
  <w:abstractNum w:abstractNumId="27">
    <w:nsid w:val="836C40E"/>
    <w:multiLevelType w:val="hybridMultilevel"/>
    <w:lvl w:ilvl="0">
      <w:lvlJc w:val="left"/>
      <w:lvlText w:val="%1."/>
      <w:numFmt w:val="decimal"/>
      <w:start w:val="9"/>
    </w:lvl>
  </w:abstractNum>
  <w:abstractNum w:abstractNumId="28">
    <w:nsid w:val="2901D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2020-08-25T10:35:13Z</dcterms:created>
  <dcterms:modified xsi:type="dcterms:W3CDTF">2020-08-25T10:35:13Z</dcterms:modified>
</cp:coreProperties>
</file>