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February 1, 2007</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Comcast Corporation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w:t>
      </w:r>
    </w:p>
    <w:p>
      <w:pPr>
        <w:jc w:val="center"/>
        <w:ind w:right="-19"/>
        <w:spacing w:after="0"/>
        <w:rPr>
          <w:sz w:val="20"/>
          <w:szCs w:val="20"/>
          <w:color w:val="auto"/>
        </w:rPr>
      </w:pPr>
      <w:r>
        <w:rPr>
          <w:rFonts w:ascii="Arial" w:cs="Arial" w:eastAsia="Arial" w:hAnsi="Arial"/>
          <w:sz w:val="14"/>
          <w:szCs w:val="14"/>
          <w:b w:val="1"/>
          <w:bCs w:val="1"/>
          <w:color w:val="auto"/>
        </w:rPr>
        <w:t>as Specified in Charter)</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78"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8"/>
              </w:rPr>
              <w:t>001-32871</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4140" w:type="dxa"/>
            <w:vAlign w:val="bottom"/>
          </w:tcPr>
          <w:p>
            <w:pPr>
              <w:jc w:val="center"/>
              <w:ind w:right="1780"/>
              <w:spacing w:after="0"/>
              <w:rPr>
                <w:sz w:val="20"/>
                <w:szCs w:val="20"/>
                <w:color w:val="auto"/>
              </w:rPr>
            </w:pPr>
            <w:r>
              <w:rPr>
                <w:rFonts w:ascii="Arial" w:cs="Arial" w:eastAsia="Arial" w:hAnsi="Arial"/>
                <w:sz w:val="14"/>
                <w:szCs w:val="14"/>
                <w:b w:val="1"/>
                <w:bCs w:val="1"/>
                <w:color w:val="auto"/>
                <w:w w:val="87"/>
              </w:rPr>
              <w:t>(Commission File Number)</w:t>
            </w:r>
          </w:p>
        </w:tc>
        <w:tc>
          <w:tcPr>
            <w:tcW w:w="3800" w:type="dxa"/>
            <w:vAlign w:val="bottom"/>
          </w:tcPr>
          <w:p>
            <w:pPr>
              <w:jc w:val="center"/>
              <w:ind w:left="17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90"/>
              </w:rPr>
              <w:t>1500 Market Street</w:t>
            </w:r>
          </w:p>
        </w:tc>
        <w:tc>
          <w:tcPr>
            <w:tcW w:w="3800" w:type="dxa"/>
            <w:vAlign w:val="bottom"/>
          </w:tcPr>
          <w:p>
            <w:pPr>
              <w:spacing w:after="0"/>
              <w:rPr>
                <w:sz w:val="24"/>
                <w:szCs w:val="24"/>
                <w:color w:val="auto"/>
              </w:rPr>
            </w:pPr>
          </w:p>
        </w:tc>
      </w:tr>
      <w:tr>
        <w:trPr>
          <w:trHeight w:val="231"/>
        </w:trPr>
        <w:tc>
          <w:tcPr>
            <w:tcW w:w="4140" w:type="dxa"/>
            <w:vAlign w:val="bottom"/>
          </w:tcPr>
          <w:p>
            <w:pPr>
              <w:jc w:val="center"/>
              <w:ind w:right="1760"/>
              <w:spacing w:after="0"/>
              <w:rPr>
                <w:sz w:val="20"/>
                <w:szCs w:val="20"/>
                <w:color w:val="auto"/>
              </w:rPr>
            </w:pPr>
            <w:r>
              <w:rPr>
                <w:rFonts w:ascii="Arial" w:cs="Arial" w:eastAsia="Arial" w:hAnsi="Arial"/>
                <w:sz w:val="18"/>
                <w:szCs w:val="18"/>
                <w:b w:val="1"/>
                <w:bCs w:val="1"/>
                <w:color w:val="auto"/>
                <w:w w:val="89"/>
              </w:rPr>
              <w:t>Philadelphia, PA</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19102-2148</w:t>
            </w:r>
          </w:p>
        </w:tc>
      </w:tr>
      <w:tr>
        <w:trPr>
          <w:trHeight w:val="174"/>
        </w:trPr>
        <w:tc>
          <w:tcPr>
            <w:tcW w:w="4140" w:type="dxa"/>
            <w:vAlign w:val="bottom"/>
          </w:tcPr>
          <w:p>
            <w:pPr>
              <w:jc w:val="center"/>
              <w:ind w:right="17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800" w:type="dxa"/>
            <w:vAlign w:val="bottom"/>
          </w:tcPr>
          <w:p>
            <w:pPr>
              <w:jc w:val="center"/>
              <w:ind w:left="1782"/>
              <w:spacing w:after="0"/>
              <w:rPr>
                <w:sz w:val="20"/>
                <w:szCs w:val="20"/>
                <w:color w:val="auto"/>
              </w:rPr>
            </w:pPr>
            <w:r>
              <w:rPr>
                <w:rFonts w:ascii="Arial" w:cs="Arial" w:eastAsia="Arial" w:hAnsi="Arial"/>
                <w:sz w:val="14"/>
                <w:szCs w:val="14"/>
                <w:b w:val="1"/>
                <w:bCs w:val="1"/>
                <w:color w:val="auto"/>
                <w:w w:val="89"/>
              </w:rPr>
              <w:t>(Zip Code)</w:t>
            </w:r>
          </w:p>
        </w:tc>
      </w:tr>
    </w:tbl>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(215) 665-1700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120015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February 1, 2007, Comcast Corporation (“Comcast”) issued a press release reporting the results of its operations for the three months and twelve months ended December 31, 2006. The press release is attached hereto as Exhibit 99.1. Comcast does not intend for this Item 2.02 or Exhibit 99.1 to be treated as “filed” under the Securities Exchange Act of 1934, as amended, or incorporated by reference into its filings under the Securities Act of 1933, as amended.</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the press release, Comcast presented non-GAAP financial measures, as defined in Regulation G and Item 10(e) of Regulation S-K promulgated by the Securities and Exchange Commission, as well as other financial measures. Non-GAAP financial measures differ from financial measures reported in conformity with U.S. generally accepted accounting principles (“GAAP”). Comcast provided reconciliations of the non-GAAP financial measures to the most directly comparable financial GAAP measures in the tables accompanying the press release. In addition, in Table 7, entitled </w:t>
      </w:r>
      <w:r>
        <w:rPr>
          <w:rFonts w:ascii="Arial" w:cs="Arial" w:eastAsia="Arial" w:hAnsi="Arial"/>
          <w:sz w:val="18"/>
          <w:szCs w:val="18"/>
          <w:i w:val="1"/>
          <w:iCs w:val="1"/>
          <w:color w:val="auto"/>
        </w:rPr>
        <w:t>Non-GAAP and Other Financial Measures</w:t>
      </w:r>
      <w:r>
        <w:rPr>
          <w:rFonts w:ascii="Arial" w:cs="Arial" w:eastAsia="Arial" w:hAnsi="Arial"/>
          <w:sz w:val="18"/>
          <w:szCs w:val="18"/>
          <w:color w:val="auto"/>
        </w:rPr>
        <w:t>, Comcast disclosed why management believes the presentation of the non-GAAP financial measures it customarily presents provided useful information to investors in understanding Comcast’s financial condition and results of operations as well as any additional purposes for which Comcast’s management uses these as performance measures.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In the press release, Comcast provided one additional non-GAAP financial measure to those described in Table 7, along with a reconciliation of this measure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Table 7C:</w:t>
      </w:r>
    </w:p>
    <w:p>
      <w:pPr>
        <w:spacing w:after="0" w:line="84" w:lineRule="exact"/>
        <w:rPr>
          <w:sz w:val="20"/>
          <w:szCs w:val="20"/>
          <w:color w:val="auto"/>
        </w:rPr>
      </w:pPr>
    </w:p>
    <w:p>
      <w:pPr>
        <w:jc w:val="both"/>
        <w:ind w:left="900" w:hanging="446"/>
        <w:spacing w:after="0" w:line="298"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Reconciliation of Net Income to Adjusted Net Income for the three and twelve months ended December 31, 2005 and 2006</w:t>
      </w:r>
      <w:r>
        <w:rPr>
          <w:rFonts w:ascii="Arial" w:cs="Arial" w:eastAsia="Arial" w:hAnsi="Arial"/>
          <w:sz w:val="16"/>
          <w:szCs w:val="16"/>
          <w:color w:val="auto"/>
        </w:rPr>
        <w:t>—For 2006, Adjusted Net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excludes a gain on discontinued operations, net of tax, and an investment gain, net of tax, related to the Adelphia/Time Warner transactions. For 2005, Adjusted Net Income excludes Investment Income and Other Income (Expense) (as presented in our Consolidated Statement of Operations), net of a 40% income tax rate and excludes in the fourth quarter of 2005 a refinement to our effective tax rate.</w:t>
      </w:r>
    </w:p>
    <w:p>
      <w:pPr>
        <w:spacing w:after="0" w:line="11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Comcast believes this additional non-GAAP measure provides useful information to investors. Among other things, it may help investors evaluate Comcast’s ongoing operations, can assist in making meaningful period-over-period comparisons and can help identify trends that could otherwise be masked or distorted by the excluded items. In particular, net income in 2006 includes significant non-operating investment income and a gain on discontinued operations resulting from the closing of transactions with Adelphia Communications Corporation and Time Warner Inc. that did not occur in 2005.</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Exhibits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0</wp:posOffset>
            </wp:positionV>
            <wp:extent cx="6586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93" w:lineRule="exact"/>
        <w:rPr>
          <w:sz w:val="20"/>
          <w:szCs w:val="20"/>
          <w:color w:val="auto"/>
        </w:rPr>
      </w:pPr>
    </w:p>
    <w:p>
      <w:pPr>
        <w:ind w:left="10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Comcast Corporation press release dated February 1, 2007.</w:t>
      </w:r>
    </w:p>
    <w:p>
      <w:pPr>
        <w:sectPr>
          <w:pgSz w:w="11900" w:h="16838" w:orient="portrait"/>
          <w:cols w:equalWidth="0" w:num="1">
            <w:col w:w="11420"/>
          </w:cols>
          <w:pgMar w:left="240" w:top="2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840" w:type="dxa"/>
            <w:vAlign w:val="bottom"/>
          </w:tcPr>
          <w:p>
            <w:pPr>
              <w:spacing w:after="0"/>
              <w:rPr>
                <w:sz w:val="24"/>
                <w:szCs w:val="24"/>
                <w:color w:val="auto"/>
              </w:rPr>
            </w:pPr>
          </w:p>
        </w:tc>
        <w:tc>
          <w:tcPr>
            <w:tcW w:w="7580" w:type="dxa"/>
            <w:vAlign w:val="bottom"/>
            <w:gridSpan w:val="2"/>
          </w:tcPr>
          <w:p>
            <w:pPr>
              <w:ind w:left="2200"/>
              <w:spacing w:after="0"/>
              <w:rPr>
                <w:sz w:val="20"/>
                <w:szCs w:val="20"/>
                <w:color w:val="auto"/>
              </w:rPr>
            </w:pPr>
            <w:r>
              <w:rPr>
                <w:rFonts w:ascii="Arial" w:cs="Arial" w:eastAsia="Arial" w:hAnsi="Arial"/>
                <w:sz w:val="22"/>
                <w:szCs w:val="22"/>
                <w:b w:val="1"/>
                <w:bCs w:val="1"/>
                <w:color w:val="auto"/>
              </w:rPr>
              <w:t>COMCAST CORPORATION</w:t>
            </w:r>
          </w:p>
        </w:tc>
      </w:tr>
      <w:tr>
        <w:trPr>
          <w:trHeight w:val="421"/>
        </w:trPr>
        <w:tc>
          <w:tcPr>
            <w:tcW w:w="3840" w:type="dxa"/>
            <w:vAlign w:val="bottom"/>
          </w:tcPr>
          <w:p>
            <w:pPr>
              <w:spacing w:after="0"/>
              <w:rPr>
                <w:sz w:val="20"/>
                <w:szCs w:val="20"/>
                <w:color w:val="auto"/>
              </w:rPr>
            </w:pPr>
            <w:r>
              <w:rPr>
                <w:rFonts w:ascii="Arial" w:cs="Arial" w:eastAsia="Arial" w:hAnsi="Arial"/>
                <w:sz w:val="18"/>
                <w:szCs w:val="18"/>
                <w:color w:val="auto"/>
              </w:rPr>
              <w:t>Date: February 1, 2007</w:t>
            </w:r>
          </w:p>
        </w:tc>
        <w:tc>
          <w:tcPr>
            <w:tcW w:w="7580" w:type="dxa"/>
            <w:vAlign w:val="bottom"/>
            <w:gridSpan w:val="2"/>
          </w:tcPr>
          <w:p>
            <w:pPr>
              <w:ind w:left="2200"/>
              <w:spacing w:after="0"/>
              <w:rPr>
                <w:sz w:val="20"/>
                <w:szCs w:val="20"/>
                <w:color w:val="auto"/>
              </w:rPr>
            </w:pPr>
            <w:r>
              <w:rPr>
                <w:rFonts w:ascii="Arial" w:cs="Arial" w:eastAsia="Arial" w:hAnsi="Arial"/>
                <w:sz w:val="18"/>
                <w:szCs w:val="18"/>
                <w:color w:val="auto"/>
              </w:rPr>
              <w:t>By: /s/ Lawrence J. Salva</w:t>
            </w:r>
          </w:p>
        </w:tc>
      </w:tr>
      <w:tr>
        <w:trPr>
          <w:trHeight w:val="202"/>
        </w:trPr>
        <w:tc>
          <w:tcPr>
            <w:tcW w:w="38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Lawrence J. Salva</w:t>
            </w:r>
          </w:p>
        </w:tc>
      </w:tr>
      <w:tr>
        <w:trPr>
          <w:trHeight w:val="216"/>
        </w:trPr>
        <w:tc>
          <w:tcPr>
            <w:tcW w:w="38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Senior Vice President, Chief Accounting Officer and Controller</w:t>
            </w:r>
          </w:p>
        </w:tc>
      </w:tr>
      <w:tr>
        <w:trPr>
          <w:trHeight w:val="222"/>
        </w:trPr>
        <w:tc>
          <w:tcPr>
            <w:tcW w:w="38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420"/>
          </w:cols>
          <w:pgMar w:left="240" w:top="256"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191"/>
        </w:trPr>
        <w:tc>
          <w:tcPr>
            <w:tcW w:w="23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spacing w:after="0"/>
              <w:rPr>
                <w:sz w:val="16"/>
                <w:szCs w:val="16"/>
                <w:color w:val="auto"/>
              </w:rPr>
            </w:pPr>
          </w:p>
        </w:tc>
      </w:tr>
      <w:tr>
        <w:trPr>
          <w:trHeight w:val="495"/>
        </w:trPr>
        <w:tc>
          <w:tcPr>
            <w:tcW w:w="2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320" w:type="dxa"/>
            <w:vAlign w:val="bottom"/>
          </w:tcPr>
          <w:p>
            <w:pPr>
              <w:jc w:val="right"/>
              <w:spacing w:after="0"/>
              <w:rPr>
                <w:sz w:val="20"/>
                <w:szCs w:val="20"/>
                <w:color w:val="auto"/>
              </w:rPr>
            </w:pPr>
            <w:r>
              <w:rPr>
                <w:rFonts w:ascii="Arial" w:cs="Arial" w:eastAsia="Arial" w:hAnsi="Arial"/>
                <w:sz w:val="32"/>
                <w:szCs w:val="32"/>
                <w:b w:val="1"/>
                <w:bCs w:val="1"/>
                <w:color w:val="auto"/>
              </w:rPr>
              <w:t>PRESS RELEASE</w:t>
            </w:r>
          </w:p>
        </w:tc>
      </w:tr>
      <w:tr>
        <w:trPr>
          <w:trHeight w:val="611"/>
        </w:trPr>
        <w:tc>
          <w:tcPr>
            <w:tcW w:w="2340" w:type="dxa"/>
            <w:vAlign w:val="bottom"/>
          </w:tcPr>
          <w:p>
            <w:pPr>
              <w:spacing w:after="0"/>
              <w:rPr>
                <w:sz w:val="20"/>
                <w:szCs w:val="20"/>
                <w:color w:val="auto"/>
              </w:rPr>
            </w:pPr>
            <w:r>
              <w:rPr>
                <w:rFonts w:ascii="Arial" w:cs="Arial" w:eastAsia="Arial" w:hAnsi="Arial"/>
                <w:sz w:val="22"/>
                <w:szCs w:val="22"/>
                <w:b w:val="1"/>
                <w:bCs w:val="1"/>
                <w:color w:val="auto"/>
              </w:rPr>
              <w:t>Investor Contacts:</w:t>
            </w:r>
          </w:p>
        </w:tc>
        <w:tc>
          <w:tcPr>
            <w:tcW w:w="2520" w:type="dxa"/>
            <w:vAlign w:val="bottom"/>
          </w:tcPr>
          <w:p>
            <w:pPr>
              <w:spacing w:after="0"/>
              <w:rPr>
                <w:sz w:val="24"/>
                <w:szCs w:val="24"/>
                <w:color w:val="auto"/>
              </w:rPr>
            </w:pPr>
          </w:p>
        </w:tc>
        <w:tc>
          <w:tcPr>
            <w:tcW w:w="3240" w:type="dxa"/>
            <w:vAlign w:val="bottom"/>
          </w:tcPr>
          <w:p>
            <w:pPr>
              <w:ind w:left="1000"/>
              <w:spacing w:after="0"/>
              <w:rPr>
                <w:sz w:val="20"/>
                <w:szCs w:val="20"/>
                <w:color w:val="auto"/>
              </w:rPr>
            </w:pPr>
            <w:r>
              <w:rPr>
                <w:rFonts w:ascii="Arial" w:cs="Arial" w:eastAsia="Arial" w:hAnsi="Arial"/>
                <w:sz w:val="22"/>
                <w:szCs w:val="22"/>
                <w:b w:val="1"/>
                <w:bCs w:val="1"/>
                <w:color w:val="auto"/>
              </w:rPr>
              <w:t>Press Contacts:</w:t>
            </w:r>
          </w:p>
        </w:tc>
        <w:tc>
          <w:tcPr>
            <w:tcW w:w="3320" w:type="dxa"/>
            <w:vAlign w:val="bottom"/>
          </w:tcPr>
          <w:p>
            <w:pPr>
              <w:spacing w:after="0"/>
              <w:rPr>
                <w:sz w:val="24"/>
                <w:szCs w:val="24"/>
                <w:color w:val="auto"/>
              </w:rPr>
            </w:pPr>
          </w:p>
        </w:tc>
      </w:tr>
      <w:tr>
        <w:trPr>
          <w:trHeight w:val="216"/>
        </w:trPr>
        <w:tc>
          <w:tcPr>
            <w:tcW w:w="2340" w:type="dxa"/>
            <w:vAlign w:val="bottom"/>
          </w:tcPr>
          <w:p>
            <w:pPr>
              <w:ind w:left="100"/>
              <w:spacing w:after="0"/>
              <w:rPr>
                <w:sz w:val="20"/>
                <w:szCs w:val="20"/>
                <w:color w:val="auto"/>
              </w:rPr>
            </w:pPr>
            <w:r>
              <w:rPr>
                <w:rFonts w:ascii="Arial" w:cs="Arial" w:eastAsia="Arial" w:hAnsi="Arial"/>
                <w:sz w:val="18"/>
                <w:szCs w:val="18"/>
                <w:color w:val="auto"/>
              </w:rPr>
              <w:t>Marlene S. Dooner</w:t>
            </w:r>
          </w:p>
        </w:tc>
        <w:tc>
          <w:tcPr>
            <w:tcW w:w="2520" w:type="dxa"/>
            <w:vAlign w:val="bottom"/>
          </w:tcPr>
          <w:p>
            <w:pPr>
              <w:jc w:val="right"/>
              <w:ind w:right="912"/>
              <w:spacing w:after="0"/>
              <w:rPr>
                <w:sz w:val="20"/>
                <w:szCs w:val="20"/>
                <w:color w:val="auto"/>
              </w:rPr>
            </w:pPr>
            <w:r>
              <w:rPr>
                <w:rFonts w:ascii="Arial" w:cs="Arial" w:eastAsia="Arial" w:hAnsi="Arial"/>
                <w:sz w:val="18"/>
                <w:szCs w:val="18"/>
                <w:color w:val="auto"/>
              </w:rPr>
              <w:t>(215) 981-7392</w:t>
            </w:r>
          </w:p>
        </w:tc>
        <w:tc>
          <w:tcPr>
            <w:tcW w:w="3240" w:type="dxa"/>
            <w:vAlign w:val="bottom"/>
          </w:tcPr>
          <w:p>
            <w:pPr>
              <w:ind w:left="1080"/>
              <w:spacing w:after="0"/>
              <w:rPr>
                <w:sz w:val="20"/>
                <w:szCs w:val="20"/>
                <w:color w:val="auto"/>
              </w:rPr>
            </w:pPr>
            <w:r>
              <w:rPr>
                <w:rFonts w:ascii="Arial" w:cs="Arial" w:eastAsia="Arial" w:hAnsi="Arial"/>
                <w:sz w:val="18"/>
                <w:szCs w:val="18"/>
                <w:color w:val="auto"/>
              </w:rPr>
              <w:t>D’Arcy Rudnay</w:t>
            </w:r>
          </w:p>
        </w:tc>
        <w:tc>
          <w:tcPr>
            <w:tcW w:w="3320" w:type="dxa"/>
            <w:vAlign w:val="bottom"/>
          </w:tcPr>
          <w:p>
            <w:pPr>
              <w:jc w:val="right"/>
              <w:ind w:right="1287"/>
              <w:spacing w:after="0"/>
              <w:rPr>
                <w:sz w:val="20"/>
                <w:szCs w:val="20"/>
                <w:color w:val="auto"/>
              </w:rPr>
            </w:pPr>
            <w:r>
              <w:rPr>
                <w:rFonts w:ascii="Arial" w:cs="Arial" w:eastAsia="Arial" w:hAnsi="Arial"/>
                <w:sz w:val="18"/>
                <w:szCs w:val="18"/>
                <w:color w:val="auto"/>
              </w:rPr>
              <w:t>(215) 981-8582</w:t>
            </w:r>
          </w:p>
        </w:tc>
      </w:tr>
      <w:tr>
        <w:trPr>
          <w:trHeight w:val="222"/>
        </w:trPr>
        <w:tc>
          <w:tcPr>
            <w:tcW w:w="2340" w:type="dxa"/>
            <w:vAlign w:val="bottom"/>
          </w:tcPr>
          <w:p>
            <w:pPr>
              <w:ind w:left="100"/>
              <w:spacing w:after="0"/>
              <w:rPr>
                <w:sz w:val="20"/>
                <w:szCs w:val="20"/>
                <w:color w:val="auto"/>
              </w:rPr>
            </w:pPr>
            <w:r>
              <w:rPr>
                <w:rFonts w:ascii="Arial" w:cs="Arial" w:eastAsia="Arial" w:hAnsi="Arial"/>
                <w:sz w:val="18"/>
                <w:szCs w:val="18"/>
                <w:color w:val="auto"/>
              </w:rPr>
              <w:t>Daniel J. Goodwin</w:t>
            </w:r>
          </w:p>
        </w:tc>
        <w:tc>
          <w:tcPr>
            <w:tcW w:w="2520" w:type="dxa"/>
            <w:vAlign w:val="bottom"/>
          </w:tcPr>
          <w:p>
            <w:pPr>
              <w:jc w:val="right"/>
              <w:ind w:right="912"/>
              <w:spacing w:after="0"/>
              <w:rPr>
                <w:sz w:val="20"/>
                <w:szCs w:val="20"/>
                <w:color w:val="auto"/>
              </w:rPr>
            </w:pPr>
            <w:r>
              <w:rPr>
                <w:rFonts w:ascii="Arial" w:cs="Arial" w:eastAsia="Arial" w:hAnsi="Arial"/>
                <w:sz w:val="18"/>
                <w:szCs w:val="18"/>
                <w:color w:val="auto"/>
              </w:rPr>
              <w:t>(215) 981-7518</w:t>
            </w:r>
          </w:p>
        </w:tc>
        <w:tc>
          <w:tcPr>
            <w:tcW w:w="3240" w:type="dxa"/>
            <w:vAlign w:val="bottom"/>
          </w:tcPr>
          <w:p>
            <w:pPr>
              <w:spacing w:after="0"/>
              <w:rPr>
                <w:sz w:val="19"/>
                <w:szCs w:val="19"/>
                <w:color w:val="auto"/>
              </w:rPr>
            </w:pPr>
          </w:p>
        </w:tc>
        <w:tc>
          <w:tcPr>
            <w:tcW w:w="33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-915670</wp:posOffset>
            </wp:positionV>
            <wp:extent cx="1389380"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2006 RESULTS AND OUTLOOK FOR 2007</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ANNOUNCES 3-for-2 STOCK SPLIT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Triple Play and superior products power record-setting results</w:t>
      </w:r>
    </w:p>
    <w:p>
      <w:pPr>
        <w:spacing w:after="0" w:line="152"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4</w:t>
      </w:r>
      <w:r>
        <w:rPr>
          <w:rFonts w:ascii="Arial" w:cs="Arial" w:eastAsia="Arial" w:hAnsi="Arial"/>
          <w:sz w:val="11"/>
          <w:szCs w:val="11"/>
          <w:b w:val="1"/>
          <w:bCs w:val="1"/>
          <w:color w:val="auto"/>
        </w:rPr>
        <w:t>th</w:t>
      </w:r>
      <w:r>
        <w:rPr>
          <w:rFonts w:ascii="Arial" w:cs="Arial" w:eastAsia="Arial" w:hAnsi="Arial"/>
          <w:sz w:val="22"/>
          <w:szCs w:val="22"/>
          <w:b w:val="1"/>
          <w:bCs w:val="1"/>
          <w:color w:val="auto"/>
        </w:rPr>
        <w:t xml:space="preserve"> Quarter Cable Revenue increased 14%</w:t>
      </w:r>
    </w:p>
    <w:p>
      <w:pPr>
        <w:spacing w:after="0" w:line="16"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Cable Operating Cash Flow increased 17%</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Added 5 Million RGUs in 2006 – up 69%</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Cable Revenue up 12%</w:t>
      </w:r>
    </w:p>
    <w:p>
      <w:pPr>
        <w:jc w:val="center"/>
        <w:spacing w:after="0"/>
        <w:rPr>
          <w:sz w:val="20"/>
          <w:szCs w:val="20"/>
          <w:color w:val="auto"/>
        </w:rPr>
      </w:pPr>
      <w:r>
        <w:rPr>
          <w:rFonts w:ascii="Arial" w:cs="Arial" w:eastAsia="Arial" w:hAnsi="Arial"/>
          <w:sz w:val="22"/>
          <w:szCs w:val="22"/>
          <w:b w:val="1"/>
          <w:bCs w:val="1"/>
          <w:color w:val="auto"/>
        </w:rPr>
        <w:t>Cable Operating Cash Flow up 15%</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Expects Another Record-Setting Year in 2007 – 6.5 Million New RGUs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Minimum 14% Cable Operating Cash Flow Growth</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Philadelphia, PA – February 1, 2007…Comcast Corporation (NASDAQ: CMCSA, CMCSK) today reported results for the quarter and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2006. The following table highlights financial and operational results (dollars in millions, except per share amounts; units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Growth</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60" w:type="dxa"/>
            <w:vAlign w:val="bottom"/>
            <w:vMerge w:val="restart"/>
          </w:tcPr>
          <w:p>
            <w:pPr>
              <w:ind w:left="1140"/>
              <w:spacing w:after="0"/>
              <w:rPr>
                <w:sz w:val="20"/>
                <w:szCs w:val="20"/>
                <w:color w:val="auto"/>
              </w:rPr>
            </w:pPr>
            <w:r>
              <w:rPr>
                <w:rFonts w:ascii="Arial" w:cs="Arial" w:eastAsia="Arial" w:hAnsi="Arial"/>
                <w:sz w:val="18"/>
                <w:szCs w:val="18"/>
                <w:b w:val="1"/>
                <w:bCs w:val="1"/>
                <w:i w:val="1"/>
                <w:iCs w:val="1"/>
                <w:color w:val="auto"/>
              </w:rPr>
              <w:t>Consolidated</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7"/>
              </w:rPr>
              <w:t>4Q06</w:t>
            </w: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2006</w:t>
            </w:r>
          </w:p>
        </w:tc>
        <w:tc>
          <w:tcPr>
            <w:tcW w:w="82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Quarter</w:t>
            </w:r>
          </w:p>
        </w:tc>
        <w:tc>
          <w:tcPr>
            <w:tcW w:w="58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Year</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69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140"/>
              <w:spacing w:after="0"/>
              <w:rPr>
                <w:sz w:val="20"/>
                <w:szCs w:val="20"/>
                <w:color w:val="auto"/>
              </w:rPr>
            </w:pPr>
            <w:r>
              <w:rPr>
                <w:rFonts w:ascii="Arial" w:cs="Arial" w:eastAsia="Arial" w:hAnsi="Arial"/>
                <w:sz w:val="18"/>
                <w:szCs w:val="18"/>
                <w:color w:val="auto"/>
              </w:rPr>
              <w:t>Revenue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5"/>
              <w:spacing w:after="0"/>
              <w:rPr>
                <w:sz w:val="20"/>
                <w:szCs w:val="20"/>
                <w:color w:val="auto"/>
              </w:rPr>
            </w:pPr>
            <w:r>
              <w:rPr>
                <w:rFonts w:ascii="Arial" w:cs="Arial" w:eastAsia="Arial" w:hAnsi="Arial"/>
                <w:sz w:val="18"/>
                <w:szCs w:val="18"/>
                <w:color w:val="auto"/>
                <w:w w:val="88"/>
              </w:rPr>
              <w:t>7,031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5"/>
              <w:spacing w:after="0"/>
              <w:rPr>
                <w:sz w:val="20"/>
                <w:szCs w:val="20"/>
                <w:color w:val="auto"/>
              </w:rPr>
            </w:pPr>
            <w:r>
              <w:rPr>
                <w:rFonts w:ascii="Arial" w:cs="Arial" w:eastAsia="Arial" w:hAnsi="Arial"/>
                <w:sz w:val="18"/>
                <w:szCs w:val="18"/>
                <w:color w:val="auto"/>
                <w:w w:val="87"/>
              </w:rPr>
              <w:t>24,966</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30%</w:t>
            </w:r>
          </w:p>
        </w:tc>
        <w:tc>
          <w:tcPr>
            <w:tcW w:w="580" w:type="dxa"/>
            <w:vAlign w:val="bottom"/>
          </w:tcPr>
          <w:p>
            <w:pPr>
              <w:jc w:val="center"/>
              <w:ind w:left="75"/>
              <w:spacing w:after="0"/>
              <w:rPr>
                <w:sz w:val="20"/>
                <w:szCs w:val="20"/>
                <w:color w:val="auto"/>
              </w:rPr>
            </w:pPr>
            <w:r>
              <w:rPr>
                <w:rFonts w:ascii="Arial" w:cs="Arial" w:eastAsia="Arial" w:hAnsi="Arial"/>
                <w:sz w:val="18"/>
                <w:szCs w:val="18"/>
                <w:color w:val="auto"/>
                <w:w w:val="94"/>
              </w:rPr>
              <w:t>18%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140"/>
              <w:spacing w:after="0" w:line="217" w:lineRule="exact"/>
              <w:rPr>
                <w:sz w:val="20"/>
                <w:szCs w:val="20"/>
                <w:color w:val="auto"/>
              </w:rPr>
            </w:pPr>
            <w:r>
              <w:rPr>
                <w:rFonts w:ascii="Arial" w:cs="Arial" w:eastAsia="Arial" w:hAnsi="Arial"/>
                <w:sz w:val="18"/>
                <w:szCs w:val="18"/>
                <w:color w:val="auto"/>
              </w:rPr>
              <w:t>Operating Cash Flow</w:t>
            </w:r>
            <w:r>
              <w:rPr>
                <w:rFonts w:ascii="Arial" w:cs="Arial" w:eastAsia="Arial" w:hAnsi="Arial"/>
                <w:sz w:val="22"/>
                <w:szCs w:val="22"/>
                <w:color w:val="auto"/>
                <w:vertAlign w:val="superscript"/>
              </w:rPr>
              <w:t>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5"/>
              <w:spacing w:after="0"/>
              <w:rPr>
                <w:sz w:val="20"/>
                <w:szCs w:val="20"/>
                <w:color w:val="auto"/>
              </w:rPr>
            </w:pPr>
            <w:r>
              <w:rPr>
                <w:rFonts w:ascii="Arial" w:cs="Arial" w:eastAsia="Arial" w:hAnsi="Arial"/>
                <w:sz w:val="18"/>
                <w:szCs w:val="18"/>
                <w:color w:val="auto"/>
                <w:w w:val="88"/>
              </w:rPr>
              <w:t>2,594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5"/>
              <w:spacing w:after="0"/>
              <w:rPr>
                <w:sz w:val="20"/>
                <w:szCs w:val="20"/>
                <w:color w:val="auto"/>
              </w:rPr>
            </w:pPr>
            <w:r>
              <w:rPr>
                <w:rFonts w:ascii="Arial" w:cs="Arial" w:eastAsia="Arial" w:hAnsi="Arial"/>
                <w:sz w:val="18"/>
                <w:szCs w:val="18"/>
                <w:color w:val="auto"/>
              </w:rPr>
              <w:t>9,442</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30%</w:t>
            </w:r>
          </w:p>
        </w:tc>
        <w:tc>
          <w:tcPr>
            <w:tcW w:w="580" w:type="dxa"/>
            <w:vAlign w:val="bottom"/>
          </w:tcPr>
          <w:p>
            <w:pPr>
              <w:jc w:val="center"/>
              <w:ind w:left="75"/>
              <w:spacing w:after="0"/>
              <w:rPr>
                <w:sz w:val="20"/>
                <w:szCs w:val="20"/>
                <w:color w:val="auto"/>
              </w:rPr>
            </w:pPr>
            <w:r>
              <w:rPr>
                <w:rFonts w:ascii="Arial" w:cs="Arial" w:eastAsia="Arial" w:hAnsi="Arial"/>
                <w:sz w:val="18"/>
                <w:szCs w:val="18"/>
                <w:color w:val="auto"/>
                <w:w w:val="94"/>
              </w:rPr>
              <w:t>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140"/>
              <w:spacing w:after="0" w:line="217" w:lineRule="exact"/>
              <w:rPr>
                <w:sz w:val="20"/>
                <w:szCs w:val="20"/>
                <w:color w:val="auto"/>
              </w:rPr>
            </w:pPr>
            <w:r>
              <w:rPr>
                <w:rFonts w:ascii="Arial" w:cs="Arial" w:eastAsia="Arial" w:hAnsi="Arial"/>
                <w:sz w:val="18"/>
                <w:szCs w:val="18"/>
                <w:color w:val="auto"/>
              </w:rPr>
              <w:t>Operating Income</w:t>
            </w:r>
            <w:r>
              <w:rPr>
                <w:rFonts w:ascii="Arial" w:cs="Arial" w:eastAsia="Arial" w:hAnsi="Arial"/>
                <w:sz w:val="22"/>
                <w:szCs w:val="22"/>
                <w:color w:val="auto"/>
                <w:vertAlign w:val="superscript"/>
              </w:rPr>
              <w:t>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5"/>
              <w:spacing w:after="0"/>
              <w:rPr>
                <w:sz w:val="20"/>
                <w:szCs w:val="20"/>
                <w:color w:val="auto"/>
              </w:rPr>
            </w:pPr>
            <w:r>
              <w:rPr>
                <w:rFonts w:ascii="Arial" w:cs="Arial" w:eastAsia="Arial" w:hAnsi="Arial"/>
                <w:sz w:val="18"/>
                <w:szCs w:val="18"/>
                <w:color w:val="auto"/>
                <w:w w:val="88"/>
              </w:rPr>
              <w:t>1,218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5"/>
              <w:spacing w:after="0"/>
              <w:rPr>
                <w:sz w:val="20"/>
                <w:szCs w:val="20"/>
                <w:color w:val="auto"/>
              </w:rPr>
            </w:pPr>
            <w:r>
              <w:rPr>
                <w:rFonts w:ascii="Arial" w:cs="Arial" w:eastAsia="Arial" w:hAnsi="Arial"/>
                <w:sz w:val="18"/>
                <w:szCs w:val="18"/>
                <w:color w:val="auto"/>
              </w:rPr>
              <w:t>4,619</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43%</w:t>
            </w:r>
          </w:p>
        </w:tc>
        <w:tc>
          <w:tcPr>
            <w:tcW w:w="580" w:type="dxa"/>
            <w:vAlign w:val="bottom"/>
          </w:tcPr>
          <w:p>
            <w:pPr>
              <w:jc w:val="center"/>
              <w:ind w:left="75"/>
              <w:spacing w:after="0"/>
              <w:rPr>
                <w:sz w:val="20"/>
                <w:szCs w:val="20"/>
                <w:color w:val="auto"/>
              </w:rPr>
            </w:pPr>
            <w:r>
              <w:rPr>
                <w:rFonts w:ascii="Arial" w:cs="Arial" w:eastAsia="Arial" w:hAnsi="Arial"/>
                <w:sz w:val="18"/>
                <w:szCs w:val="18"/>
                <w:color w:val="auto"/>
                <w:w w:val="94"/>
              </w:rPr>
              <w:t>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6960" w:type="dxa"/>
            <w:vAlign w:val="bottom"/>
          </w:tcPr>
          <w:p>
            <w:pPr>
              <w:ind w:left="1140"/>
              <w:spacing w:after="0"/>
              <w:rPr>
                <w:sz w:val="20"/>
                <w:szCs w:val="20"/>
                <w:color w:val="auto"/>
              </w:rPr>
            </w:pPr>
            <w:r>
              <w:rPr>
                <w:rFonts w:ascii="Arial" w:cs="Arial" w:eastAsia="Arial" w:hAnsi="Arial"/>
                <w:sz w:val="18"/>
                <w:szCs w:val="18"/>
                <w:color w:val="auto"/>
              </w:rPr>
              <w:t>Earnings per Share</w:t>
            </w:r>
            <w:r>
              <w:rPr>
                <w:rFonts w:ascii="Arial" w:cs="Arial" w:eastAsia="Arial" w:hAnsi="Arial"/>
                <w:sz w:val="22"/>
                <w:szCs w:val="22"/>
                <w:color w:val="auto"/>
                <w:vertAlign w:val="superscript"/>
              </w:rPr>
              <w:t>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5"/>
              <w:spacing w:after="0"/>
              <w:rPr>
                <w:sz w:val="20"/>
                <w:szCs w:val="20"/>
                <w:color w:val="auto"/>
              </w:rPr>
            </w:pPr>
            <w:r>
              <w:rPr>
                <w:rFonts w:ascii="Arial" w:cs="Arial" w:eastAsia="Arial" w:hAnsi="Arial"/>
                <w:sz w:val="18"/>
                <w:szCs w:val="18"/>
                <w:color w:val="auto"/>
              </w:rPr>
              <w:t>0.18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5"/>
              <w:spacing w:after="0"/>
              <w:rPr>
                <w:sz w:val="20"/>
                <w:szCs w:val="20"/>
                <w:color w:val="auto"/>
              </w:rPr>
            </w:pPr>
            <w:r>
              <w:rPr>
                <w:rFonts w:ascii="Arial" w:cs="Arial" w:eastAsia="Arial" w:hAnsi="Arial"/>
                <w:sz w:val="18"/>
                <w:szCs w:val="18"/>
                <w:color w:val="auto"/>
              </w:rPr>
              <w:t>1.19</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580" w:type="dxa"/>
            <w:vAlign w:val="bottom"/>
          </w:tcPr>
          <w:p>
            <w:pPr>
              <w:jc w:val="center"/>
              <w:ind w:left="75"/>
              <w:spacing w:after="0"/>
              <w:rPr>
                <w:sz w:val="20"/>
                <w:szCs w:val="20"/>
                <w:color w:val="auto"/>
              </w:rPr>
            </w:pPr>
            <w:r>
              <w:rPr>
                <w:rFonts w:ascii="Arial" w:cs="Arial" w:eastAsia="Arial" w:hAnsi="Arial"/>
                <w:sz w:val="18"/>
                <w:szCs w:val="18"/>
                <w:color w:val="auto"/>
                <w:w w:val="91"/>
              </w:rPr>
              <w:t>183%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960" w:type="dxa"/>
            <w:vAlign w:val="bottom"/>
          </w:tcPr>
          <w:p>
            <w:pPr>
              <w:ind w:left="1140"/>
              <w:spacing w:after="0"/>
              <w:rPr>
                <w:sz w:val="20"/>
                <w:szCs w:val="20"/>
                <w:color w:val="auto"/>
              </w:rPr>
            </w:pPr>
            <w:r>
              <w:rPr>
                <w:rFonts w:ascii="Arial" w:cs="Arial" w:eastAsia="Arial" w:hAnsi="Arial"/>
                <w:sz w:val="18"/>
                <w:szCs w:val="18"/>
                <w:b w:val="1"/>
                <w:bCs w:val="1"/>
                <w:i w:val="1"/>
                <w:iCs w:val="1"/>
                <w:color w:val="auto"/>
              </w:rPr>
              <w:t>Pro Forma Cable</w:t>
            </w:r>
            <w:r>
              <w:rPr>
                <w:rFonts w:ascii="Arial" w:cs="Arial" w:eastAsia="Arial" w:hAnsi="Arial"/>
                <w:sz w:val="22"/>
                <w:szCs w:val="22"/>
                <w:b w:val="1"/>
                <w:bCs w:val="1"/>
                <w:i w:val="1"/>
                <w:iCs w:val="1"/>
                <w:color w:val="auto"/>
                <w:vertAlign w:val="superscript"/>
              </w:rPr>
              <w:t>2</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140"/>
              <w:spacing w:after="0"/>
              <w:rPr>
                <w:sz w:val="20"/>
                <w:szCs w:val="20"/>
                <w:color w:val="auto"/>
              </w:rPr>
            </w:pPr>
            <w:r>
              <w:rPr>
                <w:rFonts w:ascii="Arial" w:cs="Arial" w:eastAsia="Arial" w:hAnsi="Arial"/>
                <w:sz w:val="18"/>
                <w:szCs w:val="18"/>
                <w:color w:val="auto"/>
              </w:rPr>
              <w:t>Revenue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5"/>
              <w:spacing w:after="0"/>
              <w:rPr>
                <w:sz w:val="20"/>
                <w:szCs w:val="20"/>
                <w:color w:val="auto"/>
              </w:rPr>
            </w:pPr>
            <w:r>
              <w:rPr>
                <w:rFonts w:ascii="Arial" w:cs="Arial" w:eastAsia="Arial" w:hAnsi="Arial"/>
                <w:sz w:val="18"/>
                <w:szCs w:val="18"/>
                <w:color w:val="auto"/>
                <w:w w:val="88"/>
              </w:rPr>
              <w:t>6,894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5"/>
              <w:spacing w:after="0"/>
              <w:rPr>
                <w:sz w:val="20"/>
                <w:szCs w:val="20"/>
                <w:color w:val="auto"/>
              </w:rPr>
            </w:pPr>
            <w:r>
              <w:rPr>
                <w:rFonts w:ascii="Arial" w:cs="Arial" w:eastAsia="Arial" w:hAnsi="Arial"/>
                <w:sz w:val="18"/>
                <w:szCs w:val="18"/>
                <w:color w:val="auto"/>
                <w:w w:val="87"/>
              </w:rPr>
              <w:t>26,339</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580" w:type="dxa"/>
            <w:vAlign w:val="bottom"/>
          </w:tcPr>
          <w:p>
            <w:pPr>
              <w:jc w:val="center"/>
              <w:ind w:left="75"/>
              <w:spacing w:after="0"/>
              <w:rPr>
                <w:sz w:val="20"/>
                <w:szCs w:val="20"/>
                <w:color w:val="auto"/>
              </w:rPr>
            </w:pPr>
            <w:r>
              <w:rPr>
                <w:rFonts w:ascii="Arial" w:cs="Arial" w:eastAsia="Arial" w:hAnsi="Arial"/>
                <w:sz w:val="18"/>
                <w:szCs w:val="18"/>
                <w:color w:val="auto"/>
                <w:w w:val="94"/>
              </w:rPr>
              <w:t>12%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140"/>
              <w:spacing w:after="0"/>
              <w:rPr>
                <w:sz w:val="20"/>
                <w:szCs w:val="20"/>
                <w:color w:val="auto"/>
              </w:rPr>
            </w:pPr>
            <w:r>
              <w:rPr>
                <w:rFonts w:ascii="Arial" w:cs="Arial" w:eastAsia="Arial" w:hAnsi="Arial"/>
                <w:sz w:val="18"/>
                <w:szCs w:val="18"/>
                <w:color w:val="auto"/>
              </w:rPr>
              <w:t>Operating Cash Flow</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5"/>
              <w:spacing w:after="0"/>
              <w:rPr>
                <w:sz w:val="20"/>
                <w:szCs w:val="20"/>
                <w:color w:val="auto"/>
              </w:rPr>
            </w:pPr>
            <w:r>
              <w:rPr>
                <w:rFonts w:ascii="Arial" w:cs="Arial" w:eastAsia="Arial" w:hAnsi="Arial"/>
                <w:sz w:val="18"/>
                <w:szCs w:val="18"/>
                <w:color w:val="auto"/>
                <w:w w:val="88"/>
              </w:rPr>
              <w:t>2,749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5"/>
              <w:spacing w:after="0"/>
              <w:rPr>
                <w:sz w:val="20"/>
                <w:szCs w:val="20"/>
                <w:color w:val="auto"/>
              </w:rPr>
            </w:pPr>
            <w:r>
              <w:rPr>
                <w:rFonts w:ascii="Arial" w:cs="Arial" w:eastAsia="Arial" w:hAnsi="Arial"/>
                <w:sz w:val="18"/>
                <w:szCs w:val="18"/>
                <w:color w:val="auto"/>
                <w:w w:val="87"/>
              </w:rPr>
              <w:t>10,511</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580" w:type="dxa"/>
            <w:vAlign w:val="bottom"/>
          </w:tcPr>
          <w:p>
            <w:pPr>
              <w:jc w:val="center"/>
              <w:ind w:left="75"/>
              <w:spacing w:after="0"/>
              <w:rPr>
                <w:sz w:val="20"/>
                <w:szCs w:val="20"/>
                <w:color w:val="auto"/>
              </w:rPr>
            </w:pPr>
            <w:r>
              <w:rPr>
                <w:rFonts w:ascii="Arial" w:cs="Arial" w:eastAsia="Arial" w:hAnsi="Arial"/>
                <w:sz w:val="18"/>
                <w:szCs w:val="18"/>
                <w:color w:val="auto"/>
                <w:w w:val="94"/>
              </w:rPr>
              <w:t>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60" w:type="dxa"/>
            <w:vAlign w:val="bottom"/>
          </w:tcPr>
          <w:p>
            <w:pPr>
              <w:ind w:left="1140"/>
              <w:spacing w:after="0"/>
              <w:rPr>
                <w:sz w:val="20"/>
                <w:szCs w:val="20"/>
                <w:color w:val="auto"/>
              </w:rPr>
            </w:pPr>
            <w:r>
              <w:rPr>
                <w:rFonts w:ascii="Arial" w:cs="Arial" w:eastAsia="Arial" w:hAnsi="Arial"/>
                <w:sz w:val="18"/>
                <w:szCs w:val="18"/>
                <w:color w:val="auto"/>
              </w:rPr>
              <w:t>Revenue Generating Unit Additions</w:t>
            </w:r>
          </w:p>
        </w:tc>
        <w:tc>
          <w:tcPr>
            <w:tcW w:w="420" w:type="dxa"/>
            <w:vAlign w:val="bottom"/>
          </w:tcPr>
          <w:p>
            <w:pPr>
              <w:spacing w:after="0"/>
              <w:rPr>
                <w:sz w:val="19"/>
                <w:szCs w:val="19"/>
                <w:color w:val="auto"/>
              </w:rPr>
            </w:pPr>
          </w:p>
        </w:tc>
        <w:tc>
          <w:tcPr>
            <w:tcW w:w="580" w:type="dxa"/>
            <w:vAlign w:val="bottom"/>
          </w:tcPr>
          <w:p>
            <w:pPr>
              <w:jc w:val="right"/>
              <w:ind w:right="75"/>
              <w:spacing w:after="0"/>
              <w:rPr>
                <w:sz w:val="20"/>
                <w:szCs w:val="20"/>
                <w:color w:val="auto"/>
              </w:rPr>
            </w:pPr>
            <w:r>
              <w:rPr>
                <w:rFonts w:ascii="Arial" w:cs="Arial" w:eastAsia="Arial" w:hAnsi="Arial"/>
                <w:sz w:val="18"/>
                <w:szCs w:val="18"/>
                <w:color w:val="auto"/>
                <w:w w:val="88"/>
              </w:rPr>
              <w:t>1,632</w:t>
            </w:r>
          </w:p>
        </w:tc>
        <w:tc>
          <w:tcPr>
            <w:tcW w:w="260" w:type="dxa"/>
            <w:vAlign w:val="bottom"/>
          </w:tcPr>
          <w:p>
            <w:pPr>
              <w:spacing w:after="0"/>
              <w:rPr>
                <w:sz w:val="19"/>
                <w:szCs w:val="19"/>
                <w:color w:val="auto"/>
              </w:rPr>
            </w:pPr>
          </w:p>
        </w:tc>
        <w:tc>
          <w:tcPr>
            <w:tcW w:w="660" w:type="dxa"/>
            <w:vAlign w:val="bottom"/>
          </w:tcPr>
          <w:p>
            <w:pPr>
              <w:jc w:val="right"/>
              <w:ind w:right="75"/>
              <w:spacing w:after="0"/>
              <w:rPr>
                <w:sz w:val="20"/>
                <w:szCs w:val="20"/>
                <w:color w:val="auto"/>
              </w:rPr>
            </w:pPr>
            <w:r>
              <w:rPr>
                <w:rFonts w:ascii="Arial" w:cs="Arial" w:eastAsia="Arial" w:hAnsi="Arial"/>
                <w:sz w:val="18"/>
                <w:szCs w:val="18"/>
                <w:color w:val="auto"/>
              </w:rPr>
              <w:t>5,026</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77%</w:t>
            </w:r>
          </w:p>
        </w:tc>
        <w:tc>
          <w:tcPr>
            <w:tcW w:w="580" w:type="dxa"/>
            <w:vAlign w:val="bottom"/>
          </w:tcPr>
          <w:p>
            <w:pPr>
              <w:jc w:val="center"/>
              <w:ind w:left="75"/>
              <w:spacing w:after="0"/>
              <w:rPr>
                <w:sz w:val="20"/>
                <w:szCs w:val="20"/>
                <w:color w:val="auto"/>
              </w:rPr>
            </w:pPr>
            <w:r>
              <w:rPr>
                <w:rFonts w:ascii="Arial" w:cs="Arial" w:eastAsia="Arial" w:hAnsi="Arial"/>
                <w:sz w:val="18"/>
                <w:szCs w:val="18"/>
                <w:color w:val="auto"/>
                <w:w w:val="94"/>
              </w:rPr>
              <w:t>69%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69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Brian L. Roberts, Chairman and CEO of Comcast Corporation, said, “2006 was simply our best year ever. Powered by our triple play offering and superior products, we added more RGUs than at any other time in our history and reported terrific growth in cable revenue and Operating Cash Flow. This record-setting performance demonstrates substantial operating momentum, and we could not be more enthusiastic about the future. Looking ahead, we are perfectly positioned to continue to offer consumers the best entertainment and communications value proposition available anywhere, and to continue to deliver significant value to our shareholders.”</w:t>
      </w:r>
    </w:p>
    <w:p>
      <w:pPr>
        <w:spacing w:after="0" w:line="143" w:lineRule="exact"/>
        <w:rPr>
          <w:sz w:val="20"/>
          <w:szCs w:val="20"/>
          <w:color w:val="auto"/>
        </w:rPr>
      </w:pPr>
    </w:p>
    <w:p>
      <w:pPr>
        <w:jc w:val="both"/>
        <w:ind w:right="20"/>
        <w:spacing w:after="0" w:line="228" w:lineRule="auto"/>
        <w:rPr>
          <w:sz w:val="20"/>
          <w:szCs w:val="20"/>
          <w:color w:val="auto"/>
        </w:rPr>
      </w:pPr>
      <w:r>
        <w:rPr>
          <w:rFonts w:ascii="Arial" w:cs="Arial" w:eastAsia="Arial" w:hAnsi="Arial"/>
          <w:sz w:val="18"/>
          <w:szCs w:val="18"/>
          <w:color w:val="auto"/>
        </w:rPr>
        <w:t>Mr. Roberts added, “Reflecting our strong results and outlook, our Board of Directors authorized a 3-for-2 stock split – the 11</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stock split in our company’s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1903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on page 6</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 Forma Cable Segment Results</w:t>
      </w:r>
      <w:r>
        <w:rPr>
          <w:rFonts w:ascii="Arial" w:cs="Arial" w:eastAsia="Arial" w:hAnsi="Arial"/>
          <w:sz w:val="11"/>
          <w:szCs w:val="11"/>
          <w:b w:val="1"/>
          <w:bCs w:val="1"/>
          <w:color w:val="auto"/>
        </w:rPr>
        <w:t>2</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2006</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Cable results are presented as if the acquisition of Susquehanna Communications and the Adelphia/Time Warner transactions were effective on January 1, 2005. Cable results also include the results of the Houston, TX cable systems received with the dissolution of the Texas/Kansas City cable partnership as if that transaction was effective on January 1, 2005. (See note 2 for additional details).</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12% to $26.3 billion for the year reflecting increasing consumer demand for Comcast’s services and the success of Comcast’s Triple Play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Revenue generating units </w:t>
      </w:r>
      <w:r>
        <w:rPr>
          <w:rFonts w:ascii="Arial" w:cs="Arial" w:eastAsia="Arial" w:hAnsi="Arial"/>
          <w:sz w:val="16"/>
          <w:szCs w:val="16"/>
          <w:color w:val="auto"/>
        </w:rPr>
        <w:t>(RGUs)</w:t>
      </w:r>
      <w:r>
        <w:rPr>
          <w:rFonts w:ascii="Arial" w:cs="Arial" w:eastAsia="Arial" w:hAnsi="Arial"/>
          <w:sz w:val="20"/>
          <w:szCs w:val="20"/>
          <w:color w:val="auto"/>
          <w:vertAlign w:val="superscript"/>
        </w:rPr>
        <w:t>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69%, or a record 5.0 million from prior year net additions of 3.0 million, to end the year at 50.8 million RGUs.</w:t>
      </w:r>
    </w:p>
    <w:p>
      <w:pPr>
        <w:spacing w:after="0" w:line="13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 xml:space="preserve">Operating Cash Flow </w:t>
      </w:r>
      <w:r>
        <w:rPr>
          <w:rFonts w:ascii="Arial" w:cs="Arial" w:eastAsia="Arial" w:hAnsi="Arial"/>
          <w:sz w:val="16"/>
          <w:szCs w:val="16"/>
          <w:color w:val="auto"/>
        </w:rPr>
        <w:t>(as defined in Table 7) grew 15% to $10.5 billion resulting in an Operating Cash Flow margin of 39.9%, an increase from the 38.8%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last year. The margin improvement reflects strong revenue growth and our continuing success in controlling the growth of operating costs. In 2006, programming expense increased 8% to $5.4 billion, Comcast hired and trained 6,500 new employees to support higher service and installation activity that resulted from record RGU additions and integrated lower-margin operations received with the cable system acquisitions.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18"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Added 1.9 million new digital cable subscribers in 2006 – 59% above last year</w:t>
      </w:r>
    </w:p>
    <w:p>
      <w:pPr>
        <w:spacing w:after="0" w:line="76" w:lineRule="exact"/>
        <w:rPr>
          <w:rFonts w:ascii="Arial" w:cs="Arial" w:eastAsia="Arial" w:hAnsi="Arial"/>
          <w:sz w:val="18"/>
          <w:szCs w:val="18"/>
          <w:i w:val="1"/>
          <w:iCs w:val="1"/>
          <w:color w:val="auto"/>
        </w:rPr>
      </w:pPr>
    </w:p>
    <w:p>
      <w:pPr>
        <w:ind w:left="220" w:hanging="212"/>
        <w:spacing w:after="0"/>
        <w:tabs>
          <w:tab w:leader="none" w:pos="2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Added 80,000 basic cable subscribers during 2006 compared to a loss of 141,000 in the prior year</w:t>
      </w:r>
    </w:p>
    <w:p>
      <w:pPr>
        <w:spacing w:after="0" w:line="17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Video revenue increased 8% to $16.6 billion in 2006, reflecting growth in both basic and digital cable customers and increased demand for advanced digital features including ON DEMAND, digital video recorders (DVRs) and HDTV programming, as well as higher basic cable pricing.</w:t>
      </w:r>
    </w:p>
    <w:p>
      <w:pPr>
        <w:spacing w:after="0" w:line="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Basic cable subscribers increased by 80,000 to 24.2 million during 2006 with 12.7 million or 52% of video customers taking digital cable services. Comcast added 1.9 million digital cable customers in 2006, an increase of 59% from the 1.2 million digital cable customers added in 2005. The digital cable customer additions in 2006 include 900,000 digital cable and 1.0 million Digital Starter subscribers. During the year, 1.5 million digital cable customers subscribed to advanced services, like DVR and HDTV, either by upgrading their digital cable service or as new customers. Customers subscribing to digital cable with advanced services pay $75 or more per month, 15% more than the average Comcast Digital Cable subscriber. Growth in video revenue also reflects increasing ON DEMAND movie purchases. Pay-per-view revenue increased 27% to $633 million in 2006.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85"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i w:val="1"/>
          <w:iCs w:val="1"/>
          <w:color w:val="auto"/>
        </w:rPr>
        <w:t>Added 1.9 million high-speed Internet subscribers during 2006—highest level of annual additions in Company history</w:t>
      </w:r>
    </w:p>
    <w:p>
      <w:pPr>
        <w:spacing w:after="0" w:line="17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High-speed Internet revenues increased 23% to $5.5 billion in 2006, reflecting a 1.9 million or 19% increase in subscribers from the prior year and relatively stable average monthly revenue per subscriber. Comcast ended 2006 with 11.5 million high-speed Internet subscribers or 25% penetration of our footprint.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Phone</w:t>
      </w:r>
    </w:p>
    <w:p>
      <w:pPr>
        <w:spacing w:after="0" w:line="85"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Added over 1.5 million Comcast Digital Voice (CDV) customers compared to 290,000 in the prior year</w:t>
      </w:r>
    </w:p>
    <w:p>
      <w:pPr>
        <w:spacing w:after="0" w:line="90" w:lineRule="exact"/>
        <w:rPr>
          <w:rFonts w:ascii="Arial" w:cs="Arial" w:eastAsia="Arial" w:hAnsi="Arial"/>
          <w:sz w:val="18"/>
          <w:szCs w:val="18"/>
          <w:i w:val="1"/>
          <w:iCs w:val="1"/>
          <w:color w:val="auto"/>
        </w:rPr>
      </w:pPr>
    </w:p>
    <w:p>
      <w:pPr>
        <w:ind w:left="220" w:hanging="212"/>
        <w:spacing w:after="0"/>
        <w:tabs>
          <w:tab w:leader="none" w:pos="2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CDV service now marketed to 32 million homes representing 68% of Comcast’s footprint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Phone revenue increased 45% to $955 million due to significant growth in CDV subscriber additions, offset by a $132 million decline in circuit-switched phone revenues as Comcast primarily focuses on marketing CDV in most markets. Comcast ended 2006 with a total of 1.9 million CDV customers or 5.7% of available homes.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903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on page 6</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56"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Advertising </w:t>
      </w:r>
      <w:r>
        <w:rPr>
          <w:rFonts w:ascii="Arial" w:cs="Arial" w:eastAsia="Arial" w:hAnsi="Arial"/>
          <w:sz w:val="16"/>
          <w:szCs w:val="16"/>
          <w:color w:val="auto"/>
        </w:rPr>
        <w:t>revenue increased 13% to $1.7 billion in 2006 when compared to 2005, reflecting strong political advertising growth in the second half of 2006.</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Comcast reported political advertising revenue of more than $90 million in 2006.</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of $4.6 billion increased 15% in 2006 reflecting primarily the record increase in RGU additions during the year. Comcast added 69%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RGUs in 2006 than 2005. Consistent with historical trends, approximately 75% of cable capital expenditures were variable and directly associated with demand for new products in 2006.</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Comcast delivered strong cable results as compared to the annual guidance updated on October 26,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vMerge w:val="restart"/>
          </w:tcPr>
          <w:p>
            <w:pPr>
              <w:spacing w:after="0"/>
              <w:rPr>
                <w:sz w:val="20"/>
                <w:szCs w:val="20"/>
                <w:color w:val="auto"/>
              </w:rPr>
            </w:pPr>
            <w:r>
              <w:rPr>
                <w:rFonts w:ascii="Arial" w:cs="Arial" w:eastAsia="Arial" w:hAnsi="Arial"/>
                <w:sz w:val="18"/>
                <w:szCs w:val="18"/>
                <w:color w:val="auto"/>
              </w:rPr>
              <w:t>Revenue growth</w:t>
            </w:r>
          </w:p>
        </w:tc>
        <w:tc>
          <w:tcPr>
            <w:tcW w:w="4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7"/>
              </w:rPr>
              <w:t>Guidance</w:t>
            </w:r>
          </w:p>
        </w:tc>
        <w:tc>
          <w:tcPr>
            <w:tcW w:w="34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2"/>
              </w:rPr>
              <w:t>Results</w:t>
            </w:r>
          </w:p>
        </w:tc>
        <w:tc>
          <w:tcPr>
            <w:tcW w:w="0" w:type="dxa"/>
            <w:vAlign w:val="bottom"/>
          </w:tcPr>
          <w:p>
            <w:pPr>
              <w:spacing w:after="0"/>
              <w:rPr>
                <w:sz w:val="1"/>
                <w:szCs w:val="1"/>
                <w:color w:val="auto"/>
              </w:rPr>
            </w:pPr>
          </w:p>
        </w:tc>
      </w:tr>
      <w:tr>
        <w:trPr>
          <w:trHeight w:val="201"/>
        </w:trPr>
        <w:tc>
          <w:tcPr>
            <w:tcW w:w="3900" w:type="dxa"/>
            <w:vAlign w:val="bottom"/>
            <w:vMerge w:val="continue"/>
          </w:tcPr>
          <w:p>
            <w:pPr>
              <w:spacing w:after="0"/>
              <w:rPr>
                <w:sz w:val="17"/>
                <w:szCs w:val="17"/>
                <w:color w:val="auto"/>
              </w:rPr>
            </w:pPr>
          </w:p>
        </w:tc>
        <w:tc>
          <w:tcPr>
            <w:tcW w:w="4100" w:type="dxa"/>
            <w:vAlign w:val="bottom"/>
          </w:tcPr>
          <w:p>
            <w:pPr>
              <w:jc w:val="center"/>
              <w:ind w:right="136"/>
              <w:spacing w:after="0" w:line="201" w:lineRule="exact"/>
              <w:rPr>
                <w:sz w:val="20"/>
                <w:szCs w:val="20"/>
                <w:color w:val="auto"/>
              </w:rPr>
            </w:pPr>
            <w:r>
              <w:rPr>
                <w:rFonts w:ascii="Arial" w:cs="Arial" w:eastAsia="Arial" w:hAnsi="Arial"/>
                <w:sz w:val="18"/>
                <w:szCs w:val="18"/>
                <w:color w:val="auto"/>
                <w:w w:val="88"/>
              </w:rPr>
              <w:t>10 - 11%</w:t>
            </w:r>
          </w:p>
        </w:tc>
        <w:tc>
          <w:tcPr>
            <w:tcW w:w="3420" w:type="dxa"/>
            <w:vAlign w:val="bottom"/>
          </w:tcPr>
          <w:p>
            <w:pPr>
              <w:jc w:val="center"/>
              <w:ind w:right="136"/>
              <w:spacing w:after="0" w:line="201" w:lineRule="exact"/>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Operating Cash Flow growth</w:t>
            </w:r>
          </w:p>
        </w:tc>
        <w:tc>
          <w:tcPr>
            <w:tcW w:w="4100" w:type="dxa"/>
            <w:vAlign w:val="bottom"/>
          </w:tcPr>
          <w:p>
            <w:pPr>
              <w:jc w:val="center"/>
              <w:ind w:right="136"/>
              <w:spacing w:after="0"/>
              <w:rPr>
                <w:sz w:val="20"/>
                <w:szCs w:val="20"/>
                <w:color w:val="auto"/>
              </w:rPr>
            </w:pPr>
            <w:r>
              <w:rPr>
                <w:rFonts w:ascii="Arial" w:cs="Arial" w:eastAsia="Arial" w:hAnsi="Arial"/>
                <w:sz w:val="18"/>
                <w:szCs w:val="18"/>
                <w:color w:val="auto"/>
                <w:w w:val="90"/>
              </w:rPr>
              <w:t>At least 13%</w:t>
            </w:r>
          </w:p>
        </w:tc>
        <w:tc>
          <w:tcPr>
            <w:tcW w:w="3420" w:type="dxa"/>
            <w:vAlign w:val="bottom"/>
          </w:tcPr>
          <w:p>
            <w:pPr>
              <w:jc w:val="center"/>
              <w:ind w:right="136"/>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RGU addition growth</w:t>
            </w:r>
          </w:p>
        </w:tc>
        <w:tc>
          <w:tcPr>
            <w:tcW w:w="4100" w:type="dxa"/>
            <w:vAlign w:val="bottom"/>
          </w:tcPr>
          <w:p>
            <w:pPr>
              <w:jc w:val="center"/>
              <w:ind w:right="136"/>
              <w:spacing w:after="0"/>
              <w:rPr>
                <w:sz w:val="20"/>
                <w:szCs w:val="20"/>
                <w:color w:val="auto"/>
              </w:rPr>
            </w:pPr>
            <w:r>
              <w:rPr>
                <w:rFonts w:ascii="Arial" w:cs="Arial" w:eastAsia="Arial" w:hAnsi="Arial"/>
                <w:sz w:val="18"/>
                <w:szCs w:val="18"/>
                <w:color w:val="auto"/>
                <w:w w:val="92"/>
              </w:rPr>
              <w:t>Approximately 60%</w:t>
            </w:r>
          </w:p>
        </w:tc>
        <w:tc>
          <w:tcPr>
            <w:tcW w:w="3420" w:type="dxa"/>
            <w:vAlign w:val="bottom"/>
          </w:tcPr>
          <w:p>
            <w:pPr>
              <w:jc w:val="center"/>
              <w:ind w:right="136"/>
              <w:spacing w:after="0"/>
              <w:rPr>
                <w:sz w:val="20"/>
                <w:szCs w:val="20"/>
                <w:color w:val="auto"/>
              </w:rPr>
            </w:pPr>
            <w:r>
              <w:rPr>
                <w:rFonts w:ascii="Arial" w:cs="Arial" w:eastAsia="Arial" w:hAnsi="Arial"/>
                <w:sz w:val="18"/>
                <w:szCs w:val="18"/>
                <w:color w:val="auto"/>
                <w:w w:val="88"/>
              </w:rPr>
              <w:t>69%</w:t>
            </w: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Capital expenditures</w:t>
            </w:r>
          </w:p>
        </w:tc>
        <w:tc>
          <w:tcPr>
            <w:tcW w:w="4100" w:type="dxa"/>
            <w:vAlign w:val="bottom"/>
          </w:tcPr>
          <w:p>
            <w:pPr>
              <w:jc w:val="center"/>
              <w:ind w:right="136"/>
              <w:spacing w:after="0"/>
              <w:rPr>
                <w:sz w:val="20"/>
                <w:szCs w:val="20"/>
                <w:color w:val="auto"/>
              </w:rPr>
            </w:pPr>
            <w:r>
              <w:rPr>
                <w:rFonts w:ascii="Arial" w:cs="Arial" w:eastAsia="Arial" w:hAnsi="Arial"/>
                <w:sz w:val="18"/>
                <w:szCs w:val="18"/>
                <w:color w:val="auto"/>
                <w:w w:val="93"/>
              </w:rPr>
              <w:t>Approximately $4.5 billion</w:t>
            </w:r>
          </w:p>
        </w:tc>
        <w:tc>
          <w:tcPr>
            <w:tcW w:w="3420" w:type="dxa"/>
            <w:vAlign w:val="bottom"/>
          </w:tcPr>
          <w:p>
            <w:pPr>
              <w:jc w:val="center"/>
              <w:ind w:right="136"/>
              <w:spacing w:after="0"/>
              <w:rPr>
                <w:sz w:val="20"/>
                <w:szCs w:val="20"/>
                <w:color w:val="auto"/>
              </w:rPr>
            </w:pPr>
            <w:r>
              <w:rPr>
                <w:rFonts w:ascii="Arial" w:cs="Arial" w:eastAsia="Arial" w:hAnsi="Arial"/>
                <w:sz w:val="18"/>
                <w:szCs w:val="18"/>
                <w:color w:val="auto"/>
                <w:w w:val="92"/>
              </w:rPr>
              <w:t>$4.6 billion</w:t>
            </w:r>
          </w:p>
        </w:tc>
        <w:tc>
          <w:tcPr>
            <w:tcW w:w="0" w:type="dxa"/>
            <w:vAlign w:val="bottom"/>
          </w:tcPr>
          <w:p>
            <w:pPr>
              <w:spacing w:after="0"/>
              <w:rPr>
                <w:sz w:val="1"/>
                <w:szCs w:val="1"/>
                <w:color w:val="auto"/>
              </w:rPr>
            </w:pPr>
          </w:p>
        </w:tc>
      </w:tr>
      <w:tr>
        <w:trPr>
          <w:trHeight w:val="120"/>
        </w:trPr>
        <w:tc>
          <w:tcPr>
            <w:tcW w:w="390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3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2006</w:t>
      </w:r>
    </w:p>
    <w:p>
      <w:pPr>
        <w:spacing w:after="0" w:line="90"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Added 1.6 million RGUs during the quarter—most quarterly additions in Company history</w:t>
      </w:r>
    </w:p>
    <w:p>
      <w:pPr>
        <w:spacing w:after="0" w:line="90" w:lineRule="exact"/>
        <w:rPr>
          <w:rFonts w:ascii="Arial" w:cs="Arial" w:eastAsia="Arial" w:hAnsi="Arial"/>
          <w:sz w:val="18"/>
          <w:szCs w:val="18"/>
          <w:i w:val="1"/>
          <w:iCs w:val="1"/>
          <w:color w:val="auto"/>
        </w:rPr>
      </w:pPr>
    </w:p>
    <w:p>
      <w:pPr>
        <w:ind w:left="220" w:hanging="212"/>
        <w:spacing w:after="0"/>
        <w:tabs>
          <w:tab w:leader="none" w:pos="2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Record RGU additions fueled 14% growth in revenue and 17% growth in Operating Cash Flow</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Comcast Cable reported revenue of $6.9 billion in the fourth quarter of 2006, an increase of 14% from the prior year. Video revenue increased 9% reflecting growth in both basic and digital cable customers and increased demand for advanced digital features, such as DVR and HDTV. Comcast Cable added 613,000 digital cable subscribers and 110,000 basic cable subscribers during the fourth quarter of 2006, each representing the highest quarterly additions in more than 10 years. Driven by increasing ON DEMAND movie purchases, pay-per-view revenue increased 24% to $159 million in 2006. Pay-per-view revenue has increased more than 20% on average for the past eight quarters.</w:t>
      </w:r>
    </w:p>
    <w:p>
      <w:pPr>
        <w:spacing w:after="0" w:line="143"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High-speed Internet revenues increased 23% in the quarter to $1.5 billion. The strong growth includes the addition of 488,000 high-speed Internet subscribers, a 12% increase from the same period last year and relatively stable monthly revenue per subscriber. Cable phone revenue nearly doubled in the fourth quarter of 2006 to $302 million reflecting the addition of 508,000 CDV customers offset by the decline of 87,000 circuit-switched customers during the quarter.</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Advertising revenue increased 26% to $501 million in the fourth quarter of 2006, reflecting double-digit growth in local and regional/national advertising, as well as a five-fold increase in political advertising to $54 million principally associated with the fall 2006 elections.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Cash Flow grew 17% to $2.7 billion during the quarter, reflecting strong revenue growth and the Company’s success in controlling the growth of operating costs, even as we experience higher service and installation activity from record RGU additions and integrate recently acquired cable systems. Operating Cash Flow margin for the quarter was 39.9% compared to 38.9% one year ago.</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Comcast Cable capital expenditures of $1.4 billion for the quarter were 43% higher than the fourth quarter of 2005 driven by the record RGU additions during the period. Comcast added 77% more RGUs in the fourth quarter of 2006 than 2005.</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Programming Segment Results</w:t>
      </w:r>
      <w:r>
        <w:rPr>
          <w:rFonts w:ascii="Arial" w:cs="Arial" w:eastAsia="Arial" w:hAnsi="Arial"/>
          <w:sz w:val="11"/>
          <w:szCs w:val="11"/>
          <w:b w:val="1"/>
          <w:bCs w:val="1"/>
          <w:color w:val="auto"/>
        </w:rPr>
        <w:t>4</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Comcast’s Programming segment consists of our national programming networks E! Entertainment Television and Style Network (E! Networks), The Golf Channel, VERSUS (formerly OLN), G4 and AZN Television.</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Programming segment reported 2006 revenue of $1.1 billion, a 15% increase from 2005, reflecting increases in network ratings, advertising and distribution revenue. Operating Cash Flow decreased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19037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See notes on page 6</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 w:name="page7"/>
    <w:bookmarkEnd w:id="6"/>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$241 million in 2006, reflecting investments in programming at all our networks, particularly programming and production expenses related to VERSUS’ coverage of the National Hockey League.</w:t>
      </w:r>
    </w:p>
    <w:p>
      <w:pPr>
        <w:spacing w:after="0" w:line="13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For the fourth quarter of 2006, Comcast’s Programming segment reported revenue of $283 million, a 21% increase compared to the prior year and Operating Cash Flow of $43 million, an increase of 35% from the same period last year reflecting increases in network ratings, advertising revenue and distribution revenue.</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w:t>
      </w:r>
      <w:r>
        <w:rPr>
          <w:rFonts w:ascii="Arial" w:cs="Arial" w:eastAsia="Arial" w:hAnsi="Arial"/>
          <w:sz w:val="11"/>
          <w:szCs w:val="11"/>
          <w:b w:val="1"/>
          <w:bCs w:val="1"/>
          <w:color w:val="auto"/>
        </w:rPr>
        <w:t>4</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and Other includes Comcast Spectacor, corporate overhead and other operations, and eliminations between Comcast’s businesses. In 2006, Comcast reported Corporate and Other revenue of $203 million and an Operating Cash Flow loss of $362 million, as compared to revenue of $170 million and an Operating Cash Flow loss of $313 million in 2005.</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quarter ended December 31, 2006, Corporate and Other revenue increased to $90 million from the $72 million reported in 2005. The Operating Cash Flow loss for the fourth quarter of 2006 was $109 million compared to a loss of $77 million in 2005.</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Results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2006</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Consolidated results include all acquisitions as of the date of their closing. Comcast acquired Susquehanna Communications in April 2006 and completed the Adelphia/Time Warner transactions in July 2006. As part of the Adelphia/Time Warner transactions Comcast transferred cable systems serving Los Angeles, Dallas and Cleveland to Time Warner (presented as discontinued operations for all periods). Consolidated results, as of December 31, 2006, include our interest in the Texas/Kansas City cable partnership as an equity method investment.</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increased 18% in 2006 to $25.0 billion while</w:t>
      </w:r>
      <w:r>
        <w:rPr>
          <w:rFonts w:ascii="Arial" w:cs="Arial" w:eastAsia="Arial" w:hAnsi="Arial"/>
          <w:sz w:val="15"/>
          <w:szCs w:val="15"/>
          <w:b w:val="1"/>
          <w:bCs w:val="1"/>
          <w:i w:val="1"/>
          <w:iCs w:val="1"/>
          <w:color w:val="auto"/>
        </w:rPr>
        <w:t xml:space="preserve"> Operating Cash Flow</w:t>
      </w:r>
      <w:r>
        <w:rPr>
          <w:rFonts w:ascii="Arial" w:cs="Arial" w:eastAsia="Arial" w:hAnsi="Arial"/>
          <w:sz w:val="19"/>
          <w:szCs w:val="19"/>
          <w:b w:val="1"/>
          <w:bCs w:val="1"/>
          <w:i w:val="1"/>
          <w:iCs w:val="1"/>
          <w:color w:val="auto"/>
          <w:vertAlign w:val="superscript"/>
        </w:rPr>
        <w:t>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increased 19% to $9.4 billion and</w:t>
      </w:r>
      <w:r>
        <w:rPr>
          <w:rFonts w:ascii="Arial" w:cs="Arial" w:eastAsia="Arial" w:hAnsi="Arial"/>
          <w:sz w:val="15"/>
          <w:szCs w:val="15"/>
          <w:b w:val="1"/>
          <w:bCs w:val="1"/>
          <w:i w:val="1"/>
          <w:iCs w:val="1"/>
          <w:color w:val="auto"/>
        </w:rPr>
        <w:t xml:space="preserve"> Operating Income </w:t>
      </w:r>
      <w:r>
        <w:rPr>
          <w:rFonts w:ascii="Arial" w:cs="Arial" w:eastAsia="Arial" w:hAnsi="Arial"/>
          <w:sz w:val="15"/>
          <w:szCs w:val="15"/>
          <w:color w:val="auto"/>
        </w:rPr>
        <w:t>increased 31% to $4.6 billion.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This significant growth was due to strong results at Comcast Cable and the impact of cable system acquisitions in 2006.</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increased to $2.5 billion, or $1.19 per share, in 2006, compared to net income of $928 million or $0.42 per share in 2005. In addition to strong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results at Comcast Cable, the year includes an estimated one-time gain, included in investment income, of $646 million (or $405 million net of tax) related to the Adelphia/Time Warner transactions. Also included in this year’s results is a one-time gain of $195 million, net of tax, on discontinued operations related to the transfer of cable systems to Time Warner. Excluding these gains and reconciled in Table 7-C, Adjusted Net Income for 2006 would be $1.9 billion or $0.90 per share.</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increased to $6.6 billion in 2006 from $4.8 billion in 2005 due primarily to stronger operating results, the 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 acquisitions and changes in operating assets and liabilities.</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(described further on Table 4) increased $628 million to $2.6 billion in 2006 compared to $2.0 billion in 2005, due primarily to growth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Operating Cash Flow, the cable system acquisitions and changes in working capital.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2006</w:t>
      </w:r>
      <w:r>
        <w:rPr>
          <w:rFonts w:ascii="Arial" w:cs="Arial" w:eastAsia="Arial" w:hAnsi="Arial"/>
          <w:sz w:val="22"/>
          <w:szCs w:val="22"/>
          <w:i w:val="1"/>
          <w:iCs w:val="1"/>
          <w:color w:val="auto"/>
          <w:vertAlign w:val="superscript"/>
        </w:rPr>
        <w:t>2</w:t>
      </w:r>
    </w:p>
    <w:p>
      <w:pPr>
        <w:spacing w:after="0" w:line="4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Driven by strong results at Comcast Cable and the impact of cable acquisitions in 2006, Comcast reported consolidated revenue of $7.0 billion, an increase of 30%, in the fourth quarter of 2006 while consolidated Operating Cash Flow</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increased 30% to $2.6 billion. Consolidated operating income increased 43% to $1.2 billion in the fourth quarter of 2006 compared to $849 million reported in 2005.</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income increased to $390 million, or $0.18 per share, for the fourth quarter of 2006 compared to net income of $133 million, or $0.06 per share, in the prior year. Strong operating results at Comcast Cable contributed to the growth in net income. Included in this quarter’s results are two adjustments reducing the gains recorded on the Adelphia/Time Warner transactions in the third quarter of 2006. These reductions represent a refinement of estimated gains due primarily to updated valuations. The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2263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See notes on page 6</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adjustment, included in investment income, is $49 million (or $30 million net of tax). The second is an adjustment of $39 million net of tax on the gain on discontinued operations related to the transfer of cable systems to Time Warner. Excluding these adjustments and reconciled in Table 7-C, Adjusted Net Income for the fourth quarter of 2006 would be $459 million or $0.21 per share.</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 Forma Consolidated Results</w:t>
      </w:r>
      <w:r>
        <w:rPr>
          <w:rFonts w:ascii="Arial" w:cs="Arial" w:eastAsia="Arial" w:hAnsi="Arial"/>
          <w:sz w:val="11"/>
          <w:szCs w:val="11"/>
          <w:b w:val="1"/>
          <w:bCs w:val="1"/>
          <w:color w:val="auto"/>
        </w:rPr>
        <w:t>5</w:t>
      </w:r>
    </w:p>
    <w:p>
      <w:pPr>
        <w:spacing w:after="0" w:line="9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Pro forma consolidated results are presented as if the acquisition of Susquehanna Communications and the Adelphia/Time Warner transactions were effective on January 1, 2005. Pro forma consolidated results also include the results of the Houston, TX cable systems received with the dissolution of the Texas/Kansas City cable partnership as if that transaction was effective on January 1, 2005 as well. (See note 2 for additional details).</w:t>
      </w:r>
    </w:p>
    <w:p>
      <w:pPr>
        <w:spacing w:after="0" w:line="10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12% to $27.6 billion in 2006 while</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14% to $10.4 billion for the year reflecting record setting results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Comcast Cable.</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Comcast delivered strong consolidated results as compared to the annual guidance updated on October 26,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vMerge w:val="restart"/>
          </w:tcPr>
          <w:p>
            <w:pPr>
              <w:spacing w:after="0"/>
              <w:rPr>
                <w:sz w:val="20"/>
                <w:szCs w:val="20"/>
                <w:color w:val="auto"/>
              </w:rPr>
            </w:pPr>
            <w:r>
              <w:rPr>
                <w:rFonts w:ascii="Arial" w:cs="Arial" w:eastAsia="Arial" w:hAnsi="Arial"/>
                <w:sz w:val="18"/>
                <w:szCs w:val="18"/>
                <w:color w:val="auto"/>
              </w:rPr>
              <w:t>Revenue growth</w:t>
            </w:r>
            <w:r>
              <w:rPr>
                <w:rFonts w:ascii="Arial" w:cs="Arial" w:eastAsia="Arial" w:hAnsi="Arial"/>
                <w:sz w:val="22"/>
                <w:szCs w:val="22"/>
                <w:color w:val="auto"/>
                <w:vertAlign w:val="superscript"/>
              </w:rPr>
              <w:t>5</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Guidance</w:t>
            </w: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Results</w:t>
            </w:r>
          </w:p>
        </w:tc>
        <w:tc>
          <w:tcPr>
            <w:tcW w:w="0" w:type="dxa"/>
            <w:vAlign w:val="bottom"/>
          </w:tcPr>
          <w:p>
            <w:pPr>
              <w:spacing w:after="0"/>
              <w:rPr>
                <w:sz w:val="1"/>
                <w:szCs w:val="1"/>
                <w:color w:val="auto"/>
              </w:rPr>
            </w:pPr>
          </w:p>
        </w:tc>
      </w:tr>
      <w:tr>
        <w:trPr>
          <w:trHeight w:val="201"/>
        </w:trPr>
        <w:tc>
          <w:tcPr>
            <w:tcW w:w="3900" w:type="dxa"/>
            <w:vAlign w:val="bottom"/>
            <w:vMerge w:val="continue"/>
          </w:tcPr>
          <w:p>
            <w:pPr>
              <w:spacing w:after="0"/>
              <w:rPr>
                <w:sz w:val="17"/>
                <w:szCs w:val="17"/>
                <w:color w:val="auto"/>
              </w:rPr>
            </w:pPr>
          </w:p>
        </w:tc>
        <w:tc>
          <w:tcPr>
            <w:tcW w:w="3940" w:type="dxa"/>
            <w:vAlign w:val="bottom"/>
          </w:tcPr>
          <w:p>
            <w:pPr>
              <w:jc w:val="center"/>
              <w:spacing w:after="0" w:line="201" w:lineRule="exact"/>
              <w:rPr>
                <w:sz w:val="20"/>
                <w:szCs w:val="20"/>
                <w:color w:val="auto"/>
              </w:rPr>
            </w:pPr>
            <w:r>
              <w:rPr>
                <w:rFonts w:ascii="Arial" w:cs="Arial" w:eastAsia="Arial" w:hAnsi="Arial"/>
                <w:sz w:val="18"/>
                <w:szCs w:val="18"/>
                <w:color w:val="auto"/>
                <w:w w:val="88"/>
              </w:rPr>
              <w:t>10 - 11%</w:t>
            </w:r>
          </w:p>
        </w:tc>
        <w:tc>
          <w:tcPr>
            <w:tcW w:w="3580" w:type="dxa"/>
            <w:vAlign w:val="bottom"/>
          </w:tcPr>
          <w:p>
            <w:pPr>
              <w:jc w:val="center"/>
              <w:spacing w:after="0" w:line="201" w:lineRule="exact"/>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16"/>
        </w:trPr>
        <w:tc>
          <w:tcPr>
            <w:tcW w:w="3900" w:type="dxa"/>
            <w:vAlign w:val="bottom"/>
          </w:tcPr>
          <w:p>
            <w:pPr>
              <w:spacing w:after="0" w:line="217" w:lineRule="exact"/>
              <w:rPr>
                <w:sz w:val="20"/>
                <w:szCs w:val="20"/>
                <w:color w:val="auto"/>
              </w:rPr>
            </w:pPr>
            <w:r>
              <w:rPr>
                <w:rFonts w:ascii="Arial" w:cs="Arial" w:eastAsia="Arial" w:hAnsi="Arial"/>
                <w:sz w:val="18"/>
                <w:szCs w:val="18"/>
                <w:color w:val="auto"/>
              </w:rPr>
              <w:t>Operating Cash Flow growth</w:t>
            </w:r>
            <w:r>
              <w:rPr>
                <w:rFonts w:ascii="Arial" w:cs="Arial" w:eastAsia="Arial" w:hAnsi="Arial"/>
                <w:sz w:val="22"/>
                <w:szCs w:val="22"/>
                <w:color w:val="auto"/>
                <w:vertAlign w:val="superscript"/>
              </w:rPr>
              <w:t>5</w:t>
            </w:r>
          </w:p>
        </w:tc>
        <w:tc>
          <w:tcPr>
            <w:tcW w:w="3940" w:type="dxa"/>
            <w:vAlign w:val="bottom"/>
          </w:tcPr>
          <w:p>
            <w:pPr>
              <w:jc w:val="center"/>
              <w:spacing w:after="0"/>
              <w:rPr>
                <w:sz w:val="20"/>
                <w:szCs w:val="20"/>
                <w:color w:val="auto"/>
              </w:rPr>
            </w:pPr>
            <w:r>
              <w:rPr>
                <w:rFonts w:ascii="Arial" w:cs="Arial" w:eastAsia="Arial" w:hAnsi="Arial"/>
                <w:sz w:val="18"/>
                <w:szCs w:val="18"/>
                <w:color w:val="auto"/>
                <w:w w:val="90"/>
              </w:rPr>
              <w:t>At least 12%</w:t>
            </w:r>
          </w:p>
        </w:tc>
        <w:tc>
          <w:tcPr>
            <w:tcW w:w="358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Free Cash Flow Conversion</w:t>
            </w:r>
          </w:p>
        </w:tc>
        <w:tc>
          <w:tcPr>
            <w:tcW w:w="3940" w:type="dxa"/>
            <w:vAlign w:val="bottom"/>
          </w:tcPr>
          <w:p>
            <w:pPr>
              <w:jc w:val="center"/>
              <w:spacing w:after="0"/>
              <w:rPr>
                <w:sz w:val="20"/>
                <w:szCs w:val="20"/>
                <w:color w:val="auto"/>
              </w:rPr>
            </w:pPr>
            <w:r>
              <w:rPr>
                <w:rFonts w:ascii="Arial" w:cs="Arial" w:eastAsia="Arial" w:hAnsi="Arial"/>
                <w:sz w:val="18"/>
                <w:szCs w:val="18"/>
                <w:color w:val="auto"/>
                <w:w w:val="88"/>
              </w:rPr>
              <w:t>25 - 30%</w:t>
            </w:r>
          </w:p>
        </w:tc>
        <w:tc>
          <w:tcPr>
            <w:tcW w:w="3580" w:type="dxa"/>
            <w:vAlign w:val="bottom"/>
          </w:tcPr>
          <w:p>
            <w:pPr>
              <w:jc w:val="center"/>
              <w:spacing w:after="0"/>
              <w:rPr>
                <w:sz w:val="20"/>
                <w:szCs w:val="20"/>
                <w:color w:val="auto"/>
              </w:rPr>
            </w:pPr>
            <w:r>
              <w:rPr>
                <w:rFonts w:ascii="Arial" w:cs="Arial" w:eastAsia="Arial" w:hAnsi="Arial"/>
                <w:sz w:val="18"/>
                <w:szCs w:val="18"/>
                <w:color w:val="auto"/>
                <w:w w:val="88"/>
              </w:rPr>
              <w:t>28%</w:t>
            </w:r>
          </w:p>
        </w:tc>
        <w:tc>
          <w:tcPr>
            <w:tcW w:w="0" w:type="dxa"/>
            <w:vAlign w:val="bottom"/>
          </w:tcPr>
          <w:p>
            <w:pPr>
              <w:spacing w:after="0"/>
              <w:rPr>
                <w:sz w:val="1"/>
                <w:szCs w:val="1"/>
                <w:color w:val="auto"/>
              </w:rPr>
            </w:pPr>
          </w:p>
        </w:tc>
      </w:tr>
      <w:tr>
        <w:trPr>
          <w:trHeight w:val="147"/>
        </w:trPr>
        <w:tc>
          <w:tcPr>
            <w:tcW w:w="3900" w:type="dxa"/>
            <w:vAlign w:val="bottom"/>
            <w:tcBorders>
              <w:bottom w:val="single" w:sz="8" w:color="auto"/>
            </w:tcBorders>
          </w:tcPr>
          <w:p>
            <w:pPr>
              <w:spacing w:after="0"/>
              <w:rPr>
                <w:sz w:val="12"/>
                <w:szCs w:val="12"/>
                <w:color w:val="auto"/>
              </w:rPr>
            </w:pPr>
          </w:p>
        </w:tc>
        <w:tc>
          <w:tcPr>
            <w:tcW w:w="3940" w:type="dxa"/>
            <w:vAlign w:val="bottom"/>
            <w:tcBorders>
              <w:bottom w:val="single" w:sz="8" w:color="auto"/>
            </w:tcBorders>
          </w:tcPr>
          <w:p>
            <w:pPr>
              <w:spacing w:after="0"/>
              <w:rPr>
                <w:sz w:val="12"/>
                <w:szCs w:val="12"/>
                <w:color w:val="auto"/>
              </w:rPr>
            </w:pPr>
          </w:p>
        </w:tc>
        <w:tc>
          <w:tcPr>
            <w:tcW w:w="3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Repurchase Program</w:t>
      </w:r>
    </w:p>
    <w:p>
      <w:pPr>
        <w:spacing w:after="0" w:line="9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2006, Comcast repurchased $2.3 billion or 75.4 million Class A Special Common (CMCSK) shares, reducing the number of total shares outstanding by more than 3%. Comcast repurchased $447 million or 11.2 million shares of its CMCSK stock during the fourth quarter of 2006.</w:t>
      </w:r>
    </w:p>
    <w:p>
      <w:pPr>
        <w:spacing w:after="0" w:line="13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Availability under the Company’s stock repurchase program, as of December 31, 2006, is $3.0 billion. Comcast expects that repurchases continue from time to time in the open market or in private transactions, subject to market conditions.</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Since the inception of the repurchase program in December 2003, the Company has invested $7.4 billion in its common stock and related securities, reducing the number of shares outstanding by 11%. These investments include repurchasing $6.0 billion or 202.3 million shares of common stock and redeeming several debt issues for $1.4 billion that were exchangeable into 47.3 million shares of common stock. The share amounts above are not adjusted for today’s announced stock split.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2007 Financial Outlook</w:t>
      </w:r>
    </w:p>
    <w:p>
      <w:pPr>
        <w:spacing w:after="0" w:line="95"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Cable revenue growth of at least 12%</w:t>
      </w:r>
      <w:r>
        <w:rPr>
          <w:rFonts w:ascii="Arial" w:cs="Arial" w:eastAsia="Arial" w:hAnsi="Arial"/>
          <w:sz w:val="22"/>
          <w:szCs w:val="22"/>
          <w:color w:val="auto"/>
          <w:vertAlign w:val="superscript"/>
        </w:rPr>
        <w:t>2</w:t>
      </w:r>
    </w:p>
    <w:p>
      <w:pPr>
        <w:spacing w:after="0" w:line="45"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Cable Operating Cash Flow growth of at least 14%</w:t>
      </w:r>
      <w:r>
        <w:rPr>
          <w:rFonts w:ascii="Arial" w:cs="Arial" w:eastAsia="Arial" w:hAnsi="Arial"/>
          <w:sz w:val="22"/>
          <w:szCs w:val="22"/>
          <w:color w:val="auto"/>
          <w:vertAlign w:val="superscript"/>
        </w:rPr>
        <w:t>2</w:t>
      </w:r>
    </w:p>
    <w:p>
      <w:pPr>
        <w:spacing w:after="0" w:line="44"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Cable RGU net additions of approximately 6.5 million, 30% above 2006 RGU net additions</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of 5 million</w:t>
      </w:r>
    </w:p>
    <w:p>
      <w:pPr>
        <w:spacing w:after="0" w:line="44"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8"/>
          <w:szCs w:val="18"/>
          <w:color w:val="auto"/>
        </w:rPr>
        <w:t>•   RGU outlook incldudes an expected decrease of 500,000 circuit-switched phone RGUs</w:t>
      </w:r>
    </w:p>
    <w:p>
      <w:pPr>
        <w:spacing w:after="0" w:line="88"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Cable capital expenditures of approximately $5.7 billion, including commercial services capital expenditures of approximately $250 million</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and other capital expenditures of approximately $250 million primarily due to the relocation of Comcast’s headquarters</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revenue growth of at least 11%</w:t>
      </w:r>
      <w:r>
        <w:rPr>
          <w:rFonts w:ascii="Arial" w:cs="Arial" w:eastAsia="Arial" w:hAnsi="Arial"/>
          <w:sz w:val="22"/>
          <w:szCs w:val="22"/>
          <w:color w:val="auto"/>
          <w:vertAlign w:val="superscript"/>
        </w:rPr>
        <w:t>5</w:t>
      </w:r>
    </w:p>
    <w:p>
      <w:pPr>
        <w:spacing w:after="0" w:line="45"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Operating Cash Flow growth of at least 13%</w:t>
      </w:r>
      <w:r>
        <w:rPr>
          <w:rFonts w:ascii="Arial" w:cs="Arial" w:eastAsia="Arial" w:hAnsi="Arial"/>
          <w:sz w:val="22"/>
          <w:szCs w:val="22"/>
          <w:color w:val="auto"/>
          <w:vertAlign w:val="superscript"/>
        </w:rPr>
        <w:t>5</w:t>
      </w:r>
    </w:p>
    <w:p>
      <w:pPr>
        <w:spacing w:after="0" w:line="44"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Free Cash Flow approximately the same as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19037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See notes on page 6</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w:t>
      </w:r>
      <w:r>
        <w:rPr>
          <w:rFonts w:ascii="Arial" w:cs="Arial" w:eastAsia="Arial" w:hAnsi="Arial"/>
          <w:sz w:val="22"/>
          <w:szCs w:val="22"/>
          <w:b w:val="1"/>
          <w:bCs w:val="1"/>
          <w:color w:val="auto"/>
        </w:rPr>
        <w:t>:</w:t>
      </w:r>
    </w:p>
    <w:p>
      <w:pPr>
        <w:spacing w:after="0" w:line="95" w:lineRule="exact"/>
        <w:rPr>
          <w:sz w:val="20"/>
          <w:szCs w:val="20"/>
          <w:color w:val="auto"/>
        </w:rPr>
      </w:pPr>
    </w:p>
    <w:p>
      <w:pPr>
        <w:jc w:val="both"/>
        <w:ind w:left="220" w:hanging="212"/>
        <w:spacing w:after="0" w:line="259"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Cash Flow percentage growth is adjusted as if stock options had been expensed in 2005. Operating income and earnings per share percentage growth are unadjusted. Per share amounts are not adjusted for today’s announced stock split. See Tables 7-A and 7-B for reconciliation of “as adjusted” financial data.</w:t>
      </w:r>
    </w:p>
    <w:p>
      <w:pPr>
        <w:spacing w:after="0" w:line="59" w:lineRule="exact"/>
        <w:rPr>
          <w:sz w:val="20"/>
          <w:szCs w:val="20"/>
          <w:color w:val="auto"/>
        </w:rPr>
      </w:pPr>
    </w:p>
    <w:p>
      <w:pPr>
        <w:jc w:val="both"/>
        <w:ind w:left="220" w:hanging="212"/>
        <w:spacing w:after="0" w:line="253"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Cable results are presented on a pro forma, as adjusted, basis. Pro forma results adjust only for certain acquisitions and dispositions, including Susquehanna Communications (April 2006), the Adelphia/Time Warner transactions (July 2006) and the dissolution of the Texas/Kansas City cable partnership (effective January 1, 2007). Effective August 1, 2006, our economic interest in the Texas/Kansas City cable partnership tracked solely the performance of the Houston, TX cable systems. Accordingly, we included the systems’ results in Cable pro forma data. Cable results are presented as if the transactions noted above were effective on January 1, 2005. The net impact of these transactions was to increase the number of basic cable subscribers by 2.6 million. These “As Adjusted” results are presented as if stock options had been expensed in 2005. Please refer to Tables 7-A and 7-B for a reconciliation of pro forma, “As Adjusted” financial data.</w:t>
      </w:r>
    </w:p>
    <w:p>
      <w:pPr>
        <w:spacing w:after="0" w:line="66" w:lineRule="exact"/>
        <w:rPr>
          <w:sz w:val="20"/>
          <w:szCs w:val="20"/>
          <w:color w:val="auto"/>
        </w:rPr>
      </w:pPr>
    </w:p>
    <w:p>
      <w:pPr>
        <w:ind w:left="220" w:hanging="212"/>
        <w:spacing w:after="0" w:line="268"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sum of basic and digital cable, high-speed Internet and net phone subscribers, excluding additional outlets. Subscriptions to DVR and/or HDTV services by existing Comcast Digital Cable customers do not result in additional RGUs.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4  Operating Cash Flow adjusted as if stock options had been expensed in 2005.</w:t>
      </w:r>
    </w:p>
    <w:p>
      <w:pPr>
        <w:spacing w:after="0" w:line="90"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 forma consolidated results are presented on a pro forma, as adjusted, basis as described in note 2.</w:t>
      </w:r>
    </w:p>
    <w:p>
      <w:pPr>
        <w:spacing w:after="0" w:line="90"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Comcast Corporation will host a conference call with the financial community today February 1, 2007 at 8:30 a.m. Eastern Time (ET). The conference call will be broadcast live on the Company’s Investor Relations website at www.cmcsa.com or www.cmcsk.com. A recording of the call will be available on the Investor Relations website starting at 12:30 p.m. ET on Thursday, February 1, 2007. To participate via telephone, please dial (800) 263-8495 with the conference ID number 5668483. A telephone replay will begin immediately following the call and will be available until Friday, February 2, 2007 at midnight Eastern Time (ET). To access the rebroadcast, please dial (800) 642-1687 and enter passcode number 5668483. To automatically receive Comcast financial news by email, please visit www.cmcsa.com or www.cmcsk.com and subscribe to email alerts.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15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w:t>
      </w:r>
    </w:p>
    <w:p>
      <w:pPr>
        <w:spacing w:after="0" w:line="10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provided in Table 7 of this release. All percentages are calculated based on actual amounts. Minor differences may exist due to rounding.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w:t>
      </w:r>
    </w:p>
    <w:p>
      <w:pPr>
        <w:spacing w:after="0" w:line="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Comcast Corporation (Nasdaq: CMCSA, CMCSK) (http://www.comcast.com) is the nation’s leading provider of cable, entertainment and communications products and services. With 24.2 million cable customers, 11.5 million high-speed Internet customers, and 2.5 million voice customers, Comcast is principally involved in the development, management and operation of broadband cable networks and in the delivery of programming content. Comcast’s programming networks and investments include E! Entertainment Television, Style Network, The Golf Channel, VERSUS (formerly OLN), G4, AZN Television, PBS KIDS Sprout, TV One and four regional Comcast SportsNets. Comcast also has a majority ownership in Comcast-Spectacor, whose major holdings include the Philadelphia Flyers NHL hockey team, the Philadelphia 76ers NBA basketball team and two large multipurpose arenas in Philadelphia.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5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Operations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3"/>
          </w:tcPr>
          <w:p>
            <w:pPr>
              <w:jc w:val="right"/>
              <w:ind w:right="353"/>
              <w:spacing w:after="0"/>
              <w:rPr>
                <w:sz w:val="20"/>
                <w:szCs w:val="20"/>
                <w:color w:val="auto"/>
              </w:rPr>
            </w:pPr>
            <w:r>
              <w:rPr>
                <w:rFonts w:ascii="Arial" w:cs="Arial" w:eastAsia="Arial" w:hAnsi="Arial"/>
                <w:sz w:val="14"/>
                <w:szCs w:val="14"/>
                <w:b w:val="1"/>
                <w:bCs w:val="1"/>
                <w:color w:val="auto"/>
                <w:w w:val="90"/>
              </w:rPr>
              <w:t>Three Months Ended</w:t>
            </w:r>
          </w:p>
        </w:tc>
        <w:tc>
          <w:tcPr>
            <w:tcW w:w="300" w:type="dxa"/>
            <w:vAlign w:val="bottom"/>
          </w:tcPr>
          <w:p>
            <w:pPr>
              <w:spacing w:after="0"/>
              <w:rPr>
                <w:sz w:val="14"/>
                <w:szCs w:val="14"/>
                <w:color w:val="auto"/>
              </w:rPr>
            </w:pPr>
          </w:p>
        </w:tc>
        <w:tc>
          <w:tcPr>
            <w:tcW w:w="1600" w:type="dxa"/>
            <w:vAlign w:val="bottom"/>
            <w:gridSpan w:val="3"/>
          </w:tcPr>
          <w:p>
            <w:pPr>
              <w:jc w:val="right"/>
              <w:ind w:right="153"/>
              <w:spacing w:after="0"/>
              <w:rPr>
                <w:sz w:val="20"/>
                <w:szCs w:val="20"/>
                <w:color w:val="auto"/>
              </w:rPr>
            </w:pPr>
            <w:r>
              <w:rPr>
                <w:rFonts w:ascii="Arial" w:cs="Arial" w:eastAsia="Arial" w:hAnsi="Arial"/>
                <w:sz w:val="14"/>
                <w:szCs w:val="14"/>
                <w:b w:val="1"/>
                <w:bCs w:val="1"/>
                <w:color w:val="auto"/>
                <w:w w:val="91"/>
              </w:rPr>
              <w:t>Twelve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3"/>
        </w:trPr>
        <w:tc>
          <w:tcPr>
            <w:tcW w:w="4980" w:type="dxa"/>
            <w:vAlign w:val="bottom"/>
            <w:gridSpan w:val="2"/>
          </w:tcPr>
          <w:p>
            <w:pPr>
              <w:spacing w:after="0" w:line="143" w:lineRule="exact"/>
              <w:rPr>
                <w:sz w:val="20"/>
                <w:szCs w:val="20"/>
                <w:color w:val="auto"/>
              </w:rPr>
            </w:pPr>
            <w:r>
              <w:rPr>
                <w:rFonts w:ascii="Arial" w:cs="Arial" w:eastAsia="Arial" w:hAnsi="Arial"/>
                <w:sz w:val="14"/>
                <w:szCs w:val="14"/>
                <w:color w:val="auto"/>
              </w:rPr>
              <w:t>(Dollars in millions, except per share data)</w:t>
            </w:r>
          </w:p>
        </w:tc>
        <w:tc>
          <w:tcPr>
            <w:tcW w:w="2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jc w:val="right"/>
              <w:ind w:right="314"/>
              <w:spacing w:after="0" w:line="143" w:lineRule="exact"/>
              <w:rPr>
                <w:sz w:val="20"/>
                <w:szCs w:val="20"/>
                <w:color w:val="auto"/>
              </w:rPr>
            </w:pPr>
            <w:r>
              <w:rPr>
                <w:rFonts w:ascii="Arial" w:cs="Arial" w:eastAsia="Arial" w:hAnsi="Arial"/>
                <w:sz w:val="14"/>
                <w:szCs w:val="14"/>
                <w:b w:val="1"/>
                <w:bCs w:val="1"/>
                <w:color w:val="auto"/>
                <w:w w:val="83"/>
              </w:rPr>
              <w:t>2006</w:t>
            </w:r>
          </w:p>
        </w:tc>
        <w:tc>
          <w:tcPr>
            <w:tcW w:w="320" w:type="dxa"/>
            <w:vAlign w:val="bottom"/>
          </w:tcPr>
          <w:p>
            <w:pPr>
              <w:spacing w:after="0"/>
              <w:rPr>
                <w:sz w:val="12"/>
                <w:szCs w:val="12"/>
                <w:color w:val="auto"/>
              </w:rPr>
            </w:pPr>
          </w:p>
        </w:tc>
        <w:tc>
          <w:tcPr>
            <w:tcW w:w="720" w:type="dxa"/>
            <w:vAlign w:val="bottom"/>
          </w:tcPr>
          <w:p>
            <w:pPr>
              <w:jc w:val="right"/>
              <w:ind w:right="333"/>
              <w:spacing w:after="0" w:line="143" w:lineRule="exact"/>
              <w:rPr>
                <w:sz w:val="20"/>
                <w:szCs w:val="20"/>
                <w:color w:val="auto"/>
              </w:rPr>
            </w:pPr>
            <w:r>
              <w:rPr>
                <w:rFonts w:ascii="Arial" w:cs="Arial" w:eastAsia="Arial" w:hAnsi="Arial"/>
                <w:sz w:val="14"/>
                <w:szCs w:val="14"/>
                <w:b w:val="1"/>
                <w:bCs w:val="1"/>
                <w:color w:val="auto"/>
                <w:w w:val="89"/>
              </w:rPr>
              <w:t>2005</w:t>
            </w:r>
          </w:p>
        </w:tc>
        <w:tc>
          <w:tcPr>
            <w:tcW w:w="300" w:type="dxa"/>
            <w:vAlign w:val="bottom"/>
          </w:tcPr>
          <w:p>
            <w:pPr>
              <w:spacing w:after="0"/>
              <w:rPr>
                <w:sz w:val="12"/>
                <w:szCs w:val="12"/>
                <w:color w:val="auto"/>
              </w:rPr>
            </w:pPr>
          </w:p>
        </w:tc>
        <w:tc>
          <w:tcPr>
            <w:tcW w:w="740" w:type="dxa"/>
            <w:vAlign w:val="bottom"/>
          </w:tcPr>
          <w:p>
            <w:pPr>
              <w:jc w:val="right"/>
              <w:ind w:right="334"/>
              <w:spacing w:after="0" w:line="143" w:lineRule="exact"/>
              <w:rPr>
                <w:sz w:val="20"/>
                <w:szCs w:val="20"/>
                <w:color w:val="auto"/>
              </w:rPr>
            </w:pPr>
            <w:r>
              <w:rPr>
                <w:rFonts w:ascii="Arial" w:cs="Arial" w:eastAsia="Arial" w:hAnsi="Arial"/>
                <w:sz w:val="14"/>
                <w:szCs w:val="14"/>
                <w:b w:val="1"/>
                <w:bCs w:val="1"/>
                <w:color w:val="auto"/>
                <w:w w:val="96"/>
              </w:rPr>
              <w:t>2006</w:t>
            </w:r>
          </w:p>
        </w:tc>
        <w:tc>
          <w:tcPr>
            <w:tcW w:w="300" w:type="dxa"/>
            <w:vAlign w:val="bottom"/>
          </w:tcPr>
          <w:p>
            <w:pPr>
              <w:spacing w:after="0"/>
              <w:rPr>
                <w:sz w:val="12"/>
                <w:szCs w:val="12"/>
                <w:color w:val="auto"/>
              </w:rPr>
            </w:pPr>
          </w:p>
        </w:tc>
        <w:tc>
          <w:tcPr>
            <w:tcW w:w="560" w:type="dxa"/>
            <w:vAlign w:val="bottom"/>
          </w:tcPr>
          <w:p>
            <w:pPr>
              <w:jc w:val="right"/>
              <w:ind w:right="133"/>
              <w:spacing w:after="0" w:line="143"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Revenues</w:t>
            </w:r>
          </w:p>
        </w:tc>
        <w:tc>
          <w:tcPr>
            <w:tcW w:w="282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w w:val="88"/>
              </w:rPr>
              <w:t>7,031</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93"/>
              </w:rPr>
              <w:t>5,416</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w w:val="83"/>
              </w:rPr>
              <w:t>24,966</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21,075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Operating expenses</w:t>
            </w:r>
          </w:p>
        </w:tc>
        <w:tc>
          <w:tcPr>
            <w:tcW w:w="2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jc w:val="right"/>
              <w:ind w:right="174"/>
              <w:spacing w:after="0"/>
              <w:rPr>
                <w:sz w:val="20"/>
                <w:szCs w:val="20"/>
                <w:color w:val="auto"/>
              </w:rPr>
            </w:pPr>
            <w:r>
              <w:rPr>
                <w:rFonts w:ascii="Arial" w:cs="Arial" w:eastAsia="Arial" w:hAnsi="Arial"/>
                <w:sz w:val="18"/>
                <w:szCs w:val="18"/>
                <w:b w:val="1"/>
                <w:bCs w:val="1"/>
                <w:color w:val="auto"/>
                <w:w w:val="88"/>
              </w:rPr>
              <w:t>2,451</w:t>
            </w:r>
          </w:p>
        </w:tc>
        <w:tc>
          <w:tcPr>
            <w:tcW w:w="320" w:type="dxa"/>
            <w:vAlign w:val="bottom"/>
          </w:tcPr>
          <w:p>
            <w:pPr>
              <w:spacing w:after="0"/>
              <w:rPr>
                <w:sz w:val="18"/>
                <w:szCs w:val="18"/>
                <w:color w:val="auto"/>
              </w:rPr>
            </w:pPr>
          </w:p>
        </w:tc>
        <w:tc>
          <w:tcPr>
            <w:tcW w:w="720" w:type="dxa"/>
            <w:vAlign w:val="bottom"/>
          </w:tcPr>
          <w:p>
            <w:pPr>
              <w:jc w:val="right"/>
              <w:ind w:right="193"/>
              <w:spacing w:after="0"/>
              <w:rPr>
                <w:sz w:val="20"/>
                <w:szCs w:val="20"/>
                <w:color w:val="auto"/>
              </w:rPr>
            </w:pPr>
            <w:r>
              <w:rPr>
                <w:rFonts w:ascii="Arial" w:cs="Arial" w:eastAsia="Arial" w:hAnsi="Arial"/>
                <w:sz w:val="18"/>
                <w:szCs w:val="18"/>
                <w:color w:val="auto"/>
                <w:w w:val="93"/>
              </w:rPr>
              <w:t>1,943</w:t>
            </w:r>
          </w:p>
        </w:tc>
        <w:tc>
          <w:tcPr>
            <w:tcW w:w="300" w:type="dxa"/>
            <w:vAlign w:val="bottom"/>
          </w:tcPr>
          <w:p>
            <w:pPr>
              <w:spacing w:after="0"/>
              <w:rPr>
                <w:sz w:val="18"/>
                <w:szCs w:val="18"/>
                <w:color w:val="auto"/>
              </w:rPr>
            </w:pPr>
          </w:p>
        </w:tc>
        <w:tc>
          <w:tcPr>
            <w:tcW w:w="740" w:type="dxa"/>
            <w:vAlign w:val="bottom"/>
          </w:tcPr>
          <w:p>
            <w:pPr>
              <w:jc w:val="right"/>
              <w:ind w:right="174"/>
              <w:spacing w:after="0"/>
              <w:rPr>
                <w:sz w:val="20"/>
                <w:szCs w:val="20"/>
                <w:color w:val="auto"/>
              </w:rPr>
            </w:pPr>
            <w:r>
              <w:rPr>
                <w:rFonts w:ascii="Arial" w:cs="Arial" w:eastAsia="Arial" w:hAnsi="Arial"/>
                <w:sz w:val="18"/>
                <w:szCs w:val="18"/>
                <w:b w:val="1"/>
                <w:bCs w:val="1"/>
                <w:color w:val="auto"/>
              </w:rPr>
              <w:t>9,010</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230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w w:val="88"/>
              </w:rPr>
              <w:t>1,986</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93"/>
              </w:rPr>
              <w:t>1,433</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6,514</w:t>
            </w:r>
          </w:p>
        </w:tc>
        <w:tc>
          <w:tcPr>
            <w:tcW w:w="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5,490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w w:val="88"/>
              </w:rPr>
              <w:t>4,437</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93"/>
              </w:rPr>
              <w:t>3,376</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w w:val="83"/>
              </w:rPr>
              <w:t>15,524</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23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b w:val="1"/>
                <w:bCs w:val="1"/>
                <w:color w:val="auto"/>
                <w:w w:val="88"/>
              </w:rPr>
              <w:t>2,594</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93"/>
              </w:rPr>
              <w:t>2,040</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9,442</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8,072</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Depreciation expense</w:t>
            </w:r>
          </w:p>
        </w:tc>
        <w:tc>
          <w:tcPr>
            <w:tcW w:w="2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jc w:val="right"/>
              <w:ind w:right="174"/>
              <w:spacing w:after="0"/>
              <w:rPr>
                <w:sz w:val="20"/>
                <w:szCs w:val="20"/>
                <w:color w:val="auto"/>
              </w:rPr>
            </w:pPr>
            <w:r>
              <w:rPr>
                <w:rFonts w:ascii="Arial" w:cs="Arial" w:eastAsia="Arial" w:hAnsi="Arial"/>
                <w:sz w:val="18"/>
                <w:szCs w:val="18"/>
                <w:b w:val="1"/>
                <w:bCs w:val="1"/>
                <w:color w:val="auto"/>
                <w:w w:val="88"/>
              </w:rPr>
              <w:t>1,080</w:t>
            </w:r>
          </w:p>
        </w:tc>
        <w:tc>
          <w:tcPr>
            <w:tcW w:w="320" w:type="dxa"/>
            <w:vAlign w:val="bottom"/>
          </w:tcPr>
          <w:p>
            <w:pPr>
              <w:spacing w:after="0"/>
              <w:rPr>
                <w:sz w:val="24"/>
                <w:szCs w:val="24"/>
                <w:color w:val="auto"/>
              </w:rPr>
            </w:pPr>
          </w:p>
        </w:tc>
        <w:tc>
          <w:tcPr>
            <w:tcW w:w="720" w:type="dxa"/>
            <w:vAlign w:val="bottom"/>
          </w:tcPr>
          <w:p>
            <w:pPr>
              <w:jc w:val="right"/>
              <w:ind w:right="193"/>
              <w:spacing w:after="0"/>
              <w:rPr>
                <w:sz w:val="20"/>
                <w:szCs w:val="20"/>
                <w:color w:val="auto"/>
              </w:rPr>
            </w:pPr>
            <w:r>
              <w:rPr>
                <w:rFonts w:ascii="Arial" w:cs="Arial" w:eastAsia="Arial" w:hAnsi="Arial"/>
                <w:sz w:val="18"/>
                <w:szCs w:val="18"/>
                <w:color w:val="auto"/>
              </w:rPr>
              <w:t>888</w:t>
            </w:r>
          </w:p>
        </w:tc>
        <w:tc>
          <w:tcPr>
            <w:tcW w:w="300" w:type="dxa"/>
            <w:vAlign w:val="bottom"/>
          </w:tcPr>
          <w:p>
            <w:pPr>
              <w:spacing w:after="0"/>
              <w:rPr>
                <w:sz w:val="24"/>
                <w:szCs w:val="24"/>
                <w:color w:val="auto"/>
              </w:rPr>
            </w:pPr>
          </w:p>
        </w:tc>
        <w:tc>
          <w:tcPr>
            <w:tcW w:w="740" w:type="dxa"/>
            <w:vAlign w:val="bottom"/>
          </w:tcPr>
          <w:p>
            <w:pPr>
              <w:jc w:val="right"/>
              <w:ind w:right="174"/>
              <w:spacing w:after="0"/>
              <w:rPr>
                <w:sz w:val="20"/>
                <w:szCs w:val="20"/>
                <w:color w:val="auto"/>
              </w:rPr>
            </w:pPr>
            <w:r>
              <w:rPr>
                <w:rFonts w:ascii="Arial" w:cs="Arial" w:eastAsia="Arial" w:hAnsi="Arial"/>
                <w:sz w:val="18"/>
                <w:szCs w:val="18"/>
                <w:b w:val="1"/>
                <w:bCs w:val="1"/>
                <w:color w:val="auto"/>
              </w:rPr>
              <w:t>3,828</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Amortization expense</w:t>
            </w:r>
          </w:p>
        </w:tc>
        <w:tc>
          <w:tcPr>
            <w:tcW w:w="230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296</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303</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995</w:t>
            </w:r>
          </w:p>
        </w:tc>
        <w:tc>
          <w:tcPr>
            <w:tcW w:w="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w w:val="88"/>
              </w:rPr>
              <w:t>1,376</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93"/>
              </w:rPr>
              <w:t>1,191</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4,823</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23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b w:val="1"/>
                <w:bCs w:val="1"/>
                <w:color w:val="auto"/>
                <w:w w:val="88"/>
              </w:rPr>
              <w:t>1,218</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849</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4,619</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322"/>
        </w:trPr>
        <w:tc>
          <w:tcPr>
            <w:tcW w:w="49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23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(562)</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(462)</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4"/>
              <w:spacing w:after="0"/>
              <w:rPr>
                <w:sz w:val="20"/>
                <w:szCs w:val="20"/>
                <w:color w:val="auto"/>
              </w:rPr>
            </w:pPr>
            <w:r>
              <w:rPr>
                <w:rFonts w:ascii="Arial" w:cs="Arial" w:eastAsia="Arial" w:hAnsi="Arial"/>
                <w:sz w:val="18"/>
                <w:szCs w:val="18"/>
                <w:b w:val="1"/>
                <w:bCs w:val="1"/>
                <w:color w:val="auto"/>
                <w:w w:val="91"/>
              </w:rPr>
              <w:t>(2,064)</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4"/>
              </w:rPr>
              <w:t>(1,795)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2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jc w:val="right"/>
              <w:ind w:right="174"/>
              <w:spacing w:after="0"/>
              <w:rPr>
                <w:sz w:val="20"/>
                <w:szCs w:val="20"/>
                <w:color w:val="auto"/>
              </w:rPr>
            </w:pPr>
            <w:r>
              <w:rPr>
                <w:rFonts w:ascii="Arial" w:cs="Arial" w:eastAsia="Arial" w:hAnsi="Arial"/>
                <w:sz w:val="18"/>
                <w:szCs w:val="18"/>
                <w:b w:val="1"/>
                <w:bCs w:val="1"/>
                <w:color w:val="auto"/>
              </w:rPr>
              <w:t>55</w:t>
            </w:r>
          </w:p>
        </w:tc>
        <w:tc>
          <w:tcPr>
            <w:tcW w:w="320" w:type="dxa"/>
            <w:vAlign w:val="bottom"/>
          </w:tcPr>
          <w:p>
            <w:pPr>
              <w:spacing w:after="0"/>
              <w:rPr>
                <w:sz w:val="18"/>
                <w:szCs w:val="18"/>
                <w:color w:val="auto"/>
              </w:rPr>
            </w:pPr>
          </w:p>
        </w:tc>
        <w:tc>
          <w:tcPr>
            <w:tcW w:w="720" w:type="dxa"/>
            <w:vAlign w:val="bottom"/>
          </w:tcPr>
          <w:p>
            <w:pPr>
              <w:jc w:val="right"/>
              <w:ind w:right="193"/>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740" w:type="dxa"/>
            <w:vAlign w:val="bottom"/>
          </w:tcPr>
          <w:p>
            <w:pPr>
              <w:jc w:val="right"/>
              <w:ind w:right="174"/>
              <w:spacing w:after="0"/>
              <w:rPr>
                <w:sz w:val="20"/>
                <w:szCs w:val="20"/>
                <w:color w:val="auto"/>
              </w:rPr>
            </w:pPr>
            <w:r>
              <w:rPr>
                <w:rFonts w:ascii="Arial" w:cs="Arial" w:eastAsia="Arial" w:hAnsi="Arial"/>
                <w:sz w:val="18"/>
                <w:szCs w:val="18"/>
                <w:b w:val="1"/>
                <w:bCs w:val="1"/>
                <w:color w:val="auto"/>
              </w:rPr>
              <w:t>990</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(losses) income of affiliates</w:t>
            </w:r>
          </w:p>
        </w:tc>
        <w:tc>
          <w:tcPr>
            <w:tcW w:w="23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(38)</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(23)</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(124)</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23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(21)</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173</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E5E5E5"/>
            </w:tcBorders>
            <w:shd w:val="clear" w:color="auto" w:fill="E5E5E5"/>
          </w:tcPr>
          <w:p>
            <w:pPr>
              <w:spacing w:after="0"/>
              <w:rPr>
                <w:sz w:val="18"/>
                <w:szCs w:val="18"/>
                <w:color w:val="auto"/>
              </w:rPr>
            </w:pPr>
          </w:p>
        </w:tc>
        <w:tc>
          <w:tcPr>
            <w:tcW w:w="230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(566)</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(427)</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b w:val="1"/>
                <w:bCs w:val="1"/>
                <w:color w:val="auto"/>
                <w:w w:val="91"/>
              </w:rPr>
              <w:t>(1,025)</w:t>
            </w:r>
          </w:p>
        </w:tc>
        <w:tc>
          <w:tcPr>
            <w:tcW w:w="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(1,801)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Income before income taxes and minority interest</w:t>
            </w:r>
          </w:p>
        </w:tc>
        <w:tc>
          <w:tcPr>
            <w:tcW w:w="2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jc w:val="right"/>
              <w:ind w:right="174"/>
              <w:spacing w:after="0"/>
              <w:rPr>
                <w:sz w:val="20"/>
                <w:szCs w:val="20"/>
                <w:color w:val="auto"/>
              </w:rPr>
            </w:pPr>
            <w:r>
              <w:rPr>
                <w:rFonts w:ascii="Arial" w:cs="Arial" w:eastAsia="Arial" w:hAnsi="Arial"/>
                <w:sz w:val="18"/>
                <w:szCs w:val="18"/>
                <w:b w:val="1"/>
                <w:bCs w:val="1"/>
                <w:color w:val="auto"/>
              </w:rPr>
              <w:t>652</w:t>
            </w:r>
          </w:p>
        </w:tc>
        <w:tc>
          <w:tcPr>
            <w:tcW w:w="320" w:type="dxa"/>
            <w:vAlign w:val="bottom"/>
          </w:tcPr>
          <w:p>
            <w:pPr>
              <w:spacing w:after="0"/>
              <w:rPr>
                <w:sz w:val="19"/>
                <w:szCs w:val="19"/>
                <w:color w:val="auto"/>
              </w:rPr>
            </w:pPr>
          </w:p>
        </w:tc>
        <w:tc>
          <w:tcPr>
            <w:tcW w:w="720" w:type="dxa"/>
            <w:vAlign w:val="bottom"/>
          </w:tcPr>
          <w:p>
            <w:pPr>
              <w:jc w:val="right"/>
              <w:ind w:right="193"/>
              <w:spacing w:after="0"/>
              <w:rPr>
                <w:sz w:val="20"/>
                <w:szCs w:val="20"/>
                <w:color w:val="auto"/>
              </w:rPr>
            </w:pPr>
            <w:r>
              <w:rPr>
                <w:rFonts w:ascii="Arial" w:cs="Arial" w:eastAsia="Arial" w:hAnsi="Arial"/>
                <w:sz w:val="18"/>
                <w:szCs w:val="18"/>
                <w:color w:val="auto"/>
              </w:rPr>
              <w:t>422</w:t>
            </w:r>
          </w:p>
        </w:tc>
        <w:tc>
          <w:tcPr>
            <w:tcW w:w="300" w:type="dxa"/>
            <w:vAlign w:val="bottom"/>
          </w:tcPr>
          <w:p>
            <w:pPr>
              <w:spacing w:after="0"/>
              <w:rPr>
                <w:sz w:val="19"/>
                <w:szCs w:val="19"/>
                <w:color w:val="auto"/>
              </w:rPr>
            </w:pPr>
          </w:p>
        </w:tc>
        <w:tc>
          <w:tcPr>
            <w:tcW w:w="740" w:type="dxa"/>
            <w:vAlign w:val="bottom"/>
          </w:tcPr>
          <w:p>
            <w:pPr>
              <w:jc w:val="right"/>
              <w:ind w:right="174"/>
              <w:spacing w:after="0"/>
              <w:rPr>
                <w:sz w:val="20"/>
                <w:szCs w:val="20"/>
                <w:color w:val="auto"/>
              </w:rPr>
            </w:pPr>
            <w:r>
              <w:rPr>
                <w:rFonts w:ascii="Arial" w:cs="Arial" w:eastAsia="Arial" w:hAnsi="Arial"/>
                <w:sz w:val="18"/>
                <w:szCs w:val="18"/>
                <w:b w:val="1"/>
                <w:bCs w:val="1"/>
                <w:color w:val="auto"/>
              </w:rPr>
              <w:t>3,594</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230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(221)</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(303)</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b w:val="1"/>
                <w:bCs w:val="1"/>
                <w:color w:val="auto"/>
                <w:w w:val="91"/>
              </w:rPr>
              <w:t>(1,347)</w:t>
            </w:r>
          </w:p>
        </w:tc>
        <w:tc>
          <w:tcPr>
            <w:tcW w:w="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316"/>
        </w:trPr>
        <w:tc>
          <w:tcPr>
            <w:tcW w:w="4980" w:type="dxa"/>
            <w:vAlign w:val="bottom"/>
            <w:gridSpan w:val="2"/>
          </w:tcPr>
          <w:p>
            <w:pPr>
              <w:spacing w:after="0"/>
              <w:rPr>
                <w:sz w:val="20"/>
                <w:szCs w:val="20"/>
                <w:color w:val="auto"/>
              </w:rPr>
            </w:pPr>
            <w:r>
              <w:rPr>
                <w:rFonts w:ascii="Arial" w:cs="Arial" w:eastAsia="Arial" w:hAnsi="Arial"/>
                <w:sz w:val="18"/>
                <w:szCs w:val="18"/>
                <w:color w:val="auto"/>
              </w:rPr>
              <w:t>Income before minority interest</w:t>
            </w:r>
          </w:p>
        </w:tc>
        <w:tc>
          <w:tcPr>
            <w:tcW w:w="2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jc w:val="right"/>
              <w:ind w:right="174"/>
              <w:spacing w:after="0"/>
              <w:rPr>
                <w:sz w:val="20"/>
                <w:szCs w:val="20"/>
                <w:color w:val="auto"/>
              </w:rPr>
            </w:pPr>
            <w:r>
              <w:rPr>
                <w:rFonts w:ascii="Arial" w:cs="Arial" w:eastAsia="Arial" w:hAnsi="Arial"/>
                <w:sz w:val="18"/>
                <w:szCs w:val="18"/>
                <w:b w:val="1"/>
                <w:bCs w:val="1"/>
                <w:color w:val="auto"/>
              </w:rPr>
              <w:t>431</w:t>
            </w:r>
          </w:p>
        </w:tc>
        <w:tc>
          <w:tcPr>
            <w:tcW w:w="320" w:type="dxa"/>
            <w:vAlign w:val="bottom"/>
          </w:tcPr>
          <w:p>
            <w:pPr>
              <w:spacing w:after="0"/>
              <w:rPr>
                <w:sz w:val="24"/>
                <w:szCs w:val="24"/>
                <w:color w:val="auto"/>
              </w:rPr>
            </w:pPr>
          </w:p>
        </w:tc>
        <w:tc>
          <w:tcPr>
            <w:tcW w:w="720" w:type="dxa"/>
            <w:vAlign w:val="bottom"/>
          </w:tcPr>
          <w:p>
            <w:pPr>
              <w:jc w:val="right"/>
              <w:ind w:right="193"/>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24"/>
                <w:szCs w:val="24"/>
                <w:color w:val="auto"/>
              </w:rPr>
            </w:pPr>
          </w:p>
        </w:tc>
        <w:tc>
          <w:tcPr>
            <w:tcW w:w="740" w:type="dxa"/>
            <w:vAlign w:val="bottom"/>
          </w:tcPr>
          <w:p>
            <w:pPr>
              <w:jc w:val="right"/>
              <w:ind w:right="174"/>
              <w:spacing w:after="0"/>
              <w:rPr>
                <w:sz w:val="20"/>
                <w:szCs w:val="20"/>
                <w:color w:val="auto"/>
              </w:rPr>
            </w:pPr>
            <w:r>
              <w:rPr>
                <w:rFonts w:ascii="Arial" w:cs="Arial" w:eastAsia="Arial" w:hAnsi="Arial"/>
                <w:sz w:val="18"/>
                <w:szCs w:val="18"/>
                <w:b w:val="1"/>
                <w:bCs w:val="1"/>
                <w:color w:val="auto"/>
              </w:rPr>
              <w:t>2,247</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230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(2)</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(12)</w:t>
            </w:r>
          </w:p>
        </w:tc>
        <w:tc>
          <w:tcPr>
            <w:tcW w:w="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16"/>
        </w:trPr>
        <w:tc>
          <w:tcPr>
            <w:tcW w:w="4980" w:type="dxa"/>
            <w:vAlign w:val="bottom"/>
            <w:gridSpan w:val="2"/>
          </w:tcPr>
          <w:p>
            <w:pPr>
              <w:spacing w:after="0"/>
              <w:rPr>
                <w:sz w:val="20"/>
                <w:szCs w:val="20"/>
                <w:color w:val="auto"/>
              </w:rPr>
            </w:pPr>
            <w:r>
              <w:rPr>
                <w:rFonts w:ascii="Arial" w:cs="Arial" w:eastAsia="Arial" w:hAnsi="Arial"/>
                <w:sz w:val="18"/>
                <w:szCs w:val="18"/>
                <w:color w:val="auto"/>
              </w:rPr>
              <w:t>Net income from continuing operations</w:t>
            </w:r>
          </w:p>
        </w:tc>
        <w:tc>
          <w:tcPr>
            <w:tcW w:w="2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jc w:val="right"/>
              <w:ind w:right="174"/>
              <w:spacing w:after="0"/>
              <w:rPr>
                <w:sz w:val="20"/>
                <w:szCs w:val="20"/>
                <w:color w:val="auto"/>
              </w:rPr>
            </w:pPr>
            <w:r>
              <w:rPr>
                <w:rFonts w:ascii="Arial" w:cs="Arial" w:eastAsia="Arial" w:hAnsi="Arial"/>
                <w:sz w:val="18"/>
                <w:szCs w:val="18"/>
                <w:b w:val="1"/>
                <w:bCs w:val="1"/>
                <w:color w:val="auto"/>
              </w:rPr>
              <w:t>429</w:t>
            </w:r>
          </w:p>
        </w:tc>
        <w:tc>
          <w:tcPr>
            <w:tcW w:w="320" w:type="dxa"/>
            <w:vAlign w:val="bottom"/>
          </w:tcPr>
          <w:p>
            <w:pPr>
              <w:spacing w:after="0"/>
              <w:rPr>
                <w:sz w:val="24"/>
                <w:szCs w:val="24"/>
                <w:color w:val="auto"/>
              </w:rPr>
            </w:pPr>
          </w:p>
        </w:tc>
        <w:tc>
          <w:tcPr>
            <w:tcW w:w="720" w:type="dxa"/>
            <w:vAlign w:val="bottom"/>
          </w:tcPr>
          <w:p>
            <w:pPr>
              <w:jc w:val="right"/>
              <w:ind w:right="193"/>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24"/>
                <w:szCs w:val="24"/>
                <w:color w:val="auto"/>
              </w:rPr>
            </w:pPr>
          </w:p>
        </w:tc>
        <w:tc>
          <w:tcPr>
            <w:tcW w:w="740" w:type="dxa"/>
            <w:vAlign w:val="bottom"/>
          </w:tcPr>
          <w:p>
            <w:pPr>
              <w:jc w:val="right"/>
              <w:ind w:right="174"/>
              <w:spacing w:after="0"/>
              <w:rPr>
                <w:sz w:val="20"/>
                <w:szCs w:val="20"/>
                <w:color w:val="auto"/>
              </w:rPr>
            </w:pPr>
            <w:r>
              <w:rPr>
                <w:rFonts w:ascii="Arial" w:cs="Arial" w:eastAsia="Arial" w:hAnsi="Arial"/>
                <w:sz w:val="18"/>
                <w:szCs w:val="18"/>
                <w:b w:val="1"/>
                <w:bCs w:val="1"/>
                <w:color w:val="auto"/>
              </w:rPr>
              <w:t>2,235</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E5E5E5"/>
          </w:tcPr>
          <w:p>
            <w:pPr>
              <w:spacing w:after="0"/>
              <w:rPr>
                <w:sz w:val="20"/>
                <w:szCs w:val="20"/>
                <w:color w:val="auto"/>
              </w:rPr>
            </w:pPr>
            <w:r>
              <w:rPr>
                <w:rFonts w:ascii="Arial" w:cs="Arial" w:eastAsia="Arial" w:hAnsi="Arial"/>
                <w:sz w:val="18"/>
                <w:szCs w:val="18"/>
                <w:color w:val="auto"/>
              </w:rPr>
              <w:t>Income from discontinued operations, net of tax</w:t>
            </w:r>
          </w:p>
        </w:tc>
        <w:tc>
          <w:tcPr>
            <w:tcW w:w="23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54"/>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26</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103</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23"/>
        </w:trPr>
        <w:tc>
          <w:tcPr>
            <w:tcW w:w="4980" w:type="dxa"/>
            <w:vAlign w:val="bottom"/>
            <w:gridSpan w:val="2"/>
          </w:tcPr>
          <w:p>
            <w:pPr>
              <w:spacing w:after="0"/>
              <w:rPr>
                <w:sz w:val="20"/>
                <w:szCs w:val="20"/>
                <w:color w:val="auto"/>
              </w:rPr>
            </w:pPr>
            <w:r>
              <w:rPr>
                <w:rFonts w:ascii="Arial" w:cs="Arial" w:eastAsia="Arial" w:hAnsi="Arial"/>
                <w:sz w:val="18"/>
                <w:szCs w:val="18"/>
                <w:color w:val="auto"/>
              </w:rPr>
              <w:t>Gain (loss) on discontinued operations, net of tax</w:t>
            </w:r>
          </w:p>
        </w:tc>
        <w:tc>
          <w:tcPr>
            <w:tcW w:w="23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(39)</w:t>
            </w: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195</w:t>
            </w: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6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282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390</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133</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2,533</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Borders>
              <w:top w:val="single" w:sz="8" w:color="E5E5E5"/>
            </w:tcBorders>
          </w:tcPr>
          <w:p>
            <w:pPr>
              <w:spacing w:after="0"/>
              <w:rPr>
                <w:sz w:val="20"/>
                <w:szCs w:val="20"/>
                <w:color w:val="auto"/>
              </w:rPr>
            </w:pPr>
            <w:r>
              <w:rPr>
                <w:rFonts w:ascii="Arial" w:cs="Arial" w:eastAsia="Arial" w:hAnsi="Arial"/>
                <w:sz w:val="18"/>
                <w:szCs w:val="18"/>
                <w:color w:val="auto"/>
              </w:rPr>
              <w:t>Basic earnings per common share</w:t>
            </w:r>
          </w:p>
        </w:tc>
        <w:tc>
          <w:tcPr>
            <w:tcW w:w="2300" w:type="dxa"/>
            <w:vAlign w:val="bottom"/>
            <w:tcBorders>
              <w:top w:val="single" w:sz="8" w:color="E5E5E5"/>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Income from continuing operations per common share</w:t>
            </w:r>
          </w:p>
        </w:tc>
        <w:tc>
          <w:tcPr>
            <w:tcW w:w="282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0.21</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0.05</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1.06</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Income from discontinued operations per common share</w:t>
            </w:r>
          </w:p>
        </w:tc>
        <w:tc>
          <w:tcPr>
            <w:tcW w:w="2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jc w:val="right"/>
              <w:ind w:right="254"/>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720" w:type="dxa"/>
            <w:vAlign w:val="bottom"/>
          </w:tcPr>
          <w:p>
            <w:pPr>
              <w:jc w:val="right"/>
              <w:ind w:right="193"/>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18"/>
                <w:szCs w:val="18"/>
                <w:color w:val="auto"/>
              </w:rPr>
            </w:pPr>
          </w:p>
        </w:tc>
        <w:tc>
          <w:tcPr>
            <w:tcW w:w="740" w:type="dxa"/>
            <w:vAlign w:val="bottom"/>
          </w:tcPr>
          <w:p>
            <w:pPr>
              <w:jc w:val="right"/>
              <w:ind w:right="174"/>
              <w:spacing w:after="0"/>
              <w:rPr>
                <w:sz w:val="20"/>
                <w:szCs w:val="20"/>
                <w:color w:val="auto"/>
              </w:rPr>
            </w:pPr>
            <w:r>
              <w:rPr>
                <w:rFonts w:ascii="Arial" w:cs="Arial" w:eastAsia="Arial" w:hAnsi="Arial"/>
                <w:sz w:val="18"/>
                <w:szCs w:val="18"/>
                <w:b w:val="1"/>
                <w:bCs w:val="1"/>
                <w:color w:val="auto"/>
              </w:rPr>
              <w:t>0.05</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Gain (loss) on discontinued operations per common share</w:t>
            </w:r>
          </w:p>
        </w:tc>
        <w:tc>
          <w:tcPr>
            <w:tcW w:w="230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b w:val="1"/>
                <w:bCs w:val="1"/>
                <w:color w:val="auto"/>
                <w:w w:val="97"/>
              </w:rPr>
              <w:t>(0.02)</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0.09</w:t>
            </w:r>
          </w:p>
        </w:tc>
        <w:tc>
          <w:tcPr>
            <w:tcW w:w="3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Net income per common share</w:t>
            </w:r>
          </w:p>
        </w:tc>
        <w:tc>
          <w:tcPr>
            <w:tcW w:w="28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74"/>
              <w:spacing w:after="0"/>
              <w:rPr>
                <w:sz w:val="20"/>
                <w:szCs w:val="20"/>
                <w:color w:val="auto"/>
              </w:rPr>
            </w:pPr>
            <w:r>
              <w:rPr>
                <w:rFonts w:ascii="Arial" w:cs="Arial" w:eastAsia="Arial" w:hAnsi="Arial"/>
                <w:sz w:val="18"/>
                <w:szCs w:val="18"/>
                <w:b w:val="1"/>
                <w:bCs w:val="1"/>
                <w:color w:val="auto"/>
              </w:rPr>
              <w:t>0.19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3"/>
              <w:spacing w:after="0"/>
              <w:rPr>
                <w:sz w:val="20"/>
                <w:szCs w:val="20"/>
                <w:color w:val="auto"/>
              </w:rPr>
            </w:pPr>
            <w:r>
              <w:rPr>
                <w:rFonts w:ascii="Arial" w:cs="Arial" w:eastAsia="Arial" w:hAnsi="Arial"/>
                <w:sz w:val="18"/>
                <w:szCs w:val="18"/>
                <w:color w:val="auto"/>
              </w:rPr>
              <w:t>0.06</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74"/>
              <w:spacing w:after="0"/>
              <w:rPr>
                <w:sz w:val="20"/>
                <w:szCs w:val="20"/>
                <w:color w:val="auto"/>
              </w:rPr>
            </w:pPr>
            <w:r>
              <w:rPr>
                <w:rFonts w:ascii="Arial" w:cs="Arial" w:eastAsia="Arial" w:hAnsi="Arial"/>
                <w:sz w:val="18"/>
                <w:szCs w:val="18"/>
                <w:b w:val="1"/>
                <w:bCs w:val="1"/>
                <w:color w:val="auto"/>
              </w:rPr>
              <w:t>1.20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E5E5E5"/>
          </w:tcPr>
          <w:p>
            <w:pPr>
              <w:spacing w:after="0"/>
              <w:rPr>
                <w:sz w:val="20"/>
                <w:szCs w:val="20"/>
                <w:color w:val="auto"/>
              </w:rPr>
            </w:pPr>
            <w:r>
              <w:rPr>
                <w:rFonts w:ascii="Arial" w:cs="Arial" w:eastAsia="Arial" w:hAnsi="Arial"/>
                <w:sz w:val="18"/>
                <w:szCs w:val="18"/>
                <w:color w:val="auto"/>
              </w:rPr>
              <w:t>Diluted earnings per common share</w:t>
            </w:r>
          </w:p>
        </w:tc>
        <w:tc>
          <w:tcPr>
            <w:tcW w:w="2300" w:type="dxa"/>
            <w:vAlign w:val="bottom"/>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Income from continuing operations per common share</w:t>
            </w:r>
          </w:p>
        </w:tc>
        <w:tc>
          <w:tcPr>
            <w:tcW w:w="28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74"/>
              <w:spacing w:after="0"/>
              <w:rPr>
                <w:sz w:val="20"/>
                <w:szCs w:val="20"/>
                <w:color w:val="auto"/>
              </w:rPr>
            </w:pPr>
            <w:r>
              <w:rPr>
                <w:rFonts w:ascii="Arial" w:cs="Arial" w:eastAsia="Arial" w:hAnsi="Arial"/>
                <w:sz w:val="18"/>
                <w:szCs w:val="18"/>
                <w:b w:val="1"/>
                <w:bCs w:val="1"/>
                <w:color w:val="auto"/>
              </w:rPr>
              <w:t>0.20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3"/>
              <w:spacing w:after="0"/>
              <w:rPr>
                <w:sz w:val="20"/>
                <w:szCs w:val="20"/>
                <w:color w:val="auto"/>
              </w:rPr>
            </w:pPr>
            <w:r>
              <w:rPr>
                <w:rFonts w:ascii="Arial" w:cs="Arial" w:eastAsia="Arial" w:hAnsi="Arial"/>
                <w:sz w:val="18"/>
                <w:szCs w:val="18"/>
                <w:color w:val="auto"/>
              </w:rPr>
              <w:t>0.05</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74"/>
              <w:spacing w:after="0"/>
              <w:rPr>
                <w:sz w:val="20"/>
                <w:szCs w:val="20"/>
                <w:color w:val="auto"/>
              </w:rPr>
            </w:pPr>
            <w:r>
              <w:rPr>
                <w:rFonts w:ascii="Arial" w:cs="Arial" w:eastAsia="Arial" w:hAnsi="Arial"/>
                <w:sz w:val="18"/>
                <w:szCs w:val="18"/>
                <w:b w:val="1"/>
                <w:bCs w:val="1"/>
                <w:color w:val="auto"/>
              </w:rPr>
              <w:t>1.05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Income from discontinued operations per common share</w:t>
            </w:r>
          </w:p>
        </w:tc>
        <w:tc>
          <w:tcPr>
            <w:tcW w:w="23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54"/>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0.01</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0.05</w:t>
            </w:r>
          </w:p>
        </w:tc>
        <w:tc>
          <w:tcPr>
            <w:tcW w:w="3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Gain (loss) on discontinued operations per common share</w:t>
            </w:r>
          </w:p>
        </w:tc>
        <w:tc>
          <w:tcPr>
            <w:tcW w:w="23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w w:val="97"/>
              </w:rPr>
              <w:t>(0.02)</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0.09</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Net income per common share</w:t>
            </w:r>
          </w:p>
        </w:tc>
        <w:tc>
          <w:tcPr>
            <w:tcW w:w="2300" w:type="dxa"/>
            <w:vAlign w:val="bottom"/>
            <w:tcBorders>
              <w:bottom w:val="single" w:sz="8" w:color="E5E5E5"/>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0.18</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0.06</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1.19</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331"/>
        </w:trPr>
        <w:tc>
          <w:tcPr>
            <w:tcW w:w="4980" w:type="dxa"/>
            <w:vAlign w:val="bottom"/>
            <w:gridSpan w:val="2"/>
          </w:tcPr>
          <w:p>
            <w:pPr>
              <w:spacing w:after="0"/>
              <w:rPr>
                <w:sz w:val="20"/>
                <w:szCs w:val="20"/>
                <w:color w:val="auto"/>
              </w:rPr>
            </w:pPr>
            <w:r>
              <w:rPr>
                <w:rFonts w:ascii="Arial" w:cs="Arial" w:eastAsia="Arial" w:hAnsi="Arial"/>
                <w:sz w:val="18"/>
                <w:szCs w:val="18"/>
                <w:color w:val="auto"/>
              </w:rPr>
              <w:t>Basic weighted-average number of common shares</w:t>
            </w:r>
          </w:p>
        </w:tc>
        <w:tc>
          <w:tcPr>
            <w:tcW w:w="23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w w:val="88"/>
              </w:rPr>
              <w:t>2,084</w:t>
            </w: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93"/>
              </w:rPr>
              <w:t>2,169</w:t>
            </w: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2,107</w:t>
            </w: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Diluted weighted-average number of common shares</w:t>
            </w:r>
          </w:p>
        </w:tc>
        <w:tc>
          <w:tcPr>
            <w:tcW w:w="2300" w:type="dxa"/>
            <w:vAlign w:val="bottom"/>
            <w:tcBorders>
              <w:bottom w:val="single" w:sz="8" w:color="E5E5E5"/>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w w:val="88"/>
              </w:rPr>
              <w:t>2,109</w:t>
            </w:r>
          </w:p>
        </w:tc>
        <w:tc>
          <w:tcPr>
            <w:tcW w:w="32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93"/>
              </w:rPr>
              <w:t>2,179</w:t>
            </w:r>
          </w:p>
        </w:tc>
        <w:tc>
          <w:tcPr>
            <w:tcW w:w="300" w:type="dxa"/>
            <w:vAlign w:val="bottom"/>
            <w:tcBorders>
              <w:bottom w:val="single" w:sz="8" w:color="auto"/>
            </w:tcBorders>
            <w:shd w:val="clear" w:color="auto" w:fill="E5E5E5"/>
          </w:tcPr>
          <w:p>
            <w:pPr>
              <w:spacing w:after="0"/>
              <w:rPr>
                <w:sz w:val="19"/>
                <w:szCs w:val="19"/>
                <w:color w:val="auto"/>
              </w:rPr>
            </w:pPr>
          </w:p>
        </w:tc>
        <w:tc>
          <w:tcPr>
            <w:tcW w:w="74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2,120</w:t>
            </w:r>
          </w:p>
        </w:tc>
        <w:tc>
          <w:tcPr>
            <w:tcW w:w="30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300" w:type="dxa"/>
            <w:vAlign w:val="bottom"/>
          </w:tcPr>
          <w:p>
            <w:pPr>
              <w:jc w:val="right"/>
              <w:ind w:right="1432"/>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7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40" w:type="dxa"/>
            <w:vAlign w:val="bottom"/>
            <w:gridSpan w:val="2"/>
          </w:tcPr>
          <w:p>
            <w:pPr>
              <w:ind w:left="54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3"/>
          </w:tcPr>
          <w:p>
            <w:pPr>
              <w:ind w:left="3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5"/>
        </w:trPr>
        <w:tc>
          <w:tcPr>
            <w:tcW w:w="534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3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jc w:val="right"/>
              <w:ind w:right="493"/>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ASSETS</w:t>
            </w:r>
          </w:p>
        </w:tc>
        <w:tc>
          <w:tcPr>
            <w:tcW w:w="33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94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3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4020" w:type="dxa"/>
            <w:vAlign w:val="bottom"/>
            <w:gridSpan w:val="2"/>
            <w:shd w:val="clear" w:color="auto" w:fill="E5E5E5"/>
          </w:tcPr>
          <w:p>
            <w:pPr>
              <w:ind w:left="38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1,239</w:t>
            </w:r>
          </w:p>
        </w:tc>
        <w:tc>
          <w:tcPr>
            <w:tcW w:w="48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3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b w:val="1"/>
                <w:bCs w:val="1"/>
                <w:color w:val="auto"/>
              </w:rPr>
              <w:t>1,735</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receivable, net</w:t>
            </w:r>
          </w:p>
        </w:tc>
        <w:tc>
          <w:tcPr>
            <w:tcW w:w="33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1,450</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3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b w:val="1"/>
                <w:bCs w:val="1"/>
                <w:color w:val="auto"/>
              </w:rPr>
              <w:t>778</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Current assets of discontinued operations</w:t>
            </w:r>
          </w:p>
        </w:tc>
        <w:tc>
          <w:tcPr>
            <w:tcW w:w="3320" w:type="dxa"/>
            <w:vAlign w:val="bottom"/>
            <w:tcBorders>
              <w:bottom w:val="single" w:sz="8" w:color="E5E5E5"/>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313"/>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33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5,202</w:t>
            </w: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33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8,847</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12,675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3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b w:val="1"/>
                <w:bCs w:val="1"/>
                <w:color w:val="auto"/>
              </w:rPr>
              <w:t>21,248</w:t>
            </w:r>
          </w:p>
        </w:tc>
        <w:tc>
          <w:tcPr>
            <w:tcW w:w="4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17,704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Franchise rights</w:t>
            </w:r>
          </w:p>
        </w:tc>
        <w:tc>
          <w:tcPr>
            <w:tcW w:w="33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55,927</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48,804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Goodwill</w:t>
            </w:r>
          </w:p>
        </w:tc>
        <w:tc>
          <w:tcPr>
            <w:tcW w:w="3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b w:val="1"/>
                <w:bCs w:val="1"/>
                <w:color w:val="auto"/>
              </w:rPr>
              <w:t>13,768</w:t>
            </w:r>
          </w:p>
        </w:tc>
        <w:tc>
          <w:tcPr>
            <w:tcW w:w="4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13,498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Other intangible assets, net</w:t>
            </w:r>
          </w:p>
        </w:tc>
        <w:tc>
          <w:tcPr>
            <w:tcW w:w="33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4,881</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Other noncurrent assets, net</w:t>
            </w:r>
          </w:p>
        </w:tc>
        <w:tc>
          <w:tcPr>
            <w:tcW w:w="3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b w:val="1"/>
                <w:bCs w:val="1"/>
                <w:color w:val="auto"/>
              </w:rPr>
              <w:t>532</w:t>
            </w:r>
          </w:p>
        </w:tc>
        <w:tc>
          <w:tcPr>
            <w:tcW w:w="4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Noncurrent assets of discontinued operations, net</w:t>
            </w:r>
          </w:p>
        </w:tc>
        <w:tc>
          <w:tcPr>
            <w:tcW w:w="3320" w:type="dxa"/>
            <w:vAlign w:val="bottom"/>
            <w:tcBorders>
              <w:bottom w:val="single" w:sz="8" w:color="E5E5E5"/>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313"/>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20" w:type="dxa"/>
            <w:vAlign w:val="bottom"/>
            <w:gridSpan w:val="2"/>
          </w:tcPr>
          <w:p>
            <w:pPr>
              <w:ind w:left="38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233"/>
              <w:spacing w:after="0"/>
              <w:rPr>
                <w:sz w:val="20"/>
                <w:szCs w:val="20"/>
                <w:color w:val="auto"/>
              </w:rPr>
            </w:pPr>
            <w:r>
              <w:rPr>
                <w:rFonts w:ascii="Arial" w:cs="Arial" w:eastAsia="Arial" w:hAnsi="Arial"/>
                <w:sz w:val="18"/>
                <w:szCs w:val="18"/>
                <w:b w:val="1"/>
                <w:bCs w:val="1"/>
                <w:color w:val="auto"/>
                <w:w w:val="92"/>
              </w:rPr>
              <w:t>110,405</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E5E5E5"/>
          </w:tcPr>
          <w:p>
            <w:pPr>
              <w:spacing w:after="0"/>
              <w:rPr>
                <w:sz w:val="20"/>
                <w:szCs w:val="20"/>
                <w:color w:val="auto"/>
              </w:rPr>
            </w:pPr>
            <w:r>
              <w:rPr>
                <w:rFonts w:ascii="Arial" w:cs="Arial" w:eastAsia="Arial" w:hAnsi="Arial"/>
                <w:sz w:val="18"/>
                <w:szCs w:val="18"/>
                <w:color w:val="auto"/>
              </w:rPr>
              <w:t>LIABILITIES AND STOCKHOLDERS’ EQUITY</w:t>
            </w:r>
          </w:p>
        </w:tc>
        <w:tc>
          <w:tcPr>
            <w:tcW w:w="33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3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2"/>
              </w:rPr>
              <w:t>Accounts payable and accrued expenses related to trade creditors</w:t>
            </w:r>
          </w:p>
        </w:tc>
        <w:tc>
          <w:tcPr>
            <w:tcW w:w="4020" w:type="dxa"/>
            <w:vAlign w:val="bottom"/>
            <w:gridSpan w:val="2"/>
            <w:shd w:val="clear" w:color="auto" w:fill="E5E5E5"/>
          </w:tcPr>
          <w:p>
            <w:pPr>
              <w:ind w:left="38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2,862</w:t>
            </w:r>
          </w:p>
        </w:tc>
        <w:tc>
          <w:tcPr>
            <w:tcW w:w="48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b w:val="1"/>
                <w:bCs w:val="1"/>
                <w:color w:val="auto"/>
              </w:rPr>
              <w:t>3,032</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Deferred income taxes</w:t>
            </w:r>
          </w:p>
        </w:tc>
        <w:tc>
          <w:tcPr>
            <w:tcW w:w="33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563</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3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b w:val="1"/>
                <w:bCs w:val="1"/>
                <w:color w:val="auto"/>
              </w:rPr>
              <w:t>983</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Current liabilities of discontinued operations</w:t>
            </w:r>
          </w:p>
        </w:tc>
        <w:tc>
          <w:tcPr>
            <w:tcW w:w="3320" w:type="dxa"/>
            <w:vAlign w:val="bottom"/>
            <w:tcBorders>
              <w:bottom w:val="single" w:sz="8" w:color="E5E5E5"/>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313"/>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33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7,440</w:t>
            </w: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Long-term debt, less current portion</w:t>
            </w:r>
          </w:p>
        </w:tc>
        <w:tc>
          <w:tcPr>
            <w:tcW w:w="33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27,992</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21,682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3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b w:val="1"/>
                <w:bCs w:val="1"/>
                <w:color w:val="auto"/>
              </w:rPr>
              <w:t>27,089</w:t>
            </w:r>
          </w:p>
        </w:tc>
        <w:tc>
          <w:tcPr>
            <w:tcW w:w="4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27,370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Other noncurrent liabilities</w:t>
            </w:r>
          </w:p>
        </w:tc>
        <w:tc>
          <w:tcPr>
            <w:tcW w:w="33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6,498</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3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b w:val="1"/>
                <w:bCs w:val="1"/>
                <w:color w:val="auto"/>
              </w:rPr>
              <w:t>251</w:t>
            </w:r>
          </w:p>
        </w:tc>
        <w:tc>
          <w:tcPr>
            <w:tcW w:w="4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Noncurrent liabilities of discontinued operations</w:t>
            </w:r>
          </w:p>
        </w:tc>
        <w:tc>
          <w:tcPr>
            <w:tcW w:w="33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313"/>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Stockholders’ equity</w:t>
            </w:r>
          </w:p>
        </w:tc>
        <w:tc>
          <w:tcPr>
            <w:tcW w:w="33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41,135</w:t>
            </w:r>
          </w:p>
        </w:tc>
        <w:tc>
          <w:tcPr>
            <w:tcW w:w="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E5E5E5"/>
          </w:tcPr>
          <w:p>
            <w:pPr>
              <w:spacing w:after="0"/>
              <w:rPr>
                <w:sz w:val="18"/>
                <w:szCs w:val="18"/>
                <w:color w:val="auto"/>
              </w:rPr>
            </w:pPr>
          </w:p>
        </w:tc>
        <w:tc>
          <w:tcPr>
            <w:tcW w:w="4020" w:type="dxa"/>
            <w:vAlign w:val="bottom"/>
            <w:gridSpan w:val="2"/>
            <w:shd w:val="clear" w:color="auto" w:fill="E5E5E5"/>
          </w:tcPr>
          <w:p>
            <w:pPr>
              <w:ind w:left="38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b w:val="1"/>
                <w:bCs w:val="1"/>
                <w:color w:val="auto"/>
                <w:w w:val="92"/>
              </w:rPr>
              <w:t>110,405</w:t>
            </w:r>
          </w:p>
        </w:tc>
        <w:tc>
          <w:tcPr>
            <w:tcW w:w="48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5"/>
              </w:rPr>
              <w:t>103,400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320" w:type="dxa"/>
            <w:vAlign w:val="bottom"/>
            <w:tcBorders>
              <w:top w:val="single" w:sz="8" w:color="E5E5E5"/>
            </w:tcBorders>
          </w:tcPr>
          <w:p>
            <w:pPr>
              <w:spacing w:after="0"/>
              <w:rPr>
                <w:sz w:val="24"/>
                <w:szCs w:val="24"/>
                <w:color w:val="auto"/>
              </w:rPr>
            </w:pPr>
          </w:p>
        </w:tc>
        <w:tc>
          <w:tcPr>
            <w:tcW w:w="3320" w:type="dxa"/>
            <w:vAlign w:val="bottom"/>
            <w:tcBorders>
              <w:top w:val="single" w:sz="8" w:color="E5E5E5"/>
            </w:tcBorders>
          </w:tcPr>
          <w:p>
            <w:pPr>
              <w:jc w:val="right"/>
              <w:ind w:right="2812"/>
              <w:spacing w:after="0"/>
              <w:rPr>
                <w:sz w:val="20"/>
                <w:szCs w:val="20"/>
                <w:color w:val="auto"/>
              </w:rPr>
            </w:pPr>
            <w:r>
              <w:rPr>
                <w:rFonts w:ascii="Arial" w:cs="Arial" w:eastAsia="Arial" w:hAnsi="Arial"/>
                <w:sz w:val="18"/>
                <w:szCs w:val="18"/>
                <w:color w:val="auto"/>
              </w:rPr>
              <w:t>8</w:t>
            </w:r>
          </w:p>
        </w:tc>
        <w:tc>
          <w:tcPr>
            <w:tcW w:w="7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7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3</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Cash Flows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140" w:type="dxa"/>
            <w:vAlign w:val="bottom"/>
            <w:gridSpan w:val="3"/>
          </w:tcPr>
          <w:p>
            <w:pPr>
              <w:jc w:val="right"/>
              <w:ind w:right="153"/>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60" w:type="dxa"/>
            <w:vAlign w:val="bottom"/>
          </w:tcPr>
          <w:p>
            <w:pPr>
              <w:spacing w:after="0"/>
              <w:rPr>
                <w:sz w:val="15"/>
                <w:szCs w:val="15"/>
                <w:color w:val="auto"/>
              </w:rPr>
            </w:pPr>
          </w:p>
        </w:tc>
        <w:tc>
          <w:tcPr>
            <w:tcW w:w="2140" w:type="dxa"/>
            <w:vAlign w:val="bottom"/>
            <w:tcBorders>
              <w:bottom w:val="single" w:sz="8" w:color="auto"/>
            </w:tcBorders>
            <w:gridSpan w:val="3"/>
          </w:tcPr>
          <w:p>
            <w:pPr>
              <w:jc w:val="right"/>
              <w:ind w:right="39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3"/>
        </w:trPr>
        <w:tc>
          <w:tcPr>
            <w:tcW w:w="9280" w:type="dxa"/>
            <w:vAlign w:val="bottom"/>
            <w:gridSpan w:val="2"/>
          </w:tcPr>
          <w:p>
            <w:pPr>
              <w:spacing w:after="0" w:line="143" w:lineRule="exact"/>
              <w:rPr>
                <w:sz w:val="20"/>
                <w:szCs w:val="20"/>
                <w:color w:val="auto"/>
              </w:rPr>
            </w:pPr>
            <w:r>
              <w:rPr>
                <w:rFonts w:ascii="Arial" w:cs="Arial" w:eastAsia="Arial" w:hAnsi="Arial"/>
                <w:sz w:val="14"/>
                <w:szCs w:val="14"/>
                <w:color w:val="auto"/>
              </w:rPr>
              <w:t>(Dollars in millions)</w:t>
            </w:r>
          </w:p>
        </w:tc>
        <w:tc>
          <w:tcPr>
            <w:tcW w:w="1300" w:type="dxa"/>
            <w:vAlign w:val="bottom"/>
          </w:tcPr>
          <w:p>
            <w:pPr>
              <w:jc w:val="right"/>
              <w:ind w:right="355"/>
              <w:spacing w:after="0" w:line="143" w:lineRule="exact"/>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2"/>
                <w:szCs w:val="12"/>
                <w:color w:val="auto"/>
              </w:rPr>
            </w:pPr>
          </w:p>
        </w:tc>
        <w:tc>
          <w:tcPr>
            <w:tcW w:w="520" w:type="dxa"/>
            <w:vAlign w:val="bottom"/>
          </w:tcPr>
          <w:p>
            <w:pPr>
              <w:jc w:val="right"/>
              <w:ind w:right="113"/>
              <w:spacing w:after="0" w:line="143" w:lineRule="exact"/>
              <w:rPr>
                <w:sz w:val="20"/>
                <w:szCs w:val="20"/>
                <w:color w:val="auto"/>
              </w:rPr>
            </w:pPr>
            <w:r>
              <w:rPr>
                <w:rFonts w:ascii="Arial" w:cs="Arial" w:eastAsia="Arial" w:hAnsi="Arial"/>
                <w:sz w:val="14"/>
                <w:szCs w:val="14"/>
                <w:b w:val="1"/>
                <w:bCs w:val="1"/>
                <w:color w:val="auto"/>
                <w:w w:val="96"/>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ACTIVITIES</w:t>
            </w:r>
          </w:p>
        </w:tc>
        <w:tc>
          <w:tcPr>
            <w:tcW w:w="130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30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$ 6,618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4,835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E5E5E5"/>
          </w:tcPr>
          <w:p>
            <w:pPr>
              <w:spacing w:after="0"/>
              <w:rPr>
                <w:sz w:val="20"/>
                <w:szCs w:val="20"/>
                <w:color w:val="auto"/>
              </w:rPr>
            </w:pPr>
            <w:r>
              <w:rPr>
                <w:rFonts w:ascii="Arial" w:cs="Arial" w:eastAsia="Arial" w:hAnsi="Arial"/>
                <w:sz w:val="18"/>
                <w:szCs w:val="18"/>
                <w:color w:val="auto"/>
              </w:rPr>
              <w:t>FINANCING ACTIVITIES</w:t>
            </w:r>
          </w:p>
        </w:tc>
        <w:tc>
          <w:tcPr>
            <w:tcW w:w="13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1300" w:type="dxa"/>
            <w:vAlign w:val="bottom"/>
          </w:tcPr>
          <w:p>
            <w:pPr>
              <w:jc w:val="right"/>
              <w:ind w:right="215"/>
              <w:spacing w:after="0"/>
              <w:rPr>
                <w:sz w:val="20"/>
                <w:szCs w:val="20"/>
                <w:color w:val="auto"/>
              </w:rPr>
            </w:pPr>
            <w:r>
              <w:rPr>
                <w:rFonts w:ascii="Arial" w:cs="Arial" w:eastAsia="Arial" w:hAnsi="Arial"/>
                <w:sz w:val="18"/>
                <w:szCs w:val="18"/>
                <w:b w:val="1"/>
                <w:bCs w:val="1"/>
                <w:color w:val="auto"/>
              </w:rPr>
              <w:t>7,497</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Retirements and repayments of debt</w:t>
            </w:r>
          </w:p>
        </w:tc>
        <w:tc>
          <w:tcPr>
            <w:tcW w:w="1300" w:type="dxa"/>
            <w:vAlign w:val="bottom"/>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(2,039)</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(2,706)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1300" w:type="dxa"/>
            <w:vAlign w:val="bottom"/>
          </w:tcPr>
          <w:p>
            <w:pPr>
              <w:jc w:val="right"/>
              <w:ind w:right="155"/>
              <w:spacing w:after="0"/>
              <w:rPr>
                <w:sz w:val="20"/>
                <w:szCs w:val="20"/>
                <w:color w:val="auto"/>
              </w:rPr>
            </w:pPr>
            <w:r>
              <w:rPr>
                <w:rFonts w:ascii="Arial" w:cs="Arial" w:eastAsia="Arial" w:hAnsi="Arial"/>
                <w:sz w:val="18"/>
                <w:szCs w:val="18"/>
                <w:b w:val="1"/>
                <w:bCs w:val="1"/>
                <w:color w:val="auto"/>
              </w:rPr>
              <w:t>(2,347)</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1300" w:type="dxa"/>
            <w:vAlign w:val="bottom"/>
            <w:shd w:val="clear" w:color="auto" w:fill="E5E5E5"/>
          </w:tcPr>
          <w:p>
            <w:pPr>
              <w:jc w:val="right"/>
              <w:ind w:right="215"/>
              <w:spacing w:after="0"/>
              <w:rPr>
                <w:sz w:val="20"/>
                <w:szCs w:val="20"/>
                <w:color w:val="auto"/>
              </w:rPr>
            </w:pPr>
            <w:r>
              <w:rPr>
                <w:rFonts w:ascii="Arial" w:cs="Arial" w:eastAsia="Arial" w:hAnsi="Arial"/>
                <w:sz w:val="18"/>
                <w:szCs w:val="18"/>
                <w:b w:val="1"/>
                <w:bCs w:val="1"/>
                <w:color w:val="auto"/>
              </w:rPr>
              <w:t>410</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Other</w:t>
            </w:r>
          </w:p>
        </w:tc>
        <w:tc>
          <w:tcPr>
            <w:tcW w:w="130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25</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130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b w:val="1"/>
                <w:bCs w:val="1"/>
                <w:color w:val="auto"/>
              </w:rPr>
              <w:t>3,546</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317"/>
        </w:trPr>
        <w:tc>
          <w:tcPr>
            <w:tcW w:w="92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Capital expenditures</w:t>
            </w:r>
          </w:p>
        </w:tc>
        <w:tc>
          <w:tcPr>
            <w:tcW w:w="1300" w:type="dxa"/>
            <w:vAlign w:val="bottom"/>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(4,395)</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(3,621)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Cash paid for intangible assets</w:t>
            </w:r>
          </w:p>
        </w:tc>
        <w:tc>
          <w:tcPr>
            <w:tcW w:w="1300" w:type="dxa"/>
            <w:vAlign w:val="bottom"/>
          </w:tcPr>
          <w:p>
            <w:pPr>
              <w:jc w:val="right"/>
              <w:ind w:right="155"/>
              <w:spacing w:after="0"/>
              <w:rPr>
                <w:sz w:val="20"/>
                <w:szCs w:val="20"/>
                <w:color w:val="auto"/>
              </w:rPr>
            </w:pPr>
            <w:r>
              <w:rPr>
                <w:rFonts w:ascii="Arial" w:cs="Arial" w:eastAsia="Arial" w:hAnsi="Arial"/>
                <w:sz w:val="18"/>
                <w:szCs w:val="18"/>
                <w:b w:val="1"/>
                <w:bCs w:val="1"/>
                <w:color w:val="auto"/>
              </w:rPr>
              <w:t>(306)</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Acquisitions, net of cash acquired</w:t>
            </w:r>
          </w:p>
        </w:tc>
        <w:tc>
          <w:tcPr>
            <w:tcW w:w="1300" w:type="dxa"/>
            <w:vAlign w:val="bottom"/>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(5,110)</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Proceeds from sales and restructuring of investments</w:t>
            </w:r>
          </w:p>
        </w:tc>
        <w:tc>
          <w:tcPr>
            <w:tcW w:w="1300" w:type="dxa"/>
            <w:vAlign w:val="bottom"/>
          </w:tcPr>
          <w:p>
            <w:pPr>
              <w:jc w:val="right"/>
              <w:ind w:right="215"/>
              <w:spacing w:after="0"/>
              <w:rPr>
                <w:sz w:val="20"/>
                <w:szCs w:val="20"/>
                <w:color w:val="auto"/>
              </w:rPr>
            </w:pPr>
            <w:r>
              <w:rPr>
                <w:rFonts w:ascii="Arial" w:cs="Arial" w:eastAsia="Arial" w:hAnsi="Arial"/>
                <w:sz w:val="18"/>
                <w:szCs w:val="18"/>
                <w:b w:val="1"/>
                <w:bCs w:val="1"/>
                <w:color w:val="auto"/>
              </w:rPr>
              <w:t>2,720</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Purchases of investments</w:t>
            </w:r>
          </w:p>
        </w:tc>
        <w:tc>
          <w:tcPr>
            <w:tcW w:w="1300" w:type="dxa"/>
            <w:vAlign w:val="bottom"/>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(2,812)</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Proceeds from sales (purchases) of short-term investments, net</w:t>
            </w:r>
          </w:p>
        </w:tc>
        <w:tc>
          <w:tcPr>
            <w:tcW w:w="1300" w:type="dxa"/>
            <w:vAlign w:val="bottom"/>
          </w:tcPr>
          <w:p>
            <w:pPr>
              <w:jc w:val="right"/>
              <w:ind w:right="215"/>
              <w:spacing w:after="0"/>
              <w:rPr>
                <w:sz w:val="20"/>
                <w:szCs w:val="20"/>
                <w:color w:val="auto"/>
              </w:rPr>
            </w:pPr>
            <w:r>
              <w:rPr>
                <w:rFonts w:ascii="Arial" w:cs="Arial" w:eastAsia="Arial" w:hAnsi="Arial"/>
                <w:sz w:val="18"/>
                <w:szCs w:val="18"/>
                <w:b w:val="1"/>
                <w:bCs w:val="1"/>
                <w:color w:val="auto"/>
              </w:rPr>
              <w:t>33</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Other investing activities</w:t>
            </w:r>
          </w:p>
        </w:tc>
        <w:tc>
          <w:tcPr>
            <w:tcW w:w="130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(2)</w:t>
            </w:r>
          </w:p>
        </w:tc>
        <w:tc>
          <w:tcPr>
            <w:tcW w:w="3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3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(9,872)</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(3,748)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E5E5E5"/>
          </w:tcPr>
          <w:p>
            <w:pPr>
              <w:spacing w:after="0"/>
              <w:rPr>
                <w:sz w:val="20"/>
                <w:szCs w:val="20"/>
                <w:color w:val="auto"/>
              </w:rPr>
            </w:pPr>
            <w:r>
              <w:rPr>
                <w:rFonts w:ascii="Arial" w:cs="Arial" w:eastAsia="Arial" w:hAnsi="Arial"/>
                <w:sz w:val="18"/>
                <w:szCs w:val="18"/>
                <w:color w:val="auto"/>
              </w:rPr>
              <w:t>INCREASE IN CASH AND CASH EQUIVALENTS</w:t>
            </w:r>
          </w:p>
        </w:tc>
        <w:tc>
          <w:tcPr>
            <w:tcW w:w="1300" w:type="dxa"/>
            <w:vAlign w:val="bottom"/>
            <w:shd w:val="clear" w:color="auto" w:fill="E5E5E5"/>
          </w:tcPr>
          <w:p>
            <w:pPr>
              <w:jc w:val="right"/>
              <w:ind w:right="215"/>
              <w:spacing w:after="0"/>
              <w:rPr>
                <w:sz w:val="20"/>
                <w:szCs w:val="20"/>
                <w:color w:val="auto"/>
              </w:rPr>
            </w:pPr>
            <w:r>
              <w:rPr>
                <w:rFonts w:ascii="Arial" w:cs="Arial" w:eastAsia="Arial" w:hAnsi="Arial"/>
                <w:sz w:val="18"/>
                <w:szCs w:val="18"/>
                <w:b w:val="1"/>
                <w:bCs w:val="1"/>
                <w:color w:val="auto"/>
              </w:rPr>
              <w:t>292</w:t>
            </w:r>
          </w:p>
        </w:tc>
        <w:tc>
          <w:tcPr>
            <w:tcW w:w="32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323"/>
        </w:trPr>
        <w:tc>
          <w:tcPr>
            <w:tcW w:w="928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130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947</w:t>
            </w: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CASH AND CASH EQUIVALENTS, end of period</w:t>
            </w:r>
          </w:p>
        </w:tc>
        <w:tc>
          <w:tcPr>
            <w:tcW w:w="130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b w:val="1"/>
                <w:bCs w:val="1"/>
                <w:color w:val="auto"/>
              </w:rPr>
              <w:t>$ 1,239</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Calculation of Free Cash Flow</w:t>
      </w:r>
    </w:p>
    <w:p>
      <w:pPr>
        <w:jc w:val="center"/>
        <w:spacing w:after="0"/>
        <w:rPr>
          <w:sz w:val="20"/>
          <w:szCs w:val="20"/>
          <w:color w:val="auto"/>
        </w:rPr>
      </w:pPr>
      <w:r>
        <w:rPr>
          <w:rFonts w:ascii="Arial" w:cs="Arial" w:eastAsia="Arial" w:hAnsi="Arial"/>
          <w:sz w:val="22"/>
          <w:szCs w:val="22"/>
          <w:b w:val="1"/>
          <w:bCs w:val="1"/>
          <w:color w:val="auto"/>
        </w:rPr>
        <w:t>(Unaudited) (1)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14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rPr>
              <w:t>Twelve Months Ended</w:t>
            </w:r>
          </w:p>
        </w:tc>
      </w:tr>
      <w:tr>
        <w:trPr>
          <w:trHeight w:val="174"/>
        </w:trPr>
        <w:tc>
          <w:tcPr>
            <w:tcW w:w="20" w:type="dxa"/>
            <w:vAlign w:val="bottom"/>
          </w:tcPr>
          <w:p>
            <w:pPr>
              <w:spacing w:after="0"/>
              <w:rPr>
                <w:sz w:val="15"/>
                <w:szCs w:val="15"/>
                <w:color w:val="auto"/>
              </w:rPr>
            </w:pPr>
          </w:p>
        </w:tc>
        <w:tc>
          <w:tcPr>
            <w:tcW w:w="9260" w:type="dxa"/>
            <w:vAlign w:val="bottom"/>
          </w:tcPr>
          <w:p>
            <w:pPr>
              <w:spacing w:after="0"/>
              <w:rPr>
                <w:sz w:val="15"/>
                <w:szCs w:val="15"/>
                <w:color w:val="auto"/>
              </w:rPr>
            </w:pPr>
          </w:p>
        </w:tc>
        <w:tc>
          <w:tcPr>
            <w:tcW w:w="2140" w:type="dxa"/>
            <w:vAlign w:val="bottom"/>
            <w:tcBorders>
              <w:bottom w:val="single" w:sz="8" w:color="auto"/>
            </w:tcBorders>
            <w:gridSpan w:val="2"/>
          </w:tcPr>
          <w:p>
            <w:pPr>
              <w:jc w:val="right"/>
              <w:ind w:right="396"/>
              <w:spacing w:after="0"/>
              <w:rPr>
                <w:sz w:val="20"/>
                <w:szCs w:val="20"/>
                <w:color w:val="auto"/>
              </w:rPr>
            </w:pPr>
            <w:r>
              <w:rPr>
                <w:rFonts w:ascii="Arial" w:cs="Arial" w:eastAsia="Arial" w:hAnsi="Arial"/>
                <w:sz w:val="14"/>
                <w:szCs w:val="14"/>
                <w:b w:val="1"/>
                <w:bCs w:val="1"/>
                <w:color w:val="auto"/>
              </w:rPr>
              <w:t>December 31,</w:t>
            </w:r>
          </w:p>
        </w:tc>
      </w:tr>
      <w:tr>
        <w:trPr>
          <w:trHeight w:val="143"/>
        </w:trPr>
        <w:tc>
          <w:tcPr>
            <w:tcW w:w="9280" w:type="dxa"/>
            <w:vAlign w:val="bottom"/>
            <w:gridSpan w:val="2"/>
          </w:tcPr>
          <w:p>
            <w:pPr>
              <w:spacing w:after="0" w:line="143" w:lineRule="exact"/>
              <w:rPr>
                <w:sz w:val="20"/>
                <w:szCs w:val="20"/>
                <w:color w:val="auto"/>
              </w:rPr>
            </w:pPr>
            <w:r>
              <w:rPr>
                <w:rFonts w:ascii="Arial" w:cs="Arial" w:eastAsia="Arial" w:hAnsi="Arial"/>
                <w:sz w:val="14"/>
                <w:szCs w:val="14"/>
                <w:color w:val="auto"/>
              </w:rPr>
              <w:t>(Dollars in millions)</w:t>
            </w:r>
          </w:p>
        </w:tc>
        <w:tc>
          <w:tcPr>
            <w:tcW w:w="1300" w:type="dxa"/>
            <w:vAlign w:val="bottom"/>
          </w:tcPr>
          <w:p>
            <w:pPr>
              <w:jc w:val="right"/>
              <w:ind w:right="360"/>
              <w:spacing w:after="0" w:line="143" w:lineRule="exact"/>
              <w:rPr>
                <w:sz w:val="20"/>
                <w:szCs w:val="20"/>
                <w:color w:val="auto"/>
              </w:rPr>
            </w:pPr>
            <w:r>
              <w:rPr>
                <w:rFonts w:ascii="Arial" w:cs="Arial" w:eastAsia="Arial" w:hAnsi="Arial"/>
                <w:sz w:val="14"/>
                <w:szCs w:val="14"/>
                <w:b w:val="1"/>
                <w:bCs w:val="1"/>
                <w:color w:val="auto"/>
              </w:rPr>
              <w:t>2006</w:t>
            </w:r>
          </w:p>
        </w:tc>
        <w:tc>
          <w:tcPr>
            <w:tcW w:w="840" w:type="dxa"/>
            <w:vAlign w:val="bottom"/>
          </w:tcPr>
          <w:p>
            <w:pPr>
              <w:jc w:val="right"/>
              <w:ind w:right="116"/>
              <w:spacing w:after="0" w:line="143" w:lineRule="exact"/>
              <w:rPr>
                <w:sz w:val="20"/>
                <w:szCs w:val="20"/>
                <w:color w:val="auto"/>
              </w:rPr>
            </w:pPr>
            <w:r>
              <w:rPr>
                <w:rFonts w:ascii="Arial" w:cs="Arial" w:eastAsia="Arial" w:hAnsi="Arial"/>
                <w:sz w:val="14"/>
                <w:szCs w:val="14"/>
                <w:b w:val="1"/>
                <w:bCs w:val="1"/>
                <w:color w:val="auto"/>
              </w:rPr>
              <w:t>2005</w:t>
            </w:r>
          </w:p>
        </w:tc>
      </w:tr>
      <w:tr>
        <w:trPr>
          <w:trHeight w:val="210"/>
        </w:trPr>
        <w:tc>
          <w:tcPr>
            <w:tcW w:w="20" w:type="dxa"/>
            <w:vAlign w:val="bottom"/>
          </w:tcPr>
          <w:p>
            <w:pPr>
              <w:spacing w:after="0"/>
              <w:rPr>
                <w:sz w:val="18"/>
                <w:szCs w:val="18"/>
                <w:color w:val="auto"/>
              </w:rPr>
            </w:pPr>
          </w:p>
        </w:tc>
        <w:tc>
          <w:tcPr>
            <w:tcW w:w="9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Operating Activities</w:t>
            </w:r>
          </w:p>
        </w:tc>
        <w:tc>
          <w:tcPr>
            <w:tcW w:w="1300" w:type="dxa"/>
            <w:vAlign w:val="bottom"/>
            <w:tcBorders>
              <w:top w:val="single" w:sz="8" w:color="auto"/>
            </w:tcBorders>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$ 6,618</w:t>
            </w:r>
          </w:p>
        </w:tc>
        <w:tc>
          <w:tcPr>
            <w:tcW w:w="8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$ 4,835</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Capital Expenditures</w:t>
            </w:r>
          </w:p>
        </w:tc>
        <w:tc>
          <w:tcPr>
            <w:tcW w:w="1300" w:type="dxa"/>
            <w:vAlign w:val="bottom"/>
          </w:tcPr>
          <w:p>
            <w:pPr>
              <w:jc w:val="right"/>
              <w:ind w:right="160"/>
              <w:spacing w:after="0"/>
              <w:rPr>
                <w:sz w:val="20"/>
                <w:szCs w:val="20"/>
                <w:color w:val="auto"/>
              </w:rPr>
            </w:pPr>
            <w:r>
              <w:rPr>
                <w:rFonts w:ascii="Arial" w:cs="Arial" w:eastAsia="Arial" w:hAnsi="Arial"/>
                <w:sz w:val="18"/>
                <w:szCs w:val="18"/>
                <w:b w:val="1"/>
                <w:bCs w:val="1"/>
                <w:color w:val="auto"/>
              </w:rPr>
              <w:t>(4,395)</w:t>
            </w:r>
          </w:p>
        </w:tc>
        <w:tc>
          <w:tcPr>
            <w:tcW w:w="840" w:type="dxa"/>
            <w:vAlign w:val="bottom"/>
          </w:tcPr>
          <w:p>
            <w:pPr>
              <w:jc w:val="right"/>
              <w:spacing w:after="0"/>
              <w:rPr>
                <w:sz w:val="20"/>
                <w:szCs w:val="20"/>
                <w:color w:val="auto"/>
              </w:rPr>
            </w:pPr>
            <w:r>
              <w:rPr>
                <w:rFonts w:ascii="Arial" w:cs="Arial" w:eastAsia="Arial" w:hAnsi="Arial"/>
                <w:sz w:val="18"/>
                <w:szCs w:val="18"/>
                <w:color w:val="auto"/>
              </w:rPr>
              <w:t>(3,621)</w:t>
            </w: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spacing w:after="0"/>
              <w:rPr>
                <w:sz w:val="20"/>
                <w:szCs w:val="20"/>
                <w:color w:val="auto"/>
              </w:rPr>
            </w:pPr>
            <w:r>
              <w:rPr>
                <w:rFonts w:ascii="Arial" w:cs="Arial" w:eastAsia="Arial" w:hAnsi="Arial"/>
                <w:sz w:val="18"/>
                <w:szCs w:val="18"/>
                <w:color w:val="auto"/>
              </w:rPr>
              <w:t>Cash paid for Intangible Assets</w:t>
            </w:r>
          </w:p>
        </w:tc>
        <w:tc>
          <w:tcPr>
            <w:tcW w:w="1300" w:type="dxa"/>
            <w:vAlign w:val="bottom"/>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(306)</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(281)</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Non-operating items, net of tax</w:t>
            </w:r>
          </w:p>
        </w:tc>
        <w:tc>
          <w:tcPr>
            <w:tcW w:w="1300" w:type="dxa"/>
            <w:vAlign w:val="bottom"/>
            <w:tcBorders>
              <w:bottom w:val="single" w:sz="8" w:color="auto"/>
            </w:tcBorders>
          </w:tcPr>
          <w:p>
            <w:pPr>
              <w:jc w:val="right"/>
              <w:ind w:right="220"/>
              <w:spacing w:after="0"/>
              <w:rPr>
                <w:sz w:val="20"/>
                <w:szCs w:val="20"/>
                <w:color w:val="auto"/>
              </w:rPr>
            </w:pPr>
            <w:r>
              <w:rPr>
                <w:rFonts w:ascii="Arial" w:cs="Arial" w:eastAsia="Arial" w:hAnsi="Arial"/>
                <w:sz w:val="18"/>
                <w:szCs w:val="18"/>
                <w:b w:val="1"/>
                <w:bCs w:val="1"/>
                <w:color w:val="auto"/>
              </w:rPr>
              <w:t>706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r>
      <w:tr>
        <w:trPr>
          <w:trHeight w:val="217"/>
        </w:trPr>
        <w:tc>
          <w:tcPr>
            <w:tcW w:w="20" w:type="dxa"/>
            <w:vAlign w:val="bottom"/>
          </w:tcPr>
          <w:p>
            <w:pPr>
              <w:spacing w:after="0"/>
              <w:rPr>
                <w:sz w:val="18"/>
                <w:szCs w:val="18"/>
                <w:color w:val="auto"/>
              </w:rPr>
            </w:pPr>
          </w:p>
        </w:tc>
        <w:tc>
          <w:tcPr>
            <w:tcW w:w="92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Free Cash Flow</w:t>
            </w:r>
          </w:p>
        </w:tc>
        <w:tc>
          <w:tcPr>
            <w:tcW w:w="1300" w:type="dxa"/>
            <w:vAlign w:val="bottom"/>
            <w:tcBorders>
              <w:bottom w:val="single" w:sz="8" w:color="auto"/>
            </w:tcBorders>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$ 2,623</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$ 1,995</w:t>
            </w:r>
          </w:p>
        </w:tc>
      </w:tr>
    </w:tbl>
    <w:p>
      <w:pPr>
        <w:spacing w:after="0" w:line="1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See Non-GAAP and Other Financial Measures in Table 7 for the definition of Free Cash Flow.</w:t>
      </w:r>
    </w:p>
    <w:p>
      <w:pPr>
        <w:spacing w:after="0" w:line="16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7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5</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 Forma Financial Data by Business Segment</w:t>
      </w:r>
    </w:p>
    <w:p>
      <w:pPr>
        <w:jc w:val="center"/>
        <w:spacing w:after="0"/>
        <w:rPr>
          <w:sz w:val="20"/>
          <w:szCs w:val="20"/>
          <w:color w:val="auto"/>
        </w:rPr>
      </w:pPr>
      <w:r>
        <w:rPr>
          <w:rFonts w:ascii="Arial" w:cs="Arial" w:eastAsia="Arial" w:hAnsi="Arial"/>
          <w:sz w:val="22"/>
          <w:szCs w:val="22"/>
          <w:b w:val="1"/>
          <w:bCs w:val="1"/>
          <w:color w:val="auto"/>
        </w:rPr>
        <w:t>(Unaudited) (1)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gridSpan w:val="2"/>
            <w:vMerge w:val="restart"/>
          </w:tcPr>
          <w:p>
            <w:pPr>
              <w:jc w:val="right"/>
              <w:ind w:right="232"/>
              <w:spacing w:after="0"/>
              <w:rPr>
                <w:sz w:val="20"/>
                <w:szCs w:val="20"/>
                <w:color w:val="auto"/>
              </w:rPr>
            </w:pPr>
            <w:r>
              <w:rPr>
                <w:rFonts w:ascii="Arial" w:cs="Arial" w:eastAsia="Arial" w:hAnsi="Arial"/>
                <w:sz w:val="14"/>
                <w:szCs w:val="14"/>
                <w:b w:val="1"/>
                <w:bCs w:val="1"/>
                <w:color w:val="auto"/>
              </w:rPr>
              <w:t xml:space="preserve">Programming </w:t>
            </w:r>
            <w:r>
              <w:rPr>
                <w:rFonts w:ascii="Arial" w:cs="Arial" w:eastAsia="Arial" w:hAnsi="Arial"/>
                <w:sz w:val="22"/>
                <w:szCs w:val="22"/>
                <w:b w:val="1"/>
                <w:bCs w:val="1"/>
                <w:color w:val="auto"/>
                <w:vertAlign w:val="superscript"/>
              </w:rPr>
              <w:t>(2)</w:t>
            </w:r>
          </w:p>
        </w:tc>
        <w:tc>
          <w:tcPr>
            <w:tcW w:w="11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66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1440" w:type="dxa"/>
            <w:vAlign w:val="bottom"/>
          </w:tcPr>
          <w:p>
            <w:pPr>
              <w:spacing w:after="0"/>
              <w:rPr>
                <w:sz w:val="15"/>
                <w:szCs w:val="15"/>
                <w:color w:val="auto"/>
              </w:rPr>
            </w:pPr>
          </w:p>
        </w:tc>
        <w:tc>
          <w:tcPr>
            <w:tcW w:w="780" w:type="dxa"/>
            <w:vAlign w:val="bottom"/>
          </w:tcPr>
          <w:p>
            <w:pPr>
              <w:jc w:val="right"/>
              <w:ind w:right="333"/>
              <w:spacing w:after="0"/>
              <w:rPr>
                <w:sz w:val="20"/>
                <w:szCs w:val="20"/>
                <w:color w:val="auto"/>
              </w:rPr>
            </w:pPr>
            <w:r>
              <w:rPr>
                <w:rFonts w:ascii="Arial" w:cs="Arial" w:eastAsia="Arial" w:hAnsi="Arial"/>
                <w:sz w:val="14"/>
                <w:szCs w:val="14"/>
                <w:b w:val="1"/>
                <w:bCs w:val="1"/>
                <w:color w:val="auto"/>
                <w:w w:val="89"/>
              </w:rPr>
              <w:t>Cable</w:t>
            </w:r>
          </w:p>
        </w:tc>
        <w:tc>
          <w:tcPr>
            <w:tcW w:w="1580" w:type="dxa"/>
            <w:vAlign w:val="bottom"/>
            <w:gridSpan w:val="2"/>
            <w:vMerge w:val="continue"/>
          </w:tcPr>
          <w:p>
            <w:pPr>
              <w:spacing w:after="0"/>
              <w:rPr>
                <w:sz w:val="15"/>
                <w:szCs w:val="15"/>
                <w:color w:val="auto"/>
              </w:rPr>
            </w:pPr>
          </w:p>
        </w:tc>
        <w:tc>
          <w:tcPr>
            <w:tcW w:w="11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and Other</w:t>
            </w:r>
          </w:p>
        </w:tc>
        <w:tc>
          <w:tcPr>
            <w:tcW w:w="34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Three Months Ended December 31, 2006</w:t>
            </w:r>
          </w:p>
        </w:tc>
        <w:tc>
          <w:tcPr>
            <w:tcW w:w="144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96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Revenues</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6,894</w:t>
            </w: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283</w:t>
            </w:r>
          </w:p>
        </w:tc>
        <w:tc>
          <w:tcPr>
            <w:tcW w:w="460" w:type="dxa"/>
            <w:vAlign w:val="bottom"/>
          </w:tcPr>
          <w:p>
            <w:pPr>
              <w:ind w:left="2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90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1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2,749</w:t>
            </w:r>
          </w:p>
        </w:tc>
        <w:tc>
          <w:tcPr>
            <w:tcW w:w="62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43</w:t>
            </w:r>
          </w:p>
        </w:tc>
        <w:tc>
          <w:tcPr>
            <w:tcW w:w="4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109)</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1,357</w:t>
            </w: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1</w:t>
            </w:r>
          </w:p>
        </w:tc>
        <w:tc>
          <w:tcPr>
            <w:tcW w:w="460" w:type="dxa"/>
            <w:vAlign w:val="bottom"/>
          </w:tcPr>
          <w:p>
            <w:pPr>
              <w:ind w:left="2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120)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14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90"/>
              </w:rPr>
              <w:t>39.9%</w:t>
            </w:r>
          </w:p>
        </w:tc>
        <w:tc>
          <w:tcPr>
            <w:tcW w:w="6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15.4%</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NM</w:t>
            </w:r>
          </w:p>
        </w:tc>
        <w:tc>
          <w:tcPr>
            <w:tcW w:w="3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36.9%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Capital Expenditures (3)</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1,381</w:t>
            </w: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2)</w:t>
            </w:r>
          </w:p>
        </w:tc>
        <w:tc>
          <w:tcPr>
            <w:tcW w:w="460" w:type="dxa"/>
            <w:vAlign w:val="bottom"/>
          </w:tcPr>
          <w:p>
            <w:pPr>
              <w:ind w:left="2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15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Three Months Ended December 31, 2005, as adjusted (4)</w:t>
            </w:r>
          </w:p>
        </w:tc>
        <w:tc>
          <w:tcPr>
            <w:tcW w:w="14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Revenues</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6,029</w:t>
            </w: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235</w:t>
            </w:r>
          </w:p>
        </w:tc>
        <w:tc>
          <w:tcPr>
            <w:tcW w:w="460" w:type="dxa"/>
            <w:vAlign w:val="bottom"/>
          </w:tcPr>
          <w:p>
            <w:pPr>
              <w:ind w:left="2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72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1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2,348</w:t>
            </w:r>
          </w:p>
        </w:tc>
        <w:tc>
          <w:tcPr>
            <w:tcW w:w="62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32</w:t>
            </w:r>
          </w:p>
        </w:tc>
        <w:tc>
          <w:tcPr>
            <w:tcW w:w="4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77)</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922</w:t>
            </w: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10)</w:t>
            </w:r>
          </w:p>
        </w:tc>
        <w:tc>
          <w:tcPr>
            <w:tcW w:w="460" w:type="dxa"/>
            <w:vAlign w:val="bottom"/>
          </w:tcPr>
          <w:p>
            <w:pPr>
              <w:ind w:left="2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91)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14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90"/>
              </w:rPr>
              <w:t>38.9%</w:t>
            </w:r>
          </w:p>
        </w:tc>
        <w:tc>
          <w:tcPr>
            <w:tcW w:w="6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13.8%</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NM</w:t>
            </w:r>
          </w:p>
        </w:tc>
        <w:tc>
          <w:tcPr>
            <w:tcW w:w="3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36.4%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Capital Expenditures (3)</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967</w:t>
            </w: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5</w:t>
            </w:r>
          </w:p>
        </w:tc>
        <w:tc>
          <w:tcPr>
            <w:tcW w:w="460" w:type="dxa"/>
            <w:vAlign w:val="bottom"/>
          </w:tcPr>
          <w:p>
            <w:pPr>
              <w:ind w:left="2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14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Twelve Months Ended December 31, 2006</w:t>
            </w:r>
          </w:p>
        </w:tc>
        <w:tc>
          <w:tcPr>
            <w:tcW w:w="14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Revenues</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w w:val="83"/>
              </w:rPr>
              <w:t>26,339</w:t>
            </w: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1,053</w:t>
            </w:r>
          </w:p>
        </w:tc>
        <w:tc>
          <w:tcPr>
            <w:tcW w:w="460" w:type="dxa"/>
            <w:vAlign w:val="bottom"/>
          </w:tcPr>
          <w:p>
            <w:pPr>
              <w:ind w:left="2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203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1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83"/>
              </w:rPr>
              <w:t>10,511</w:t>
            </w:r>
          </w:p>
        </w:tc>
        <w:tc>
          <w:tcPr>
            <w:tcW w:w="62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241</w:t>
            </w:r>
          </w:p>
        </w:tc>
        <w:tc>
          <w:tcPr>
            <w:tcW w:w="4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362)</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3"/>
              </w:rPr>
              <w:t>10,390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5,246</w:t>
            </w: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75</w:t>
            </w:r>
          </w:p>
        </w:tc>
        <w:tc>
          <w:tcPr>
            <w:tcW w:w="460" w:type="dxa"/>
            <w:vAlign w:val="bottom"/>
          </w:tcPr>
          <w:p>
            <w:pPr>
              <w:ind w:left="2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430)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14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90"/>
              </w:rPr>
              <w:t>39.9%</w:t>
            </w:r>
          </w:p>
        </w:tc>
        <w:tc>
          <w:tcPr>
            <w:tcW w:w="6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22.9%</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NM</w:t>
            </w:r>
          </w:p>
        </w:tc>
        <w:tc>
          <w:tcPr>
            <w:tcW w:w="3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37.7%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Capital Expenditures (3)</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4,640</w:t>
            </w: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16</w:t>
            </w:r>
          </w:p>
        </w:tc>
        <w:tc>
          <w:tcPr>
            <w:tcW w:w="460" w:type="dxa"/>
            <w:vAlign w:val="bottom"/>
          </w:tcPr>
          <w:p>
            <w:pPr>
              <w:ind w:left="2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30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Twelve Months Ended December 31, 2005, as adjusted (4)</w:t>
            </w:r>
          </w:p>
        </w:tc>
        <w:tc>
          <w:tcPr>
            <w:tcW w:w="14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Revenues</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w w:val="83"/>
              </w:rPr>
              <w:t>23,556</w:t>
            </w: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919</w:t>
            </w:r>
          </w:p>
        </w:tc>
        <w:tc>
          <w:tcPr>
            <w:tcW w:w="460" w:type="dxa"/>
            <w:vAlign w:val="bottom"/>
          </w:tcPr>
          <w:p>
            <w:pPr>
              <w:ind w:left="2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170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1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9,132</w:t>
            </w:r>
          </w:p>
        </w:tc>
        <w:tc>
          <w:tcPr>
            <w:tcW w:w="62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272</w:t>
            </w:r>
          </w:p>
        </w:tc>
        <w:tc>
          <w:tcPr>
            <w:tcW w:w="4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313)</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3,652</w:t>
            </w: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118</w:t>
            </w:r>
          </w:p>
        </w:tc>
        <w:tc>
          <w:tcPr>
            <w:tcW w:w="460" w:type="dxa"/>
            <w:vAlign w:val="bottom"/>
          </w:tcPr>
          <w:p>
            <w:pPr>
              <w:ind w:left="2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363)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14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90"/>
              </w:rPr>
              <w:t>38.8%</w:t>
            </w:r>
          </w:p>
        </w:tc>
        <w:tc>
          <w:tcPr>
            <w:tcW w:w="6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29.6%</w:t>
            </w:r>
          </w:p>
        </w:tc>
        <w:tc>
          <w:tcPr>
            <w:tcW w:w="4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NM</w:t>
            </w:r>
          </w:p>
        </w:tc>
        <w:tc>
          <w:tcPr>
            <w:tcW w:w="3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36.9%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Capital Expenditures (3)</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13"/>
              <w:spacing w:after="0"/>
              <w:rPr>
                <w:sz w:val="20"/>
                <w:szCs w:val="20"/>
                <w:color w:val="auto"/>
              </w:rPr>
            </w:pPr>
            <w:r>
              <w:rPr>
                <w:rFonts w:ascii="Arial" w:cs="Arial" w:eastAsia="Arial" w:hAnsi="Arial"/>
                <w:sz w:val="18"/>
                <w:szCs w:val="18"/>
                <w:color w:val="auto"/>
              </w:rPr>
              <w:t>4,030</w:t>
            </w: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2"/>
              <w:spacing w:after="0"/>
              <w:rPr>
                <w:sz w:val="20"/>
                <w:szCs w:val="20"/>
                <w:color w:val="auto"/>
              </w:rPr>
            </w:pPr>
            <w:r>
              <w:rPr>
                <w:rFonts w:ascii="Arial" w:cs="Arial" w:eastAsia="Arial" w:hAnsi="Arial"/>
                <w:sz w:val="18"/>
                <w:szCs w:val="18"/>
                <w:color w:val="auto"/>
              </w:rPr>
              <w:t>16</w:t>
            </w:r>
          </w:p>
        </w:tc>
        <w:tc>
          <w:tcPr>
            <w:tcW w:w="460" w:type="dxa"/>
            <w:vAlign w:val="bottom"/>
          </w:tcPr>
          <w:p>
            <w:pPr>
              <w:ind w:left="2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38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4,084</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46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Non-GAAP and Other Financial Measures in Table 7. Historical financial data by business segment, as required under generally accepted accounting principles in the United States (GAAP), is available in the Company’s annual report on Form 10-K. All percentages are calculated based on actual amounts. Minor differences may exist due to rounding.</w:t>
      </w:r>
    </w:p>
    <w:p>
      <w:pPr>
        <w:spacing w:after="0" w:line="59"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Programming includes our national networks E! Entertainment Television and Style Network (E! Networks), The Golf Channel, VERSUS (formerly OLN), G4 and AZN Television.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Cable segment’s capital expenditures are comprised of the following categories: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right"/>
              <w:ind w:right="196"/>
              <w:spacing w:after="0"/>
              <w:rPr>
                <w:sz w:val="20"/>
                <w:szCs w:val="20"/>
                <w:color w:val="auto"/>
              </w:rPr>
            </w:pPr>
            <w:r>
              <w:rPr>
                <w:rFonts w:ascii="Arial" w:cs="Arial" w:eastAsia="Arial" w:hAnsi="Arial"/>
                <w:sz w:val="14"/>
                <w:szCs w:val="14"/>
                <w:b w:val="1"/>
                <w:bCs w:val="1"/>
                <w:color w:val="auto"/>
              </w:rPr>
              <w:t>YTD</w:t>
            </w:r>
          </w:p>
        </w:tc>
        <w:tc>
          <w:tcPr>
            <w:tcW w:w="660" w:type="dxa"/>
            <w:vAlign w:val="bottom"/>
          </w:tcPr>
          <w:p>
            <w:pPr>
              <w:jc w:val="right"/>
              <w:ind w:right="16"/>
              <w:spacing w:after="0"/>
              <w:rPr>
                <w:sz w:val="20"/>
                <w:szCs w:val="20"/>
                <w:color w:val="auto"/>
              </w:rPr>
            </w:pPr>
            <w:r>
              <w:rPr>
                <w:rFonts w:ascii="Arial" w:cs="Arial" w:eastAsia="Arial" w:hAnsi="Arial"/>
                <w:sz w:val="14"/>
                <w:szCs w:val="14"/>
                <w:b w:val="1"/>
                <w:bCs w:val="1"/>
                <w:color w:val="auto"/>
              </w:rPr>
              <w:t>YTD</w:t>
            </w:r>
          </w:p>
        </w:tc>
      </w:tr>
      <w:tr>
        <w:trPr>
          <w:trHeight w:val="175"/>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81"/>
              </w:rPr>
              <w:t>4Q06</w:t>
            </w: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4Q05</w:t>
            </w: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4Q06</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4Q05</w:t>
            </w:r>
          </w:p>
        </w:tc>
      </w:tr>
      <w:tr>
        <w:trPr>
          <w:trHeight w:val="210"/>
        </w:trPr>
        <w:tc>
          <w:tcPr>
            <w:tcW w:w="20" w:type="dxa"/>
            <w:vAlign w:val="bottom"/>
          </w:tcPr>
          <w:p>
            <w:pPr>
              <w:spacing w:after="0"/>
              <w:rPr>
                <w:sz w:val="18"/>
                <w:szCs w:val="18"/>
                <w:color w:val="auto"/>
              </w:rPr>
            </w:pPr>
          </w:p>
        </w:tc>
        <w:tc>
          <w:tcPr>
            <w:tcW w:w="5920" w:type="dxa"/>
            <w:vAlign w:val="bottom"/>
            <w:shd w:val="clear" w:color="auto" w:fill="E5E5E5"/>
          </w:tcPr>
          <w:p>
            <w:pPr>
              <w:spacing w:after="0"/>
              <w:rPr>
                <w:sz w:val="20"/>
                <w:szCs w:val="20"/>
                <w:color w:val="auto"/>
              </w:rPr>
            </w:pPr>
            <w:r>
              <w:rPr>
                <w:rFonts w:ascii="Arial" w:cs="Arial" w:eastAsia="Arial" w:hAnsi="Arial"/>
                <w:sz w:val="18"/>
                <w:szCs w:val="18"/>
                <w:color w:val="auto"/>
              </w:rPr>
              <w:t>New Service Offerings</w:t>
            </w:r>
          </w:p>
        </w:tc>
        <w:tc>
          <w:tcPr>
            <w:tcW w:w="4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Customer Premise Equipment (CPE)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712</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$512</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$2,482</w:t>
            </w:r>
          </w:p>
        </w:tc>
        <w:tc>
          <w:tcPr>
            <w:tcW w:w="660" w:type="dxa"/>
            <w:vAlign w:val="bottom"/>
          </w:tcPr>
          <w:p>
            <w:pPr>
              <w:jc w:val="right"/>
              <w:spacing w:after="0"/>
              <w:rPr>
                <w:sz w:val="20"/>
                <w:szCs w:val="20"/>
                <w:color w:val="auto"/>
              </w:rPr>
            </w:pPr>
            <w:r>
              <w:rPr>
                <w:rFonts w:ascii="Arial" w:cs="Arial" w:eastAsia="Arial" w:hAnsi="Arial"/>
                <w:sz w:val="18"/>
                <w:szCs w:val="18"/>
                <w:color w:val="auto"/>
              </w:rPr>
              <w:t>$2,080</w:t>
            </w:r>
          </w:p>
        </w:tc>
      </w:tr>
      <w:tr>
        <w:trPr>
          <w:trHeight w:val="216"/>
        </w:trPr>
        <w:tc>
          <w:tcPr>
            <w:tcW w:w="20" w:type="dxa"/>
            <w:vAlign w:val="bottom"/>
          </w:tcPr>
          <w:p>
            <w:pPr>
              <w:spacing w:after="0"/>
              <w:rPr>
                <w:sz w:val="18"/>
                <w:szCs w:val="18"/>
                <w:color w:val="auto"/>
              </w:rPr>
            </w:pPr>
          </w:p>
        </w:tc>
        <w:tc>
          <w:tcPr>
            <w:tcW w:w="592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Scalable Infrastructure</w:t>
            </w:r>
          </w:p>
        </w:tc>
        <w:tc>
          <w:tcPr>
            <w:tcW w:w="4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330</w:t>
            </w:r>
          </w:p>
        </w:tc>
        <w:tc>
          <w:tcPr>
            <w:tcW w:w="70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214</w:t>
            </w:r>
          </w:p>
        </w:tc>
        <w:tc>
          <w:tcPr>
            <w:tcW w:w="84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917</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881</w:t>
            </w:r>
          </w:p>
        </w:tc>
      </w:tr>
      <w:tr>
        <w:trPr>
          <w:trHeight w:val="210"/>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w w:val="84"/>
              </w:rPr>
              <w:t>1,042</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726</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3,399</w:t>
            </w:r>
          </w:p>
        </w:tc>
        <w:tc>
          <w:tcPr>
            <w:tcW w:w="660" w:type="dxa"/>
            <w:vAlign w:val="bottom"/>
          </w:tcPr>
          <w:p>
            <w:pPr>
              <w:jc w:val="right"/>
              <w:spacing w:after="0"/>
              <w:rPr>
                <w:sz w:val="20"/>
                <w:szCs w:val="20"/>
                <w:color w:val="auto"/>
              </w:rPr>
            </w:pPr>
            <w:r>
              <w:rPr>
                <w:rFonts w:ascii="Arial" w:cs="Arial" w:eastAsia="Arial" w:hAnsi="Arial"/>
                <w:sz w:val="18"/>
                <w:szCs w:val="18"/>
                <w:color w:val="auto"/>
              </w:rPr>
              <w:t>2,961</w:t>
            </w:r>
          </w:p>
        </w:tc>
      </w:tr>
      <w:tr>
        <w:trPr>
          <w:trHeight w:val="216"/>
        </w:trPr>
        <w:tc>
          <w:tcPr>
            <w:tcW w:w="20" w:type="dxa"/>
            <w:vAlign w:val="bottom"/>
          </w:tcPr>
          <w:p>
            <w:pPr>
              <w:spacing w:after="0"/>
              <w:rPr>
                <w:sz w:val="18"/>
                <w:szCs w:val="18"/>
                <w:color w:val="auto"/>
              </w:rPr>
            </w:pPr>
          </w:p>
        </w:tc>
        <w:tc>
          <w:tcPr>
            <w:tcW w:w="5920" w:type="dxa"/>
            <w:vAlign w:val="bottom"/>
            <w:shd w:val="clear" w:color="auto" w:fill="E5E5E5"/>
          </w:tcPr>
          <w:p>
            <w:pPr>
              <w:spacing w:after="0"/>
              <w:rPr>
                <w:sz w:val="20"/>
                <w:szCs w:val="20"/>
                <w:color w:val="auto"/>
              </w:rPr>
            </w:pPr>
            <w:r>
              <w:rPr>
                <w:rFonts w:ascii="Arial" w:cs="Arial" w:eastAsia="Arial" w:hAnsi="Arial"/>
                <w:sz w:val="18"/>
                <w:szCs w:val="18"/>
                <w:color w:val="auto"/>
              </w:rPr>
              <w:t>Recurring Capital Projects</w:t>
            </w:r>
          </w:p>
        </w:tc>
        <w:tc>
          <w:tcPr>
            <w:tcW w:w="4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Line Extensions</w:t>
            </w:r>
          </w:p>
        </w:tc>
        <w:tc>
          <w:tcPr>
            <w:tcW w:w="42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62</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64</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320</w:t>
            </w:r>
          </w:p>
        </w:tc>
        <w:tc>
          <w:tcPr>
            <w:tcW w:w="66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16"/>
        </w:trPr>
        <w:tc>
          <w:tcPr>
            <w:tcW w:w="20" w:type="dxa"/>
            <w:vAlign w:val="bottom"/>
          </w:tcPr>
          <w:p>
            <w:pPr>
              <w:spacing w:after="0"/>
              <w:rPr>
                <w:sz w:val="18"/>
                <w:szCs w:val="18"/>
                <w:color w:val="auto"/>
              </w:rPr>
            </w:pPr>
          </w:p>
        </w:tc>
        <w:tc>
          <w:tcPr>
            <w:tcW w:w="592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Support Capital</w:t>
            </w:r>
          </w:p>
        </w:tc>
        <w:tc>
          <w:tcPr>
            <w:tcW w:w="4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144</w:t>
            </w:r>
          </w:p>
        </w:tc>
        <w:tc>
          <w:tcPr>
            <w:tcW w:w="70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97</w:t>
            </w:r>
          </w:p>
        </w:tc>
        <w:tc>
          <w:tcPr>
            <w:tcW w:w="84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528</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387</w:t>
            </w:r>
          </w:p>
        </w:tc>
      </w:tr>
      <w:tr>
        <w:trPr>
          <w:trHeight w:val="210"/>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206</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161</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848</w:t>
            </w:r>
          </w:p>
        </w:tc>
        <w:tc>
          <w:tcPr>
            <w:tcW w:w="660" w:type="dxa"/>
            <w:vAlign w:val="bottom"/>
          </w:tcPr>
          <w:p>
            <w:pPr>
              <w:jc w:val="right"/>
              <w:spacing w:after="0"/>
              <w:rPr>
                <w:sz w:val="20"/>
                <w:szCs w:val="20"/>
                <w:color w:val="auto"/>
              </w:rPr>
            </w:pPr>
            <w:r>
              <w:rPr>
                <w:rFonts w:ascii="Arial" w:cs="Arial" w:eastAsia="Arial" w:hAnsi="Arial"/>
                <w:sz w:val="18"/>
                <w:szCs w:val="18"/>
                <w:color w:val="auto"/>
              </w:rPr>
              <w:t>680</w:t>
            </w:r>
          </w:p>
        </w:tc>
      </w:tr>
      <w:tr>
        <w:trPr>
          <w:trHeight w:val="216"/>
        </w:trPr>
        <w:tc>
          <w:tcPr>
            <w:tcW w:w="20" w:type="dxa"/>
            <w:vAlign w:val="bottom"/>
          </w:tcPr>
          <w:p>
            <w:pPr>
              <w:spacing w:after="0"/>
              <w:rPr>
                <w:sz w:val="18"/>
                <w:szCs w:val="18"/>
                <w:color w:val="auto"/>
              </w:rPr>
            </w:pPr>
          </w:p>
        </w:tc>
        <w:tc>
          <w:tcPr>
            <w:tcW w:w="592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Upgrades</w:t>
            </w:r>
          </w:p>
        </w:tc>
        <w:tc>
          <w:tcPr>
            <w:tcW w:w="4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133</w:t>
            </w:r>
          </w:p>
        </w:tc>
        <w:tc>
          <w:tcPr>
            <w:tcW w:w="70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80</w:t>
            </w:r>
          </w:p>
        </w:tc>
        <w:tc>
          <w:tcPr>
            <w:tcW w:w="84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393</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389</w:t>
            </w:r>
          </w:p>
        </w:tc>
      </w:tr>
      <w:tr>
        <w:trPr>
          <w:trHeight w:val="217"/>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84"/>
              </w:rPr>
              <w:t>1,381</w:t>
            </w:r>
          </w:p>
        </w:tc>
        <w:tc>
          <w:tcPr>
            <w:tcW w:w="7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$967</w:t>
            </w: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$4,640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w:t>
            </w:r>
          </w:p>
        </w:tc>
      </w:tr>
    </w:tbl>
    <w:p>
      <w:pPr>
        <w:spacing w:after="0" w:line="194" w:lineRule="exact"/>
        <w:rPr>
          <w:sz w:val="20"/>
          <w:szCs w:val="20"/>
          <w:color w:val="auto"/>
        </w:rPr>
      </w:pPr>
    </w:p>
    <w:p>
      <w:pPr>
        <w:jc w:val="both"/>
        <w:ind w:left="460"/>
        <w:spacing w:after="0" w:line="254" w:lineRule="auto"/>
        <w:rPr>
          <w:sz w:val="20"/>
          <w:szCs w:val="20"/>
          <w:color w:val="auto"/>
        </w:rPr>
      </w:pPr>
      <w:r>
        <w:rPr>
          <w:rFonts w:ascii="Arial" w:cs="Arial" w:eastAsia="Arial" w:hAnsi="Arial"/>
          <w:sz w:val="18"/>
          <w:szCs w:val="18"/>
          <w:color w:val="auto"/>
        </w:rPr>
        <w:t>CPE includes costs incurred at the customer residence to secure new customers, revenue units and additional bandwidth revenues (e.g. digital converters). Scalable infrastructure includes costs, not CPE or network related, to secure growth of new customers, revenue units and additional bandwidth revenues or provide service enhancements (e.g. headend equipment). Line extensions include network costs associated with entering new service areas (e.g. fiber/coaxial cable). Support capital includes costs associated with the replacement or enhancement of non-network assets due to obsolescence and wear out (e.g. non-network equipment, land, buildings and vehicles). Upgrades include costs to enhance or replace existing fiber/coaxial cable networks, including recurring betterments.</w:t>
      </w:r>
    </w:p>
    <w:p>
      <w:pPr>
        <w:spacing w:after="0" w:line="63" w:lineRule="exact"/>
        <w:rPr>
          <w:sz w:val="20"/>
          <w:szCs w:val="20"/>
          <w:color w:val="auto"/>
        </w:rPr>
      </w:pPr>
    </w:p>
    <w:p>
      <w:pPr>
        <w:ind w:left="5620" w:right="1620" w:hanging="5612"/>
        <w:spacing w:after="0" w:line="440" w:lineRule="auto"/>
        <w:tabs>
          <w:tab w:leader="none" w:pos="4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as if stock options had been expensed in 2005. See Tables 7-A and 7-B for Reconciliation of “As Adjusted” Financial Data. 10</w:t>
      </w:r>
    </w:p>
    <w:p>
      <w:pPr>
        <w:sectPr>
          <w:pgSz w:w="11900" w:h="16838" w:orient="portrait"/>
          <w:cols w:equalWidth="0" w:num="1">
            <w:col w:w="11420"/>
          </w:cols>
          <w:pgMar w:left="240" w:top="97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 Forma Data – Cable Segment Components</w:t>
      </w:r>
    </w:p>
    <w:p>
      <w:pPr>
        <w:jc w:val="center"/>
        <w:spacing w:after="0"/>
        <w:rPr>
          <w:sz w:val="20"/>
          <w:szCs w:val="20"/>
          <w:color w:val="auto"/>
        </w:rPr>
      </w:pPr>
      <w:r>
        <w:rPr>
          <w:rFonts w:ascii="Arial" w:cs="Arial" w:eastAsia="Arial" w:hAnsi="Arial"/>
          <w:sz w:val="22"/>
          <w:szCs w:val="22"/>
          <w:b w:val="1"/>
          <w:bCs w:val="1"/>
          <w:color w:val="auto"/>
        </w:rPr>
        <w:t>(Unaudited) (1) (2)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120" w:type="dxa"/>
            <w:vAlign w:val="bottom"/>
            <w:gridSpan w:val="3"/>
          </w:tcPr>
          <w:p>
            <w:pPr>
              <w:jc w:val="right"/>
              <w:ind w:right="314"/>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540" w:type="dxa"/>
            <w:vAlign w:val="bottom"/>
            <w:gridSpan w:val="4"/>
          </w:tcPr>
          <w:p>
            <w:pPr>
              <w:ind w:left="80"/>
              <w:spacing w:after="0"/>
              <w:rPr>
                <w:sz w:val="20"/>
                <w:szCs w:val="20"/>
                <w:color w:val="auto"/>
              </w:rPr>
            </w:pPr>
            <w:r>
              <w:rPr>
                <w:rFonts w:ascii="Arial" w:cs="Arial" w:eastAsia="Arial" w:hAnsi="Arial"/>
                <w:sz w:val="14"/>
                <w:szCs w:val="14"/>
                <w:b w:val="1"/>
                <w:bCs w:val="1"/>
                <w:color w:val="auto"/>
                <w:w w:val="97"/>
              </w:rPr>
              <w:t>Twelve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212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5"/>
                <w:szCs w:val="15"/>
                <w:color w:val="auto"/>
              </w:rPr>
            </w:pPr>
          </w:p>
        </w:tc>
        <w:tc>
          <w:tcPr>
            <w:tcW w:w="1540" w:type="dxa"/>
            <w:vAlign w:val="bottom"/>
            <w:gridSpan w:val="4"/>
          </w:tcPr>
          <w:p>
            <w:pPr>
              <w:ind w:lef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3"/>
        </w:trPr>
        <w:tc>
          <w:tcPr>
            <w:tcW w:w="7480" w:type="dxa"/>
            <w:vAlign w:val="bottom"/>
            <w:gridSpan w:val="2"/>
          </w:tcPr>
          <w:p>
            <w:pPr>
              <w:spacing w:after="0" w:line="143" w:lineRule="exact"/>
              <w:rPr>
                <w:sz w:val="20"/>
                <w:szCs w:val="20"/>
                <w:color w:val="auto"/>
              </w:rPr>
            </w:pPr>
            <w:r>
              <w:rPr>
                <w:rFonts w:ascii="Arial" w:cs="Arial" w:eastAsia="Arial" w:hAnsi="Arial"/>
                <w:sz w:val="14"/>
                <w:szCs w:val="14"/>
                <w:color w:val="auto"/>
              </w:rPr>
              <w:t>(Dollars in millions, except per subscriber and per unit data)</w:t>
            </w:r>
          </w:p>
        </w:tc>
        <w:tc>
          <w:tcPr>
            <w:tcW w:w="1120" w:type="dxa"/>
            <w:vAlign w:val="bottom"/>
            <w:tcBorders>
              <w:top w:val="single" w:sz="8" w:color="auto"/>
            </w:tcBorders>
          </w:tcPr>
          <w:p>
            <w:pPr>
              <w:jc w:val="right"/>
              <w:ind w:right="297"/>
              <w:spacing w:after="0" w:line="143" w:lineRule="exact"/>
              <w:rPr>
                <w:sz w:val="20"/>
                <w:szCs w:val="20"/>
                <w:color w:val="auto"/>
              </w:rPr>
            </w:pPr>
            <w:r>
              <w:rPr>
                <w:rFonts w:ascii="Arial" w:cs="Arial" w:eastAsia="Arial" w:hAnsi="Arial"/>
                <w:sz w:val="14"/>
                <w:szCs w:val="14"/>
                <w:b w:val="1"/>
                <w:bCs w:val="1"/>
                <w:color w:val="auto"/>
              </w:rPr>
              <w:t>2006</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94"/>
              <w:spacing w:after="0" w:line="143" w:lineRule="exact"/>
              <w:rPr>
                <w:sz w:val="20"/>
                <w:szCs w:val="20"/>
                <w:color w:val="auto"/>
              </w:rPr>
            </w:pPr>
            <w:r>
              <w:rPr>
                <w:rFonts w:ascii="Arial" w:cs="Arial" w:eastAsia="Arial" w:hAnsi="Arial"/>
                <w:sz w:val="14"/>
                <w:szCs w:val="14"/>
                <w:b w:val="1"/>
                <w:bCs w:val="1"/>
                <w:color w:val="auto"/>
                <w:w w:val="96"/>
              </w:rPr>
              <w:t>2005</w:t>
            </w: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4"/>
                <w:szCs w:val="14"/>
                <w:b w:val="1"/>
                <w:bCs w:val="1"/>
                <w:color w:val="auto"/>
              </w:rPr>
              <w:t>2006</w:t>
            </w: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3" w:lineRule="exact"/>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Revenues:</w:t>
            </w:r>
          </w:p>
        </w:tc>
        <w:tc>
          <w:tcPr>
            <w:tcW w:w="112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Video (3)</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$ 4,214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4"/>
              <w:spacing w:after="0"/>
              <w:rPr>
                <w:sz w:val="20"/>
                <w:szCs w:val="20"/>
                <w:color w:val="auto"/>
              </w:rPr>
            </w:pPr>
            <w:r>
              <w:rPr>
                <w:rFonts w:ascii="Arial" w:cs="Arial" w:eastAsia="Arial" w:hAnsi="Arial"/>
                <w:sz w:val="18"/>
                <w:szCs w:val="18"/>
                <w:color w:val="auto"/>
                <w:w w:val="97"/>
              </w:rPr>
              <w:t>3,865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6"/>
              <w:spacing w:after="0"/>
              <w:rPr>
                <w:sz w:val="20"/>
                <w:szCs w:val="20"/>
                <w:color w:val="auto"/>
              </w:rPr>
            </w:pPr>
            <w:r>
              <w:rPr>
                <w:rFonts w:ascii="Arial" w:cs="Arial" w:eastAsia="Arial" w:hAnsi="Arial"/>
                <w:sz w:val="18"/>
                <w:szCs w:val="18"/>
                <w:color w:val="auto"/>
                <w:w w:val="87"/>
              </w:rPr>
              <w:t>16,599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High-Speed Internet</w:t>
            </w:r>
          </w:p>
        </w:tc>
        <w:tc>
          <w:tcPr>
            <w:tcW w:w="112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1,454</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97"/>
              </w:rPr>
              <w:t>1,184</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5,451</w:t>
            </w:r>
          </w:p>
        </w:tc>
        <w:tc>
          <w:tcPr>
            <w:tcW w:w="3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Phone</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302</w:t>
            </w:r>
          </w:p>
        </w:tc>
        <w:tc>
          <w:tcPr>
            <w:tcW w:w="300" w:type="dxa"/>
            <w:vAlign w:val="bottom"/>
          </w:tcPr>
          <w:p>
            <w:pPr>
              <w:spacing w:after="0"/>
              <w:rPr>
                <w:sz w:val="18"/>
                <w:szCs w:val="18"/>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8"/>
                <w:szCs w:val="18"/>
                <w:color w:val="auto"/>
              </w:rPr>
            </w:pPr>
          </w:p>
        </w:tc>
        <w:tc>
          <w:tcPr>
            <w:tcW w:w="720" w:type="dxa"/>
            <w:vAlign w:val="bottom"/>
          </w:tcPr>
          <w:p>
            <w:pPr>
              <w:jc w:val="right"/>
              <w:ind w:right="136"/>
              <w:spacing w:after="0"/>
              <w:rPr>
                <w:sz w:val="20"/>
                <w:szCs w:val="20"/>
                <w:color w:val="auto"/>
              </w:rPr>
            </w:pPr>
            <w:r>
              <w:rPr>
                <w:rFonts w:ascii="Arial" w:cs="Arial" w:eastAsia="Arial" w:hAnsi="Arial"/>
                <w:sz w:val="18"/>
                <w:szCs w:val="18"/>
                <w:color w:val="auto"/>
              </w:rPr>
              <w:t>955</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Advertising</w:t>
            </w:r>
          </w:p>
        </w:tc>
        <w:tc>
          <w:tcPr>
            <w:tcW w:w="112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501</w:t>
            </w: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398</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1,651</w:t>
            </w:r>
          </w:p>
        </w:tc>
        <w:tc>
          <w:tcPr>
            <w:tcW w:w="3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(4)</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226</w:t>
            </w:r>
          </w:p>
        </w:tc>
        <w:tc>
          <w:tcPr>
            <w:tcW w:w="300" w:type="dxa"/>
            <w:vAlign w:val="bottom"/>
          </w:tcPr>
          <w:p>
            <w:pPr>
              <w:spacing w:after="0"/>
              <w:rPr>
                <w:sz w:val="18"/>
                <w:szCs w:val="18"/>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color w:val="auto"/>
              </w:rPr>
              <w:t>229</w:t>
            </w:r>
          </w:p>
        </w:tc>
        <w:tc>
          <w:tcPr>
            <w:tcW w:w="300" w:type="dxa"/>
            <w:vAlign w:val="bottom"/>
          </w:tcPr>
          <w:p>
            <w:pPr>
              <w:spacing w:after="0"/>
              <w:rPr>
                <w:sz w:val="18"/>
                <w:szCs w:val="18"/>
                <w:color w:val="auto"/>
              </w:rPr>
            </w:pPr>
          </w:p>
        </w:tc>
        <w:tc>
          <w:tcPr>
            <w:tcW w:w="720" w:type="dxa"/>
            <w:vAlign w:val="bottom"/>
          </w:tcPr>
          <w:p>
            <w:pPr>
              <w:jc w:val="right"/>
              <w:ind w:right="136"/>
              <w:spacing w:after="0"/>
              <w:rPr>
                <w:sz w:val="20"/>
                <w:szCs w:val="20"/>
                <w:color w:val="auto"/>
              </w:rPr>
            </w:pPr>
            <w:r>
              <w:rPr>
                <w:rFonts w:ascii="Arial" w:cs="Arial" w:eastAsia="Arial" w:hAnsi="Arial"/>
                <w:sz w:val="18"/>
                <w:szCs w:val="18"/>
                <w:color w:val="auto"/>
              </w:rPr>
              <w:t>908</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Franchise Fees</w:t>
            </w:r>
          </w:p>
        </w:tc>
        <w:tc>
          <w:tcPr>
            <w:tcW w:w="112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197</w:t>
            </w:r>
          </w:p>
        </w:tc>
        <w:tc>
          <w:tcPr>
            <w:tcW w:w="3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182</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775</w:t>
            </w:r>
          </w:p>
        </w:tc>
        <w:tc>
          <w:tcPr>
            <w:tcW w:w="3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Total Revenues</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$ 6,894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4"/>
              <w:spacing w:after="0"/>
              <w:rPr>
                <w:sz w:val="20"/>
                <w:szCs w:val="20"/>
                <w:color w:val="auto"/>
              </w:rPr>
            </w:pPr>
            <w:r>
              <w:rPr>
                <w:rFonts w:ascii="Arial" w:cs="Arial" w:eastAsia="Arial" w:hAnsi="Arial"/>
                <w:sz w:val="18"/>
                <w:szCs w:val="18"/>
                <w:color w:val="auto"/>
                <w:w w:val="97"/>
              </w:rPr>
              <w:t>6,029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6"/>
              <w:spacing w:after="0"/>
              <w:rPr>
                <w:sz w:val="20"/>
                <w:szCs w:val="20"/>
                <w:color w:val="auto"/>
              </w:rPr>
            </w:pPr>
            <w:r>
              <w:rPr>
                <w:rFonts w:ascii="Arial" w:cs="Arial" w:eastAsia="Arial" w:hAnsi="Arial"/>
                <w:sz w:val="18"/>
                <w:szCs w:val="18"/>
                <w:color w:val="auto"/>
                <w:w w:val="87"/>
              </w:rPr>
              <w:t>26,339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Programming Expense</w:t>
            </w:r>
          </w:p>
        </w:tc>
        <w:tc>
          <w:tcPr>
            <w:tcW w:w="11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5,406</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Operating Cash Flow (5)</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$ 2,749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4"/>
              <w:spacing w:after="0"/>
              <w:rPr>
                <w:sz w:val="20"/>
                <w:szCs w:val="20"/>
                <w:color w:val="auto"/>
              </w:rPr>
            </w:pPr>
            <w:r>
              <w:rPr>
                <w:rFonts w:ascii="Arial" w:cs="Arial" w:eastAsia="Arial" w:hAnsi="Arial"/>
                <w:sz w:val="18"/>
                <w:szCs w:val="18"/>
                <w:color w:val="auto"/>
                <w:w w:val="97"/>
              </w:rPr>
              <w:t>2,348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6"/>
              <w:spacing w:after="0"/>
              <w:rPr>
                <w:sz w:val="20"/>
                <w:szCs w:val="20"/>
                <w:color w:val="auto"/>
              </w:rPr>
            </w:pPr>
            <w:r>
              <w:rPr>
                <w:rFonts w:ascii="Arial" w:cs="Arial" w:eastAsia="Arial" w:hAnsi="Arial"/>
                <w:sz w:val="18"/>
                <w:szCs w:val="18"/>
                <w:color w:val="auto"/>
                <w:w w:val="87"/>
              </w:rPr>
              <w:t>10,511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(5)</w:t>
            </w:r>
          </w:p>
        </w:tc>
        <w:tc>
          <w:tcPr>
            <w:tcW w:w="112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$ 1,357</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922</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5,246</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Operating Cash Flow Margin (5)</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39.9%</w:t>
            </w:r>
          </w:p>
        </w:tc>
        <w:tc>
          <w:tcPr>
            <w:tcW w:w="300" w:type="dxa"/>
            <w:vAlign w:val="bottom"/>
          </w:tcPr>
          <w:p>
            <w:pPr>
              <w:spacing w:after="0"/>
              <w:rPr>
                <w:sz w:val="18"/>
                <w:szCs w:val="18"/>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color w:val="auto"/>
                <w:w w:val="86"/>
              </w:rPr>
              <w:t>38.9%</w:t>
            </w:r>
          </w:p>
        </w:tc>
        <w:tc>
          <w:tcPr>
            <w:tcW w:w="300" w:type="dxa"/>
            <w:vAlign w:val="bottom"/>
          </w:tcPr>
          <w:p>
            <w:pPr>
              <w:spacing w:after="0"/>
              <w:rPr>
                <w:sz w:val="18"/>
                <w:szCs w:val="18"/>
                <w:color w:val="auto"/>
              </w:rPr>
            </w:pPr>
          </w:p>
        </w:tc>
        <w:tc>
          <w:tcPr>
            <w:tcW w:w="720" w:type="dxa"/>
            <w:vAlign w:val="bottom"/>
          </w:tcPr>
          <w:p>
            <w:pPr>
              <w:jc w:val="right"/>
              <w:ind w:right="136"/>
              <w:spacing w:after="0"/>
              <w:rPr>
                <w:sz w:val="20"/>
                <w:szCs w:val="20"/>
                <w:color w:val="auto"/>
              </w:rPr>
            </w:pPr>
            <w:r>
              <w:rPr>
                <w:rFonts w:ascii="Arial" w:cs="Arial" w:eastAsia="Arial" w:hAnsi="Arial"/>
                <w:sz w:val="18"/>
                <w:szCs w:val="18"/>
                <w:color w:val="auto"/>
                <w:w w:val="93"/>
              </w:rPr>
              <w:t>39.9%</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0"/>
              </w:rPr>
              <w:t>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color w:val="auto"/>
              </w:rPr>
              <w:t>Capital Expenditures</w:t>
            </w:r>
          </w:p>
        </w:tc>
        <w:tc>
          <w:tcPr>
            <w:tcW w:w="112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$ 1,381</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967</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4,640</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93"/>
              </w:rPr>
              <w:t>4Q06</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w w:val="99"/>
              </w:rPr>
              <w:t>4Q05</w:t>
            </w: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9"/>
              </w:rPr>
              <w:t>3Q06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Video</w:t>
            </w:r>
          </w:p>
        </w:tc>
        <w:tc>
          <w:tcPr>
            <w:tcW w:w="54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Homes Passed (000’s)</w:t>
            </w:r>
          </w:p>
        </w:tc>
        <w:tc>
          <w:tcPr>
            <w:tcW w:w="540" w:type="dxa"/>
            <w:vAlign w:val="bottom"/>
          </w:tcPr>
          <w:p>
            <w:pPr>
              <w:spacing w:after="0"/>
              <w:rPr>
                <w:sz w:val="18"/>
                <w:szCs w:val="18"/>
                <w:color w:val="auto"/>
              </w:rPr>
            </w:pPr>
          </w:p>
        </w:tc>
        <w:tc>
          <w:tcPr>
            <w:tcW w:w="860" w:type="dxa"/>
            <w:vAlign w:val="bottom"/>
          </w:tcPr>
          <w:p>
            <w:pPr>
              <w:jc w:val="right"/>
              <w:ind w:right="293"/>
              <w:spacing w:after="0"/>
              <w:rPr>
                <w:sz w:val="20"/>
                <w:szCs w:val="20"/>
                <w:color w:val="auto"/>
              </w:rPr>
            </w:pPr>
            <w:r>
              <w:rPr>
                <w:rFonts w:ascii="Arial" w:cs="Arial" w:eastAsia="Arial" w:hAnsi="Arial"/>
                <w:sz w:val="18"/>
                <w:szCs w:val="18"/>
                <w:color w:val="auto"/>
                <w:w w:val="83"/>
              </w:rPr>
              <w:t>47,400</w:t>
            </w:r>
          </w:p>
        </w:tc>
        <w:tc>
          <w:tcPr>
            <w:tcW w:w="300" w:type="dxa"/>
            <w:vAlign w:val="bottom"/>
          </w:tcPr>
          <w:p>
            <w:pPr>
              <w:spacing w:after="0"/>
              <w:rPr>
                <w:sz w:val="18"/>
                <w:szCs w:val="18"/>
                <w:color w:val="auto"/>
              </w:rPr>
            </w:pPr>
          </w:p>
        </w:tc>
        <w:tc>
          <w:tcPr>
            <w:tcW w:w="860" w:type="dxa"/>
            <w:vAlign w:val="bottom"/>
          </w:tcPr>
          <w:p>
            <w:pPr>
              <w:jc w:val="right"/>
              <w:ind w:right="273"/>
              <w:spacing w:after="0"/>
              <w:rPr>
                <w:sz w:val="20"/>
                <w:szCs w:val="20"/>
                <w:color w:val="auto"/>
              </w:rPr>
            </w:pPr>
            <w:r>
              <w:rPr>
                <w:rFonts w:ascii="Arial" w:cs="Arial" w:eastAsia="Arial" w:hAnsi="Arial"/>
                <w:sz w:val="18"/>
                <w:szCs w:val="18"/>
                <w:color w:val="auto"/>
                <w:w w:val="87"/>
              </w:rPr>
              <w:t>46,700</w:t>
            </w:r>
          </w:p>
        </w:tc>
        <w:tc>
          <w:tcPr>
            <w:tcW w:w="32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47,200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5E5E5"/>
          </w:tcPr>
          <w:p>
            <w:pPr>
              <w:spacing w:after="0"/>
              <w:rPr>
                <w:sz w:val="20"/>
                <w:szCs w:val="20"/>
                <w:color w:val="auto"/>
              </w:rPr>
            </w:pPr>
            <w:r>
              <w:rPr>
                <w:rFonts w:ascii="Arial" w:cs="Arial" w:eastAsia="Arial" w:hAnsi="Arial"/>
                <w:sz w:val="18"/>
                <w:szCs w:val="18"/>
                <w:color w:val="auto"/>
              </w:rPr>
              <w:t>Basic Subscribers (000’s)</w:t>
            </w:r>
          </w:p>
        </w:tc>
        <w:tc>
          <w:tcPr>
            <w:tcW w:w="5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w w:val="83"/>
              </w:rPr>
              <w:t>24,161</w:t>
            </w:r>
          </w:p>
        </w:tc>
        <w:tc>
          <w:tcPr>
            <w:tcW w:w="3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w w:val="87"/>
              </w:rPr>
              <w:t>24,081</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7"/>
              </w:rPr>
              <w:t>24,051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Penetration</w:t>
            </w:r>
          </w:p>
        </w:tc>
        <w:tc>
          <w:tcPr>
            <w:tcW w:w="540" w:type="dxa"/>
            <w:vAlign w:val="bottom"/>
          </w:tcPr>
          <w:p>
            <w:pPr>
              <w:spacing w:after="0"/>
              <w:rPr>
                <w:sz w:val="18"/>
                <w:szCs w:val="18"/>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51.0%</w:t>
            </w:r>
          </w:p>
        </w:tc>
        <w:tc>
          <w:tcPr>
            <w:tcW w:w="300" w:type="dxa"/>
            <w:vAlign w:val="bottom"/>
          </w:tcPr>
          <w:p>
            <w:pPr>
              <w:spacing w:after="0"/>
              <w:rPr>
                <w:sz w:val="18"/>
                <w:szCs w:val="18"/>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51.6%</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5E5E5"/>
          </w:tcPr>
          <w:p>
            <w:pPr>
              <w:spacing w:after="0"/>
              <w:rPr>
                <w:sz w:val="20"/>
                <w:szCs w:val="20"/>
                <w:color w:val="auto"/>
              </w:rPr>
            </w:pPr>
            <w:r>
              <w:rPr>
                <w:rFonts w:ascii="Arial" w:cs="Arial" w:eastAsia="Arial" w:hAnsi="Arial"/>
                <w:sz w:val="18"/>
                <w:szCs w:val="18"/>
                <w:color w:val="auto"/>
              </w:rPr>
              <w:t>Quarterly Net Basic Subscriber Additions (000’s)</w:t>
            </w:r>
          </w:p>
        </w:tc>
        <w:tc>
          <w:tcPr>
            <w:tcW w:w="5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28</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2"/>
        </w:trPr>
        <w:tc>
          <w:tcPr>
            <w:tcW w:w="5620" w:type="dxa"/>
            <w:vAlign w:val="bottom"/>
            <w:gridSpan w:val="2"/>
          </w:tcPr>
          <w:p>
            <w:pPr>
              <w:spacing w:after="0"/>
              <w:rPr>
                <w:sz w:val="20"/>
                <w:szCs w:val="20"/>
                <w:color w:val="auto"/>
              </w:rPr>
            </w:pPr>
            <w:r>
              <w:rPr>
                <w:rFonts w:ascii="Arial" w:cs="Arial" w:eastAsia="Arial" w:hAnsi="Arial"/>
                <w:sz w:val="18"/>
                <w:szCs w:val="18"/>
                <w:color w:val="auto"/>
              </w:rPr>
              <w:t>Digital Subscribers (000’s)</w:t>
            </w:r>
          </w:p>
        </w:tc>
        <w:tc>
          <w:tcPr>
            <w:tcW w:w="540" w:type="dxa"/>
            <w:vAlign w:val="bottom"/>
          </w:tcPr>
          <w:p>
            <w:pPr>
              <w:spacing w:after="0"/>
              <w:rPr>
                <w:sz w:val="24"/>
                <w:szCs w:val="24"/>
                <w:color w:val="auto"/>
              </w:rPr>
            </w:pPr>
          </w:p>
        </w:tc>
        <w:tc>
          <w:tcPr>
            <w:tcW w:w="860" w:type="dxa"/>
            <w:vAlign w:val="bottom"/>
          </w:tcPr>
          <w:p>
            <w:pPr>
              <w:jc w:val="right"/>
              <w:ind w:right="293"/>
              <w:spacing w:after="0"/>
              <w:rPr>
                <w:sz w:val="20"/>
                <w:szCs w:val="20"/>
                <w:color w:val="auto"/>
              </w:rPr>
            </w:pPr>
            <w:r>
              <w:rPr>
                <w:rFonts w:ascii="Arial" w:cs="Arial" w:eastAsia="Arial" w:hAnsi="Arial"/>
                <w:sz w:val="18"/>
                <w:szCs w:val="18"/>
                <w:color w:val="auto"/>
                <w:w w:val="83"/>
              </w:rPr>
              <w:t>12,666</w:t>
            </w:r>
          </w:p>
        </w:tc>
        <w:tc>
          <w:tcPr>
            <w:tcW w:w="300" w:type="dxa"/>
            <w:vAlign w:val="bottom"/>
          </w:tcPr>
          <w:p>
            <w:pPr>
              <w:spacing w:after="0"/>
              <w:rPr>
                <w:sz w:val="24"/>
                <w:szCs w:val="24"/>
                <w:color w:val="auto"/>
              </w:rPr>
            </w:pPr>
          </w:p>
        </w:tc>
        <w:tc>
          <w:tcPr>
            <w:tcW w:w="860" w:type="dxa"/>
            <w:vAlign w:val="bottom"/>
          </w:tcPr>
          <w:p>
            <w:pPr>
              <w:jc w:val="right"/>
              <w:ind w:right="273"/>
              <w:spacing w:after="0"/>
              <w:rPr>
                <w:sz w:val="20"/>
                <w:szCs w:val="20"/>
                <w:color w:val="auto"/>
              </w:rPr>
            </w:pPr>
            <w:r>
              <w:rPr>
                <w:rFonts w:ascii="Arial" w:cs="Arial" w:eastAsia="Arial" w:hAnsi="Arial"/>
                <w:sz w:val="18"/>
                <w:szCs w:val="18"/>
                <w:color w:val="auto"/>
                <w:w w:val="87"/>
              </w:rPr>
              <w:t>10,804</w:t>
            </w:r>
          </w:p>
        </w:tc>
        <w:tc>
          <w:tcPr>
            <w:tcW w:w="320" w:type="dxa"/>
            <w:vAlign w:val="bottom"/>
          </w:tcPr>
          <w:p>
            <w:pPr>
              <w:spacing w:after="0"/>
              <w:rPr>
                <w:sz w:val="24"/>
                <w:szCs w:val="24"/>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12,053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shd w:val="clear" w:color="auto" w:fill="E5E5E5"/>
          </w:tcPr>
          <w:p>
            <w:pPr>
              <w:spacing w:after="0"/>
              <w:rPr>
                <w:sz w:val="20"/>
                <w:szCs w:val="20"/>
                <w:color w:val="auto"/>
              </w:rPr>
            </w:pPr>
            <w:r>
              <w:rPr>
                <w:rFonts w:ascii="Arial" w:cs="Arial" w:eastAsia="Arial" w:hAnsi="Arial"/>
                <w:sz w:val="18"/>
                <w:szCs w:val="18"/>
                <w:color w:val="auto"/>
              </w:rPr>
              <w:t>Digital Penetration</w:t>
            </w:r>
          </w:p>
        </w:tc>
        <w:tc>
          <w:tcPr>
            <w:tcW w:w="5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52.4%</w:t>
            </w:r>
          </w:p>
        </w:tc>
        <w:tc>
          <w:tcPr>
            <w:tcW w:w="3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44.9%</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Quarterly Net Digital Subscriber Additions (000’s)</w:t>
            </w:r>
          </w:p>
        </w:tc>
        <w:tc>
          <w:tcPr>
            <w:tcW w:w="540" w:type="dxa"/>
            <w:vAlign w:val="bottom"/>
          </w:tcPr>
          <w:p>
            <w:pPr>
              <w:spacing w:after="0"/>
              <w:rPr>
                <w:sz w:val="18"/>
                <w:szCs w:val="18"/>
                <w:color w:val="auto"/>
              </w:rPr>
            </w:pPr>
          </w:p>
        </w:tc>
        <w:tc>
          <w:tcPr>
            <w:tcW w:w="860" w:type="dxa"/>
            <w:vAlign w:val="bottom"/>
          </w:tcPr>
          <w:p>
            <w:pPr>
              <w:jc w:val="right"/>
              <w:ind w:right="293"/>
              <w:spacing w:after="0"/>
              <w:rPr>
                <w:sz w:val="20"/>
                <w:szCs w:val="20"/>
                <w:color w:val="auto"/>
              </w:rPr>
            </w:pPr>
            <w:r>
              <w:rPr>
                <w:rFonts w:ascii="Arial" w:cs="Arial" w:eastAsia="Arial" w:hAnsi="Arial"/>
                <w:sz w:val="18"/>
                <w:szCs w:val="18"/>
                <w:color w:val="auto"/>
              </w:rPr>
              <w:t>613</w:t>
            </w:r>
          </w:p>
        </w:tc>
        <w:tc>
          <w:tcPr>
            <w:tcW w:w="300" w:type="dxa"/>
            <w:vAlign w:val="bottom"/>
          </w:tcPr>
          <w:p>
            <w:pPr>
              <w:spacing w:after="0"/>
              <w:rPr>
                <w:sz w:val="18"/>
                <w:szCs w:val="18"/>
                <w:color w:val="auto"/>
              </w:rPr>
            </w:pPr>
          </w:p>
        </w:tc>
        <w:tc>
          <w:tcPr>
            <w:tcW w:w="860" w:type="dxa"/>
            <w:vAlign w:val="bottom"/>
          </w:tcPr>
          <w:p>
            <w:pPr>
              <w:jc w:val="right"/>
              <w:ind w:right="273"/>
              <w:spacing w:after="0"/>
              <w:rPr>
                <w:sz w:val="20"/>
                <w:szCs w:val="20"/>
                <w:color w:val="auto"/>
              </w:rPr>
            </w:pPr>
            <w:r>
              <w:rPr>
                <w:rFonts w:ascii="Arial" w:cs="Arial" w:eastAsia="Arial" w:hAnsi="Arial"/>
                <w:sz w:val="18"/>
                <w:szCs w:val="18"/>
                <w:color w:val="auto"/>
              </w:rPr>
              <w:t>365</w:t>
            </w:r>
          </w:p>
        </w:tc>
        <w:tc>
          <w:tcPr>
            <w:tcW w:w="32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5E5E5"/>
          </w:tcPr>
          <w:p>
            <w:pPr>
              <w:spacing w:after="0"/>
              <w:rPr>
                <w:sz w:val="20"/>
                <w:szCs w:val="20"/>
                <w:color w:val="auto"/>
              </w:rPr>
            </w:pPr>
            <w:r>
              <w:rPr>
                <w:rFonts w:ascii="Arial" w:cs="Arial" w:eastAsia="Arial" w:hAnsi="Arial"/>
                <w:sz w:val="18"/>
                <w:szCs w:val="18"/>
                <w:color w:val="auto"/>
              </w:rPr>
              <w:t>Digital Set-Top Boxes</w:t>
            </w:r>
          </w:p>
        </w:tc>
        <w:tc>
          <w:tcPr>
            <w:tcW w:w="5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w w:val="83"/>
              </w:rPr>
              <w:t>19,492</w:t>
            </w:r>
          </w:p>
        </w:tc>
        <w:tc>
          <w:tcPr>
            <w:tcW w:w="3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w w:val="87"/>
              </w:rPr>
              <w:t>16,450</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7"/>
              </w:rPr>
              <w:t>18,440</w:t>
            </w:r>
          </w:p>
        </w:tc>
        <w:tc>
          <w:tcPr>
            <w:tcW w:w="0" w:type="dxa"/>
            <w:vAlign w:val="bottom"/>
          </w:tcPr>
          <w:p>
            <w:pPr>
              <w:spacing w:after="0"/>
              <w:rPr>
                <w:sz w:val="1"/>
                <w:szCs w:val="1"/>
                <w:color w:val="auto"/>
              </w:rPr>
            </w:pPr>
          </w:p>
        </w:tc>
      </w:tr>
      <w:tr>
        <w:trPr>
          <w:trHeight w:val="322"/>
        </w:trPr>
        <w:tc>
          <w:tcPr>
            <w:tcW w:w="5620" w:type="dxa"/>
            <w:vAlign w:val="bottom"/>
            <w:gridSpan w:val="2"/>
          </w:tcPr>
          <w:p>
            <w:pPr>
              <w:spacing w:after="0"/>
              <w:rPr>
                <w:sz w:val="20"/>
                <w:szCs w:val="20"/>
                <w:color w:val="auto"/>
              </w:rPr>
            </w:pPr>
            <w:r>
              <w:rPr>
                <w:rFonts w:ascii="Arial" w:cs="Arial" w:eastAsia="Arial" w:hAnsi="Arial"/>
                <w:sz w:val="18"/>
                <w:szCs w:val="18"/>
                <w:color w:val="auto"/>
              </w:rPr>
              <w:t>Monthly Average Video Revenue per Basic Subscriber</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93"/>
              <w:spacing w:after="0"/>
              <w:rPr>
                <w:sz w:val="20"/>
                <w:szCs w:val="20"/>
                <w:color w:val="auto"/>
              </w:rPr>
            </w:pPr>
            <w:r>
              <w:rPr>
                <w:rFonts w:ascii="Arial" w:cs="Arial" w:eastAsia="Arial" w:hAnsi="Arial"/>
                <w:sz w:val="18"/>
                <w:szCs w:val="18"/>
                <w:color w:val="auto"/>
              </w:rPr>
              <w:t>58.41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3"/>
              <w:spacing w:after="0"/>
              <w:rPr>
                <w:sz w:val="20"/>
                <w:szCs w:val="20"/>
                <w:color w:val="auto"/>
              </w:rPr>
            </w:pPr>
            <w:r>
              <w:rPr>
                <w:rFonts w:ascii="Arial" w:cs="Arial" w:eastAsia="Arial" w:hAnsi="Arial"/>
                <w:sz w:val="18"/>
                <w:szCs w:val="18"/>
                <w:color w:val="auto"/>
              </w:rPr>
              <w:t>53.54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57.75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shd w:val="clear" w:color="auto" w:fill="E5E5E5"/>
          </w:tcPr>
          <w:p>
            <w:pPr>
              <w:spacing w:after="0"/>
              <w:rPr>
                <w:sz w:val="20"/>
                <w:szCs w:val="20"/>
                <w:color w:val="auto"/>
              </w:rPr>
            </w:pPr>
            <w:r>
              <w:rPr>
                <w:rFonts w:ascii="Arial" w:cs="Arial" w:eastAsia="Arial" w:hAnsi="Arial"/>
                <w:sz w:val="18"/>
                <w:szCs w:val="18"/>
                <w:color w:val="auto"/>
              </w:rPr>
              <w:t>Monthly Average Total Revenue per Basic Subscriber</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95.34</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83.51</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91.89</w:t>
            </w:r>
          </w:p>
        </w:tc>
        <w:tc>
          <w:tcPr>
            <w:tcW w:w="0" w:type="dxa"/>
            <w:vAlign w:val="bottom"/>
          </w:tcPr>
          <w:p>
            <w:pPr>
              <w:spacing w:after="0"/>
              <w:rPr>
                <w:sz w:val="1"/>
                <w:szCs w:val="1"/>
                <w:color w:val="auto"/>
              </w:rPr>
            </w:pPr>
          </w:p>
        </w:tc>
      </w:tr>
      <w:tr>
        <w:trPr>
          <w:trHeight w:val="322"/>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High-Speed Internet</w:t>
            </w: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shd w:val="clear" w:color="auto" w:fill="E5E5E5"/>
          </w:tcPr>
          <w:p>
            <w:pPr>
              <w:spacing w:after="0"/>
              <w:rPr>
                <w:sz w:val="20"/>
                <w:szCs w:val="20"/>
                <w:color w:val="auto"/>
              </w:rPr>
            </w:pPr>
            <w:r>
              <w:rPr>
                <w:rFonts w:ascii="Arial" w:cs="Arial" w:eastAsia="Arial" w:hAnsi="Arial"/>
                <w:sz w:val="18"/>
                <w:szCs w:val="18"/>
                <w:color w:val="auto"/>
              </w:rPr>
              <w:t>“Available” Homes (000’s)</w:t>
            </w:r>
          </w:p>
        </w:tc>
        <w:tc>
          <w:tcPr>
            <w:tcW w:w="5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w w:val="83"/>
              </w:rPr>
              <w:t>46,902</w:t>
            </w:r>
          </w:p>
        </w:tc>
        <w:tc>
          <w:tcPr>
            <w:tcW w:w="3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w w:val="87"/>
              </w:rPr>
              <w:t>45,912</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7"/>
              </w:rPr>
              <w:t>46,731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Subscribers (000’s)</w:t>
            </w:r>
          </w:p>
        </w:tc>
        <w:tc>
          <w:tcPr>
            <w:tcW w:w="540" w:type="dxa"/>
            <w:vAlign w:val="bottom"/>
          </w:tcPr>
          <w:p>
            <w:pPr>
              <w:spacing w:after="0"/>
              <w:rPr>
                <w:sz w:val="18"/>
                <w:szCs w:val="18"/>
                <w:color w:val="auto"/>
              </w:rPr>
            </w:pPr>
          </w:p>
        </w:tc>
        <w:tc>
          <w:tcPr>
            <w:tcW w:w="860" w:type="dxa"/>
            <w:vAlign w:val="bottom"/>
          </w:tcPr>
          <w:p>
            <w:pPr>
              <w:jc w:val="right"/>
              <w:ind w:right="293"/>
              <w:spacing w:after="0"/>
              <w:rPr>
                <w:sz w:val="20"/>
                <w:szCs w:val="20"/>
                <w:color w:val="auto"/>
              </w:rPr>
            </w:pPr>
            <w:r>
              <w:rPr>
                <w:rFonts w:ascii="Arial" w:cs="Arial" w:eastAsia="Arial" w:hAnsi="Arial"/>
                <w:sz w:val="18"/>
                <w:szCs w:val="18"/>
                <w:color w:val="auto"/>
                <w:w w:val="83"/>
              </w:rPr>
              <w:t>11,487</w:t>
            </w:r>
          </w:p>
        </w:tc>
        <w:tc>
          <w:tcPr>
            <w:tcW w:w="300" w:type="dxa"/>
            <w:vAlign w:val="bottom"/>
          </w:tcPr>
          <w:p>
            <w:pPr>
              <w:spacing w:after="0"/>
              <w:rPr>
                <w:sz w:val="18"/>
                <w:szCs w:val="18"/>
                <w:color w:val="auto"/>
              </w:rPr>
            </w:pPr>
          </w:p>
        </w:tc>
        <w:tc>
          <w:tcPr>
            <w:tcW w:w="860" w:type="dxa"/>
            <w:vAlign w:val="bottom"/>
          </w:tcPr>
          <w:p>
            <w:pPr>
              <w:jc w:val="right"/>
              <w:ind w:right="273"/>
              <w:spacing w:after="0"/>
              <w:rPr>
                <w:sz w:val="20"/>
                <w:szCs w:val="20"/>
                <w:color w:val="auto"/>
              </w:rPr>
            </w:pPr>
            <w:r>
              <w:rPr>
                <w:rFonts w:ascii="Arial" w:cs="Arial" w:eastAsia="Arial" w:hAnsi="Arial"/>
                <w:sz w:val="18"/>
                <w:szCs w:val="18"/>
                <w:color w:val="auto"/>
              </w:rPr>
              <w:t>9,619</w:t>
            </w:r>
          </w:p>
        </w:tc>
        <w:tc>
          <w:tcPr>
            <w:tcW w:w="32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5E5E5"/>
          </w:tcPr>
          <w:p>
            <w:pPr>
              <w:spacing w:after="0"/>
              <w:rPr>
                <w:sz w:val="20"/>
                <w:szCs w:val="20"/>
                <w:color w:val="auto"/>
              </w:rPr>
            </w:pPr>
            <w:r>
              <w:rPr>
                <w:rFonts w:ascii="Arial" w:cs="Arial" w:eastAsia="Arial" w:hAnsi="Arial"/>
                <w:sz w:val="18"/>
                <w:szCs w:val="18"/>
                <w:color w:val="auto"/>
              </w:rPr>
              <w:t>Penetration</w:t>
            </w:r>
          </w:p>
        </w:tc>
        <w:tc>
          <w:tcPr>
            <w:tcW w:w="5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24.5%</w:t>
            </w:r>
          </w:p>
        </w:tc>
        <w:tc>
          <w:tcPr>
            <w:tcW w:w="3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21.0%</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Quarterly Net Subscriber Additions (000’s)</w:t>
            </w:r>
          </w:p>
        </w:tc>
        <w:tc>
          <w:tcPr>
            <w:tcW w:w="540" w:type="dxa"/>
            <w:vAlign w:val="bottom"/>
          </w:tcPr>
          <w:p>
            <w:pPr>
              <w:spacing w:after="0"/>
              <w:rPr>
                <w:sz w:val="18"/>
                <w:szCs w:val="18"/>
                <w:color w:val="auto"/>
              </w:rPr>
            </w:pPr>
          </w:p>
        </w:tc>
        <w:tc>
          <w:tcPr>
            <w:tcW w:w="860" w:type="dxa"/>
            <w:vAlign w:val="bottom"/>
          </w:tcPr>
          <w:p>
            <w:pPr>
              <w:jc w:val="right"/>
              <w:ind w:right="293"/>
              <w:spacing w:after="0"/>
              <w:rPr>
                <w:sz w:val="20"/>
                <w:szCs w:val="20"/>
                <w:color w:val="auto"/>
              </w:rPr>
            </w:pPr>
            <w:r>
              <w:rPr>
                <w:rFonts w:ascii="Arial" w:cs="Arial" w:eastAsia="Arial" w:hAnsi="Arial"/>
                <w:sz w:val="18"/>
                <w:szCs w:val="18"/>
                <w:color w:val="auto"/>
              </w:rPr>
              <w:t>488</w:t>
            </w:r>
          </w:p>
        </w:tc>
        <w:tc>
          <w:tcPr>
            <w:tcW w:w="300" w:type="dxa"/>
            <w:vAlign w:val="bottom"/>
          </w:tcPr>
          <w:p>
            <w:pPr>
              <w:spacing w:after="0"/>
              <w:rPr>
                <w:sz w:val="18"/>
                <w:szCs w:val="18"/>
                <w:color w:val="auto"/>
              </w:rPr>
            </w:pPr>
          </w:p>
        </w:tc>
        <w:tc>
          <w:tcPr>
            <w:tcW w:w="860" w:type="dxa"/>
            <w:vAlign w:val="bottom"/>
          </w:tcPr>
          <w:p>
            <w:pPr>
              <w:jc w:val="right"/>
              <w:ind w:right="273"/>
              <w:spacing w:after="0"/>
              <w:rPr>
                <w:sz w:val="20"/>
                <w:szCs w:val="20"/>
                <w:color w:val="auto"/>
              </w:rPr>
            </w:pPr>
            <w:r>
              <w:rPr>
                <w:rFonts w:ascii="Arial" w:cs="Arial" w:eastAsia="Arial" w:hAnsi="Arial"/>
                <w:sz w:val="18"/>
                <w:szCs w:val="18"/>
                <w:color w:val="auto"/>
              </w:rPr>
              <w:t>436</w:t>
            </w:r>
          </w:p>
        </w:tc>
        <w:tc>
          <w:tcPr>
            <w:tcW w:w="32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5E5E5"/>
          </w:tcPr>
          <w:p>
            <w:pPr>
              <w:spacing w:after="0"/>
              <w:rPr>
                <w:sz w:val="20"/>
                <w:szCs w:val="20"/>
                <w:color w:val="auto"/>
              </w:rPr>
            </w:pPr>
            <w:r>
              <w:rPr>
                <w:rFonts w:ascii="Arial" w:cs="Arial" w:eastAsia="Arial" w:hAnsi="Arial"/>
                <w:sz w:val="18"/>
                <w:szCs w:val="18"/>
                <w:color w:val="auto"/>
              </w:rPr>
              <w:t>Monthly Average Revenue per Subscriber</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43.12</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41.99</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323"/>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Phone</w:t>
            </w: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Comcast Digital Voice</w:t>
            </w:r>
          </w:p>
        </w:tc>
        <w:tc>
          <w:tcPr>
            <w:tcW w:w="54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“Available” Homes (000’s)</w:t>
            </w:r>
          </w:p>
        </w:tc>
        <w:tc>
          <w:tcPr>
            <w:tcW w:w="540" w:type="dxa"/>
            <w:vAlign w:val="bottom"/>
          </w:tcPr>
          <w:p>
            <w:pPr>
              <w:spacing w:after="0"/>
              <w:rPr>
                <w:sz w:val="18"/>
                <w:szCs w:val="18"/>
                <w:color w:val="auto"/>
              </w:rPr>
            </w:pPr>
          </w:p>
        </w:tc>
        <w:tc>
          <w:tcPr>
            <w:tcW w:w="860" w:type="dxa"/>
            <w:vAlign w:val="bottom"/>
          </w:tcPr>
          <w:p>
            <w:pPr>
              <w:jc w:val="right"/>
              <w:ind w:right="293"/>
              <w:spacing w:after="0"/>
              <w:rPr>
                <w:sz w:val="20"/>
                <w:szCs w:val="20"/>
                <w:color w:val="auto"/>
              </w:rPr>
            </w:pPr>
            <w:r>
              <w:rPr>
                <w:rFonts w:ascii="Arial" w:cs="Arial" w:eastAsia="Arial" w:hAnsi="Arial"/>
                <w:sz w:val="18"/>
                <w:szCs w:val="18"/>
                <w:color w:val="auto"/>
                <w:w w:val="83"/>
              </w:rPr>
              <w:t>32,435</w:t>
            </w:r>
          </w:p>
        </w:tc>
        <w:tc>
          <w:tcPr>
            <w:tcW w:w="300" w:type="dxa"/>
            <w:vAlign w:val="bottom"/>
          </w:tcPr>
          <w:p>
            <w:pPr>
              <w:spacing w:after="0"/>
              <w:rPr>
                <w:sz w:val="18"/>
                <w:szCs w:val="18"/>
                <w:color w:val="auto"/>
              </w:rPr>
            </w:pPr>
          </w:p>
        </w:tc>
        <w:tc>
          <w:tcPr>
            <w:tcW w:w="860" w:type="dxa"/>
            <w:vAlign w:val="bottom"/>
          </w:tcPr>
          <w:p>
            <w:pPr>
              <w:jc w:val="right"/>
              <w:ind w:right="273"/>
              <w:spacing w:after="0"/>
              <w:rPr>
                <w:sz w:val="20"/>
                <w:szCs w:val="20"/>
                <w:color w:val="auto"/>
              </w:rPr>
            </w:pPr>
            <w:r>
              <w:rPr>
                <w:rFonts w:ascii="Arial" w:cs="Arial" w:eastAsia="Arial" w:hAnsi="Arial"/>
                <w:sz w:val="18"/>
                <w:szCs w:val="18"/>
                <w:color w:val="auto"/>
                <w:w w:val="87"/>
              </w:rPr>
              <w:t>18,580</w:t>
            </w:r>
          </w:p>
        </w:tc>
        <w:tc>
          <w:tcPr>
            <w:tcW w:w="32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30,800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Subscribers (000’s)</w:t>
            </w:r>
          </w:p>
        </w:tc>
        <w:tc>
          <w:tcPr>
            <w:tcW w:w="5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1,855</w:t>
            </w:r>
          </w:p>
        </w:tc>
        <w:tc>
          <w:tcPr>
            <w:tcW w:w="3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306</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Penetration</w:t>
            </w:r>
          </w:p>
        </w:tc>
        <w:tc>
          <w:tcPr>
            <w:tcW w:w="540" w:type="dxa"/>
            <w:vAlign w:val="bottom"/>
          </w:tcPr>
          <w:p>
            <w:pPr>
              <w:spacing w:after="0"/>
              <w:rPr>
                <w:sz w:val="18"/>
                <w:szCs w:val="18"/>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Quarterly Net Subscriber Additions (000’s)</w:t>
            </w:r>
          </w:p>
        </w:tc>
        <w:tc>
          <w:tcPr>
            <w:tcW w:w="5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508</w:t>
            </w:r>
          </w:p>
        </w:tc>
        <w:tc>
          <w:tcPr>
            <w:tcW w:w="3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147</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Circuit Switched Phone</w:t>
            </w:r>
          </w:p>
        </w:tc>
        <w:tc>
          <w:tcPr>
            <w:tcW w:w="54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“Available” Homes (000’s)</w:t>
            </w:r>
          </w:p>
        </w:tc>
        <w:tc>
          <w:tcPr>
            <w:tcW w:w="540" w:type="dxa"/>
            <w:vAlign w:val="bottom"/>
          </w:tcPr>
          <w:p>
            <w:pPr>
              <w:spacing w:after="0"/>
              <w:rPr>
                <w:sz w:val="18"/>
                <w:szCs w:val="18"/>
                <w:color w:val="auto"/>
              </w:rPr>
            </w:pPr>
          </w:p>
        </w:tc>
        <w:tc>
          <w:tcPr>
            <w:tcW w:w="860" w:type="dxa"/>
            <w:vAlign w:val="bottom"/>
          </w:tcPr>
          <w:p>
            <w:pPr>
              <w:jc w:val="right"/>
              <w:ind w:right="293"/>
              <w:spacing w:after="0"/>
              <w:rPr>
                <w:sz w:val="20"/>
                <w:szCs w:val="20"/>
                <w:color w:val="auto"/>
              </w:rPr>
            </w:pPr>
            <w:r>
              <w:rPr>
                <w:rFonts w:ascii="Arial" w:cs="Arial" w:eastAsia="Arial" w:hAnsi="Arial"/>
                <w:sz w:val="18"/>
                <w:szCs w:val="18"/>
                <w:color w:val="auto"/>
              </w:rPr>
              <w:t>8,866</w:t>
            </w:r>
          </w:p>
        </w:tc>
        <w:tc>
          <w:tcPr>
            <w:tcW w:w="300" w:type="dxa"/>
            <w:vAlign w:val="bottom"/>
          </w:tcPr>
          <w:p>
            <w:pPr>
              <w:spacing w:after="0"/>
              <w:rPr>
                <w:sz w:val="18"/>
                <w:szCs w:val="18"/>
                <w:color w:val="auto"/>
              </w:rPr>
            </w:pPr>
          </w:p>
        </w:tc>
        <w:tc>
          <w:tcPr>
            <w:tcW w:w="860" w:type="dxa"/>
            <w:vAlign w:val="bottom"/>
          </w:tcPr>
          <w:p>
            <w:pPr>
              <w:jc w:val="right"/>
              <w:ind w:right="273"/>
              <w:spacing w:after="0"/>
              <w:rPr>
                <w:sz w:val="20"/>
                <w:szCs w:val="20"/>
                <w:color w:val="auto"/>
              </w:rPr>
            </w:pPr>
            <w:r>
              <w:rPr>
                <w:rFonts w:ascii="Arial" w:cs="Arial" w:eastAsia="Arial" w:hAnsi="Arial"/>
                <w:sz w:val="18"/>
                <w:szCs w:val="18"/>
                <w:color w:val="auto"/>
              </w:rPr>
              <w:t>8,462</w:t>
            </w:r>
          </w:p>
        </w:tc>
        <w:tc>
          <w:tcPr>
            <w:tcW w:w="32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8,858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Subscribers (000’s)</w:t>
            </w:r>
          </w:p>
        </w:tc>
        <w:tc>
          <w:tcPr>
            <w:tcW w:w="5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652</w:t>
            </w:r>
          </w:p>
        </w:tc>
        <w:tc>
          <w:tcPr>
            <w:tcW w:w="3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986</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Penetration</w:t>
            </w:r>
          </w:p>
        </w:tc>
        <w:tc>
          <w:tcPr>
            <w:tcW w:w="540" w:type="dxa"/>
            <w:vAlign w:val="bottom"/>
          </w:tcPr>
          <w:p>
            <w:pPr>
              <w:spacing w:after="0"/>
              <w:rPr>
                <w:sz w:val="18"/>
                <w:szCs w:val="18"/>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Quarterly Net Subscriber Additions (000’s)</w:t>
            </w:r>
          </w:p>
        </w:tc>
        <w:tc>
          <w:tcPr>
            <w:tcW w:w="5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(87)</w:t>
            </w:r>
          </w:p>
        </w:tc>
        <w:tc>
          <w:tcPr>
            <w:tcW w:w="3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(56)</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322"/>
        </w:trPr>
        <w:tc>
          <w:tcPr>
            <w:tcW w:w="5620" w:type="dxa"/>
            <w:vAlign w:val="bottom"/>
            <w:gridSpan w:val="2"/>
          </w:tcPr>
          <w:p>
            <w:pPr>
              <w:spacing w:after="0"/>
              <w:rPr>
                <w:sz w:val="20"/>
                <w:szCs w:val="20"/>
                <w:color w:val="auto"/>
              </w:rPr>
            </w:pPr>
            <w:r>
              <w:rPr>
                <w:rFonts w:ascii="Arial" w:cs="Arial" w:eastAsia="Arial" w:hAnsi="Arial"/>
                <w:sz w:val="18"/>
                <w:szCs w:val="18"/>
                <w:color w:val="auto"/>
              </w:rPr>
              <w:t>Monthly Average Total Phone Revenue per Subscriber</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93"/>
              <w:spacing w:after="0"/>
              <w:rPr>
                <w:sz w:val="20"/>
                <w:szCs w:val="20"/>
                <w:color w:val="auto"/>
              </w:rPr>
            </w:pPr>
            <w:r>
              <w:rPr>
                <w:rFonts w:ascii="Arial" w:cs="Arial" w:eastAsia="Arial" w:hAnsi="Arial"/>
                <w:sz w:val="18"/>
                <w:szCs w:val="18"/>
                <w:color w:val="auto"/>
              </w:rPr>
              <w:t>43.92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3"/>
              <w:spacing w:after="0"/>
              <w:rPr>
                <w:sz w:val="20"/>
                <w:szCs w:val="20"/>
                <w:color w:val="auto"/>
              </w:rPr>
            </w:pPr>
            <w:r>
              <w:rPr>
                <w:rFonts w:ascii="Arial" w:cs="Arial" w:eastAsia="Arial" w:hAnsi="Arial"/>
                <w:sz w:val="18"/>
                <w:szCs w:val="18"/>
                <w:color w:val="auto"/>
              </w:rPr>
              <w:t>46.20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5E5E5"/>
          </w:tcPr>
          <w:p>
            <w:pPr>
              <w:spacing w:after="0"/>
              <w:rPr>
                <w:sz w:val="20"/>
                <w:szCs w:val="20"/>
                <w:color w:val="auto"/>
              </w:rPr>
            </w:pPr>
            <w:r>
              <w:rPr>
                <w:rFonts w:ascii="Arial" w:cs="Arial" w:eastAsia="Arial" w:hAnsi="Arial"/>
                <w:sz w:val="18"/>
                <w:szCs w:val="18"/>
                <w:color w:val="auto"/>
              </w:rPr>
              <w:t>Total Revenue Generating Units (000’s) (6)</w:t>
            </w:r>
          </w:p>
        </w:tc>
        <w:tc>
          <w:tcPr>
            <w:tcW w:w="5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w w:val="83"/>
              </w:rPr>
              <w:t>50,822</w:t>
            </w:r>
          </w:p>
        </w:tc>
        <w:tc>
          <w:tcPr>
            <w:tcW w:w="3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w w:val="87"/>
              </w:rPr>
              <w:t>45,796</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7"/>
              </w:rPr>
              <w:t>49,190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Quarterly Net Additions</w:t>
            </w:r>
          </w:p>
        </w:tc>
        <w:tc>
          <w:tcPr>
            <w:tcW w:w="540" w:type="dxa"/>
            <w:vAlign w:val="bottom"/>
          </w:tcPr>
          <w:p>
            <w:pPr>
              <w:spacing w:after="0"/>
              <w:rPr>
                <w:sz w:val="19"/>
                <w:szCs w:val="19"/>
                <w:color w:val="auto"/>
              </w:rPr>
            </w:pPr>
          </w:p>
        </w:tc>
        <w:tc>
          <w:tcPr>
            <w:tcW w:w="860" w:type="dxa"/>
            <w:vAlign w:val="bottom"/>
          </w:tcPr>
          <w:p>
            <w:pPr>
              <w:jc w:val="right"/>
              <w:ind w:right="293"/>
              <w:spacing w:after="0"/>
              <w:rPr>
                <w:sz w:val="20"/>
                <w:szCs w:val="20"/>
                <w:color w:val="auto"/>
              </w:rPr>
            </w:pPr>
            <w:r>
              <w:rPr>
                <w:rFonts w:ascii="Arial" w:cs="Arial" w:eastAsia="Arial" w:hAnsi="Arial"/>
                <w:sz w:val="18"/>
                <w:szCs w:val="18"/>
                <w:color w:val="auto"/>
              </w:rPr>
              <w:t>1,632</w:t>
            </w:r>
          </w:p>
        </w:tc>
        <w:tc>
          <w:tcPr>
            <w:tcW w:w="300" w:type="dxa"/>
            <w:vAlign w:val="bottom"/>
          </w:tcPr>
          <w:p>
            <w:pPr>
              <w:spacing w:after="0"/>
              <w:rPr>
                <w:sz w:val="19"/>
                <w:szCs w:val="19"/>
                <w:color w:val="auto"/>
              </w:rPr>
            </w:pPr>
          </w:p>
        </w:tc>
        <w:tc>
          <w:tcPr>
            <w:tcW w:w="860" w:type="dxa"/>
            <w:vAlign w:val="bottom"/>
          </w:tcPr>
          <w:p>
            <w:pPr>
              <w:jc w:val="right"/>
              <w:ind w:right="273"/>
              <w:spacing w:after="0"/>
              <w:rPr>
                <w:sz w:val="20"/>
                <w:szCs w:val="20"/>
                <w:color w:val="auto"/>
              </w:rPr>
            </w:pPr>
            <w:r>
              <w:rPr>
                <w:rFonts w:ascii="Arial" w:cs="Arial" w:eastAsia="Arial" w:hAnsi="Arial"/>
                <w:sz w:val="18"/>
                <w:szCs w:val="18"/>
                <w:color w:val="auto"/>
              </w:rPr>
              <w:t>920</w:t>
            </w:r>
          </w:p>
        </w:tc>
        <w:tc>
          <w:tcPr>
            <w:tcW w:w="320" w:type="dxa"/>
            <w:vAlign w:val="bottom"/>
          </w:tcPr>
          <w:p>
            <w:pPr>
              <w:spacing w:after="0"/>
              <w:rPr>
                <w:sz w:val="19"/>
                <w:szCs w:val="19"/>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Non-GAAP and Other Financial Measures in Table 7. All percentages are calculated based on actual amounts. Minor differences may exist due to rounding.</w:t>
      </w:r>
    </w:p>
    <w:p>
      <w:pPr>
        <w:spacing w:after="0" w:line="50" w:lineRule="exact"/>
        <w:rPr>
          <w:rFonts w:ascii="Arial" w:cs="Arial" w:eastAsia="Arial" w:hAnsi="Arial"/>
          <w:sz w:val="18"/>
          <w:szCs w:val="18"/>
          <w:color w:val="auto"/>
        </w:rPr>
      </w:pPr>
    </w:p>
    <w:p>
      <w:pPr>
        <w:jc w:val="both"/>
        <w:ind w:left="460" w:hanging="452"/>
        <w:spacing w:after="0" w:line="306"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 forma financial data includes the results of Susquehanna Communications acquired on April 30, 2006, cable systems acquired in the Adelphia/Time Warner transactions on July 31, 2006, and cable systems serving Houston, Texas included as a result of the dissolution of our cable partnership with Time Warner, which was initiated in July 2006. The net impact of these transactions was to increase the number of basic cable subscribers by 2.6 million.</w:t>
      </w:r>
    </w:p>
    <w:p>
      <w:pPr>
        <w:spacing w:after="0" w:line="147" w:lineRule="exact"/>
        <w:rPr>
          <w:rFonts w:ascii="Arial" w:cs="Arial" w:eastAsia="Arial" w:hAnsi="Arial"/>
          <w:sz w:val="16"/>
          <w:szCs w:val="16"/>
          <w:color w:val="auto"/>
        </w:rPr>
      </w:pPr>
    </w:p>
    <w:p>
      <w:pPr>
        <w:ind w:left="460" w:right="20"/>
        <w:spacing w:after="0" w:line="268" w:lineRule="auto"/>
        <w:rPr>
          <w:rFonts w:ascii="Arial" w:cs="Arial" w:eastAsia="Arial" w:hAnsi="Arial"/>
          <w:sz w:val="16"/>
          <w:szCs w:val="16"/>
          <w:color w:val="auto"/>
        </w:rPr>
      </w:pPr>
      <w:r>
        <w:rPr>
          <w:rFonts w:ascii="Arial" w:cs="Arial" w:eastAsia="Arial" w:hAnsi="Arial"/>
          <w:sz w:val="18"/>
          <w:szCs w:val="18"/>
          <w:color w:val="auto"/>
        </w:rPr>
        <w:t>Pro forma subscriber data also includes 13,000 subscribers acquired in various small acquisitions during 2005. The impact of these acquisitions on our segment operating results was not material.</w:t>
      </w:r>
    </w:p>
    <w:p>
      <w:pPr>
        <w:spacing w:after="0" w:line="50"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Video revenues consist of our basic, expanded basic, digital, premium, pay-per-view and equipment services.</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revenues include installation revenues, guide revenues, commissions from electronic retailing, other product offerings, commercial data services and revenues of our digital media center and regional sports programming networks.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as if stock options had been expensed in 2005.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the sum of basic and digital video, high-speed Internet and net phone subscribers, excluding additional outlets. Subscriptions to DVR and/or</w:t>
      </w:r>
    </w:p>
    <w:p>
      <w:pPr>
        <w:sectPr>
          <w:pgSz w:w="11900" w:h="16838" w:orient="portrait"/>
          <w:cols w:equalWidth="0" w:num="1">
            <w:col w:w="11420"/>
          </w:cols>
          <w:pgMar w:left="240" w:top="971" w:right="239" w:bottom="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HDTV services by existing Comcast Digital customers do not result in additional RGUs.</w:t>
      </w:r>
    </w:p>
    <w:p>
      <w:pPr>
        <w:sectPr>
          <w:pgSz w:w="11900" w:h="16838" w:orient="portrait"/>
          <w:cols w:equalWidth="0" w:num="1">
            <w:col w:w="9759"/>
          </w:cols>
          <w:pgMar w:left="700" w:top="131" w:right="1440" w:bottom="1440" w:gutter="0" w:footer="0" w:header="0"/>
        </w:sectPr>
      </w:pPr>
    </w:p>
    <w:p>
      <w:pPr>
        <w:spacing w:after="0" w:line="192"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759"/>
          </w:cols>
          <w:pgMar w:left="700" w:top="131" w:right="1440"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7</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and Other Financial Measures</w:t>
      </w:r>
    </w:p>
    <w:p>
      <w:pPr>
        <w:spacing w:after="0" w:line="17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Operating Cash Flow is the primary basis used to measure the operational strength and performance of our businesses. Free Cash Flow is an additional performance measure used as an indicator of our ability to repay debt, make investments and return capital to investors, principally through stock repurchases. We also adjust certain historical data on a pro forma basis following significant acquisitions or dispositions to enhance comparability.</w:t>
      </w:r>
    </w:p>
    <w:p>
      <w:pPr>
        <w:spacing w:after="0" w:line="10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Operating Cash Flow is defined as operating income before depreciation and amortization, excluding impairment charges related to fixed and intangible assets and gains or losses on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performance measure in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Operating Cash Flow is the measure of our segment profit or loss, we reconcile it to operating income, the most directly comparable financial measure calculated and presented in accordance with generally accepted accounting principles in the United States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Beginning in 2006, we changed our definition of Free Cash Flow, which is a non-GAAP financial measure, to mean “Net Cash Provided by Operating Activities From Continuing Operations” (as stated in our Consolidated Statement of Cash Flows) reduced by capital expenditures and cash paid for intangible assets; and increased by any payments related to certain non-operating items, net of estimated tax benefits (such as income taxes on investment sales, and non-recurring payments related to income tax and litigation contingencies of acquired companies). We believe that Free Cash Flow is also useful to investors as it is one of the bases for comparing our performance with other companies in our industries, although our measure of Free Cash Flow may not be comparable to similar measures used by other companies.</w:t>
      </w:r>
    </w:p>
    <w:p>
      <w:pPr>
        <w:spacing w:after="0" w:line="14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Pro forma data is used by management to evaluate performance when significant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certain circumstances we also present data, as adjusted, in order to enhance comparability between periods. In connection with the adoption of FAS 123R, we have adjusted 2005 data as if stock options had been expensed.</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Operating Cash Flow and Free Cash Flow should not be considered as substitutes for operating income (loss), net income (loss), net cash provided by operating activities or other measures of performance or liquidity reported in accordance with GAAP. Additionally, in the opinion of management, our pro forma data is not necessarily indicative of future results or what results would have been had the acquired businesses been operated by us after the assumed earlier date.</w:t>
      </w:r>
    </w:p>
    <w:p>
      <w:pPr>
        <w:spacing w:after="0" w:line="10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provide reconciliations of Consolidated Operating Cash Flow in Table 1, Free Cash Flow in Table 4, Pro Forma and “As Adjusted” in Tables 7-A and 7-B, and Adjusted Net Income in Table 7-C.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97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7-A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Pro Forma (1), “As Adjusted” Financial Data by Business Segment</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vMerge w:val="restart"/>
          </w:tcPr>
          <w:p>
            <w:pPr>
              <w:jc w:val="center"/>
              <w:ind w:right="274"/>
              <w:spacing w:after="0"/>
              <w:rPr>
                <w:sz w:val="20"/>
                <w:szCs w:val="20"/>
                <w:color w:val="auto"/>
              </w:rPr>
            </w:pPr>
            <w:r>
              <w:rPr>
                <w:rFonts w:ascii="Arial" w:cs="Arial" w:eastAsia="Arial" w:hAnsi="Arial"/>
                <w:sz w:val="14"/>
                <w:szCs w:val="14"/>
                <w:b w:val="1"/>
                <w:bCs w:val="1"/>
                <w:color w:val="auto"/>
                <w:w w:val="90"/>
              </w:rPr>
              <w:t>Corporate,</w:t>
            </w:r>
          </w:p>
        </w:tc>
        <w:tc>
          <w:tcPr>
            <w:tcW w:w="20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Cable</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ind w:right="274"/>
              <w:spacing w:after="0" w:line="149" w:lineRule="exact"/>
              <w:rPr>
                <w:sz w:val="20"/>
                <w:szCs w:val="20"/>
                <w:color w:val="auto"/>
              </w:rPr>
            </w:pPr>
            <w:r>
              <w:rPr>
                <w:rFonts w:ascii="Arial" w:cs="Arial" w:eastAsia="Arial" w:hAnsi="Arial"/>
                <w:sz w:val="14"/>
                <w:szCs w:val="14"/>
                <w:b w:val="1"/>
                <w:bCs w:val="1"/>
                <w:color w:val="auto"/>
                <w:w w:val="90"/>
              </w:rPr>
              <w:t>Other and</w:t>
            </w:r>
          </w:p>
        </w:tc>
        <w:tc>
          <w:tcPr>
            <w:tcW w:w="20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jc w:val="right"/>
              <w:ind w:right="374"/>
              <w:spacing w:after="0" w:line="149" w:lineRule="exact"/>
              <w:rPr>
                <w:sz w:val="20"/>
                <w:szCs w:val="20"/>
                <w:color w:val="auto"/>
              </w:rPr>
            </w:pPr>
            <w:r>
              <w:rPr>
                <w:rFonts w:ascii="Arial" w:cs="Arial" w:eastAsia="Arial" w:hAnsi="Arial"/>
                <w:sz w:val="14"/>
                <w:szCs w:val="14"/>
                <w:b w:val="1"/>
                <w:bCs w:val="1"/>
                <w:color w:val="auto"/>
                <w:w w:val="94"/>
              </w:rPr>
              <w:t>Pro Forma</w:t>
            </w:r>
          </w:p>
        </w:tc>
        <w:tc>
          <w:tcPr>
            <w:tcW w:w="180" w:type="dxa"/>
            <w:vAlign w:val="bottom"/>
          </w:tcPr>
          <w:p>
            <w:pPr>
              <w:spacing w:after="0"/>
              <w:rPr>
                <w:sz w:val="12"/>
                <w:szCs w:val="12"/>
                <w:color w:val="auto"/>
              </w:rPr>
            </w:pPr>
          </w:p>
        </w:tc>
        <w:tc>
          <w:tcPr>
            <w:tcW w:w="740" w:type="dxa"/>
            <w:vAlign w:val="bottom"/>
            <w:tcBorders>
              <w:right w:val="single" w:sz="8" w:color="auto"/>
            </w:tcBorders>
          </w:tcPr>
          <w:p>
            <w:pPr>
              <w:jc w:val="right"/>
              <w:ind w:right="293"/>
              <w:spacing w:after="0" w:line="149" w:lineRule="exact"/>
              <w:rPr>
                <w:sz w:val="20"/>
                <w:szCs w:val="20"/>
                <w:color w:val="auto"/>
              </w:rPr>
            </w:pPr>
            <w:r>
              <w:rPr>
                <w:rFonts w:ascii="Arial" w:cs="Arial" w:eastAsia="Arial" w:hAnsi="Arial"/>
                <w:sz w:val="14"/>
                <w:szCs w:val="14"/>
                <w:b w:val="1"/>
                <w:bCs w:val="1"/>
                <w:color w:val="auto"/>
                <w:w w:val="89"/>
              </w:rPr>
              <w:t>Cable</w:t>
            </w:r>
          </w:p>
        </w:tc>
        <w:tc>
          <w:tcPr>
            <w:tcW w:w="440" w:type="dxa"/>
            <w:vAlign w:val="bottom"/>
          </w:tcPr>
          <w:p>
            <w:pPr>
              <w:spacing w:after="0"/>
              <w:rPr>
                <w:sz w:val="12"/>
                <w:szCs w:val="12"/>
                <w:color w:val="auto"/>
              </w:rPr>
            </w:pPr>
          </w:p>
        </w:tc>
        <w:tc>
          <w:tcPr>
            <w:tcW w:w="1120" w:type="dxa"/>
            <w:vAlign w:val="bottom"/>
          </w:tcPr>
          <w:p>
            <w:pPr>
              <w:jc w:val="right"/>
              <w:ind w:right="334"/>
              <w:spacing w:after="0" w:line="149" w:lineRule="exact"/>
              <w:rPr>
                <w:sz w:val="20"/>
                <w:szCs w:val="20"/>
                <w:color w:val="auto"/>
              </w:rPr>
            </w:pPr>
            <w:r>
              <w:rPr>
                <w:rFonts w:ascii="Arial" w:cs="Arial" w:eastAsia="Arial" w:hAnsi="Arial"/>
                <w:sz w:val="14"/>
                <w:szCs w:val="14"/>
                <w:b w:val="1"/>
                <w:bCs w:val="1"/>
                <w:color w:val="auto"/>
                <w:w w:val="97"/>
              </w:rPr>
              <w:t>Pro Forma</w:t>
            </w:r>
          </w:p>
        </w:tc>
        <w:tc>
          <w:tcPr>
            <w:tcW w:w="240" w:type="dxa"/>
            <w:vAlign w:val="bottom"/>
          </w:tcPr>
          <w:p>
            <w:pPr>
              <w:spacing w:after="0"/>
              <w:rPr>
                <w:sz w:val="12"/>
                <w:szCs w:val="12"/>
                <w:color w:val="auto"/>
              </w:rPr>
            </w:pPr>
          </w:p>
        </w:tc>
        <w:tc>
          <w:tcPr>
            <w:tcW w:w="620" w:type="dxa"/>
            <w:vAlign w:val="bottom"/>
          </w:tcPr>
          <w:p>
            <w:pPr>
              <w:jc w:val="right"/>
              <w:ind w:right="193"/>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5"/>
        </w:trPr>
        <w:tc>
          <w:tcPr>
            <w:tcW w:w="220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Cable (2)</w:t>
            </w:r>
          </w:p>
        </w:tc>
        <w:tc>
          <w:tcPr>
            <w:tcW w:w="10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w w:val="98"/>
              </w:rPr>
              <w:t>Programming</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Eliminations (2) (6)</w:t>
            </w:r>
          </w:p>
        </w:tc>
        <w:tc>
          <w:tcPr>
            <w:tcW w:w="200" w:type="dxa"/>
            <w:vAlign w:val="bottom"/>
          </w:tcPr>
          <w:p>
            <w:pPr>
              <w:spacing w:after="0"/>
              <w:rPr>
                <w:sz w:val="15"/>
                <w:szCs w:val="15"/>
                <w:color w:val="auto"/>
              </w:rPr>
            </w:pPr>
          </w:p>
        </w:tc>
        <w:tc>
          <w:tcPr>
            <w:tcW w:w="700" w:type="dxa"/>
            <w:vAlign w:val="bottom"/>
            <w:tcBorders>
              <w:right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95"/>
              </w:rPr>
              <w:t>Total</w:t>
            </w:r>
          </w:p>
        </w:tc>
        <w:tc>
          <w:tcPr>
            <w:tcW w:w="160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rPr>
              <w:t>Adjustments (1) (3)</w:t>
            </w:r>
          </w:p>
        </w:tc>
        <w:tc>
          <w:tcPr>
            <w:tcW w:w="9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Pro Forma</w:t>
            </w:r>
          </w:p>
        </w:tc>
        <w:tc>
          <w:tcPr>
            <w:tcW w:w="1560" w:type="dxa"/>
            <w:vAlign w:val="bottom"/>
            <w:gridSpan w:val="2"/>
          </w:tcPr>
          <w:p>
            <w:pPr>
              <w:ind w:left="280"/>
              <w:spacing w:after="0"/>
              <w:rPr>
                <w:sz w:val="20"/>
                <w:szCs w:val="20"/>
                <w:color w:val="auto"/>
              </w:rPr>
            </w:pPr>
            <w:r>
              <w:rPr>
                <w:rFonts w:ascii="Arial" w:cs="Arial" w:eastAsia="Arial" w:hAnsi="Arial"/>
                <w:sz w:val="14"/>
                <w:szCs w:val="14"/>
                <w:b w:val="1"/>
                <w:bCs w:val="1"/>
                <w:color w:val="auto"/>
                <w:w w:val="99"/>
              </w:rPr>
              <w:t>Adjustments (1) (4)</w:t>
            </w: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tcBorders>
              <w:top w:val="single" w:sz="8" w:color="auto"/>
            </w:tcBorders>
            <w:shd w:val="clear" w:color="auto" w:fill="E5E5E5"/>
          </w:tcPr>
          <w:p>
            <w:pPr>
              <w:spacing w:after="0" w:line="195" w:lineRule="exact"/>
              <w:rPr>
                <w:sz w:val="20"/>
                <w:szCs w:val="20"/>
                <w:color w:val="auto"/>
              </w:rPr>
            </w:pPr>
            <w:r>
              <w:rPr>
                <w:rFonts w:ascii="Arial" w:cs="Arial" w:eastAsia="Arial" w:hAnsi="Arial"/>
                <w:sz w:val="18"/>
                <w:szCs w:val="18"/>
                <w:b w:val="1"/>
                <w:bCs w:val="1"/>
                <w:color w:val="auto"/>
              </w:rPr>
              <w:t>Three Months Ended</w:t>
            </w:r>
          </w:p>
        </w:tc>
        <w:tc>
          <w:tcPr>
            <w:tcW w:w="320" w:type="dxa"/>
            <w:vAlign w:val="bottom"/>
            <w:tcBorders>
              <w:top w:val="single" w:sz="8" w:color="auto"/>
            </w:tcBorders>
            <w:shd w:val="clear" w:color="auto" w:fill="E5E5E5"/>
          </w:tcPr>
          <w:p>
            <w:pPr>
              <w:spacing w:after="0"/>
              <w:rPr>
                <w:sz w:val="16"/>
                <w:szCs w:val="16"/>
                <w:color w:val="auto"/>
              </w:rPr>
            </w:pPr>
          </w:p>
        </w:tc>
        <w:tc>
          <w:tcPr>
            <w:tcW w:w="600" w:type="dxa"/>
            <w:vAlign w:val="bottom"/>
            <w:tcBorders>
              <w:top w:val="single" w:sz="8" w:color="auto"/>
            </w:tcBorders>
            <w:shd w:val="clear" w:color="auto" w:fill="E5E5E5"/>
          </w:tcPr>
          <w:p>
            <w:pPr>
              <w:spacing w:after="0"/>
              <w:rPr>
                <w:sz w:val="16"/>
                <w:szCs w:val="16"/>
                <w:color w:val="auto"/>
              </w:rPr>
            </w:pPr>
          </w:p>
        </w:tc>
        <w:tc>
          <w:tcPr>
            <w:tcW w:w="440" w:type="dxa"/>
            <w:vAlign w:val="bottom"/>
            <w:tcBorders>
              <w:top w:val="single" w:sz="8" w:color="auto"/>
            </w:tcBorders>
            <w:shd w:val="clear" w:color="auto" w:fill="E5E5E5"/>
          </w:tcPr>
          <w:p>
            <w:pPr>
              <w:spacing w:after="0"/>
              <w:rPr>
                <w:sz w:val="16"/>
                <w:szCs w:val="16"/>
                <w:color w:val="auto"/>
              </w:rPr>
            </w:pPr>
          </w:p>
        </w:tc>
        <w:tc>
          <w:tcPr>
            <w:tcW w:w="640" w:type="dxa"/>
            <w:vAlign w:val="bottom"/>
            <w:tcBorders>
              <w:top w:val="single" w:sz="8" w:color="auto"/>
            </w:tcBorders>
            <w:shd w:val="clear" w:color="auto" w:fill="E5E5E5"/>
          </w:tcPr>
          <w:p>
            <w:pPr>
              <w:spacing w:after="0"/>
              <w:rPr>
                <w:sz w:val="16"/>
                <w:szCs w:val="16"/>
                <w:color w:val="auto"/>
              </w:rPr>
            </w:pPr>
          </w:p>
        </w:tc>
        <w:tc>
          <w:tcPr>
            <w:tcW w:w="300" w:type="dxa"/>
            <w:vAlign w:val="bottom"/>
            <w:tcBorders>
              <w:top w:val="single" w:sz="8" w:color="auto"/>
            </w:tcBorders>
            <w:shd w:val="clear" w:color="auto" w:fill="E5E5E5"/>
          </w:tcPr>
          <w:p>
            <w:pPr>
              <w:spacing w:after="0"/>
              <w:rPr>
                <w:sz w:val="16"/>
                <w:szCs w:val="16"/>
                <w:color w:val="auto"/>
              </w:rPr>
            </w:pPr>
          </w:p>
        </w:tc>
        <w:tc>
          <w:tcPr>
            <w:tcW w:w="1080" w:type="dxa"/>
            <w:vAlign w:val="bottom"/>
            <w:tcBorders>
              <w:top w:val="single" w:sz="8" w:color="auto"/>
            </w:tcBorders>
            <w:shd w:val="clear" w:color="auto" w:fill="E5E5E5"/>
          </w:tcPr>
          <w:p>
            <w:pPr>
              <w:spacing w:after="0"/>
              <w:rPr>
                <w:sz w:val="16"/>
                <w:szCs w:val="16"/>
                <w:color w:val="auto"/>
              </w:rPr>
            </w:pPr>
          </w:p>
        </w:tc>
        <w:tc>
          <w:tcPr>
            <w:tcW w:w="200" w:type="dxa"/>
            <w:vAlign w:val="bottom"/>
            <w:tcBorders>
              <w:top w:val="single" w:sz="8" w:color="auto"/>
            </w:tcBorders>
            <w:shd w:val="clear" w:color="auto" w:fill="E5E5E5"/>
          </w:tcPr>
          <w:p>
            <w:pPr>
              <w:spacing w:after="0"/>
              <w:rPr>
                <w:sz w:val="16"/>
                <w:szCs w:val="16"/>
                <w:color w:val="auto"/>
              </w:rPr>
            </w:pPr>
          </w:p>
        </w:tc>
        <w:tc>
          <w:tcPr>
            <w:tcW w:w="700" w:type="dxa"/>
            <w:vAlign w:val="bottom"/>
            <w:tcBorders>
              <w:top w:val="single" w:sz="8" w:color="auto"/>
              <w:right w:val="single" w:sz="8" w:color="auto"/>
            </w:tcBorders>
            <w:shd w:val="clear" w:color="auto" w:fill="E5E5E5"/>
          </w:tcPr>
          <w:p>
            <w:pPr>
              <w:spacing w:after="0"/>
              <w:rPr>
                <w:sz w:val="16"/>
                <w:szCs w:val="16"/>
                <w:color w:val="auto"/>
              </w:rPr>
            </w:pPr>
          </w:p>
        </w:tc>
        <w:tc>
          <w:tcPr>
            <w:tcW w:w="460" w:type="dxa"/>
            <w:vAlign w:val="bottom"/>
            <w:tcBorders>
              <w:top w:val="single" w:sz="8" w:color="auto"/>
            </w:tcBorders>
            <w:shd w:val="clear" w:color="auto" w:fill="E5E5E5"/>
          </w:tcPr>
          <w:p>
            <w:pPr>
              <w:spacing w:after="0"/>
              <w:rPr>
                <w:sz w:val="16"/>
                <w:szCs w:val="16"/>
                <w:color w:val="auto"/>
              </w:rPr>
            </w:pPr>
          </w:p>
        </w:tc>
        <w:tc>
          <w:tcPr>
            <w:tcW w:w="1140" w:type="dxa"/>
            <w:vAlign w:val="bottom"/>
            <w:tcBorders>
              <w:top w:val="single" w:sz="8" w:color="auto"/>
            </w:tcBorders>
            <w:shd w:val="clear" w:color="auto" w:fill="E5E5E5"/>
          </w:tcPr>
          <w:p>
            <w:pPr>
              <w:spacing w:after="0"/>
              <w:rPr>
                <w:sz w:val="16"/>
                <w:szCs w:val="16"/>
                <w:color w:val="auto"/>
              </w:rPr>
            </w:pPr>
          </w:p>
        </w:tc>
        <w:tc>
          <w:tcPr>
            <w:tcW w:w="180" w:type="dxa"/>
            <w:vAlign w:val="bottom"/>
            <w:tcBorders>
              <w:top w:val="single" w:sz="8" w:color="auto"/>
            </w:tcBorders>
            <w:shd w:val="clear" w:color="auto" w:fill="E5E5E5"/>
          </w:tcPr>
          <w:p>
            <w:pPr>
              <w:spacing w:after="0"/>
              <w:rPr>
                <w:sz w:val="16"/>
                <w:szCs w:val="16"/>
                <w:color w:val="auto"/>
              </w:rPr>
            </w:pPr>
          </w:p>
        </w:tc>
        <w:tc>
          <w:tcPr>
            <w:tcW w:w="740" w:type="dxa"/>
            <w:vAlign w:val="bottom"/>
            <w:tcBorders>
              <w:top w:val="single" w:sz="8" w:color="auto"/>
              <w:right w:val="single" w:sz="8" w:color="auto"/>
            </w:tcBorders>
            <w:shd w:val="clear" w:color="auto" w:fill="E5E5E5"/>
          </w:tcPr>
          <w:p>
            <w:pPr>
              <w:spacing w:after="0"/>
              <w:rPr>
                <w:sz w:val="16"/>
                <w:szCs w:val="16"/>
                <w:color w:val="auto"/>
              </w:rPr>
            </w:pPr>
          </w:p>
        </w:tc>
        <w:tc>
          <w:tcPr>
            <w:tcW w:w="440" w:type="dxa"/>
            <w:vAlign w:val="bottom"/>
            <w:tcBorders>
              <w:top w:val="single" w:sz="8" w:color="auto"/>
            </w:tcBorders>
            <w:shd w:val="clear" w:color="auto" w:fill="E5E5E5"/>
          </w:tcPr>
          <w:p>
            <w:pPr>
              <w:spacing w:after="0"/>
              <w:rPr>
                <w:sz w:val="16"/>
                <w:szCs w:val="16"/>
                <w:color w:val="auto"/>
              </w:rPr>
            </w:pPr>
          </w:p>
        </w:tc>
        <w:tc>
          <w:tcPr>
            <w:tcW w:w="1120" w:type="dxa"/>
            <w:vAlign w:val="bottom"/>
            <w:tcBorders>
              <w:top w:val="single" w:sz="8" w:color="auto"/>
            </w:tcBorders>
            <w:shd w:val="clear" w:color="auto" w:fill="E5E5E5"/>
          </w:tcPr>
          <w:p>
            <w:pPr>
              <w:spacing w:after="0"/>
              <w:rPr>
                <w:sz w:val="16"/>
                <w:szCs w:val="16"/>
                <w:color w:val="auto"/>
              </w:rPr>
            </w:pPr>
          </w:p>
        </w:tc>
        <w:tc>
          <w:tcPr>
            <w:tcW w:w="240" w:type="dxa"/>
            <w:vAlign w:val="bottom"/>
            <w:tcBorders>
              <w:top w:val="single" w:sz="8" w:color="auto"/>
            </w:tcBorders>
            <w:shd w:val="clear" w:color="auto" w:fill="E5E5E5"/>
          </w:tcPr>
          <w:p>
            <w:pPr>
              <w:spacing w:after="0"/>
              <w:rPr>
                <w:sz w:val="16"/>
                <w:szCs w:val="16"/>
                <w:color w:val="auto"/>
              </w:rPr>
            </w:pPr>
          </w:p>
        </w:tc>
        <w:tc>
          <w:tcPr>
            <w:tcW w:w="620" w:type="dxa"/>
            <w:vAlign w:val="bottom"/>
            <w:tcBorders>
              <w:top w:val="single" w:sz="8" w:color="auto"/>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shd w:val="clear" w:color="auto" w:fill="E5E5E5"/>
          </w:tcPr>
          <w:p>
            <w:pPr>
              <w:ind w:left="200"/>
              <w:spacing w:after="0"/>
              <w:rPr>
                <w:sz w:val="20"/>
                <w:szCs w:val="20"/>
                <w:color w:val="auto"/>
              </w:rPr>
            </w:pPr>
            <w:r>
              <w:rPr>
                <w:rFonts w:ascii="Arial" w:cs="Arial" w:eastAsia="Arial" w:hAnsi="Arial"/>
                <w:sz w:val="18"/>
                <w:szCs w:val="18"/>
                <w:b w:val="1"/>
                <w:bCs w:val="1"/>
                <w:color w:val="auto"/>
              </w:rPr>
              <w:t>December 31, 2006</w:t>
            </w:r>
          </w:p>
        </w:tc>
        <w:tc>
          <w:tcPr>
            <w:tcW w:w="320" w:type="dxa"/>
            <w:vAlign w:val="bottom"/>
            <w:shd w:val="clear" w:color="auto" w:fill="E5E5E5"/>
          </w:tcPr>
          <w:p>
            <w:pPr>
              <w:spacing w:after="0"/>
              <w:rPr>
                <w:sz w:val="20"/>
                <w:szCs w:val="20"/>
                <w:color w:val="auto"/>
              </w:rPr>
            </w:pPr>
          </w:p>
        </w:tc>
        <w:tc>
          <w:tcPr>
            <w:tcW w:w="600" w:type="dxa"/>
            <w:vAlign w:val="bottom"/>
            <w:shd w:val="clear" w:color="auto" w:fill="E5E5E5"/>
          </w:tcPr>
          <w:p>
            <w:pPr>
              <w:spacing w:after="0"/>
              <w:rPr>
                <w:sz w:val="20"/>
                <w:szCs w:val="20"/>
                <w:color w:val="auto"/>
              </w:rPr>
            </w:pPr>
          </w:p>
        </w:tc>
        <w:tc>
          <w:tcPr>
            <w:tcW w:w="440" w:type="dxa"/>
            <w:vAlign w:val="bottom"/>
            <w:shd w:val="clear" w:color="auto" w:fill="E5E5E5"/>
          </w:tcPr>
          <w:p>
            <w:pPr>
              <w:spacing w:after="0"/>
              <w:rPr>
                <w:sz w:val="20"/>
                <w:szCs w:val="20"/>
                <w:color w:val="auto"/>
              </w:rPr>
            </w:pPr>
          </w:p>
        </w:tc>
        <w:tc>
          <w:tcPr>
            <w:tcW w:w="640" w:type="dxa"/>
            <w:vAlign w:val="bottom"/>
            <w:shd w:val="clear" w:color="auto" w:fill="E5E5E5"/>
          </w:tcPr>
          <w:p>
            <w:pPr>
              <w:spacing w:after="0"/>
              <w:rPr>
                <w:sz w:val="20"/>
                <w:szCs w:val="20"/>
                <w:color w:val="auto"/>
              </w:rPr>
            </w:pPr>
          </w:p>
        </w:tc>
        <w:tc>
          <w:tcPr>
            <w:tcW w:w="300" w:type="dxa"/>
            <w:vAlign w:val="bottom"/>
            <w:shd w:val="clear" w:color="auto" w:fill="E5E5E5"/>
          </w:tcPr>
          <w:p>
            <w:pPr>
              <w:spacing w:after="0"/>
              <w:rPr>
                <w:sz w:val="20"/>
                <w:szCs w:val="20"/>
                <w:color w:val="auto"/>
              </w:rPr>
            </w:pPr>
          </w:p>
        </w:tc>
        <w:tc>
          <w:tcPr>
            <w:tcW w:w="108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700" w:type="dxa"/>
            <w:vAlign w:val="bottom"/>
            <w:tcBorders>
              <w:right w:val="single" w:sz="8" w:color="auto"/>
            </w:tcBorders>
            <w:shd w:val="clear" w:color="auto" w:fill="E5E5E5"/>
          </w:tcPr>
          <w:p>
            <w:pPr>
              <w:spacing w:after="0"/>
              <w:rPr>
                <w:sz w:val="20"/>
                <w:szCs w:val="20"/>
                <w:color w:val="auto"/>
              </w:rPr>
            </w:pPr>
          </w:p>
        </w:tc>
        <w:tc>
          <w:tcPr>
            <w:tcW w:w="460" w:type="dxa"/>
            <w:vAlign w:val="bottom"/>
            <w:shd w:val="clear" w:color="auto" w:fill="E5E5E5"/>
          </w:tcPr>
          <w:p>
            <w:pPr>
              <w:spacing w:after="0"/>
              <w:rPr>
                <w:sz w:val="20"/>
                <w:szCs w:val="20"/>
                <w:color w:val="auto"/>
              </w:rPr>
            </w:pPr>
          </w:p>
        </w:tc>
        <w:tc>
          <w:tcPr>
            <w:tcW w:w="114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40" w:type="dxa"/>
            <w:vAlign w:val="bottom"/>
            <w:tcBorders>
              <w:right w:val="single" w:sz="8" w:color="auto"/>
            </w:tcBorders>
            <w:shd w:val="clear" w:color="auto" w:fill="E5E5E5"/>
          </w:tcPr>
          <w:p>
            <w:pPr>
              <w:spacing w:after="0"/>
              <w:rPr>
                <w:sz w:val="20"/>
                <w:szCs w:val="20"/>
                <w:color w:val="auto"/>
              </w:rPr>
            </w:pPr>
          </w:p>
        </w:tc>
        <w:tc>
          <w:tcPr>
            <w:tcW w:w="440" w:type="dxa"/>
            <w:vAlign w:val="bottom"/>
            <w:shd w:val="clear" w:color="auto" w:fill="E5E5E5"/>
          </w:tcPr>
          <w:p>
            <w:pPr>
              <w:spacing w:after="0"/>
              <w:rPr>
                <w:sz w:val="20"/>
                <w:szCs w:val="20"/>
                <w:color w:val="auto"/>
              </w:rPr>
            </w:pPr>
          </w:p>
        </w:tc>
        <w:tc>
          <w:tcPr>
            <w:tcW w:w="112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6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Revenue</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72"/>
              <w:spacing w:after="0"/>
              <w:rPr>
                <w:sz w:val="20"/>
                <w:szCs w:val="20"/>
                <w:color w:val="auto"/>
              </w:rPr>
            </w:pPr>
            <w:r>
              <w:rPr>
                <w:rFonts w:ascii="Arial" w:cs="Arial" w:eastAsia="Arial" w:hAnsi="Arial"/>
                <w:sz w:val="18"/>
                <w:szCs w:val="18"/>
                <w:color w:val="auto"/>
                <w:w w:val="93"/>
              </w:rPr>
              <w:t>6,895</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283</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213"/>
              <w:spacing w:after="0"/>
              <w:rPr>
                <w:sz w:val="20"/>
                <w:szCs w:val="20"/>
                <w:color w:val="auto"/>
              </w:rPr>
            </w:pPr>
            <w:r>
              <w:rPr>
                <w:rFonts w:ascii="Arial" w:cs="Arial" w:eastAsia="Arial" w:hAnsi="Arial"/>
                <w:sz w:val="18"/>
                <w:szCs w:val="18"/>
                <w:color w:val="auto"/>
                <w:w w:val="84"/>
              </w:rPr>
              <w:t>7,031</w:t>
            </w:r>
          </w:p>
        </w:tc>
        <w:tc>
          <w:tcPr>
            <w:tcW w:w="460" w:type="dxa"/>
            <w:vAlign w:val="bottom"/>
          </w:tcPr>
          <w:p>
            <w:pPr>
              <w:ind w:lef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auto"/>
            </w:tcBorders>
          </w:tcPr>
          <w:p>
            <w:pPr>
              <w:jc w:val="right"/>
              <w:ind w:right="193"/>
              <w:spacing w:after="0"/>
              <w:rPr>
                <w:sz w:val="20"/>
                <w:szCs w:val="20"/>
                <w:color w:val="auto"/>
              </w:rPr>
            </w:pPr>
            <w:r>
              <w:rPr>
                <w:rFonts w:ascii="Arial" w:cs="Arial" w:eastAsia="Arial" w:hAnsi="Arial"/>
                <w:sz w:val="18"/>
                <w:szCs w:val="18"/>
                <w:color w:val="auto"/>
                <w:w w:val="97"/>
              </w:rPr>
              <w:t>6,894</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236</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7,267</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180" w:type="dxa"/>
            <w:vAlign w:val="bottom"/>
            <w:shd w:val="clear" w:color="auto" w:fill="E5E5E5"/>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70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740" w:type="dxa"/>
            <w:vAlign w:val="bottom"/>
            <w:tcBorders>
              <w:right w:val="single" w:sz="8" w:color="auto"/>
            </w:tcBorders>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1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E5E5E5"/>
          </w:tcPr>
          <w:p>
            <w:pPr>
              <w:ind w:left="200"/>
              <w:spacing w:after="0"/>
              <w:rPr>
                <w:sz w:val="20"/>
                <w:szCs w:val="20"/>
                <w:color w:val="auto"/>
              </w:rPr>
            </w:pPr>
            <w:r>
              <w:rPr>
                <w:rFonts w:ascii="Arial" w:cs="Arial" w:eastAsia="Arial" w:hAnsi="Arial"/>
                <w:sz w:val="18"/>
                <w:szCs w:val="18"/>
                <w:color w:val="auto"/>
                <w:w w:val="89"/>
              </w:rPr>
              <w:t>(excluding depreciation and</w:t>
            </w:r>
          </w:p>
        </w:tc>
        <w:tc>
          <w:tcPr>
            <w:tcW w:w="320" w:type="dxa"/>
            <w:vAlign w:val="bottom"/>
            <w:shd w:val="clear" w:color="auto" w:fill="E5E5E5"/>
          </w:tcPr>
          <w:p>
            <w:pPr>
              <w:spacing w:after="0"/>
              <w:rPr>
                <w:sz w:val="18"/>
                <w:szCs w:val="18"/>
                <w:color w:val="auto"/>
              </w:rPr>
            </w:pPr>
          </w:p>
        </w:tc>
        <w:tc>
          <w:tcPr>
            <w:tcW w:w="600" w:type="dxa"/>
            <w:vAlign w:val="bottom"/>
            <w:vMerge w:val="restart"/>
            <w:shd w:val="clear" w:color="auto" w:fill="E5E5E5"/>
          </w:tcPr>
          <w:p>
            <w:pPr>
              <w:jc w:val="right"/>
              <w:ind w:right="72"/>
              <w:spacing w:after="0"/>
              <w:rPr>
                <w:sz w:val="20"/>
                <w:szCs w:val="20"/>
                <w:color w:val="auto"/>
              </w:rPr>
            </w:pPr>
            <w:r>
              <w:rPr>
                <w:rFonts w:ascii="Arial" w:cs="Arial" w:eastAsia="Arial" w:hAnsi="Arial"/>
                <w:sz w:val="18"/>
                <w:szCs w:val="18"/>
                <w:color w:val="auto"/>
                <w:w w:val="93"/>
              </w:rPr>
              <w:t>4,146</w:t>
            </w:r>
          </w:p>
        </w:tc>
        <w:tc>
          <w:tcPr>
            <w:tcW w:w="440" w:type="dxa"/>
            <w:vAlign w:val="bottom"/>
            <w:shd w:val="clear" w:color="auto" w:fill="E5E5E5"/>
          </w:tcPr>
          <w:p>
            <w:pPr>
              <w:spacing w:after="0"/>
              <w:rPr>
                <w:sz w:val="18"/>
                <w:szCs w:val="18"/>
                <w:color w:val="auto"/>
              </w:rPr>
            </w:pPr>
          </w:p>
        </w:tc>
        <w:tc>
          <w:tcPr>
            <w:tcW w:w="640" w:type="dxa"/>
            <w:vAlign w:val="bottom"/>
            <w:vMerge w:val="restart"/>
            <w:shd w:val="clear" w:color="auto" w:fill="E5E5E5"/>
          </w:tcPr>
          <w:p>
            <w:pPr>
              <w:jc w:val="right"/>
              <w:ind w:right="72"/>
              <w:spacing w:after="0"/>
              <w:rPr>
                <w:sz w:val="20"/>
                <w:szCs w:val="20"/>
                <w:color w:val="auto"/>
              </w:rPr>
            </w:pPr>
            <w:r>
              <w:rPr>
                <w:rFonts w:ascii="Arial" w:cs="Arial" w:eastAsia="Arial" w:hAnsi="Arial"/>
                <w:sz w:val="18"/>
                <w:szCs w:val="18"/>
                <w:color w:val="auto"/>
              </w:rPr>
              <w:t>240</w:t>
            </w:r>
          </w:p>
        </w:tc>
        <w:tc>
          <w:tcPr>
            <w:tcW w:w="300" w:type="dxa"/>
            <w:vAlign w:val="bottom"/>
            <w:shd w:val="clear" w:color="auto" w:fill="E5E5E5"/>
          </w:tcPr>
          <w:p>
            <w:pPr>
              <w:spacing w:after="0"/>
              <w:rPr>
                <w:sz w:val="18"/>
                <w:szCs w:val="18"/>
                <w:color w:val="auto"/>
              </w:rPr>
            </w:pPr>
          </w:p>
        </w:tc>
        <w:tc>
          <w:tcPr>
            <w:tcW w:w="1080" w:type="dxa"/>
            <w:vAlign w:val="bottom"/>
            <w:vMerge w:val="restart"/>
            <w:shd w:val="clear" w:color="auto" w:fill="E5E5E5"/>
          </w:tcPr>
          <w:p>
            <w:pPr>
              <w:jc w:val="right"/>
              <w:ind w:right="74"/>
              <w:spacing w:after="0"/>
              <w:rPr>
                <w:sz w:val="20"/>
                <w:szCs w:val="20"/>
                <w:color w:val="auto"/>
              </w:rPr>
            </w:pPr>
            <w:r>
              <w:rPr>
                <w:rFonts w:ascii="Arial" w:cs="Arial" w:eastAsia="Arial" w:hAnsi="Arial"/>
                <w:sz w:val="18"/>
                <w:szCs w:val="18"/>
                <w:color w:val="auto"/>
              </w:rPr>
              <w:t>51</w:t>
            </w:r>
          </w:p>
        </w:tc>
        <w:tc>
          <w:tcPr>
            <w:tcW w:w="200" w:type="dxa"/>
            <w:vAlign w:val="bottom"/>
            <w:shd w:val="clear" w:color="auto" w:fill="E5E5E5"/>
          </w:tcPr>
          <w:p>
            <w:pPr>
              <w:spacing w:after="0"/>
              <w:rPr>
                <w:sz w:val="18"/>
                <w:szCs w:val="18"/>
                <w:color w:val="auto"/>
              </w:rPr>
            </w:pPr>
          </w:p>
        </w:tc>
        <w:tc>
          <w:tcPr>
            <w:tcW w:w="700" w:type="dxa"/>
            <w:vAlign w:val="bottom"/>
            <w:tcBorders>
              <w:right w:val="single" w:sz="8" w:color="auto"/>
            </w:tcBorders>
            <w:vMerge w:val="restart"/>
            <w:shd w:val="clear" w:color="auto" w:fill="E5E5E5"/>
          </w:tcPr>
          <w:p>
            <w:pPr>
              <w:jc w:val="right"/>
              <w:ind w:right="213"/>
              <w:spacing w:after="0"/>
              <w:rPr>
                <w:sz w:val="20"/>
                <w:szCs w:val="20"/>
                <w:color w:val="auto"/>
              </w:rPr>
            </w:pPr>
            <w:r>
              <w:rPr>
                <w:rFonts w:ascii="Arial" w:cs="Arial" w:eastAsia="Arial" w:hAnsi="Arial"/>
                <w:sz w:val="18"/>
                <w:szCs w:val="18"/>
                <w:color w:val="auto"/>
                <w:w w:val="84"/>
              </w:rPr>
              <w:t>4,437</w:t>
            </w:r>
          </w:p>
        </w:tc>
        <w:tc>
          <w:tcPr>
            <w:tcW w:w="460" w:type="dxa"/>
            <w:vAlign w:val="bottom"/>
            <w:shd w:val="clear" w:color="auto" w:fill="E5E5E5"/>
          </w:tcPr>
          <w:p>
            <w:pPr>
              <w:spacing w:after="0"/>
              <w:rPr>
                <w:sz w:val="18"/>
                <w:szCs w:val="18"/>
                <w:color w:val="auto"/>
              </w:rPr>
            </w:pPr>
          </w:p>
        </w:tc>
        <w:tc>
          <w:tcPr>
            <w:tcW w:w="1140" w:type="dxa"/>
            <w:vAlign w:val="bottom"/>
            <w:vMerge w:val="restart"/>
            <w:shd w:val="clear" w:color="auto" w:fill="E5E5E5"/>
          </w:tcPr>
          <w:p>
            <w:pPr>
              <w:jc w:val="right"/>
              <w:ind w:right="74"/>
              <w:spacing w:after="0"/>
              <w:rPr>
                <w:sz w:val="20"/>
                <w:szCs w:val="20"/>
                <w:color w:val="auto"/>
              </w:rPr>
            </w:pPr>
            <w:r>
              <w:rPr>
                <w:rFonts w:ascii="Arial" w:cs="Arial" w:eastAsia="Arial" w:hAnsi="Arial"/>
                <w:sz w:val="18"/>
                <w:szCs w:val="18"/>
                <w:color w:val="auto"/>
              </w:rPr>
              <w:t>(1)</w:t>
            </w:r>
          </w:p>
        </w:tc>
        <w:tc>
          <w:tcPr>
            <w:tcW w:w="180" w:type="dxa"/>
            <w:vAlign w:val="bottom"/>
            <w:shd w:val="clear" w:color="auto" w:fill="E5E5E5"/>
          </w:tcPr>
          <w:p>
            <w:pPr>
              <w:spacing w:after="0"/>
              <w:rPr>
                <w:sz w:val="18"/>
                <w:szCs w:val="18"/>
                <w:color w:val="auto"/>
              </w:rPr>
            </w:pPr>
          </w:p>
        </w:tc>
        <w:tc>
          <w:tcPr>
            <w:tcW w:w="740" w:type="dxa"/>
            <w:vAlign w:val="bottom"/>
            <w:tcBorders>
              <w:right w:val="single" w:sz="8" w:color="auto"/>
            </w:tcBorders>
            <w:vMerge w:val="restart"/>
            <w:shd w:val="clear" w:color="auto" w:fill="E5E5E5"/>
          </w:tcPr>
          <w:p>
            <w:pPr>
              <w:jc w:val="right"/>
              <w:ind w:right="193"/>
              <w:spacing w:after="0"/>
              <w:rPr>
                <w:sz w:val="20"/>
                <w:szCs w:val="20"/>
                <w:color w:val="auto"/>
              </w:rPr>
            </w:pPr>
            <w:r>
              <w:rPr>
                <w:rFonts w:ascii="Arial" w:cs="Arial" w:eastAsia="Arial" w:hAnsi="Arial"/>
                <w:sz w:val="18"/>
                <w:szCs w:val="18"/>
                <w:color w:val="auto"/>
                <w:w w:val="97"/>
              </w:rPr>
              <w:t>4,145</w:t>
            </w:r>
          </w:p>
        </w:tc>
        <w:tc>
          <w:tcPr>
            <w:tcW w:w="440" w:type="dxa"/>
            <w:vAlign w:val="bottom"/>
            <w:shd w:val="clear" w:color="auto" w:fill="E5E5E5"/>
          </w:tcPr>
          <w:p>
            <w:pPr>
              <w:spacing w:after="0"/>
              <w:rPr>
                <w:sz w:val="18"/>
                <w:szCs w:val="18"/>
                <w:color w:val="auto"/>
              </w:rPr>
            </w:pPr>
          </w:p>
        </w:tc>
        <w:tc>
          <w:tcPr>
            <w:tcW w:w="1120" w:type="dxa"/>
            <w:vAlign w:val="bottom"/>
            <w:vMerge w:val="restart"/>
            <w:shd w:val="clear" w:color="auto" w:fill="E5E5E5"/>
          </w:tcPr>
          <w:p>
            <w:pPr>
              <w:jc w:val="right"/>
              <w:ind w:right="74"/>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E5E5E5"/>
          </w:tcPr>
          <w:p>
            <w:pPr>
              <w:spacing w:after="0"/>
              <w:rPr>
                <w:sz w:val="18"/>
                <w:szCs w:val="18"/>
                <w:color w:val="auto"/>
              </w:rPr>
            </w:pPr>
          </w:p>
        </w:tc>
        <w:tc>
          <w:tcPr>
            <w:tcW w:w="620" w:type="dxa"/>
            <w:vAlign w:val="bottom"/>
            <w:vMerge w:val="restart"/>
            <w:shd w:val="clear" w:color="auto" w:fill="E5E5E5"/>
          </w:tcPr>
          <w:p>
            <w:pPr>
              <w:jc w:val="right"/>
              <w:ind w:right="13"/>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8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vMerge w:val="continue"/>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vMerge w:val="continue"/>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vMerge w:val="continue"/>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right w:val="single" w:sz="8" w:color="auto"/>
            </w:tcBorders>
            <w:vMerge w:val="continue"/>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1140" w:type="dxa"/>
            <w:vAlign w:val="bottom"/>
            <w:tcBorders>
              <w:bottom w:val="single" w:sz="8" w:color="auto"/>
            </w:tcBorders>
            <w:vMerge w:val="continue"/>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right w:val="single" w:sz="8" w:color="auto"/>
            </w:tcBorders>
            <w:vMerge w:val="continue"/>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1120" w:type="dxa"/>
            <w:vAlign w:val="bottom"/>
            <w:tcBorders>
              <w:bottom w:val="single" w:sz="8" w:color="auto"/>
            </w:tcBorders>
            <w:vMerge w:val="continue"/>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Operating Cash Flow</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72"/>
              <w:spacing w:after="0"/>
              <w:rPr>
                <w:sz w:val="20"/>
                <w:szCs w:val="20"/>
                <w:color w:val="auto"/>
              </w:rPr>
            </w:pPr>
            <w:r>
              <w:rPr>
                <w:rFonts w:ascii="Arial" w:cs="Arial" w:eastAsia="Arial" w:hAnsi="Arial"/>
                <w:sz w:val="18"/>
                <w:szCs w:val="18"/>
                <w:color w:val="auto"/>
                <w:w w:val="93"/>
              </w:rPr>
              <w:t>2,749</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43</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198)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213"/>
              <w:spacing w:after="0"/>
              <w:rPr>
                <w:sz w:val="20"/>
                <w:szCs w:val="20"/>
                <w:color w:val="auto"/>
              </w:rPr>
            </w:pPr>
            <w:r>
              <w:rPr>
                <w:rFonts w:ascii="Arial" w:cs="Arial" w:eastAsia="Arial" w:hAnsi="Arial"/>
                <w:sz w:val="18"/>
                <w:szCs w:val="18"/>
                <w:color w:val="auto"/>
                <w:w w:val="84"/>
              </w:rPr>
              <w:t>2,594</w:t>
            </w:r>
          </w:p>
        </w:tc>
        <w:tc>
          <w:tcPr>
            <w:tcW w:w="460" w:type="dxa"/>
            <w:vAlign w:val="bottom"/>
          </w:tcPr>
          <w:p>
            <w:pPr>
              <w:ind w:lef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auto"/>
            </w:tcBorders>
          </w:tcPr>
          <w:p>
            <w:pPr>
              <w:jc w:val="right"/>
              <w:ind w:right="193"/>
              <w:spacing w:after="0"/>
              <w:rPr>
                <w:sz w:val="20"/>
                <w:szCs w:val="20"/>
                <w:color w:val="auto"/>
              </w:rPr>
            </w:pPr>
            <w:r>
              <w:rPr>
                <w:rFonts w:ascii="Arial" w:cs="Arial" w:eastAsia="Arial" w:hAnsi="Arial"/>
                <w:sz w:val="18"/>
                <w:szCs w:val="18"/>
                <w:color w:val="auto"/>
                <w:w w:val="97"/>
              </w:rPr>
              <w:t>2,749</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89</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w w:val="89"/>
              </w:rPr>
              <w:t>Depreciation and Amortization</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93"/>
              </w:rPr>
              <w:t>1,388</w:t>
            </w: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42</w:t>
            </w:r>
          </w:p>
        </w:tc>
        <w:tc>
          <w:tcPr>
            <w:tcW w:w="30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w w:val="84"/>
              </w:rPr>
              <w:t>1,376</w:t>
            </w:r>
          </w:p>
        </w:tc>
        <w:tc>
          <w:tcPr>
            <w:tcW w:w="460" w:type="dxa"/>
            <w:vAlign w:val="bottom"/>
            <w:tcBorders>
              <w:bottom w:val="single" w:sz="8" w:color="auto"/>
            </w:tcBorders>
            <w:shd w:val="clear" w:color="auto" w:fill="E5E5E5"/>
          </w:tcPr>
          <w:p>
            <w:pPr>
              <w:spacing w:after="0"/>
              <w:rPr>
                <w:sz w:val="18"/>
                <w:szCs w:val="18"/>
                <w:color w:val="auto"/>
              </w:rPr>
            </w:pPr>
          </w:p>
        </w:tc>
        <w:tc>
          <w:tcPr>
            <w:tcW w:w="114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97"/>
              </w:rPr>
              <w:t>1,392</w:t>
            </w:r>
          </w:p>
        </w:tc>
        <w:tc>
          <w:tcPr>
            <w:tcW w:w="440" w:type="dxa"/>
            <w:vAlign w:val="bottom"/>
            <w:tcBorders>
              <w:bottom w:val="single" w:sz="8" w:color="auto"/>
            </w:tcBorders>
            <w:shd w:val="clear" w:color="auto" w:fill="E5E5E5"/>
          </w:tcPr>
          <w:p>
            <w:pPr>
              <w:spacing w:after="0"/>
              <w:rPr>
                <w:sz w:val="18"/>
                <w:szCs w:val="18"/>
                <w:color w:val="auto"/>
              </w:rPr>
            </w:pPr>
          </w:p>
        </w:tc>
        <w:tc>
          <w:tcPr>
            <w:tcW w:w="112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69</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3"/>
              </w:rPr>
              <w:t>1,361</w:t>
            </w: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213"/>
              <w:spacing w:after="0"/>
              <w:rPr>
                <w:sz w:val="20"/>
                <w:szCs w:val="20"/>
                <w:color w:val="auto"/>
              </w:rPr>
            </w:pPr>
            <w:r>
              <w:rPr>
                <w:rFonts w:ascii="Arial" w:cs="Arial" w:eastAsia="Arial" w:hAnsi="Arial"/>
                <w:sz w:val="18"/>
                <w:szCs w:val="18"/>
                <w:color w:val="auto"/>
                <w:w w:val="84"/>
              </w:rPr>
              <w:t>1,218</w:t>
            </w: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8"/>
                <w:szCs w:val="18"/>
                <w:color w:val="auto"/>
                <w:w w:val="97"/>
              </w:rPr>
              <w:t>1,357</w:t>
            </w:r>
          </w:p>
        </w:tc>
        <w:tc>
          <w:tcPr>
            <w:tcW w:w="4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1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93"/>
              </w:rPr>
              <w:t>1,381</w:t>
            </w:r>
          </w:p>
        </w:tc>
        <w:tc>
          <w:tcPr>
            <w:tcW w:w="4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w w:val="84"/>
              </w:rPr>
              <w:t>1,344</w:t>
            </w:r>
          </w:p>
        </w:tc>
        <w:tc>
          <w:tcPr>
            <w:tcW w:w="4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97"/>
              </w:rPr>
              <w:t>1,381</w:t>
            </w:r>
          </w:p>
        </w:tc>
        <w:tc>
          <w:tcPr>
            <w:tcW w:w="44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445"/>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80" w:type="dxa"/>
            <w:vAlign w:val="bottom"/>
          </w:tcPr>
          <w:p>
            <w:pPr>
              <w:ind w:left="200"/>
              <w:spacing w:after="0"/>
              <w:rPr>
                <w:sz w:val="20"/>
                <w:szCs w:val="20"/>
                <w:color w:val="auto"/>
              </w:rPr>
            </w:pPr>
            <w:r>
              <w:rPr>
                <w:rFonts w:ascii="Arial" w:cs="Arial" w:eastAsia="Arial" w:hAnsi="Arial"/>
                <w:sz w:val="18"/>
                <w:szCs w:val="18"/>
                <w:b w:val="1"/>
                <w:bCs w:val="1"/>
                <w:color w:val="auto"/>
              </w:rPr>
              <w:t>December 31, 2005</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8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93"/>
              </w:rPr>
              <w:t>5,108</w:t>
            </w:r>
          </w:p>
        </w:tc>
        <w:tc>
          <w:tcPr>
            <w:tcW w:w="44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235</w:t>
            </w:r>
          </w:p>
        </w:tc>
        <w:tc>
          <w:tcPr>
            <w:tcW w:w="30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73</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w w:val="84"/>
              </w:rPr>
              <w:t>5,416</w:t>
            </w:r>
          </w:p>
        </w:tc>
        <w:tc>
          <w:tcPr>
            <w:tcW w:w="46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919</w:t>
            </w:r>
          </w:p>
        </w:tc>
        <w:tc>
          <w:tcPr>
            <w:tcW w:w="180" w:type="dxa"/>
            <w:vAlign w:val="bottom"/>
            <w:shd w:val="clear" w:color="auto" w:fill="E5E5E5"/>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97"/>
              </w:rPr>
              <w:t>6,027</w:t>
            </w:r>
          </w:p>
        </w:tc>
        <w:tc>
          <w:tcPr>
            <w:tcW w:w="44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920</w:t>
            </w:r>
          </w:p>
        </w:tc>
        <w:tc>
          <w:tcPr>
            <w:tcW w:w="24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6,336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80" w:type="dxa"/>
            <w:vAlign w:val="bottom"/>
          </w:tcPr>
          <w:p>
            <w:pPr>
              <w:ind w:left="200"/>
              <w:spacing w:after="0"/>
              <w:rPr>
                <w:sz w:val="20"/>
                <w:szCs w:val="20"/>
                <w:color w:val="auto"/>
              </w:rPr>
            </w:pPr>
            <w:r>
              <w:rPr>
                <w:rFonts w:ascii="Arial" w:cs="Arial" w:eastAsia="Arial" w:hAnsi="Arial"/>
                <w:sz w:val="18"/>
                <w:szCs w:val="18"/>
                <w:color w:val="auto"/>
                <w:w w:val="96"/>
              </w:rPr>
              <w:t>Segment reclassifications</w:t>
            </w:r>
          </w:p>
        </w:tc>
        <w:tc>
          <w:tcPr>
            <w:tcW w:w="320" w:type="dxa"/>
            <w:vAlign w:val="bottom"/>
          </w:tcPr>
          <w:p>
            <w:pPr>
              <w:spacing w:after="0"/>
              <w:rPr>
                <w:sz w:val="18"/>
                <w:szCs w:val="18"/>
                <w:color w:val="auto"/>
              </w:rPr>
            </w:pPr>
          </w:p>
        </w:tc>
        <w:tc>
          <w:tcPr>
            <w:tcW w:w="600" w:type="dxa"/>
            <w:vAlign w:val="bottom"/>
            <w:vMerge w:val="restart"/>
          </w:tcPr>
          <w:p>
            <w:pPr>
              <w:jc w:val="right"/>
              <w:ind w:right="72"/>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vMerge w:val="restart"/>
          </w:tcPr>
          <w:p>
            <w:pPr>
              <w:jc w:val="right"/>
              <w:ind w:right="14"/>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700" w:type="dxa"/>
            <w:vAlign w:val="bottom"/>
            <w:tcBorders>
              <w:right w:val="single" w:sz="8" w:color="auto"/>
            </w:tcBorders>
            <w:vMerge w:val="restart"/>
          </w:tcPr>
          <w:p>
            <w:pPr>
              <w:jc w:val="right"/>
              <w:ind w:right="29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40" w:type="dxa"/>
            <w:vAlign w:val="bottom"/>
            <w:vMerge w:val="restart"/>
          </w:tcPr>
          <w:p>
            <w:pPr>
              <w:jc w:val="right"/>
              <w:ind w:right="2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Borders>
              <w:right w:val="single" w:sz="8" w:color="auto"/>
            </w:tcBorders>
            <w:vMerge w:val="restart"/>
          </w:tcPr>
          <w:p>
            <w:pPr>
              <w:jc w:val="right"/>
              <w:ind w:right="193"/>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1120" w:type="dxa"/>
            <w:vAlign w:val="bottom"/>
            <w:vMerge w:val="restart"/>
          </w:tcPr>
          <w:p>
            <w:pPr>
              <w:jc w:val="right"/>
              <w:ind w:right="1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vMerge w:val="restart"/>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200" w:type="dxa"/>
            <w:vAlign w:val="bottom"/>
            <w:gridSpan w:val="2"/>
          </w:tcPr>
          <w:p>
            <w:pPr>
              <w:ind w:left="440"/>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93"/>
              </w:rPr>
              <w:t>5,110</w:t>
            </w:r>
          </w:p>
        </w:tc>
        <w:tc>
          <w:tcPr>
            <w:tcW w:w="44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235</w:t>
            </w:r>
          </w:p>
        </w:tc>
        <w:tc>
          <w:tcPr>
            <w:tcW w:w="30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71</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w w:val="84"/>
              </w:rPr>
              <w:t>5,416</w:t>
            </w:r>
          </w:p>
        </w:tc>
        <w:tc>
          <w:tcPr>
            <w:tcW w:w="46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919</w:t>
            </w:r>
          </w:p>
        </w:tc>
        <w:tc>
          <w:tcPr>
            <w:tcW w:w="180" w:type="dxa"/>
            <w:vAlign w:val="bottom"/>
            <w:shd w:val="clear" w:color="auto" w:fill="E5E5E5"/>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97"/>
              </w:rPr>
              <w:t>6,029</w:t>
            </w:r>
          </w:p>
        </w:tc>
        <w:tc>
          <w:tcPr>
            <w:tcW w:w="44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920</w:t>
            </w:r>
          </w:p>
        </w:tc>
        <w:tc>
          <w:tcPr>
            <w:tcW w:w="24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6,336</w:t>
            </w:r>
          </w:p>
        </w:tc>
        <w:tc>
          <w:tcPr>
            <w:tcW w:w="0" w:type="dxa"/>
            <w:vAlign w:val="bottom"/>
          </w:tcPr>
          <w:p>
            <w:pPr>
              <w:spacing w:after="0"/>
              <w:rPr>
                <w:sz w:val="1"/>
                <w:szCs w:val="1"/>
                <w:color w:val="auto"/>
              </w:rPr>
            </w:pPr>
          </w:p>
        </w:tc>
      </w:tr>
      <w:tr>
        <w:trPr>
          <w:trHeight w:val="451"/>
        </w:trPr>
        <w:tc>
          <w:tcPr>
            <w:tcW w:w="22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200"/>
              <w:spacing w:after="0"/>
              <w:rPr>
                <w:sz w:val="20"/>
                <w:szCs w:val="20"/>
                <w:color w:val="auto"/>
              </w:rPr>
            </w:pPr>
            <w:r>
              <w:rPr>
                <w:rFonts w:ascii="Arial" w:cs="Arial" w:eastAsia="Arial" w:hAnsi="Arial"/>
                <w:sz w:val="18"/>
                <w:szCs w:val="18"/>
                <w:color w:val="auto"/>
                <w:w w:val="89"/>
              </w:rPr>
              <w:t>(excluding depreciation and</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8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19"/>
                <w:szCs w:val="19"/>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w w:val="93"/>
              </w:rPr>
              <w:t>3,051</w:t>
            </w:r>
          </w:p>
        </w:tc>
        <w:tc>
          <w:tcPr>
            <w:tcW w:w="440" w:type="dxa"/>
            <w:vAlign w:val="bottom"/>
          </w:tcPr>
          <w:p>
            <w:pPr>
              <w:spacing w:after="0"/>
              <w:rPr>
                <w:sz w:val="19"/>
                <w:szCs w:val="19"/>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19"/>
                <w:szCs w:val="19"/>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9"/>
                <w:szCs w:val="19"/>
                <w:color w:val="auto"/>
              </w:rPr>
            </w:pPr>
          </w:p>
        </w:tc>
        <w:tc>
          <w:tcPr>
            <w:tcW w:w="700" w:type="dxa"/>
            <w:vAlign w:val="bottom"/>
            <w:tcBorders>
              <w:right w:val="single" w:sz="8" w:color="auto"/>
            </w:tcBorders>
          </w:tcPr>
          <w:p>
            <w:pPr>
              <w:jc w:val="right"/>
              <w:ind w:right="213"/>
              <w:spacing w:after="0"/>
              <w:rPr>
                <w:sz w:val="20"/>
                <w:szCs w:val="20"/>
                <w:color w:val="auto"/>
              </w:rPr>
            </w:pPr>
            <w:r>
              <w:rPr>
                <w:rFonts w:ascii="Arial" w:cs="Arial" w:eastAsia="Arial" w:hAnsi="Arial"/>
                <w:sz w:val="18"/>
                <w:szCs w:val="18"/>
                <w:color w:val="auto"/>
                <w:w w:val="84"/>
              </w:rPr>
              <w:t>3,376</w:t>
            </w:r>
          </w:p>
        </w:tc>
        <w:tc>
          <w:tcPr>
            <w:tcW w:w="46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608</w:t>
            </w:r>
          </w:p>
        </w:tc>
        <w:tc>
          <w:tcPr>
            <w:tcW w:w="180" w:type="dxa"/>
            <w:vAlign w:val="bottom"/>
          </w:tcPr>
          <w:p>
            <w:pPr>
              <w:spacing w:after="0"/>
              <w:rPr>
                <w:sz w:val="19"/>
                <w:szCs w:val="19"/>
                <w:color w:val="auto"/>
              </w:rPr>
            </w:pPr>
          </w:p>
        </w:tc>
        <w:tc>
          <w:tcPr>
            <w:tcW w:w="740" w:type="dxa"/>
            <w:vAlign w:val="bottom"/>
            <w:tcBorders>
              <w:right w:val="single" w:sz="8" w:color="auto"/>
            </w:tcBorders>
          </w:tcPr>
          <w:p>
            <w:pPr>
              <w:jc w:val="right"/>
              <w:ind w:right="193"/>
              <w:spacing w:after="0"/>
              <w:rPr>
                <w:sz w:val="20"/>
                <w:szCs w:val="20"/>
                <w:color w:val="auto"/>
              </w:rPr>
            </w:pPr>
            <w:r>
              <w:rPr>
                <w:rFonts w:ascii="Arial" w:cs="Arial" w:eastAsia="Arial" w:hAnsi="Arial"/>
                <w:sz w:val="18"/>
                <w:szCs w:val="18"/>
                <w:color w:val="auto"/>
                <w:w w:val="97"/>
              </w:rPr>
              <w:t>3,659</w:t>
            </w:r>
          </w:p>
        </w:tc>
        <w:tc>
          <w:tcPr>
            <w:tcW w:w="440" w:type="dxa"/>
            <w:vAlign w:val="bottom"/>
          </w:tcPr>
          <w:p>
            <w:pPr>
              <w:spacing w:after="0"/>
              <w:rPr>
                <w:sz w:val="19"/>
                <w:szCs w:val="19"/>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609</w:t>
            </w:r>
          </w:p>
        </w:tc>
        <w:tc>
          <w:tcPr>
            <w:tcW w:w="240" w:type="dxa"/>
            <w:vAlign w:val="bottom"/>
          </w:tcPr>
          <w:p>
            <w:pPr>
              <w:spacing w:after="0"/>
              <w:rPr>
                <w:sz w:val="19"/>
                <w:szCs w:val="19"/>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3,985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6"/>
              </w:rPr>
              <w:t>Segment reclassifications</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70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740" w:type="dxa"/>
            <w:vAlign w:val="bottom"/>
            <w:tcBorders>
              <w:right w:val="single" w:sz="8" w:color="auto"/>
            </w:tcBorders>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1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E5E5E5"/>
          </w:tcPr>
          <w:p>
            <w:pPr>
              <w:spacing w:after="0"/>
              <w:rPr>
                <w:sz w:val="19"/>
                <w:szCs w:val="19"/>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(8)</w:t>
            </w:r>
          </w:p>
        </w:tc>
        <w:tc>
          <w:tcPr>
            <w:tcW w:w="44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5</w:t>
            </w:r>
          </w:p>
        </w:tc>
        <w:tc>
          <w:tcPr>
            <w:tcW w:w="300" w:type="dxa"/>
            <w:vAlign w:val="bottom"/>
            <w:shd w:val="clear" w:color="auto" w:fill="E5E5E5"/>
          </w:tcPr>
          <w:p>
            <w:pPr>
              <w:spacing w:after="0"/>
              <w:rPr>
                <w:sz w:val="19"/>
                <w:szCs w:val="19"/>
                <w:color w:val="auto"/>
              </w:rPr>
            </w:pPr>
          </w:p>
        </w:tc>
        <w:tc>
          <w:tcPr>
            <w:tcW w:w="108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3</w:t>
            </w:r>
          </w:p>
        </w:tc>
        <w:tc>
          <w:tcPr>
            <w:tcW w:w="200" w:type="dxa"/>
            <w:vAlign w:val="bottom"/>
            <w:shd w:val="clear" w:color="auto" w:fill="E5E5E5"/>
          </w:tcPr>
          <w:p>
            <w:pPr>
              <w:spacing w:after="0"/>
              <w:rPr>
                <w:sz w:val="19"/>
                <w:szCs w:val="19"/>
                <w:color w:val="auto"/>
              </w:rPr>
            </w:pPr>
          </w:p>
        </w:tc>
        <w:tc>
          <w:tcPr>
            <w:tcW w:w="700" w:type="dxa"/>
            <w:vAlign w:val="bottom"/>
            <w:tcBorders>
              <w:right w:val="single" w:sz="8" w:color="auto"/>
            </w:tcBorders>
            <w:shd w:val="clear" w:color="auto" w:fill="E5E5E5"/>
          </w:tcPr>
          <w:p>
            <w:pPr>
              <w:jc w:val="right"/>
              <w:ind w:right="293"/>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9"/>
                <w:szCs w:val="19"/>
                <w:color w:val="auto"/>
              </w:rPr>
            </w:pPr>
          </w:p>
        </w:tc>
        <w:tc>
          <w:tcPr>
            <w:tcW w:w="114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9"/>
                <w:szCs w:val="19"/>
                <w:color w:val="auto"/>
              </w:rPr>
            </w:pPr>
          </w:p>
        </w:tc>
        <w:tc>
          <w:tcPr>
            <w:tcW w:w="740" w:type="dxa"/>
            <w:vAlign w:val="bottom"/>
            <w:tcBorders>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(8)</w:t>
            </w:r>
          </w:p>
        </w:tc>
        <w:tc>
          <w:tcPr>
            <w:tcW w:w="440" w:type="dxa"/>
            <w:vAlign w:val="bottom"/>
            <w:shd w:val="clear" w:color="auto" w:fill="E5E5E5"/>
          </w:tcPr>
          <w:p>
            <w:pPr>
              <w:spacing w:after="0"/>
              <w:rPr>
                <w:sz w:val="19"/>
                <w:szCs w:val="19"/>
                <w:color w:val="auto"/>
              </w:rPr>
            </w:pPr>
          </w:p>
        </w:tc>
        <w:tc>
          <w:tcPr>
            <w:tcW w:w="112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9"/>
                <w:szCs w:val="19"/>
                <w:color w:val="auto"/>
              </w:rPr>
            </w:pPr>
          </w:p>
        </w:tc>
        <w:tc>
          <w:tcPr>
            <w:tcW w:w="6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200"/>
              <w:spacing w:after="0"/>
              <w:rPr>
                <w:sz w:val="20"/>
                <w:szCs w:val="20"/>
                <w:color w:val="auto"/>
              </w:rPr>
            </w:pPr>
            <w:r>
              <w:rPr>
                <w:rFonts w:ascii="Arial" w:cs="Arial" w:eastAsia="Arial" w:hAnsi="Arial"/>
                <w:sz w:val="18"/>
                <w:szCs w:val="18"/>
                <w:color w:val="auto"/>
                <w:w w:val="89"/>
              </w:rPr>
              <w:t>Stock option adjustment (6)</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30</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right"/>
              <w:ind w:right="29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8"/>
                <w:szCs w:val="18"/>
                <w:color w:val="auto"/>
              </w:rPr>
              <w:t>30</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320" w:type="dxa"/>
            <w:vAlign w:val="bottom"/>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93"/>
              </w:rPr>
              <w:t>2,037</w:t>
            </w:r>
          </w:p>
        </w:tc>
        <w:tc>
          <w:tcPr>
            <w:tcW w:w="44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32</w:t>
            </w:r>
          </w:p>
        </w:tc>
        <w:tc>
          <w:tcPr>
            <w:tcW w:w="30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29)</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w w:val="84"/>
              </w:rPr>
              <w:t>2,040</w:t>
            </w:r>
          </w:p>
        </w:tc>
        <w:tc>
          <w:tcPr>
            <w:tcW w:w="46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E5E5E5"/>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tcBorders>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97"/>
              </w:rPr>
              <w:t>2,348</w:t>
            </w:r>
          </w:p>
        </w:tc>
        <w:tc>
          <w:tcPr>
            <w:tcW w:w="44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89"/>
              </w:rPr>
              <w:t>Depreciation and Amortization</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3"/>
              </w:rPr>
              <w:t>1,134</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42</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right"/>
              <w:ind w:right="213"/>
              <w:spacing w:after="0"/>
              <w:rPr>
                <w:sz w:val="20"/>
                <w:szCs w:val="20"/>
                <w:color w:val="auto"/>
              </w:rPr>
            </w:pPr>
            <w:r>
              <w:rPr>
                <w:rFonts w:ascii="Arial" w:cs="Arial" w:eastAsia="Arial" w:hAnsi="Arial"/>
                <w:sz w:val="18"/>
                <w:szCs w:val="18"/>
                <w:color w:val="auto"/>
                <w:w w:val="84"/>
              </w:rPr>
              <w:t>1,191</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292</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8"/>
                <w:szCs w:val="18"/>
                <w:color w:val="auto"/>
                <w:w w:val="97"/>
              </w:rPr>
              <w:t>1,426</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291</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903</w:t>
            </w:r>
          </w:p>
        </w:tc>
        <w:tc>
          <w:tcPr>
            <w:tcW w:w="4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849</w:t>
            </w:r>
          </w:p>
        </w:tc>
        <w:tc>
          <w:tcPr>
            <w:tcW w:w="4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922</w:t>
            </w:r>
          </w:p>
        </w:tc>
        <w:tc>
          <w:tcPr>
            <w:tcW w:w="44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466"/>
        </w:trPr>
        <w:tc>
          <w:tcPr>
            <w:tcW w:w="22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815</w:t>
            </w: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213"/>
              <w:spacing w:after="0"/>
              <w:rPr>
                <w:sz w:val="20"/>
                <w:szCs w:val="20"/>
                <w:color w:val="auto"/>
              </w:rPr>
            </w:pPr>
            <w:r>
              <w:rPr>
                <w:rFonts w:ascii="Arial" w:cs="Arial" w:eastAsia="Arial" w:hAnsi="Arial"/>
                <w:sz w:val="18"/>
                <w:szCs w:val="18"/>
                <w:color w:val="auto"/>
              </w:rPr>
              <w:t>868</w:t>
            </w: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152</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8"/>
                <w:szCs w:val="18"/>
                <w:color w:val="auto"/>
              </w:rPr>
              <w:t>967</w:t>
            </w:r>
          </w:p>
        </w:tc>
        <w:tc>
          <w:tcPr>
            <w:tcW w:w="4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118</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Total Pro Forma (1), “As Adjusted” Financial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17"/>
              <w:spacing w:after="0"/>
              <w:rPr>
                <w:sz w:val="20"/>
                <w:szCs w:val="20"/>
                <w:color w:val="auto"/>
              </w:rPr>
            </w:pPr>
            <w:r>
              <w:rPr>
                <w:rFonts w:ascii="Arial" w:cs="Arial" w:eastAsia="Arial" w:hAnsi="Arial"/>
                <w:sz w:val="14"/>
                <w:szCs w:val="14"/>
                <w:b w:val="1"/>
                <w:bCs w:val="1"/>
                <w:color w:val="auto"/>
                <w:w w:val="95"/>
              </w:rPr>
              <w:t>Three Months Ended December 31,</w:t>
            </w:r>
          </w:p>
        </w:tc>
        <w:tc>
          <w:tcPr>
            <w:tcW w:w="1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w w:val="96"/>
              </w:rPr>
              <w:t>2006</w:t>
            </w:r>
          </w:p>
        </w:tc>
        <w:tc>
          <w:tcPr>
            <w:tcW w:w="1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jc w:val="right"/>
              <w:ind w:right="495"/>
              <w:spacing w:after="0" w:line="129" w:lineRule="exact"/>
              <w:rPr>
                <w:sz w:val="20"/>
                <w:szCs w:val="20"/>
                <w:color w:val="auto"/>
              </w:rPr>
            </w:pPr>
            <w:r>
              <w:rPr>
                <w:rFonts w:ascii="Arial" w:cs="Arial" w:eastAsia="Arial" w:hAnsi="Arial"/>
                <w:sz w:val="14"/>
                <w:szCs w:val="14"/>
                <w:b w:val="1"/>
                <w:bCs w:val="1"/>
                <w:color w:val="auto"/>
                <w:w w:val="95"/>
              </w:rPr>
              <w:t>Total</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jc w:val="right"/>
              <w:ind w:right="455"/>
              <w:spacing w:after="0" w:line="149" w:lineRule="exact"/>
              <w:rPr>
                <w:sz w:val="20"/>
                <w:szCs w:val="20"/>
                <w:color w:val="auto"/>
              </w:rPr>
            </w:pPr>
            <w:r>
              <w:rPr>
                <w:rFonts w:ascii="Arial" w:cs="Arial" w:eastAsia="Arial" w:hAnsi="Arial"/>
                <w:sz w:val="14"/>
                <w:szCs w:val="14"/>
                <w:b w:val="1"/>
                <w:bCs w:val="1"/>
                <w:color w:val="auto"/>
                <w:w w:val="95"/>
              </w:rPr>
              <w:t>Total</w:t>
            </w: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Pro Forma,</w:t>
            </w:r>
          </w:p>
        </w:tc>
        <w:tc>
          <w:tcPr>
            <w:tcW w:w="340" w:type="dxa"/>
            <w:vAlign w:val="bottom"/>
          </w:tcPr>
          <w:p>
            <w:pPr>
              <w:spacing w:after="0"/>
              <w:rPr>
                <w:sz w:val="12"/>
                <w:szCs w:val="12"/>
                <w:color w:val="auto"/>
              </w:rPr>
            </w:pPr>
          </w:p>
        </w:tc>
        <w:tc>
          <w:tcPr>
            <w:tcW w:w="660" w:type="dxa"/>
            <w:vAlign w:val="bottom"/>
          </w:tcPr>
          <w:p>
            <w:pPr>
              <w:jc w:val="right"/>
              <w:ind w:right="237"/>
              <w:spacing w:after="0" w:line="149" w:lineRule="exact"/>
              <w:rPr>
                <w:sz w:val="20"/>
                <w:szCs w:val="20"/>
                <w:color w:val="auto"/>
              </w:rPr>
            </w:pPr>
            <w:r>
              <w:rPr>
                <w:rFonts w:ascii="Arial" w:cs="Arial" w:eastAsia="Arial" w:hAnsi="Arial"/>
                <w:sz w:val="14"/>
                <w:szCs w:val="14"/>
                <w:b w:val="1"/>
                <w:bCs w:val="1"/>
                <w:color w:val="auto"/>
                <w:w w:val="95"/>
              </w:rPr>
              <w:t>Total</w:t>
            </w:r>
          </w:p>
        </w:tc>
        <w:tc>
          <w:tcPr>
            <w:tcW w:w="1520" w:type="dxa"/>
            <w:vAlign w:val="bottom"/>
          </w:tcPr>
          <w:p>
            <w:pPr>
              <w:jc w:val="right"/>
              <w:ind w:right="340"/>
              <w:spacing w:after="0" w:line="149" w:lineRule="exact"/>
              <w:rPr>
                <w:sz w:val="20"/>
                <w:szCs w:val="20"/>
                <w:color w:val="auto"/>
              </w:rPr>
            </w:pPr>
            <w:r>
              <w:rPr>
                <w:rFonts w:ascii="Arial" w:cs="Arial" w:eastAsia="Arial" w:hAnsi="Arial"/>
                <w:sz w:val="14"/>
                <w:szCs w:val="14"/>
                <w:b w:val="1"/>
                <w:bCs w:val="1"/>
                <w:color w:val="auto"/>
              </w:rPr>
              <w:t>% Growth</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2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1440" w:type="dxa"/>
            <w:vAlign w:val="bottom"/>
            <w:gridSpan w:val="2"/>
          </w:tcPr>
          <w:p>
            <w:pPr>
              <w:ind w:left="440"/>
              <w:spacing w:after="0"/>
              <w:rPr>
                <w:sz w:val="20"/>
                <w:szCs w:val="20"/>
                <w:color w:val="auto"/>
              </w:rPr>
            </w:pPr>
            <w:r>
              <w:rPr>
                <w:rFonts w:ascii="Arial" w:cs="Arial" w:eastAsia="Arial" w:hAnsi="Arial"/>
                <w:sz w:val="14"/>
                <w:szCs w:val="14"/>
                <w:b w:val="1"/>
                <w:bCs w:val="1"/>
                <w:color w:val="auto"/>
              </w:rPr>
              <w:t>Pro Forma</w:t>
            </w: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Adjustment (6)</w:t>
            </w:r>
          </w:p>
        </w:tc>
        <w:tc>
          <w:tcPr>
            <w:tcW w:w="1340" w:type="dxa"/>
            <w:vAlign w:val="bottom"/>
            <w:gridSpan w:val="2"/>
          </w:tcPr>
          <w:p>
            <w:pPr>
              <w:ind w:left="260"/>
              <w:spacing w:after="0"/>
              <w:rPr>
                <w:sz w:val="20"/>
                <w:szCs w:val="20"/>
                <w:color w:val="auto"/>
              </w:rPr>
            </w:pPr>
            <w:r>
              <w:rPr>
                <w:rFonts w:ascii="Arial" w:cs="Arial" w:eastAsia="Arial" w:hAnsi="Arial"/>
                <w:sz w:val="14"/>
                <w:szCs w:val="14"/>
                <w:b w:val="1"/>
                <w:bCs w:val="1"/>
                <w:color w:val="auto"/>
              </w:rPr>
              <w:t>As Adjusted</w:t>
            </w: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Pro Forma</w:t>
            </w:r>
          </w:p>
        </w:tc>
        <w:tc>
          <w:tcPr>
            <w:tcW w:w="1520" w:type="dxa"/>
            <w:vAlign w:val="bottom"/>
          </w:tcPr>
          <w:p>
            <w:pPr>
              <w:jc w:val="right"/>
              <w:ind w:right="300"/>
              <w:spacing w:after="0"/>
              <w:rPr>
                <w:sz w:val="20"/>
                <w:szCs w:val="20"/>
                <w:color w:val="auto"/>
              </w:rPr>
            </w:pPr>
            <w:r>
              <w:rPr>
                <w:rFonts w:ascii="Arial" w:cs="Arial" w:eastAsia="Arial" w:hAnsi="Arial"/>
                <w:sz w:val="14"/>
                <w:szCs w:val="14"/>
                <w:b w:val="1"/>
                <w:bCs w:val="1"/>
                <w:color w:val="auto"/>
              </w:rPr>
              <w:t>As Adjusted</w:t>
            </w:r>
          </w:p>
        </w:tc>
        <w:tc>
          <w:tcPr>
            <w:tcW w:w="1160" w:type="dxa"/>
            <w:vAlign w:val="bottom"/>
          </w:tcPr>
          <w:p>
            <w:pPr>
              <w:jc w:val="right"/>
              <w:ind w:right="237"/>
              <w:spacing w:after="0"/>
              <w:rPr>
                <w:sz w:val="20"/>
                <w:szCs w:val="20"/>
                <w:color w:val="auto"/>
              </w:rPr>
            </w:pPr>
            <w:r>
              <w:rPr>
                <w:rFonts w:ascii="Arial" w:cs="Arial" w:eastAsia="Arial" w:hAnsi="Arial"/>
                <w:sz w:val="14"/>
                <w:szCs w:val="14"/>
                <w:b w:val="1"/>
                <w:bCs w:val="1"/>
                <w:color w:val="auto"/>
              </w:rPr>
              <w:t>% Growth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560" w:type="dxa"/>
            <w:vAlign w:val="bottom"/>
            <w:tcBorders>
              <w:top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6,336</w:t>
            </w:r>
          </w:p>
        </w:tc>
        <w:tc>
          <w:tcPr>
            <w:tcW w:w="44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6,336</w:t>
            </w:r>
          </w:p>
        </w:tc>
        <w:tc>
          <w:tcPr>
            <w:tcW w:w="34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7,267</w:t>
            </w:r>
          </w:p>
        </w:tc>
        <w:tc>
          <w:tcPr>
            <w:tcW w:w="1520" w:type="dxa"/>
            <w:vAlign w:val="bottom"/>
            <w:tcBorders>
              <w:top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color w:val="auto"/>
              </w:rPr>
              <w:t>15%</w:t>
            </w:r>
          </w:p>
        </w:tc>
        <w:tc>
          <w:tcPr>
            <w:tcW w:w="1160" w:type="dxa"/>
            <w:vAlign w:val="bottom"/>
            <w:tcBorders>
              <w:top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16"/>
        </w:trPr>
        <w:tc>
          <w:tcPr>
            <w:tcW w:w="3620" w:type="dxa"/>
            <w:vAlign w:val="bottom"/>
            <w:gridSpan w:val="2"/>
          </w:tcPr>
          <w:p>
            <w:pPr>
              <w:spacing w:after="0"/>
              <w:rPr>
                <w:sz w:val="20"/>
                <w:szCs w:val="20"/>
                <w:color w:val="auto"/>
              </w:rPr>
            </w:pPr>
            <w:r>
              <w:rPr>
                <w:rFonts w:ascii="Arial" w:cs="Arial" w:eastAsia="Arial" w:hAnsi="Arial"/>
                <w:sz w:val="18"/>
                <w:szCs w:val="18"/>
                <w:color w:val="auto"/>
                <w:w w:val="92"/>
              </w:rPr>
              <w:t>Operating Expenses (excluding depreciation and</w:t>
            </w:r>
          </w:p>
        </w:tc>
        <w:tc>
          <w:tcPr>
            <w:tcW w:w="560" w:type="dxa"/>
            <w:vAlign w:val="bottom"/>
          </w:tcPr>
          <w:p>
            <w:pPr>
              <w:spacing w:after="0"/>
              <w:rPr>
                <w:sz w:val="24"/>
                <w:szCs w:val="24"/>
                <w:color w:val="auto"/>
              </w:rPr>
            </w:pPr>
          </w:p>
        </w:tc>
        <w:tc>
          <w:tcPr>
            <w:tcW w:w="880" w:type="dxa"/>
            <w:vAlign w:val="bottom"/>
            <w:vMerge w:val="restart"/>
          </w:tcPr>
          <w:p>
            <w:pPr>
              <w:jc w:val="right"/>
              <w:ind w:right="275"/>
              <w:spacing w:after="0"/>
              <w:rPr>
                <w:sz w:val="20"/>
                <w:szCs w:val="20"/>
                <w:color w:val="auto"/>
              </w:rPr>
            </w:pPr>
            <w:r>
              <w:rPr>
                <w:rFonts w:ascii="Arial" w:cs="Arial" w:eastAsia="Arial" w:hAnsi="Arial"/>
                <w:sz w:val="18"/>
                <w:szCs w:val="18"/>
                <w:color w:val="auto"/>
              </w:rPr>
              <w:t>3,985</w:t>
            </w:r>
          </w:p>
        </w:tc>
        <w:tc>
          <w:tcPr>
            <w:tcW w:w="440" w:type="dxa"/>
            <w:vAlign w:val="bottom"/>
          </w:tcPr>
          <w:p>
            <w:pPr>
              <w:spacing w:after="0"/>
              <w:rPr>
                <w:sz w:val="24"/>
                <w:szCs w:val="24"/>
                <w:color w:val="auto"/>
              </w:rPr>
            </w:pPr>
          </w:p>
        </w:tc>
        <w:tc>
          <w:tcPr>
            <w:tcW w:w="900" w:type="dxa"/>
            <w:vAlign w:val="bottom"/>
            <w:vMerge w:val="restart"/>
          </w:tcPr>
          <w:p>
            <w:pPr>
              <w:ind w:left="480"/>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24"/>
                <w:szCs w:val="24"/>
                <w:color w:val="auto"/>
              </w:rPr>
            </w:pPr>
          </w:p>
        </w:tc>
        <w:tc>
          <w:tcPr>
            <w:tcW w:w="920" w:type="dxa"/>
            <w:vAlign w:val="bottom"/>
            <w:vMerge w:val="restart"/>
          </w:tcPr>
          <w:p>
            <w:pPr>
              <w:jc w:val="right"/>
              <w:ind w:right="295"/>
              <w:spacing w:after="0"/>
              <w:rPr>
                <w:sz w:val="20"/>
                <w:szCs w:val="20"/>
                <w:color w:val="auto"/>
              </w:rPr>
            </w:pPr>
            <w:r>
              <w:rPr>
                <w:rFonts w:ascii="Arial" w:cs="Arial" w:eastAsia="Arial" w:hAnsi="Arial"/>
                <w:sz w:val="18"/>
                <w:szCs w:val="18"/>
                <w:color w:val="auto"/>
              </w:rPr>
              <w:t>4,033</w:t>
            </w:r>
          </w:p>
        </w:tc>
        <w:tc>
          <w:tcPr>
            <w:tcW w:w="340" w:type="dxa"/>
            <w:vAlign w:val="bottom"/>
          </w:tcPr>
          <w:p>
            <w:pPr>
              <w:spacing w:after="0"/>
              <w:rPr>
                <w:sz w:val="24"/>
                <w:szCs w:val="24"/>
                <w:color w:val="auto"/>
              </w:rPr>
            </w:pPr>
          </w:p>
        </w:tc>
        <w:tc>
          <w:tcPr>
            <w:tcW w:w="660" w:type="dxa"/>
            <w:vAlign w:val="bottom"/>
            <w:vMerge w:val="restart"/>
          </w:tcPr>
          <w:p>
            <w:pPr>
              <w:jc w:val="right"/>
              <w:ind w:right="77"/>
              <w:spacing w:after="0"/>
              <w:rPr>
                <w:sz w:val="20"/>
                <w:szCs w:val="20"/>
                <w:color w:val="auto"/>
              </w:rPr>
            </w:pPr>
            <w:r>
              <w:rPr>
                <w:rFonts w:ascii="Arial" w:cs="Arial" w:eastAsia="Arial" w:hAnsi="Arial"/>
                <w:sz w:val="18"/>
                <w:szCs w:val="18"/>
                <w:color w:val="auto"/>
              </w:rPr>
              <w:t>4,584</w:t>
            </w:r>
          </w:p>
        </w:tc>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56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2,351</w:t>
            </w:r>
          </w:p>
        </w:tc>
        <w:tc>
          <w:tcPr>
            <w:tcW w:w="4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ind w:left="480"/>
              <w:spacing w:after="0"/>
              <w:rPr>
                <w:sz w:val="20"/>
                <w:szCs w:val="20"/>
                <w:color w:val="auto"/>
              </w:rPr>
            </w:pPr>
            <w:r>
              <w:rPr>
                <w:rFonts w:ascii="Arial" w:cs="Arial" w:eastAsia="Arial" w:hAnsi="Arial"/>
                <w:sz w:val="18"/>
                <w:szCs w:val="18"/>
                <w:color w:val="auto"/>
              </w:rPr>
              <w:t>48)</w:t>
            </w:r>
          </w:p>
        </w:tc>
        <w:tc>
          <w:tcPr>
            <w:tcW w:w="42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2,303</w:t>
            </w:r>
          </w:p>
        </w:tc>
        <w:tc>
          <w:tcPr>
            <w:tcW w:w="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2,683</w:t>
            </w:r>
          </w:p>
        </w:tc>
        <w:tc>
          <w:tcPr>
            <w:tcW w:w="1520" w:type="dxa"/>
            <w:vAlign w:val="bottom"/>
            <w:shd w:val="clear" w:color="auto" w:fill="E5E5E5"/>
          </w:tcPr>
          <w:p>
            <w:pPr>
              <w:jc w:val="right"/>
              <w:ind w:right="140"/>
              <w:spacing w:after="0"/>
              <w:rPr>
                <w:sz w:val="20"/>
                <w:szCs w:val="20"/>
                <w:color w:val="auto"/>
              </w:rPr>
            </w:pPr>
            <w:r>
              <w:rPr>
                <w:rFonts w:ascii="Arial" w:cs="Arial" w:eastAsia="Arial" w:hAnsi="Arial"/>
                <w:sz w:val="18"/>
                <w:szCs w:val="18"/>
                <w:color w:val="auto"/>
              </w:rPr>
              <w:t>16%</w:t>
            </w:r>
          </w:p>
        </w:tc>
        <w:tc>
          <w:tcPr>
            <w:tcW w:w="116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1,482</w:t>
            </w: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1,482</w:t>
            </w: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1,445</w:t>
            </w:r>
          </w:p>
        </w:tc>
        <w:tc>
          <w:tcPr>
            <w:tcW w:w="15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56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869</w:t>
            </w:r>
          </w:p>
        </w:tc>
        <w:tc>
          <w:tcPr>
            <w:tcW w:w="44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E5E5E5"/>
          </w:tcPr>
          <w:p>
            <w:pPr>
              <w:ind w:left="480"/>
              <w:spacing w:after="0"/>
              <w:rPr>
                <w:sz w:val="20"/>
                <w:szCs w:val="20"/>
                <w:color w:val="auto"/>
              </w:rPr>
            </w:pPr>
            <w:r>
              <w:rPr>
                <w:rFonts w:ascii="Arial" w:cs="Arial" w:eastAsia="Arial" w:hAnsi="Arial"/>
                <w:sz w:val="18"/>
                <w:szCs w:val="18"/>
                <w:color w:val="auto"/>
              </w:rPr>
              <w:t>48)</w:t>
            </w:r>
          </w:p>
        </w:tc>
        <w:tc>
          <w:tcPr>
            <w:tcW w:w="42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821</w:t>
            </w:r>
          </w:p>
        </w:tc>
        <w:tc>
          <w:tcPr>
            <w:tcW w:w="3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1,238</w:t>
            </w:r>
          </w:p>
        </w:tc>
        <w:tc>
          <w:tcPr>
            <w:tcW w:w="1520" w:type="dxa"/>
            <w:vAlign w:val="bottom"/>
            <w:tcBorders>
              <w:bottom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color w:val="auto"/>
              </w:rPr>
              <w:t>51%</w:t>
            </w:r>
          </w:p>
        </w:tc>
        <w:tc>
          <w:tcPr>
            <w:tcW w:w="116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Operating Cash Flow Margin</w:t>
            </w:r>
          </w:p>
        </w:tc>
        <w:tc>
          <w:tcPr>
            <w:tcW w:w="560" w:type="dxa"/>
            <w:vAlign w:val="bottom"/>
          </w:tcPr>
          <w:p>
            <w:pPr>
              <w:spacing w:after="0"/>
              <w:rPr>
                <w:sz w:val="19"/>
                <w:szCs w:val="19"/>
                <w:color w:val="auto"/>
              </w:rPr>
            </w:pPr>
          </w:p>
        </w:tc>
        <w:tc>
          <w:tcPr>
            <w:tcW w:w="880" w:type="dxa"/>
            <w:vAlign w:val="bottom"/>
          </w:tcPr>
          <w:p>
            <w:pPr>
              <w:jc w:val="right"/>
              <w:ind w:right="135"/>
              <w:spacing w:after="0"/>
              <w:rPr>
                <w:sz w:val="20"/>
                <w:szCs w:val="20"/>
                <w:color w:val="auto"/>
              </w:rPr>
            </w:pPr>
            <w:r>
              <w:rPr>
                <w:rFonts w:ascii="Arial" w:cs="Arial" w:eastAsia="Arial" w:hAnsi="Arial"/>
                <w:sz w:val="18"/>
                <w:szCs w:val="18"/>
                <w:color w:val="auto"/>
              </w:rPr>
              <w:t>37.1%</w:t>
            </w:r>
          </w:p>
        </w:tc>
        <w:tc>
          <w:tcPr>
            <w:tcW w:w="440" w:type="dxa"/>
            <w:vAlign w:val="bottom"/>
          </w:tcPr>
          <w:p>
            <w:pPr>
              <w:spacing w:after="0"/>
              <w:rPr>
                <w:sz w:val="19"/>
                <w:szCs w:val="19"/>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NM</w:t>
            </w:r>
          </w:p>
        </w:tc>
        <w:tc>
          <w:tcPr>
            <w:tcW w:w="420" w:type="dxa"/>
            <w:vAlign w:val="bottom"/>
          </w:tcPr>
          <w:p>
            <w:pPr>
              <w:spacing w:after="0"/>
              <w:rPr>
                <w:sz w:val="19"/>
                <w:szCs w:val="19"/>
                <w:color w:val="auto"/>
              </w:rPr>
            </w:pPr>
          </w:p>
        </w:tc>
        <w:tc>
          <w:tcPr>
            <w:tcW w:w="920" w:type="dxa"/>
            <w:vAlign w:val="bottom"/>
          </w:tcPr>
          <w:p>
            <w:pPr>
              <w:jc w:val="right"/>
              <w:ind w:right="135"/>
              <w:spacing w:after="0"/>
              <w:rPr>
                <w:sz w:val="20"/>
                <w:szCs w:val="20"/>
                <w:color w:val="auto"/>
              </w:rPr>
            </w:pPr>
            <w:r>
              <w:rPr>
                <w:rFonts w:ascii="Arial" w:cs="Arial" w:eastAsia="Arial" w:hAnsi="Arial"/>
                <w:sz w:val="18"/>
                <w:szCs w:val="18"/>
                <w:color w:val="auto"/>
              </w:rPr>
              <w:t>36.4%</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36.9%</w:t>
            </w:r>
          </w:p>
        </w:tc>
        <w:tc>
          <w:tcPr>
            <w:tcW w:w="1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Reconciliation of Total “As Adjusted” Financial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gridSpan w:val="3"/>
          </w:tcPr>
          <w:p>
            <w:pPr>
              <w:jc w:val="right"/>
              <w:ind w:right="417"/>
              <w:spacing w:after="0"/>
              <w:rPr>
                <w:sz w:val="20"/>
                <w:szCs w:val="20"/>
                <w:color w:val="auto"/>
              </w:rPr>
            </w:pPr>
            <w:r>
              <w:rPr>
                <w:rFonts w:ascii="Arial" w:cs="Arial" w:eastAsia="Arial" w:hAnsi="Arial"/>
                <w:sz w:val="14"/>
                <w:szCs w:val="14"/>
                <w:b w:val="1"/>
                <w:bCs w:val="1"/>
                <w:color w:val="auto"/>
                <w:w w:val="98"/>
              </w:rPr>
              <w:t>Three Months Ended</w:t>
            </w: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15"/>
              <w:spacing w:after="0" w:line="143" w:lineRule="exact"/>
              <w:rPr>
                <w:sz w:val="20"/>
                <w:szCs w:val="20"/>
                <w:color w:val="auto"/>
              </w:rPr>
            </w:pPr>
            <w:r>
              <w:rPr>
                <w:rFonts w:ascii="Arial" w:cs="Arial" w:eastAsia="Arial" w:hAnsi="Arial"/>
                <w:sz w:val="14"/>
                <w:szCs w:val="14"/>
                <w:b w:val="1"/>
                <w:bCs w:val="1"/>
                <w:color w:val="auto"/>
              </w:rPr>
              <w:t>2005</w:t>
            </w:r>
          </w:p>
        </w:tc>
        <w:tc>
          <w:tcPr>
            <w:tcW w:w="4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7"/>
              <w:spacing w:after="0" w:line="143" w:lineRule="exact"/>
              <w:rPr>
                <w:sz w:val="20"/>
                <w:szCs w:val="20"/>
                <w:color w:val="auto"/>
              </w:rPr>
            </w:pPr>
            <w:r>
              <w:rPr>
                <w:rFonts w:ascii="Arial" w:cs="Arial" w:eastAsia="Arial" w:hAnsi="Arial"/>
                <w:sz w:val="14"/>
                <w:szCs w:val="14"/>
                <w:b w:val="1"/>
                <w:bCs w:val="1"/>
                <w:color w:val="auto"/>
                <w:w w:val="96"/>
              </w:rPr>
              <w:t>2006</w:t>
            </w:r>
          </w:p>
        </w:tc>
        <w:tc>
          <w:tcPr>
            <w:tcW w:w="152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 Growth</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440" w:type="dxa"/>
            <w:vAlign w:val="bottom"/>
            <w:gridSpan w:val="2"/>
          </w:tcPr>
          <w:p>
            <w:pPr>
              <w:jc w:val="right"/>
              <w:ind w:right="315"/>
              <w:spacing w:after="0" w:line="129" w:lineRule="exact"/>
              <w:rPr>
                <w:sz w:val="20"/>
                <w:szCs w:val="20"/>
                <w:color w:val="auto"/>
              </w:rPr>
            </w:pPr>
            <w:r>
              <w:rPr>
                <w:rFonts w:ascii="Arial" w:cs="Arial" w:eastAsia="Arial" w:hAnsi="Arial"/>
                <w:sz w:val="14"/>
                <w:szCs w:val="14"/>
                <w:b w:val="1"/>
                <w:bCs w:val="1"/>
                <w:color w:val="auto"/>
              </w:rPr>
              <w:t>Historical</w:t>
            </w: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620" w:type="dxa"/>
            <w:vAlign w:val="bottom"/>
            <w:gridSpan w:val="2"/>
          </w:tcPr>
          <w:p>
            <w:pPr>
              <w:spacing w:after="0"/>
              <w:rPr>
                <w:sz w:val="20"/>
                <w:szCs w:val="20"/>
                <w:color w:val="auto"/>
              </w:rPr>
            </w:pPr>
            <w:r>
              <w:rPr>
                <w:rFonts w:ascii="Arial" w:cs="Arial" w:eastAsia="Arial" w:hAnsi="Arial"/>
                <w:sz w:val="14"/>
                <w:szCs w:val="14"/>
                <w:color w:val="auto"/>
              </w:rPr>
              <w:t>(Dollars in millions, except per share data)</w:t>
            </w:r>
          </w:p>
        </w:tc>
        <w:tc>
          <w:tcPr>
            <w:tcW w:w="560" w:type="dxa"/>
            <w:vAlign w:val="bottom"/>
          </w:tcPr>
          <w:p>
            <w:pPr>
              <w:spacing w:after="0"/>
              <w:rPr>
                <w:sz w:val="15"/>
                <w:szCs w:val="15"/>
                <w:color w:val="auto"/>
              </w:rPr>
            </w:pPr>
          </w:p>
        </w:tc>
        <w:tc>
          <w:tcPr>
            <w:tcW w:w="880" w:type="dxa"/>
            <w:vAlign w:val="bottom"/>
          </w:tcPr>
          <w:p>
            <w:pPr>
              <w:jc w:val="right"/>
              <w:ind w:right="455"/>
              <w:spacing w:after="0"/>
              <w:rPr>
                <w:sz w:val="20"/>
                <w:szCs w:val="20"/>
                <w:color w:val="auto"/>
              </w:rPr>
            </w:pPr>
            <w:r>
              <w:rPr>
                <w:rFonts w:ascii="Arial" w:cs="Arial" w:eastAsia="Arial" w:hAnsi="Arial"/>
                <w:sz w:val="14"/>
                <w:szCs w:val="14"/>
                <w:b w:val="1"/>
                <w:bCs w:val="1"/>
                <w:color w:val="auto"/>
                <w:w w:val="95"/>
              </w:rPr>
              <w:t>Total</w:t>
            </w:r>
          </w:p>
        </w:tc>
        <w:tc>
          <w:tcPr>
            <w:tcW w:w="1380" w:type="dxa"/>
            <w:vAlign w:val="bottom"/>
            <w:gridSpan w:val="2"/>
          </w:tcPr>
          <w:p>
            <w:pPr>
              <w:jc w:val="right"/>
              <w:ind w:right="195"/>
              <w:spacing w:after="0"/>
              <w:rPr>
                <w:sz w:val="20"/>
                <w:szCs w:val="20"/>
                <w:color w:val="auto"/>
              </w:rPr>
            </w:pPr>
            <w:r>
              <w:rPr>
                <w:rFonts w:ascii="Arial" w:cs="Arial" w:eastAsia="Arial" w:hAnsi="Arial"/>
                <w:sz w:val="14"/>
                <w:szCs w:val="14"/>
                <w:b w:val="1"/>
                <w:bCs w:val="1"/>
                <w:color w:val="auto"/>
              </w:rPr>
              <w:t>Adjustment (6)</w:t>
            </w: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As Adjusted</w:t>
            </w:r>
          </w:p>
        </w:tc>
        <w:tc>
          <w:tcPr>
            <w:tcW w:w="340" w:type="dxa"/>
            <w:vAlign w:val="bottom"/>
          </w:tcPr>
          <w:p>
            <w:pPr>
              <w:spacing w:after="0"/>
              <w:rPr>
                <w:sz w:val="15"/>
                <w:szCs w:val="15"/>
                <w:color w:val="auto"/>
              </w:rPr>
            </w:pPr>
          </w:p>
        </w:tc>
        <w:tc>
          <w:tcPr>
            <w:tcW w:w="660" w:type="dxa"/>
            <w:vAlign w:val="bottom"/>
          </w:tcPr>
          <w:p>
            <w:pPr>
              <w:jc w:val="right"/>
              <w:ind w:right="237"/>
              <w:spacing w:after="0"/>
              <w:rPr>
                <w:sz w:val="20"/>
                <w:szCs w:val="20"/>
                <w:color w:val="auto"/>
              </w:rPr>
            </w:pPr>
            <w:r>
              <w:rPr>
                <w:rFonts w:ascii="Arial" w:cs="Arial" w:eastAsia="Arial" w:hAnsi="Arial"/>
                <w:sz w:val="14"/>
                <w:szCs w:val="14"/>
                <w:b w:val="1"/>
                <w:bCs w:val="1"/>
                <w:color w:val="auto"/>
                <w:w w:val="95"/>
              </w:rPr>
              <w:t>Total</w:t>
            </w:r>
          </w:p>
        </w:tc>
        <w:tc>
          <w:tcPr>
            <w:tcW w:w="1520" w:type="dxa"/>
            <w:vAlign w:val="bottom"/>
          </w:tcPr>
          <w:p>
            <w:pPr>
              <w:jc w:val="right"/>
              <w:ind w:right="279"/>
              <w:spacing w:after="0"/>
              <w:rPr>
                <w:sz w:val="20"/>
                <w:szCs w:val="20"/>
                <w:color w:val="auto"/>
              </w:rPr>
            </w:pPr>
            <w:r>
              <w:rPr>
                <w:rFonts w:ascii="Arial" w:cs="Arial" w:eastAsia="Arial" w:hAnsi="Arial"/>
                <w:sz w:val="14"/>
                <w:szCs w:val="14"/>
                <w:b w:val="1"/>
                <w:bCs w:val="1"/>
                <w:color w:val="auto"/>
              </w:rPr>
              <w:t>As Adjusted</w:t>
            </w:r>
          </w:p>
        </w:tc>
        <w:tc>
          <w:tcPr>
            <w:tcW w:w="1160" w:type="dxa"/>
            <w:vAlign w:val="bottom"/>
          </w:tcPr>
          <w:p>
            <w:pPr>
              <w:jc w:val="right"/>
              <w:ind w:right="236"/>
              <w:spacing w:after="0"/>
              <w:rPr>
                <w:sz w:val="20"/>
                <w:szCs w:val="20"/>
                <w:color w:val="auto"/>
              </w:rPr>
            </w:pPr>
            <w:r>
              <w:rPr>
                <w:rFonts w:ascii="Arial" w:cs="Arial" w:eastAsia="Arial" w:hAnsi="Arial"/>
                <w:sz w:val="14"/>
                <w:szCs w:val="14"/>
                <w:b w:val="1"/>
                <w:bCs w:val="1"/>
                <w:color w:val="auto"/>
              </w:rPr>
              <w:t>% Growth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5,416</w:t>
            </w:r>
          </w:p>
        </w:tc>
        <w:tc>
          <w:tcPr>
            <w:tcW w:w="44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E5E5E5"/>
          </w:tcPr>
          <w:p>
            <w:pPr>
              <w:jc w:val="right"/>
              <w:ind w:right="297"/>
              <w:spacing w:after="0"/>
              <w:rPr>
                <w:sz w:val="20"/>
                <w:szCs w:val="20"/>
                <w:color w:val="auto"/>
              </w:rPr>
            </w:pPr>
            <w:r>
              <w:rPr>
                <w:rFonts w:ascii="Arial" w:cs="Arial" w:eastAsia="Arial" w:hAnsi="Arial"/>
                <w:sz w:val="18"/>
                <w:szCs w:val="18"/>
                <w:color w:val="auto"/>
              </w:rPr>
              <w:t>5,416</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7,031</w:t>
            </w:r>
          </w:p>
        </w:tc>
        <w:tc>
          <w:tcPr>
            <w:tcW w:w="1520" w:type="dxa"/>
            <w:vAlign w:val="bottom"/>
            <w:tcBorders>
              <w:top w:val="single" w:sz="8" w:color="auto"/>
            </w:tcBorders>
            <w:shd w:val="clear" w:color="auto" w:fill="E5E5E5"/>
          </w:tcPr>
          <w:p>
            <w:pPr>
              <w:jc w:val="right"/>
              <w:ind w:right="139"/>
              <w:spacing w:after="0"/>
              <w:rPr>
                <w:sz w:val="20"/>
                <w:szCs w:val="20"/>
                <w:color w:val="auto"/>
              </w:rPr>
            </w:pPr>
            <w:r>
              <w:rPr>
                <w:rFonts w:ascii="Arial" w:cs="Arial" w:eastAsia="Arial" w:hAnsi="Arial"/>
                <w:sz w:val="18"/>
                <w:szCs w:val="18"/>
                <w:color w:val="auto"/>
              </w:rPr>
              <w:t>30%</w:t>
            </w:r>
          </w:p>
        </w:tc>
        <w:tc>
          <w:tcPr>
            <w:tcW w:w="1160" w:type="dxa"/>
            <w:vAlign w:val="bottom"/>
            <w:tcBorders>
              <w:top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6"/>
        </w:trPr>
        <w:tc>
          <w:tcPr>
            <w:tcW w:w="3620" w:type="dxa"/>
            <w:vAlign w:val="bottom"/>
            <w:gridSpan w:val="2"/>
          </w:tcPr>
          <w:p>
            <w:pPr>
              <w:spacing w:after="0"/>
              <w:rPr>
                <w:sz w:val="20"/>
                <w:szCs w:val="20"/>
                <w:color w:val="auto"/>
              </w:rPr>
            </w:pPr>
            <w:r>
              <w:rPr>
                <w:rFonts w:ascii="Arial" w:cs="Arial" w:eastAsia="Arial" w:hAnsi="Arial"/>
                <w:sz w:val="18"/>
                <w:szCs w:val="18"/>
                <w:color w:val="auto"/>
                <w:w w:val="92"/>
              </w:rPr>
              <w:t>Operating Expenses (excluding depreciation and</w:t>
            </w:r>
          </w:p>
        </w:tc>
        <w:tc>
          <w:tcPr>
            <w:tcW w:w="560" w:type="dxa"/>
            <w:vAlign w:val="bottom"/>
          </w:tcPr>
          <w:p>
            <w:pPr>
              <w:spacing w:after="0"/>
              <w:rPr>
                <w:sz w:val="24"/>
                <w:szCs w:val="24"/>
                <w:color w:val="auto"/>
              </w:rPr>
            </w:pPr>
          </w:p>
        </w:tc>
        <w:tc>
          <w:tcPr>
            <w:tcW w:w="880" w:type="dxa"/>
            <w:vAlign w:val="bottom"/>
            <w:vMerge w:val="restart"/>
          </w:tcPr>
          <w:p>
            <w:pPr>
              <w:jc w:val="right"/>
              <w:ind w:right="275"/>
              <w:spacing w:after="0"/>
              <w:rPr>
                <w:sz w:val="20"/>
                <w:szCs w:val="20"/>
                <w:color w:val="auto"/>
              </w:rPr>
            </w:pPr>
            <w:r>
              <w:rPr>
                <w:rFonts w:ascii="Arial" w:cs="Arial" w:eastAsia="Arial" w:hAnsi="Arial"/>
                <w:sz w:val="18"/>
                <w:szCs w:val="18"/>
                <w:color w:val="auto"/>
              </w:rPr>
              <w:t>3,376</w:t>
            </w:r>
          </w:p>
        </w:tc>
        <w:tc>
          <w:tcPr>
            <w:tcW w:w="440" w:type="dxa"/>
            <w:vAlign w:val="bottom"/>
          </w:tcPr>
          <w:p>
            <w:pPr>
              <w:spacing w:after="0"/>
              <w:rPr>
                <w:sz w:val="24"/>
                <w:szCs w:val="24"/>
                <w:color w:val="auto"/>
              </w:rPr>
            </w:pPr>
          </w:p>
        </w:tc>
        <w:tc>
          <w:tcPr>
            <w:tcW w:w="940" w:type="dxa"/>
            <w:vAlign w:val="bottom"/>
            <w:vMerge w:val="restart"/>
          </w:tcPr>
          <w:p>
            <w:pPr>
              <w:jc w:val="right"/>
              <w:ind w:right="195"/>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24"/>
                <w:szCs w:val="24"/>
                <w:color w:val="auto"/>
              </w:rPr>
            </w:pPr>
          </w:p>
        </w:tc>
        <w:tc>
          <w:tcPr>
            <w:tcW w:w="880" w:type="dxa"/>
            <w:vAlign w:val="bottom"/>
            <w:vMerge w:val="restart"/>
          </w:tcPr>
          <w:p>
            <w:pPr>
              <w:jc w:val="right"/>
              <w:ind w:right="297"/>
              <w:spacing w:after="0"/>
              <w:rPr>
                <w:sz w:val="20"/>
                <w:szCs w:val="20"/>
                <w:color w:val="auto"/>
              </w:rPr>
            </w:pPr>
            <w:r>
              <w:rPr>
                <w:rFonts w:ascii="Arial" w:cs="Arial" w:eastAsia="Arial" w:hAnsi="Arial"/>
                <w:sz w:val="18"/>
                <w:szCs w:val="18"/>
                <w:color w:val="auto"/>
              </w:rPr>
              <w:t>3,424</w:t>
            </w:r>
          </w:p>
        </w:tc>
        <w:tc>
          <w:tcPr>
            <w:tcW w:w="340" w:type="dxa"/>
            <w:vAlign w:val="bottom"/>
          </w:tcPr>
          <w:p>
            <w:pPr>
              <w:spacing w:after="0"/>
              <w:rPr>
                <w:sz w:val="24"/>
                <w:szCs w:val="24"/>
                <w:color w:val="auto"/>
              </w:rPr>
            </w:pPr>
          </w:p>
        </w:tc>
        <w:tc>
          <w:tcPr>
            <w:tcW w:w="660" w:type="dxa"/>
            <w:vAlign w:val="bottom"/>
            <w:vMerge w:val="restart"/>
          </w:tcPr>
          <w:p>
            <w:pPr>
              <w:jc w:val="right"/>
              <w:ind w:right="77"/>
              <w:spacing w:after="0"/>
              <w:rPr>
                <w:sz w:val="20"/>
                <w:szCs w:val="20"/>
                <w:color w:val="auto"/>
              </w:rPr>
            </w:pPr>
            <w:r>
              <w:rPr>
                <w:rFonts w:ascii="Arial" w:cs="Arial" w:eastAsia="Arial" w:hAnsi="Arial"/>
                <w:sz w:val="18"/>
                <w:szCs w:val="18"/>
                <w:color w:val="auto"/>
              </w:rPr>
              <w:t>4,437</w:t>
            </w:r>
          </w:p>
        </w:tc>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2,040</w:t>
            </w:r>
          </w:p>
        </w:tc>
        <w:tc>
          <w:tcPr>
            <w:tcW w:w="4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48)</w:t>
            </w:r>
          </w:p>
        </w:tc>
        <w:tc>
          <w:tcPr>
            <w:tcW w:w="4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1,992</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2,594</w:t>
            </w:r>
          </w:p>
        </w:tc>
        <w:tc>
          <w:tcPr>
            <w:tcW w:w="1520" w:type="dxa"/>
            <w:vAlign w:val="bottom"/>
            <w:shd w:val="clear" w:color="auto" w:fill="E5E5E5"/>
          </w:tcPr>
          <w:p>
            <w:pPr>
              <w:jc w:val="right"/>
              <w:ind w:right="139"/>
              <w:spacing w:after="0"/>
              <w:rPr>
                <w:sz w:val="20"/>
                <w:szCs w:val="20"/>
                <w:color w:val="auto"/>
              </w:rPr>
            </w:pPr>
            <w:r>
              <w:rPr>
                <w:rFonts w:ascii="Arial" w:cs="Arial" w:eastAsia="Arial" w:hAnsi="Arial"/>
                <w:sz w:val="18"/>
                <w:szCs w:val="18"/>
                <w:color w:val="auto"/>
              </w:rPr>
              <w:t>30%</w:t>
            </w:r>
          </w:p>
        </w:tc>
        <w:tc>
          <w:tcPr>
            <w:tcW w:w="11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1,191</w:t>
            </w: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color w:val="auto"/>
              </w:rPr>
              <w:t>1,191</w:t>
            </w: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1,376</w:t>
            </w:r>
          </w:p>
        </w:tc>
        <w:tc>
          <w:tcPr>
            <w:tcW w:w="15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849</w:t>
            </w:r>
          </w:p>
        </w:tc>
        <w:tc>
          <w:tcPr>
            <w:tcW w:w="44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48)</w:t>
            </w:r>
          </w:p>
        </w:tc>
        <w:tc>
          <w:tcPr>
            <w:tcW w:w="4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E5E5E5"/>
          </w:tcPr>
          <w:p>
            <w:pPr>
              <w:jc w:val="right"/>
              <w:ind w:right="297"/>
              <w:spacing w:after="0"/>
              <w:rPr>
                <w:sz w:val="20"/>
                <w:szCs w:val="20"/>
                <w:color w:val="auto"/>
              </w:rPr>
            </w:pPr>
            <w:r>
              <w:rPr>
                <w:rFonts w:ascii="Arial" w:cs="Arial" w:eastAsia="Arial" w:hAnsi="Arial"/>
                <w:sz w:val="18"/>
                <w:szCs w:val="18"/>
                <w:color w:val="auto"/>
              </w:rPr>
              <w:t>801</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1,218</w:t>
            </w:r>
          </w:p>
        </w:tc>
        <w:tc>
          <w:tcPr>
            <w:tcW w:w="1520" w:type="dxa"/>
            <w:vAlign w:val="bottom"/>
            <w:tcBorders>
              <w:bottom w:val="single" w:sz="8" w:color="auto"/>
            </w:tcBorders>
            <w:shd w:val="clear" w:color="auto" w:fill="E5E5E5"/>
          </w:tcPr>
          <w:p>
            <w:pPr>
              <w:jc w:val="right"/>
              <w:ind w:right="139"/>
              <w:spacing w:after="0"/>
              <w:rPr>
                <w:sz w:val="20"/>
                <w:szCs w:val="20"/>
                <w:color w:val="auto"/>
              </w:rPr>
            </w:pPr>
            <w:r>
              <w:rPr>
                <w:rFonts w:ascii="Arial" w:cs="Arial" w:eastAsia="Arial" w:hAnsi="Arial"/>
                <w:sz w:val="18"/>
                <w:szCs w:val="18"/>
                <w:color w:val="auto"/>
              </w:rPr>
              <w:t>52%</w:t>
            </w:r>
          </w:p>
        </w:tc>
        <w:tc>
          <w:tcPr>
            <w:tcW w:w="116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Operating Cash Flow Margin</w:t>
            </w:r>
          </w:p>
        </w:tc>
        <w:tc>
          <w:tcPr>
            <w:tcW w:w="560" w:type="dxa"/>
            <w:vAlign w:val="bottom"/>
          </w:tcPr>
          <w:p>
            <w:pPr>
              <w:spacing w:after="0"/>
              <w:rPr>
                <w:sz w:val="18"/>
                <w:szCs w:val="18"/>
                <w:color w:val="auto"/>
              </w:rPr>
            </w:pPr>
          </w:p>
        </w:tc>
        <w:tc>
          <w:tcPr>
            <w:tcW w:w="880" w:type="dxa"/>
            <w:vAlign w:val="bottom"/>
          </w:tcPr>
          <w:p>
            <w:pPr>
              <w:jc w:val="right"/>
              <w:ind w:right="135"/>
              <w:spacing w:after="0"/>
              <w:rPr>
                <w:sz w:val="20"/>
                <w:szCs w:val="20"/>
                <w:color w:val="auto"/>
              </w:rPr>
            </w:pPr>
            <w:r>
              <w:rPr>
                <w:rFonts w:ascii="Arial" w:cs="Arial" w:eastAsia="Arial" w:hAnsi="Arial"/>
                <w:sz w:val="18"/>
                <w:szCs w:val="18"/>
                <w:color w:val="auto"/>
              </w:rPr>
              <w:t>37.7%</w:t>
            </w:r>
          </w:p>
        </w:tc>
        <w:tc>
          <w:tcPr>
            <w:tcW w:w="440" w:type="dxa"/>
            <w:vAlign w:val="bottom"/>
          </w:tcPr>
          <w:p>
            <w:pPr>
              <w:spacing w:after="0"/>
              <w:rPr>
                <w:sz w:val="18"/>
                <w:szCs w:val="18"/>
                <w:color w:val="auto"/>
              </w:rPr>
            </w:pPr>
          </w:p>
        </w:tc>
        <w:tc>
          <w:tcPr>
            <w:tcW w:w="940" w:type="dxa"/>
            <w:vAlign w:val="bottom"/>
          </w:tcPr>
          <w:p>
            <w:pPr>
              <w:jc w:val="right"/>
              <w:ind w:right="195"/>
              <w:spacing w:after="0"/>
              <w:rPr>
                <w:sz w:val="20"/>
                <w:szCs w:val="20"/>
                <w:color w:val="auto"/>
              </w:rPr>
            </w:pPr>
            <w:r>
              <w:rPr>
                <w:rFonts w:ascii="Arial" w:cs="Arial" w:eastAsia="Arial" w:hAnsi="Arial"/>
                <w:sz w:val="18"/>
                <w:szCs w:val="18"/>
                <w:color w:val="auto"/>
              </w:rPr>
              <w:t>NM</w:t>
            </w:r>
          </w:p>
        </w:tc>
        <w:tc>
          <w:tcPr>
            <w:tcW w:w="420" w:type="dxa"/>
            <w:vAlign w:val="bottom"/>
          </w:tcPr>
          <w:p>
            <w:pPr>
              <w:spacing w:after="0"/>
              <w:rPr>
                <w:sz w:val="18"/>
                <w:szCs w:val="18"/>
                <w:color w:val="auto"/>
              </w:rPr>
            </w:pPr>
          </w:p>
        </w:tc>
        <w:tc>
          <w:tcPr>
            <w:tcW w:w="880" w:type="dxa"/>
            <w:vAlign w:val="bottom"/>
          </w:tcPr>
          <w:p>
            <w:pPr>
              <w:jc w:val="right"/>
              <w:ind w:right="137"/>
              <w:spacing w:after="0"/>
              <w:rPr>
                <w:sz w:val="20"/>
                <w:szCs w:val="20"/>
                <w:color w:val="auto"/>
              </w:rPr>
            </w:pPr>
            <w:r>
              <w:rPr>
                <w:rFonts w:ascii="Arial" w:cs="Arial" w:eastAsia="Arial" w:hAnsi="Arial"/>
                <w:sz w:val="18"/>
                <w:szCs w:val="18"/>
                <w:color w:val="auto"/>
              </w:rPr>
              <w:t>36.8%</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36.9%</w:t>
            </w:r>
          </w:p>
        </w:tc>
        <w:tc>
          <w:tcPr>
            <w:tcW w:w="1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E5E5E5"/>
          </w:tcPr>
          <w:p>
            <w:pPr>
              <w:spacing w:after="0"/>
              <w:rPr>
                <w:sz w:val="20"/>
                <w:szCs w:val="20"/>
                <w:color w:val="auto"/>
              </w:rPr>
            </w:pPr>
            <w:r>
              <w:rPr>
                <w:rFonts w:ascii="Arial" w:cs="Arial" w:eastAsia="Arial" w:hAnsi="Arial"/>
                <w:sz w:val="18"/>
                <w:szCs w:val="18"/>
                <w:color w:val="auto"/>
              </w:rPr>
              <w:t>Earnings Per Share</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0.06</w:t>
            </w:r>
          </w:p>
        </w:tc>
        <w:tc>
          <w:tcPr>
            <w:tcW w:w="4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0.01)</w:t>
            </w:r>
          </w:p>
        </w:tc>
        <w:tc>
          <w:tcPr>
            <w:tcW w:w="4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297"/>
              <w:spacing w:after="0"/>
              <w:rPr>
                <w:sz w:val="20"/>
                <w:szCs w:val="20"/>
                <w:color w:val="auto"/>
              </w:rPr>
            </w:pPr>
            <w:r>
              <w:rPr>
                <w:rFonts w:ascii="Arial" w:cs="Arial" w:eastAsia="Arial" w:hAnsi="Arial"/>
                <w:sz w:val="18"/>
                <w:szCs w:val="18"/>
                <w:color w:val="auto"/>
              </w:rPr>
              <w:t>0.05</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0.18</w:t>
            </w:r>
          </w:p>
        </w:tc>
        <w:tc>
          <w:tcPr>
            <w:tcW w:w="1520" w:type="dxa"/>
            <w:vAlign w:val="bottom"/>
            <w:shd w:val="clear" w:color="auto" w:fill="E5E5E5"/>
          </w:tcPr>
          <w:p>
            <w:pPr>
              <w:jc w:val="right"/>
              <w:ind w:right="139"/>
              <w:spacing w:after="0"/>
              <w:rPr>
                <w:sz w:val="20"/>
                <w:szCs w:val="20"/>
                <w:color w:val="auto"/>
              </w:rPr>
            </w:pPr>
            <w:r>
              <w:rPr>
                <w:rFonts w:ascii="Arial" w:cs="Arial" w:eastAsia="Arial" w:hAnsi="Arial"/>
                <w:sz w:val="18"/>
                <w:szCs w:val="18"/>
                <w:color w:val="auto"/>
              </w:rPr>
              <w:t>260%</w:t>
            </w:r>
          </w:p>
        </w:tc>
        <w:tc>
          <w:tcPr>
            <w:tcW w:w="11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971" w:right="239" w:bottom="0" w:gutter="0" w:footer="0" w:header="0"/>
        </w:sectPr>
      </w:pPr>
    </w:p>
    <w:bookmarkStart w:id="17" w:name="page18"/>
    <w:bookmarkEnd w:id="17"/>
    <w:p>
      <w:pPr>
        <w:jc w:val="both"/>
        <w:ind w:left="46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 forma data is adjusted only for timing of acquisitions (or dispositions) and does not include adjustments for costs related to integration activities, cost savings or synergies that have been or may be achieved by the combined businesses. Pro Forma results are presented as if the acquisitions and dispositions were effective on January 1, 2005. Minor differences may exist due to rounding.</w:t>
      </w:r>
    </w:p>
    <w:p>
      <w:pPr>
        <w:spacing w:after="0" w:line="59"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Beginning on August 1, 2006, the cable segment includes the operating results of the cable systems serving Houston, TX as a result of the dissolution of our cable partnership with Time Warner. This adjustment is reversed in the Corporate, Other and Eliminations column to reconcile to our consolidated amounts.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Cable Pro Forma adjustments include cable systems serving Houston, TX prior to August 1, 2006.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Pro Forma adjustments include cable systems serving Houston, TX for all periods.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be consistent with our management reporting, reclassifications were made to technology development ventures, programming headquarters and other.</w:t>
      </w:r>
    </w:p>
    <w:p>
      <w:pPr>
        <w:spacing w:after="0" w:line="113" w:lineRule="exact"/>
        <w:rPr>
          <w:rFonts w:ascii="Arial" w:cs="Arial" w:eastAsia="Arial" w:hAnsi="Arial"/>
          <w:sz w:val="16"/>
          <w:szCs w:val="16"/>
          <w:color w:val="auto"/>
        </w:rPr>
      </w:pPr>
    </w:p>
    <w:p>
      <w:pPr>
        <w:jc w:val="both"/>
        <w:ind w:left="460" w:hanging="452"/>
        <w:spacing w:after="0" w:line="298"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be consistent with our management reporting, the 2005 segment amounts have been adjusted as if stock options had been expensed as of January 1, 2005. For the three months ended December 31, 2005, the adjustments reducing operating income before depreciation and amortization by segment were $30 million for Cable, ($2) million for Programming and $20 million for Corporate and Other. For the three months ended December 31, 2005, the total adjustment of $48 million is reversed in the Corporate, Other and Eliminations column to reconcile to our consolidated 2005 amounts.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7-B</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Pro Forma (1), “As Adjusted” Financial Data by Business Segment</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vMerge w:val="restart"/>
          </w:tcPr>
          <w:p>
            <w:pPr>
              <w:jc w:val="center"/>
              <w:ind w:right="254"/>
              <w:spacing w:after="0"/>
              <w:rPr>
                <w:sz w:val="20"/>
                <w:szCs w:val="20"/>
                <w:color w:val="auto"/>
              </w:rPr>
            </w:pPr>
            <w:r>
              <w:rPr>
                <w:rFonts w:ascii="Arial" w:cs="Arial" w:eastAsia="Arial" w:hAnsi="Arial"/>
                <w:sz w:val="14"/>
                <w:szCs w:val="14"/>
                <w:b w:val="1"/>
                <w:bCs w:val="1"/>
                <w:color w:val="auto"/>
                <w:w w:val="90"/>
              </w:rPr>
              <w:t>Corporate,</w:t>
            </w:r>
          </w:p>
        </w:tc>
        <w:tc>
          <w:tcPr>
            <w:tcW w:w="20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Cable</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ind w:right="254"/>
              <w:spacing w:after="0" w:line="149" w:lineRule="exact"/>
              <w:rPr>
                <w:sz w:val="20"/>
                <w:szCs w:val="20"/>
                <w:color w:val="auto"/>
              </w:rPr>
            </w:pPr>
            <w:r>
              <w:rPr>
                <w:rFonts w:ascii="Arial" w:cs="Arial" w:eastAsia="Arial" w:hAnsi="Arial"/>
                <w:sz w:val="14"/>
                <w:szCs w:val="14"/>
                <w:b w:val="1"/>
                <w:bCs w:val="1"/>
                <w:color w:val="auto"/>
                <w:w w:val="90"/>
              </w:rPr>
              <w:t>Other and</w:t>
            </w:r>
          </w:p>
        </w:tc>
        <w:tc>
          <w:tcPr>
            <w:tcW w:w="20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jc w:val="right"/>
              <w:ind w:right="354"/>
              <w:spacing w:after="0" w:line="149" w:lineRule="exact"/>
              <w:rPr>
                <w:sz w:val="20"/>
                <w:szCs w:val="20"/>
                <w:color w:val="auto"/>
              </w:rPr>
            </w:pPr>
            <w:r>
              <w:rPr>
                <w:rFonts w:ascii="Arial" w:cs="Arial" w:eastAsia="Arial" w:hAnsi="Arial"/>
                <w:sz w:val="14"/>
                <w:szCs w:val="14"/>
                <w:b w:val="1"/>
                <w:bCs w:val="1"/>
                <w:color w:val="auto"/>
                <w:w w:val="99"/>
              </w:rPr>
              <w:t>Pro Forma</w:t>
            </w:r>
          </w:p>
        </w:tc>
        <w:tc>
          <w:tcPr>
            <w:tcW w:w="140" w:type="dxa"/>
            <w:vAlign w:val="bottom"/>
          </w:tcPr>
          <w:p>
            <w:pPr>
              <w:spacing w:after="0"/>
              <w:rPr>
                <w:sz w:val="12"/>
                <w:szCs w:val="12"/>
                <w:color w:val="auto"/>
              </w:rPr>
            </w:pPr>
          </w:p>
        </w:tc>
        <w:tc>
          <w:tcPr>
            <w:tcW w:w="780" w:type="dxa"/>
            <w:vAlign w:val="bottom"/>
            <w:tcBorders>
              <w:right w:val="single" w:sz="8" w:color="auto"/>
            </w:tcBorders>
          </w:tcPr>
          <w:p>
            <w:pPr>
              <w:jc w:val="right"/>
              <w:ind w:right="293"/>
              <w:spacing w:after="0" w:line="149" w:lineRule="exact"/>
              <w:rPr>
                <w:sz w:val="20"/>
                <w:szCs w:val="20"/>
                <w:color w:val="auto"/>
              </w:rPr>
            </w:pPr>
            <w:r>
              <w:rPr>
                <w:rFonts w:ascii="Arial" w:cs="Arial" w:eastAsia="Arial" w:hAnsi="Arial"/>
                <w:sz w:val="14"/>
                <w:szCs w:val="14"/>
                <w:b w:val="1"/>
                <w:bCs w:val="1"/>
                <w:color w:val="auto"/>
                <w:w w:val="99"/>
              </w:rPr>
              <w:t>Cable</w:t>
            </w:r>
          </w:p>
        </w:tc>
        <w:tc>
          <w:tcPr>
            <w:tcW w:w="400" w:type="dxa"/>
            <w:vAlign w:val="bottom"/>
          </w:tcPr>
          <w:p>
            <w:pPr>
              <w:spacing w:after="0"/>
              <w:rPr>
                <w:sz w:val="12"/>
                <w:szCs w:val="12"/>
                <w:color w:val="auto"/>
              </w:rPr>
            </w:pPr>
          </w:p>
        </w:tc>
        <w:tc>
          <w:tcPr>
            <w:tcW w:w="1080" w:type="dxa"/>
            <w:vAlign w:val="bottom"/>
          </w:tcPr>
          <w:p>
            <w:pPr>
              <w:jc w:val="right"/>
              <w:ind w:right="294"/>
              <w:spacing w:after="0" w:line="149" w:lineRule="exact"/>
              <w:rPr>
                <w:sz w:val="20"/>
                <w:szCs w:val="20"/>
                <w:color w:val="auto"/>
              </w:rPr>
            </w:pPr>
            <w:r>
              <w:rPr>
                <w:rFonts w:ascii="Arial" w:cs="Arial" w:eastAsia="Arial" w:hAnsi="Arial"/>
                <w:sz w:val="14"/>
                <w:szCs w:val="14"/>
                <w:b w:val="1"/>
                <w:bCs w:val="1"/>
                <w:color w:val="auto"/>
                <w:w w:val="97"/>
              </w:rPr>
              <w:t>Pro Forma</w:t>
            </w:r>
          </w:p>
        </w:tc>
        <w:tc>
          <w:tcPr>
            <w:tcW w:w="240" w:type="dxa"/>
            <w:vAlign w:val="bottom"/>
          </w:tcPr>
          <w:p>
            <w:pPr>
              <w:spacing w:after="0"/>
              <w:rPr>
                <w:sz w:val="12"/>
                <w:szCs w:val="12"/>
                <w:color w:val="auto"/>
              </w:rPr>
            </w:pPr>
          </w:p>
        </w:tc>
        <w:tc>
          <w:tcPr>
            <w:tcW w:w="620" w:type="dxa"/>
            <w:vAlign w:val="bottom"/>
          </w:tcPr>
          <w:p>
            <w:pPr>
              <w:jc w:val="right"/>
              <w:ind w:right="193"/>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5"/>
        </w:trPr>
        <w:tc>
          <w:tcPr>
            <w:tcW w:w="236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8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Cable (2)</w:t>
            </w: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w w:val="98"/>
              </w:rPr>
              <w:t>Programming</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Eliminations (2) (6)</w:t>
            </w:r>
          </w:p>
        </w:tc>
        <w:tc>
          <w:tcPr>
            <w:tcW w:w="200" w:type="dxa"/>
            <w:vAlign w:val="bottom"/>
          </w:tcPr>
          <w:p>
            <w:pPr>
              <w:spacing w:after="0"/>
              <w:rPr>
                <w:sz w:val="15"/>
                <w:szCs w:val="15"/>
                <w:color w:val="auto"/>
              </w:rPr>
            </w:pPr>
          </w:p>
        </w:tc>
        <w:tc>
          <w:tcPr>
            <w:tcW w:w="760" w:type="dxa"/>
            <w:vAlign w:val="bottom"/>
            <w:tcBorders>
              <w:right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1560" w:type="dxa"/>
            <w:vAlign w:val="bottom"/>
            <w:gridSpan w:val="2"/>
          </w:tcPr>
          <w:p>
            <w:pPr>
              <w:ind w:left="240"/>
              <w:spacing w:after="0"/>
              <w:rPr>
                <w:sz w:val="20"/>
                <w:szCs w:val="20"/>
                <w:color w:val="auto"/>
              </w:rPr>
            </w:pPr>
            <w:r>
              <w:rPr>
                <w:rFonts w:ascii="Arial" w:cs="Arial" w:eastAsia="Arial" w:hAnsi="Arial"/>
                <w:sz w:val="14"/>
                <w:szCs w:val="14"/>
                <w:b w:val="1"/>
                <w:bCs w:val="1"/>
                <w:color w:val="auto"/>
              </w:rPr>
              <w:t>Adjustments (1) (3)</w:t>
            </w:r>
          </w:p>
        </w:tc>
        <w:tc>
          <w:tcPr>
            <w:tcW w:w="9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Pro Forma</w:t>
            </w:r>
          </w:p>
        </w:tc>
        <w:tc>
          <w:tcPr>
            <w:tcW w:w="1480" w:type="dxa"/>
            <w:vAlign w:val="bottom"/>
            <w:gridSpan w:val="2"/>
          </w:tcPr>
          <w:p>
            <w:pPr>
              <w:ind w:left="240"/>
              <w:spacing w:after="0"/>
              <w:rPr>
                <w:sz w:val="20"/>
                <w:szCs w:val="20"/>
                <w:color w:val="auto"/>
              </w:rPr>
            </w:pPr>
            <w:r>
              <w:rPr>
                <w:rFonts w:ascii="Arial" w:cs="Arial" w:eastAsia="Arial" w:hAnsi="Arial"/>
                <w:sz w:val="14"/>
                <w:szCs w:val="14"/>
                <w:b w:val="1"/>
                <w:bCs w:val="1"/>
                <w:color w:val="auto"/>
                <w:w w:val="96"/>
              </w:rPr>
              <w:t>Adjustments (1) (4)</w:t>
            </w: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40" w:type="dxa"/>
            <w:vAlign w:val="bottom"/>
            <w:tcBorders>
              <w:top w:val="single" w:sz="8" w:color="auto"/>
            </w:tcBorders>
            <w:shd w:val="clear" w:color="auto" w:fill="E5E5E5"/>
          </w:tcPr>
          <w:p>
            <w:pPr>
              <w:spacing w:after="0" w:line="195" w:lineRule="exact"/>
              <w:rPr>
                <w:sz w:val="20"/>
                <w:szCs w:val="20"/>
                <w:color w:val="auto"/>
              </w:rPr>
            </w:pPr>
            <w:r>
              <w:rPr>
                <w:rFonts w:ascii="Arial" w:cs="Arial" w:eastAsia="Arial" w:hAnsi="Arial"/>
                <w:sz w:val="18"/>
                <w:szCs w:val="18"/>
                <w:b w:val="1"/>
                <w:bCs w:val="1"/>
                <w:color w:val="auto"/>
              </w:rPr>
              <w:t>Twelve Months Ended</w:t>
            </w:r>
          </w:p>
        </w:tc>
        <w:tc>
          <w:tcPr>
            <w:tcW w:w="260" w:type="dxa"/>
            <w:vAlign w:val="bottom"/>
            <w:tcBorders>
              <w:top w:val="single" w:sz="8" w:color="auto"/>
            </w:tcBorders>
            <w:shd w:val="clear" w:color="auto" w:fill="E5E5E5"/>
          </w:tcPr>
          <w:p>
            <w:pPr>
              <w:spacing w:after="0"/>
              <w:rPr>
                <w:sz w:val="16"/>
                <w:szCs w:val="16"/>
                <w:color w:val="auto"/>
              </w:rPr>
            </w:pPr>
          </w:p>
        </w:tc>
        <w:tc>
          <w:tcPr>
            <w:tcW w:w="620" w:type="dxa"/>
            <w:vAlign w:val="bottom"/>
            <w:tcBorders>
              <w:top w:val="single" w:sz="8" w:color="auto"/>
            </w:tcBorders>
            <w:shd w:val="clear" w:color="auto" w:fill="E5E5E5"/>
          </w:tcPr>
          <w:p>
            <w:pPr>
              <w:spacing w:after="0"/>
              <w:rPr>
                <w:sz w:val="16"/>
                <w:szCs w:val="16"/>
                <w:color w:val="auto"/>
              </w:rPr>
            </w:pPr>
          </w:p>
        </w:tc>
        <w:tc>
          <w:tcPr>
            <w:tcW w:w="340" w:type="dxa"/>
            <w:vAlign w:val="bottom"/>
            <w:tcBorders>
              <w:top w:val="single" w:sz="8" w:color="auto"/>
            </w:tcBorders>
            <w:shd w:val="clear" w:color="auto" w:fill="E5E5E5"/>
          </w:tcPr>
          <w:p>
            <w:pPr>
              <w:spacing w:after="0"/>
              <w:rPr>
                <w:sz w:val="16"/>
                <w:szCs w:val="16"/>
                <w:color w:val="auto"/>
              </w:rPr>
            </w:pPr>
          </w:p>
        </w:tc>
        <w:tc>
          <w:tcPr>
            <w:tcW w:w="680" w:type="dxa"/>
            <w:vAlign w:val="bottom"/>
            <w:tcBorders>
              <w:top w:val="single" w:sz="8" w:color="auto"/>
            </w:tcBorders>
            <w:shd w:val="clear" w:color="auto" w:fill="E5E5E5"/>
          </w:tcPr>
          <w:p>
            <w:pPr>
              <w:spacing w:after="0"/>
              <w:rPr>
                <w:sz w:val="16"/>
                <w:szCs w:val="16"/>
                <w:color w:val="auto"/>
              </w:rPr>
            </w:pPr>
          </w:p>
        </w:tc>
        <w:tc>
          <w:tcPr>
            <w:tcW w:w="320" w:type="dxa"/>
            <w:vAlign w:val="bottom"/>
            <w:tcBorders>
              <w:top w:val="single" w:sz="8" w:color="auto"/>
            </w:tcBorders>
            <w:shd w:val="clear" w:color="auto" w:fill="E5E5E5"/>
          </w:tcPr>
          <w:p>
            <w:pPr>
              <w:spacing w:after="0"/>
              <w:rPr>
                <w:sz w:val="16"/>
                <w:szCs w:val="16"/>
                <w:color w:val="auto"/>
              </w:rPr>
            </w:pPr>
          </w:p>
        </w:tc>
        <w:tc>
          <w:tcPr>
            <w:tcW w:w="1060" w:type="dxa"/>
            <w:vAlign w:val="bottom"/>
            <w:tcBorders>
              <w:top w:val="single" w:sz="8" w:color="auto"/>
            </w:tcBorders>
            <w:shd w:val="clear" w:color="auto" w:fill="E5E5E5"/>
          </w:tcPr>
          <w:p>
            <w:pPr>
              <w:spacing w:after="0"/>
              <w:rPr>
                <w:sz w:val="16"/>
                <w:szCs w:val="16"/>
                <w:color w:val="auto"/>
              </w:rPr>
            </w:pPr>
          </w:p>
        </w:tc>
        <w:tc>
          <w:tcPr>
            <w:tcW w:w="200" w:type="dxa"/>
            <w:vAlign w:val="bottom"/>
            <w:tcBorders>
              <w:top w:val="single" w:sz="8" w:color="auto"/>
            </w:tcBorders>
            <w:shd w:val="clear" w:color="auto" w:fill="E5E5E5"/>
          </w:tcPr>
          <w:p>
            <w:pPr>
              <w:spacing w:after="0"/>
              <w:rPr>
                <w:sz w:val="16"/>
                <w:szCs w:val="16"/>
                <w:color w:val="auto"/>
              </w:rPr>
            </w:pPr>
          </w:p>
        </w:tc>
        <w:tc>
          <w:tcPr>
            <w:tcW w:w="760" w:type="dxa"/>
            <w:vAlign w:val="bottom"/>
            <w:tcBorders>
              <w:top w:val="single" w:sz="8" w:color="auto"/>
              <w:right w:val="single" w:sz="8" w:color="auto"/>
            </w:tcBorders>
            <w:shd w:val="clear" w:color="auto" w:fill="E5E5E5"/>
          </w:tcPr>
          <w:p>
            <w:pPr>
              <w:spacing w:after="0"/>
              <w:rPr>
                <w:sz w:val="16"/>
                <w:szCs w:val="16"/>
                <w:color w:val="auto"/>
              </w:rPr>
            </w:pPr>
          </w:p>
        </w:tc>
        <w:tc>
          <w:tcPr>
            <w:tcW w:w="400" w:type="dxa"/>
            <w:vAlign w:val="bottom"/>
            <w:tcBorders>
              <w:top w:val="single" w:sz="8" w:color="auto"/>
            </w:tcBorders>
            <w:shd w:val="clear" w:color="auto" w:fill="E5E5E5"/>
          </w:tcPr>
          <w:p>
            <w:pPr>
              <w:spacing w:after="0"/>
              <w:rPr>
                <w:sz w:val="16"/>
                <w:szCs w:val="16"/>
                <w:color w:val="auto"/>
              </w:rPr>
            </w:pPr>
          </w:p>
        </w:tc>
        <w:tc>
          <w:tcPr>
            <w:tcW w:w="1160" w:type="dxa"/>
            <w:vAlign w:val="bottom"/>
            <w:tcBorders>
              <w:top w:val="single" w:sz="8" w:color="auto"/>
            </w:tcBorders>
            <w:shd w:val="clear" w:color="auto" w:fill="E5E5E5"/>
          </w:tcPr>
          <w:p>
            <w:pPr>
              <w:spacing w:after="0"/>
              <w:rPr>
                <w:sz w:val="16"/>
                <w:szCs w:val="16"/>
                <w:color w:val="auto"/>
              </w:rPr>
            </w:pPr>
          </w:p>
        </w:tc>
        <w:tc>
          <w:tcPr>
            <w:tcW w:w="140" w:type="dxa"/>
            <w:vAlign w:val="bottom"/>
            <w:tcBorders>
              <w:top w:val="single" w:sz="8" w:color="auto"/>
            </w:tcBorders>
            <w:shd w:val="clear" w:color="auto" w:fill="E5E5E5"/>
          </w:tcPr>
          <w:p>
            <w:pPr>
              <w:spacing w:after="0"/>
              <w:rPr>
                <w:sz w:val="16"/>
                <w:szCs w:val="16"/>
                <w:color w:val="auto"/>
              </w:rPr>
            </w:pPr>
          </w:p>
        </w:tc>
        <w:tc>
          <w:tcPr>
            <w:tcW w:w="780" w:type="dxa"/>
            <w:vAlign w:val="bottom"/>
            <w:tcBorders>
              <w:top w:val="single" w:sz="8" w:color="auto"/>
              <w:right w:val="single" w:sz="8" w:color="auto"/>
            </w:tcBorders>
            <w:shd w:val="clear" w:color="auto" w:fill="E5E5E5"/>
          </w:tcPr>
          <w:p>
            <w:pPr>
              <w:spacing w:after="0"/>
              <w:rPr>
                <w:sz w:val="16"/>
                <w:szCs w:val="16"/>
                <w:color w:val="auto"/>
              </w:rPr>
            </w:pPr>
          </w:p>
        </w:tc>
        <w:tc>
          <w:tcPr>
            <w:tcW w:w="400" w:type="dxa"/>
            <w:vAlign w:val="bottom"/>
            <w:tcBorders>
              <w:top w:val="single" w:sz="8" w:color="auto"/>
            </w:tcBorders>
            <w:shd w:val="clear" w:color="auto" w:fill="E5E5E5"/>
          </w:tcPr>
          <w:p>
            <w:pPr>
              <w:spacing w:after="0"/>
              <w:rPr>
                <w:sz w:val="16"/>
                <w:szCs w:val="16"/>
                <w:color w:val="auto"/>
              </w:rPr>
            </w:pPr>
          </w:p>
        </w:tc>
        <w:tc>
          <w:tcPr>
            <w:tcW w:w="1080" w:type="dxa"/>
            <w:vAlign w:val="bottom"/>
            <w:tcBorders>
              <w:top w:val="single" w:sz="8" w:color="auto"/>
            </w:tcBorders>
            <w:shd w:val="clear" w:color="auto" w:fill="E5E5E5"/>
          </w:tcPr>
          <w:p>
            <w:pPr>
              <w:spacing w:after="0"/>
              <w:rPr>
                <w:sz w:val="16"/>
                <w:szCs w:val="16"/>
                <w:color w:val="auto"/>
              </w:rPr>
            </w:pPr>
          </w:p>
        </w:tc>
        <w:tc>
          <w:tcPr>
            <w:tcW w:w="240" w:type="dxa"/>
            <w:vAlign w:val="bottom"/>
            <w:tcBorders>
              <w:top w:val="single" w:sz="8" w:color="auto"/>
            </w:tcBorders>
            <w:shd w:val="clear" w:color="auto" w:fill="E5E5E5"/>
          </w:tcPr>
          <w:p>
            <w:pPr>
              <w:spacing w:after="0"/>
              <w:rPr>
                <w:sz w:val="16"/>
                <w:szCs w:val="16"/>
                <w:color w:val="auto"/>
              </w:rPr>
            </w:pPr>
          </w:p>
        </w:tc>
        <w:tc>
          <w:tcPr>
            <w:tcW w:w="620" w:type="dxa"/>
            <w:vAlign w:val="bottom"/>
            <w:tcBorders>
              <w:top w:val="single" w:sz="8" w:color="auto"/>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shd w:val="clear" w:color="auto" w:fill="E5E5E5"/>
          </w:tcPr>
          <w:p>
            <w:pPr>
              <w:ind w:left="200"/>
              <w:spacing w:after="0"/>
              <w:rPr>
                <w:sz w:val="20"/>
                <w:szCs w:val="20"/>
                <w:color w:val="auto"/>
              </w:rPr>
            </w:pPr>
            <w:r>
              <w:rPr>
                <w:rFonts w:ascii="Arial" w:cs="Arial" w:eastAsia="Arial" w:hAnsi="Arial"/>
                <w:sz w:val="18"/>
                <w:szCs w:val="18"/>
                <w:b w:val="1"/>
                <w:bCs w:val="1"/>
                <w:color w:val="auto"/>
              </w:rPr>
              <w:t>December 31, 2006</w:t>
            </w:r>
          </w:p>
        </w:tc>
        <w:tc>
          <w:tcPr>
            <w:tcW w:w="260" w:type="dxa"/>
            <w:vAlign w:val="bottom"/>
            <w:shd w:val="clear" w:color="auto" w:fill="E5E5E5"/>
          </w:tcPr>
          <w:p>
            <w:pPr>
              <w:spacing w:after="0"/>
              <w:rPr>
                <w:sz w:val="20"/>
                <w:szCs w:val="20"/>
                <w:color w:val="auto"/>
              </w:rPr>
            </w:pPr>
          </w:p>
        </w:tc>
        <w:tc>
          <w:tcPr>
            <w:tcW w:w="62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6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0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760" w:type="dxa"/>
            <w:vAlign w:val="bottom"/>
            <w:tcBorders>
              <w:right w:val="single" w:sz="8" w:color="auto"/>
            </w:tcBorders>
            <w:shd w:val="clear" w:color="auto" w:fill="E5E5E5"/>
          </w:tcPr>
          <w:p>
            <w:pPr>
              <w:spacing w:after="0"/>
              <w:rPr>
                <w:sz w:val="20"/>
                <w:szCs w:val="20"/>
                <w:color w:val="auto"/>
              </w:rPr>
            </w:pPr>
          </w:p>
        </w:tc>
        <w:tc>
          <w:tcPr>
            <w:tcW w:w="400" w:type="dxa"/>
            <w:vAlign w:val="bottom"/>
            <w:shd w:val="clear" w:color="auto" w:fill="E5E5E5"/>
          </w:tcPr>
          <w:p>
            <w:pPr>
              <w:spacing w:after="0"/>
              <w:rPr>
                <w:sz w:val="20"/>
                <w:szCs w:val="20"/>
                <w:color w:val="auto"/>
              </w:rPr>
            </w:pPr>
          </w:p>
        </w:tc>
        <w:tc>
          <w:tcPr>
            <w:tcW w:w="116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780" w:type="dxa"/>
            <w:vAlign w:val="bottom"/>
            <w:tcBorders>
              <w:right w:val="single" w:sz="8" w:color="auto"/>
            </w:tcBorders>
            <w:shd w:val="clear" w:color="auto" w:fill="E5E5E5"/>
          </w:tcPr>
          <w:p>
            <w:pPr>
              <w:spacing w:after="0"/>
              <w:rPr>
                <w:sz w:val="20"/>
                <w:szCs w:val="20"/>
                <w:color w:val="auto"/>
              </w:rPr>
            </w:pPr>
          </w:p>
        </w:tc>
        <w:tc>
          <w:tcPr>
            <w:tcW w:w="400" w:type="dxa"/>
            <w:vAlign w:val="bottom"/>
            <w:shd w:val="clear" w:color="auto" w:fill="E5E5E5"/>
          </w:tcPr>
          <w:p>
            <w:pPr>
              <w:spacing w:after="0"/>
              <w:rPr>
                <w:sz w:val="20"/>
                <w:szCs w:val="20"/>
                <w:color w:val="auto"/>
              </w:rPr>
            </w:pPr>
          </w:p>
        </w:tc>
        <w:tc>
          <w:tcPr>
            <w:tcW w:w="108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6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83"/>
              </w:rPr>
              <w:t>24,100</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1,053</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right"/>
              <w:ind w:right="193"/>
              <w:spacing w:after="0"/>
              <w:rPr>
                <w:sz w:val="20"/>
                <w:szCs w:val="20"/>
                <w:color w:val="auto"/>
              </w:rPr>
            </w:pPr>
            <w:r>
              <w:rPr>
                <w:rFonts w:ascii="Arial" w:cs="Arial" w:eastAsia="Arial" w:hAnsi="Arial"/>
                <w:sz w:val="18"/>
                <w:szCs w:val="18"/>
                <w:color w:val="auto"/>
                <w:w w:val="83"/>
              </w:rPr>
              <w:t>24,966</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2,239</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tcPr>
          <w:p>
            <w:pPr>
              <w:jc w:val="right"/>
              <w:ind w:right="193"/>
              <w:spacing w:after="0"/>
              <w:rPr>
                <w:sz w:val="20"/>
                <w:szCs w:val="20"/>
                <w:color w:val="auto"/>
              </w:rPr>
            </w:pPr>
            <w:r>
              <w:rPr>
                <w:rFonts w:ascii="Arial" w:cs="Arial" w:eastAsia="Arial" w:hAnsi="Arial"/>
                <w:sz w:val="18"/>
                <w:szCs w:val="18"/>
                <w:color w:val="auto"/>
                <w:w w:val="87"/>
              </w:rPr>
              <w:t>26,339</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2,629</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w w:val="90"/>
              </w:rPr>
              <w:t>27,595</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40" w:type="dxa"/>
            <w:vAlign w:val="bottom"/>
            <w:shd w:val="clear" w:color="auto" w:fill="E5E5E5"/>
          </w:tcPr>
          <w:p>
            <w:pPr>
              <w:spacing w:after="0"/>
              <w:rPr>
                <w:sz w:val="20"/>
                <w:szCs w:val="20"/>
                <w:color w:val="auto"/>
              </w:rPr>
            </w:pPr>
            <w:r>
              <w:rPr>
                <w:rFonts w:ascii="Arial" w:cs="Arial" w:eastAsia="Arial" w:hAnsi="Arial"/>
                <w:sz w:val="18"/>
                <w:szCs w:val="18"/>
                <w:color w:val="auto"/>
                <w:w w:val="92"/>
              </w:rPr>
              <w:t>Operating Expenses (excluding</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760" w:type="dxa"/>
            <w:vAlign w:val="bottom"/>
            <w:tcBorders>
              <w:right w:val="single" w:sz="8" w:color="auto"/>
            </w:tcBorders>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780" w:type="dxa"/>
            <w:vAlign w:val="bottom"/>
            <w:tcBorders>
              <w:right w:val="single" w:sz="8" w:color="auto"/>
            </w:tcBorders>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 and</w:t>
            </w:r>
          </w:p>
        </w:tc>
        <w:tc>
          <w:tcPr>
            <w:tcW w:w="260" w:type="dxa"/>
            <w:vAlign w:val="bottom"/>
            <w:shd w:val="clear" w:color="auto" w:fill="E5E5E5"/>
          </w:tcPr>
          <w:p>
            <w:pPr>
              <w:spacing w:after="0"/>
              <w:rPr>
                <w:sz w:val="18"/>
                <w:szCs w:val="18"/>
                <w:color w:val="auto"/>
              </w:rPr>
            </w:pPr>
          </w:p>
        </w:tc>
        <w:tc>
          <w:tcPr>
            <w:tcW w:w="620" w:type="dxa"/>
            <w:vAlign w:val="bottom"/>
            <w:vMerge w:val="restart"/>
            <w:shd w:val="clear" w:color="auto" w:fill="E5E5E5"/>
          </w:tcPr>
          <w:p>
            <w:pPr>
              <w:jc w:val="right"/>
              <w:ind w:right="52"/>
              <w:spacing w:after="0"/>
              <w:rPr>
                <w:sz w:val="20"/>
                <w:szCs w:val="20"/>
                <w:color w:val="auto"/>
              </w:rPr>
            </w:pPr>
            <w:r>
              <w:rPr>
                <w:rFonts w:ascii="Arial" w:cs="Arial" w:eastAsia="Arial" w:hAnsi="Arial"/>
                <w:sz w:val="18"/>
                <w:szCs w:val="18"/>
                <w:color w:val="auto"/>
                <w:w w:val="83"/>
              </w:rPr>
              <w:t>14,396</w:t>
            </w:r>
          </w:p>
        </w:tc>
        <w:tc>
          <w:tcPr>
            <w:tcW w:w="340" w:type="dxa"/>
            <w:vAlign w:val="bottom"/>
            <w:shd w:val="clear" w:color="auto" w:fill="E5E5E5"/>
          </w:tcPr>
          <w:p>
            <w:pPr>
              <w:spacing w:after="0"/>
              <w:rPr>
                <w:sz w:val="18"/>
                <w:szCs w:val="18"/>
                <w:color w:val="auto"/>
              </w:rPr>
            </w:pPr>
          </w:p>
        </w:tc>
        <w:tc>
          <w:tcPr>
            <w:tcW w:w="680" w:type="dxa"/>
            <w:vAlign w:val="bottom"/>
            <w:vMerge w:val="restart"/>
            <w:shd w:val="clear" w:color="auto" w:fill="E5E5E5"/>
          </w:tcPr>
          <w:p>
            <w:pPr>
              <w:jc w:val="right"/>
              <w:ind w:right="32"/>
              <w:spacing w:after="0"/>
              <w:rPr>
                <w:sz w:val="20"/>
                <w:szCs w:val="20"/>
                <w:color w:val="auto"/>
              </w:rPr>
            </w:pPr>
            <w:r>
              <w:rPr>
                <w:rFonts w:ascii="Arial" w:cs="Arial" w:eastAsia="Arial" w:hAnsi="Arial"/>
                <w:sz w:val="18"/>
                <w:szCs w:val="18"/>
                <w:color w:val="auto"/>
              </w:rPr>
              <w:t>812</w:t>
            </w:r>
          </w:p>
        </w:tc>
        <w:tc>
          <w:tcPr>
            <w:tcW w:w="320" w:type="dxa"/>
            <w:vAlign w:val="bottom"/>
            <w:shd w:val="clear" w:color="auto" w:fill="E5E5E5"/>
          </w:tcPr>
          <w:p>
            <w:pPr>
              <w:spacing w:after="0"/>
              <w:rPr>
                <w:sz w:val="18"/>
                <w:szCs w:val="18"/>
                <w:color w:val="auto"/>
              </w:rPr>
            </w:pPr>
          </w:p>
        </w:tc>
        <w:tc>
          <w:tcPr>
            <w:tcW w:w="1060" w:type="dxa"/>
            <w:vAlign w:val="bottom"/>
            <w:vMerge w:val="restart"/>
            <w:shd w:val="clear" w:color="auto" w:fill="E5E5E5"/>
          </w:tcPr>
          <w:p>
            <w:pPr>
              <w:jc w:val="right"/>
              <w:ind w:right="54"/>
              <w:spacing w:after="0"/>
              <w:rPr>
                <w:sz w:val="20"/>
                <w:szCs w:val="20"/>
                <w:color w:val="auto"/>
              </w:rPr>
            </w:pPr>
            <w:r>
              <w:rPr>
                <w:rFonts w:ascii="Arial" w:cs="Arial" w:eastAsia="Arial" w:hAnsi="Arial"/>
                <w:sz w:val="18"/>
                <w:szCs w:val="18"/>
                <w:color w:val="auto"/>
              </w:rPr>
              <w:t>316</w:t>
            </w:r>
          </w:p>
        </w:tc>
        <w:tc>
          <w:tcPr>
            <w:tcW w:w="200" w:type="dxa"/>
            <w:vAlign w:val="bottom"/>
            <w:shd w:val="clear" w:color="auto" w:fill="E5E5E5"/>
          </w:tcPr>
          <w:p>
            <w:pPr>
              <w:spacing w:after="0"/>
              <w:rPr>
                <w:sz w:val="18"/>
                <w:szCs w:val="18"/>
                <w:color w:val="auto"/>
              </w:rPr>
            </w:pPr>
          </w:p>
        </w:tc>
        <w:tc>
          <w:tcPr>
            <w:tcW w:w="760" w:type="dxa"/>
            <w:vAlign w:val="bottom"/>
            <w:tcBorders>
              <w:right w:val="single" w:sz="8" w:color="auto"/>
            </w:tcBorders>
            <w:vMerge w:val="restart"/>
            <w:shd w:val="clear" w:color="auto" w:fill="E5E5E5"/>
          </w:tcPr>
          <w:p>
            <w:pPr>
              <w:jc w:val="right"/>
              <w:ind w:right="193"/>
              <w:spacing w:after="0"/>
              <w:rPr>
                <w:sz w:val="20"/>
                <w:szCs w:val="20"/>
                <w:color w:val="auto"/>
              </w:rPr>
            </w:pPr>
            <w:r>
              <w:rPr>
                <w:rFonts w:ascii="Arial" w:cs="Arial" w:eastAsia="Arial" w:hAnsi="Arial"/>
                <w:sz w:val="18"/>
                <w:szCs w:val="18"/>
                <w:color w:val="auto"/>
                <w:w w:val="83"/>
              </w:rPr>
              <w:t>15,524</w:t>
            </w:r>
          </w:p>
        </w:tc>
        <w:tc>
          <w:tcPr>
            <w:tcW w:w="400" w:type="dxa"/>
            <w:vAlign w:val="bottom"/>
            <w:shd w:val="clear" w:color="auto" w:fill="E5E5E5"/>
          </w:tcPr>
          <w:p>
            <w:pPr>
              <w:spacing w:after="0"/>
              <w:rPr>
                <w:sz w:val="18"/>
                <w:szCs w:val="18"/>
                <w:color w:val="auto"/>
              </w:rPr>
            </w:pPr>
          </w:p>
        </w:tc>
        <w:tc>
          <w:tcPr>
            <w:tcW w:w="1160" w:type="dxa"/>
            <w:vAlign w:val="bottom"/>
            <w:vMerge w:val="restart"/>
            <w:shd w:val="clear" w:color="auto" w:fill="E5E5E5"/>
          </w:tcPr>
          <w:p>
            <w:pPr>
              <w:jc w:val="right"/>
              <w:ind w:right="114"/>
              <w:spacing w:after="0"/>
              <w:rPr>
                <w:sz w:val="20"/>
                <w:szCs w:val="20"/>
                <w:color w:val="auto"/>
              </w:rPr>
            </w:pPr>
            <w:r>
              <w:rPr>
                <w:rFonts w:ascii="Arial" w:cs="Arial" w:eastAsia="Arial" w:hAnsi="Arial"/>
                <w:sz w:val="18"/>
                <w:szCs w:val="18"/>
                <w:color w:val="auto"/>
              </w:rPr>
              <w:t>1,432</w:t>
            </w:r>
          </w:p>
        </w:tc>
        <w:tc>
          <w:tcPr>
            <w:tcW w:w="140" w:type="dxa"/>
            <w:vAlign w:val="bottom"/>
            <w:shd w:val="clear" w:color="auto" w:fill="E5E5E5"/>
          </w:tcPr>
          <w:p>
            <w:pPr>
              <w:spacing w:after="0"/>
              <w:rPr>
                <w:sz w:val="18"/>
                <w:szCs w:val="18"/>
                <w:color w:val="auto"/>
              </w:rPr>
            </w:pPr>
          </w:p>
        </w:tc>
        <w:tc>
          <w:tcPr>
            <w:tcW w:w="780" w:type="dxa"/>
            <w:vAlign w:val="bottom"/>
            <w:tcBorders>
              <w:right w:val="single" w:sz="8" w:color="auto"/>
            </w:tcBorders>
            <w:vMerge w:val="restart"/>
            <w:shd w:val="clear" w:color="auto" w:fill="E5E5E5"/>
          </w:tcPr>
          <w:p>
            <w:pPr>
              <w:jc w:val="right"/>
              <w:ind w:right="193"/>
              <w:spacing w:after="0"/>
              <w:rPr>
                <w:sz w:val="20"/>
                <w:szCs w:val="20"/>
                <w:color w:val="auto"/>
              </w:rPr>
            </w:pPr>
            <w:r>
              <w:rPr>
                <w:rFonts w:ascii="Arial" w:cs="Arial" w:eastAsia="Arial" w:hAnsi="Arial"/>
                <w:sz w:val="18"/>
                <w:szCs w:val="18"/>
                <w:color w:val="auto"/>
                <w:w w:val="87"/>
              </w:rPr>
              <w:t>15,828</w:t>
            </w:r>
          </w:p>
        </w:tc>
        <w:tc>
          <w:tcPr>
            <w:tcW w:w="400" w:type="dxa"/>
            <w:vAlign w:val="bottom"/>
            <w:shd w:val="clear" w:color="auto" w:fill="E5E5E5"/>
          </w:tcPr>
          <w:p>
            <w:pPr>
              <w:spacing w:after="0"/>
              <w:rPr>
                <w:sz w:val="18"/>
                <w:szCs w:val="18"/>
                <w:color w:val="auto"/>
              </w:rPr>
            </w:pPr>
          </w:p>
        </w:tc>
        <w:tc>
          <w:tcPr>
            <w:tcW w:w="1080" w:type="dxa"/>
            <w:vAlign w:val="bottom"/>
            <w:vMerge w:val="restart"/>
            <w:shd w:val="clear" w:color="auto" w:fill="E5E5E5"/>
          </w:tcPr>
          <w:p>
            <w:pPr>
              <w:jc w:val="right"/>
              <w:ind w:right="34"/>
              <w:spacing w:after="0"/>
              <w:rPr>
                <w:sz w:val="20"/>
                <w:szCs w:val="20"/>
                <w:color w:val="auto"/>
              </w:rPr>
            </w:pPr>
            <w:r>
              <w:rPr>
                <w:rFonts w:ascii="Arial" w:cs="Arial" w:eastAsia="Arial" w:hAnsi="Arial"/>
                <w:sz w:val="18"/>
                <w:szCs w:val="18"/>
                <w:color w:val="auto"/>
              </w:rPr>
              <w:t>1,681</w:t>
            </w:r>
          </w:p>
        </w:tc>
        <w:tc>
          <w:tcPr>
            <w:tcW w:w="240" w:type="dxa"/>
            <w:vAlign w:val="bottom"/>
            <w:shd w:val="clear" w:color="auto" w:fill="E5E5E5"/>
          </w:tcPr>
          <w:p>
            <w:pPr>
              <w:spacing w:after="0"/>
              <w:rPr>
                <w:sz w:val="18"/>
                <w:szCs w:val="18"/>
                <w:color w:val="auto"/>
              </w:rPr>
            </w:pPr>
          </w:p>
        </w:tc>
        <w:tc>
          <w:tcPr>
            <w:tcW w:w="620" w:type="dxa"/>
            <w:vAlign w:val="bottom"/>
            <w:vMerge w:val="restart"/>
            <w:shd w:val="clear" w:color="auto" w:fill="E5E5E5"/>
          </w:tcPr>
          <w:p>
            <w:pPr>
              <w:jc w:val="right"/>
              <w:ind w:right="13"/>
              <w:spacing w:after="0"/>
              <w:rPr>
                <w:sz w:val="20"/>
                <w:szCs w:val="20"/>
                <w:color w:val="auto"/>
              </w:rPr>
            </w:pPr>
            <w:r>
              <w:rPr>
                <w:rFonts w:ascii="Arial" w:cs="Arial" w:eastAsia="Arial" w:hAnsi="Arial"/>
                <w:sz w:val="18"/>
                <w:szCs w:val="18"/>
                <w:color w:val="auto"/>
                <w:w w:val="90"/>
              </w:rPr>
              <w:t>17,205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34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vMerge w:val="continue"/>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vMerge w:val="continue"/>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vMerge w:val="continue"/>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right w:val="single" w:sz="8" w:color="auto"/>
            </w:tcBorders>
            <w:vMerge w:val="continue"/>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1160" w:type="dxa"/>
            <w:vAlign w:val="bottom"/>
            <w:tcBorders>
              <w:bottom w:val="single" w:sz="8" w:color="auto"/>
            </w:tcBorders>
            <w:vMerge w:val="continue"/>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right w:val="single" w:sz="8" w:color="auto"/>
            </w:tcBorders>
            <w:vMerge w:val="continue"/>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vMerge w:val="continue"/>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Operating Cash Flow</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9,704</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241</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right"/>
              <w:ind w:right="193"/>
              <w:spacing w:after="0"/>
              <w:rPr>
                <w:sz w:val="20"/>
                <w:szCs w:val="20"/>
                <w:color w:val="auto"/>
              </w:rPr>
            </w:pPr>
            <w:r>
              <w:rPr>
                <w:rFonts w:ascii="Arial" w:cs="Arial" w:eastAsia="Arial" w:hAnsi="Arial"/>
                <w:sz w:val="18"/>
                <w:szCs w:val="18"/>
                <w:color w:val="auto"/>
              </w:rPr>
              <w:t>9,442</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807</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tcPr>
          <w:p>
            <w:pPr>
              <w:jc w:val="right"/>
              <w:ind w:right="193"/>
              <w:spacing w:after="0"/>
              <w:rPr>
                <w:sz w:val="20"/>
                <w:szCs w:val="20"/>
                <w:color w:val="auto"/>
              </w:rPr>
            </w:pPr>
            <w:r>
              <w:rPr>
                <w:rFonts w:ascii="Arial" w:cs="Arial" w:eastAsia="Arial" w:hAnsi="Arial"/>
                <w:sz w:val="18"/>
                <w:szCs w:val="18"/>
                <w:color w:val="auto"/>
                <w:w w:val="87"/>
              </w:rPr>
              <w:t>10,511</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948</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w w:val="90"/>
              </w:rPr>
              <w:t>10,390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w w:val="96"/>
              </w:rPr>
              <w:t>Depreciation and Amortization</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4,657</w:t>
            </w:r>
          </w:p>
        </w:tc>
        <w:tc>
          <w:tcPr>
            <w:tcW w:w="3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166</w:t>
            </w:r>
          </w:p>
        </w:tc>
        <w:tc>
          <w:tcPr>
            <w:tcW w:w="3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4,823</w:t>
            </w:r>
          </w:p>
        </w:tc>
        <w:tc>
          <w:tcPr>
            <w:tcW w:w="400" w:type="dxa"/>
            <w:vAlign w:val="bottom"/>
            <w:tcBorders>
              <w:bottom w:val="single" w:sz="8" w:color="auto"/>
            </w:tcBorders>
            <w:shd w:val="clear" w:color="auto" w:fill="E5E5E5"/>
          </w:tcPr>
          <w:p>
            <w:pPr>
              <w:spacing w:after="0"/>
              <w:rPr>
                <w:sz w:val="18"/>
                <w:szCs w:val="18"/>
                <w:color w:val="auto"/>
              </w:rPr>
            </w:pPr>
          </w:p>
        </w:tc>
        <w:tc>
          <w:tcPr>
            <w:tcW w:w="116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608</w:t>
            </w:r>
          </w:p>
        </w:tc>
        <w:tc>
          <w:tcPr>
            <w:tcW w:w="1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5,265</w:t>
            </w:r>
          </w:p>
        </w:tc>
        <w:tc>
          <w:tcPr>
            <w:tcW w:w="40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676</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5,499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5,047</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75</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8"/>
                <w:szCs w:val="18"/>
                <w:color w:val="auto"/>
              </w:rPr>
              <w:t>4,619</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199</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8"/>
                <w:szCs w:val="18"/>
                <w:color w:val="auto"/>
              </w:rPr>
              <w:t>5,246</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272</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4,891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3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4,327</w:t>
            </w:r>
          </w:p>
        </w:tc>
        <w:tc>
          <w:tcPr>
            <w:tcW w:w="3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16</w:t>
            </w:r>
          </w:p>
        </w:tc>
        <w:tc>
          <w:tcPr>
            <w:tcW w:w="3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4,395</w:t>
            </w:r>
          </w:p>
        </w:tc>
        <w:tc>
          <w:tcPr>
            <w:tcW w:w="4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313</w:t>
            </w:r>
          </w:p>
        </w:tc>
        <w:tc>
          <w:tcPr>
            <w:tcW w:w="14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4,640</w:t>
            </w:r>
          </w:p>
        </w:tc>
        <w:tc>
          <w:tcPr>
            <w:tcW w:w="4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291</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445"/>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Twelve Months Ended</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40" w:type="dxa"/>
            <w:vAlign w:val="bottom"/>
          </w:tcPr>
          <w:p>
            <w:pPr>
              <w:ind w:left="200"/>
              <w:spacing w:after="0"/>
              <w:rPr>
                <w:sz w:val="20"/>
                <w:szCs w:val="20"/>
                <w:color w:val="auto"/>
              </w:rPr>
            </w:pPr>
            <w:r>
              <w:rPr>
                <w:rFonts w:ascii="Arial" w:cs="Arial" w:eastAsia="Arial" w:hAnsi="Arial"/>
                <w:sz w:val="18"/>
                <w:szCs w:val="18"/>
                <w:b w:val="1"/>
                <w:bCs w:val="1"/>
                <w:color w:val="auto"/>
              </w:rPr>
              <w:t>December 31, 2005</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4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3"/>
              </w:rPr>
              <w:t>19,979</w:t>
            </w:r>
          </w:p>
        </w:tc>
        <w:tc>
          <w:tcPr>
            <w:tcW w:w="34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919</w:t>
            </w:r>
          </w:p>
        </w:tc>
        <w:tc>
          <w:tcPr>
            <w:tcW w:w="320" w:type="dxa"/>
            <w:vAlign w:val="bottom"/>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83"/>
              </w:rPr>
              <w:t>21,075</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3,569</w:t>
            </w:r>
          </w:p>
        </w:tc>
        <w:tc>
          <w:tcPr>
            <w:tcW w:w="140" w:type="dxa"/>
            <w:vAlign w:val="bottom"/>
            <w:shd w:val="clear" w:color="auto" w:fill="E5E5E5"/>
          </w:tcPr>
          <w:p>
            <w:pPr>
              <w:ind w:left="40"/>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87"/>
              </w:rPr>
              <w:t>23,548</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3,570</w:t>
            </w:r>
          </w:p>
        </w:tc>
        <w:tc>
          <w:tcPr>
            <w:tcW w:w="24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0"/>
              </w:rPr>
              <w:t>24,645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w w:val="91"/>
              </w:rPr>
              <w:t>Segment reclassifications (5)</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ind w:right="27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8"/>
                <w:szCs w:val="18"/>
                <w:color w:val="auto"/>
              </w:rPr>
              <w:t>8</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3"/>
              </w:rPr>
              <w:t>19,987</w:t>
            </w:r>
          </w:p>
        </w:tc>
        <w:tc>
          <w:tcPr>
            <w:tcW w:w="34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919</w:t>
            </w:r>
          </w:p>
        </w:tc>
        <w:tc>
          <w:tcPr>
            <w:tcW w:w="320" w:type="dxa"/>
            <w:vAlign w:val="bottom"/>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83"/>
              </w:rPr>
              <w:t>21,075</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3,569</w:t>
            </w:r>
          </w:p>
        </w:tc>
        <w:tc>
          <w:tcPr>
            <w:tcW w:w="140" w:type="dxa"/>
            <w:vAlign w:val="bottom"/>
            <w:shd w:val="clear" w:color="auto" w:fill="E5E5E5"/>
          </w:tcPr>
          <w:p>
            <w:pPr>
              <w:ind w:left="40"/>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87"/>
              </w:rPr>
              <w:t>23,556</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3,570</w:t>
            </w:r>
          </w:p>
        </w:tc>
        <w:tc>
          <w:tcPr>
            <w:tcW w:w="24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0"/>
              </w:rPr>
              <w:t>24,645</w:t>
            </w:r>
          </w:p>
        </w:tc>
        <w:tc>
          <w:tcPr>
            <w:tcW w:w="0" w:type="dxa"/>
            <w:vAlign w:val="bottom"/>
          </w:tcPr>
          <w:p>
            <w:pPr>
              <w:spacing w:after="0"/>
              <w:rPr>
                <w:sz w:val="1"/>
                <w:szCs w:val="1"/>
                <w:color w:val="auto"/>
              </w:rPr>
            </w:pPr>
          </w:p>
        </w:tc>
      </w:tr>
      <w:tr>
        <w:trPr>
          <w:trHeight w:val="451"/>
        </w:trPr>
        <w:tc>
          <w:tcPr>
            <w:tcW w:w="2360" w:type="dxa"/>
            <w:vAlign w:val="bottom"/>
            <w:gridSpan w:val="2"/>
          </w:tcPr>
          <w:p>
            <w:pPr>
              <w:spacing w:after="0"/>
              <w:rPr>
                <w:sz w:val="20"/>
                <w:szCs w:val="20"/>
                <w:color w:val="auto"/>
              </w:rPr>
            </w:pPr>
            <w:r>
              <w:rPr>
                <w:rFonts w:ascii="Arial" w:cs="Arial" w:eastAsia="Arial" w:hAnsi="Arial"/>
                <w:sz w:val="18"/>
                <w:szCs w:val="18"/>
                <w:color w:val="auto"/>
                <w:w w:val="93"/>
              </w:rPr>
              <w:t>Operating Expenses (excluding</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depreciation and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83"/>
              </w:rPr>
              <w:t>11,941</w:t>
            </w:r>
          </w:p>
        </w:tc>
        <w:tc>
          <w:tcPr>
            <w:tcW w:w="34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636</w:t>
            </w:r>
          </w:p>
        </w:tc>
        <w:tc>
          <w:tcPr>
            <w:tcW w:w="320" w:type="dxa"/>
            <w:vAlign w:val="bottom"/>
          </w:tcPr>
          <w:p>
            <w:pPr>
              <w:spacing w:after="0"/>
              <w:rPr>
                <w:sz w:val="19"/>
                <w:szCs w:val="19"/>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19"/>
                <w:szCs w:val="19"/>
                <w:color w:val="auto"/>
              </w:rPr>
            </w:pPr>
          </w:p>
        </w:tc>
        <w:tc>
          <w:tcPr>
            <w:tcW w:w="760" w:type="dxa"/>
            <w:vAlign w:val="bottom"/>
            <w:tcBorders>
              <w:right w:val="single" w:sz="8" w:color="auto"/>
            </w:tcBorders>
          </w:tcPr>
          <w:p>
            <w:pPr>
              <w:jc w:val="right"/>
              <w:ind w:right="193"/>
              <w:spacing w:after="0"/>
              <w:rPr>
                <w:sz w:val="20"/>
                <w:szCs w:val="20"/>
                <w:color w:val="auto"/>
              </w:rPr>
            </w:pPr>
            <w:r>
              <w:rPr>
                <w:rFonts w:ascii="Arial" w:cs="Arial" w:eastAsia="Arial" w:hAnsi="Arial"/>
                <w:sz w:val="18"/>
                <w:szCs w:val="18"/>
                <w:color w:val="auto"/>
                <w:w w:val="83"/>
              </w:rPr>
              <w:t>13,003</w:t>
            </w:r>
          </w:p>
        </w:tc>
        <w:tc>
          <w:tcPr>
            <w:tcW w:w="400" w:type="dxa"/>
            <w:vAlign w:val="bottom"/>
          </w:tcPr>
          <w:p>
            <w:pPr>
              <w:spacing w:after="0"/>
              <w:rPr>
                <w:sz w:val="19"/>
                <w:szCs w:val="19"/>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2,384</w:t>
            </w: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193"/>
              <w:spacing w:after="0"/>
              <w:rPr>
                <w:sz w:val="20"/>
                <w:szCs w:val="20"/>
                <w:color w:val="auto"/>
              </w:rPr>
            </w:pPr>
            <w:r>
              <w:rPr>
                <w:rFonts w:ascii="Arial" w:cs="Arial" w:eastAsia="Arial" w:hAnsi="Arial"/>
                <w:sz w:val="18"/>
                <w:szCs w:val="18"/>
                <w:color w:val="auto"/>
                <w:w w:val="87"/>
              </w:rPr>
              <w:t>14,325</w:t>
            </w:r>
          </w:p>
        </w:tc>
        <w:tc>
          <w:tcPr>
            <w:tcW w:w="40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2,385</w:t>
            </w:r>
          </w:p>
        </w:tc>
        <w:tc>
          <w:tcPr>
            <w:tcW w:w="240" w:type="dxa"/>
            <w:vAlign w:val="bottom"/>
          </w:tcPr>
          <w:p>
            <w:pPr>
              <w:spacing w:after="0"/>
              <w:rPr>
                <w:sz w:val="19"/>
                <w:szCs w:val="19"/>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w w:val="90"/>
              </w:rPr>
              <w:t>15,388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4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1"/>
              </w:rPr>
              <w:t>Segment reclassifications (5)</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10</w:t>
            </w:r>
          </w:p>
        </w:tc>
        <w:tc>
          <w:tcPr>
            <w:tcW w:w="3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7</w:t>
            </w:r>
          </w:p>
        </w:tc>
        <w:tc>
          <w:tcPr>
            <w:tcW w:w="200" w:type="dxa"/>
            <w:vAlign w:val="bottom"/>
            <w:shd w:val="clear" w:color="auto" w:fill="E5E5E5"/>
          </w:tcPr>
          <w:p>
            <w:pPr>
              <w:spacing w:after="0"/>
              <w:rPr>
                <w:sz w:val="18"/>
                <w:szCs w:val="18"/>
                <w:color w:val="auto"/>
              </w:rPr>
            </w:pPr>
          </w:p>
        </w:tc>
        <w:tc>
          <w:tcPr>
            <w:tcW w:w="760" w:type="dxa"/>
            <w:vAlign w:val="bottom"/>
            <w:tcBorders>
              <w:right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780" w:type="dxa"/>
            <w:vAlign w:val="bottom"/>
            <w:tcBorders>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(17)</w:t>
            </w:r>
          </w:p>
        </w:tc>
        <w:tc>
          <w:tcPr>
            <w:tcW w:w="400" w:type="dxa"/>
            <w:vAlign w:val="bottom"/>
            <w:shd w:val="clear" w:color="auto" w:fill="E5E5E5"/>
          </w:tcPr>
          <w:p>
            <w:pPr>
              <w:spacing w:after="0"/>
              <w:rPr>
                <w:sz w:val="18"/>
                <w:szCs w:val="18"/>
                <w:color w:val="auto"/>
              </w:rPr>
            </w:pPr>
          </w:p>
        </w:tc>
        <w:tc>
          <w:tcPr>
            <w:tcW w:w="1080" w:type="dxa"/>
            <w:vAlign w:val="bottom"/>
            <w:shd w:val="clear" w:color="auto" w:fill="E5E5E5"/>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w w:val="96"/>
              </w:rPr>
              <w:t>Stock option adjustment (6)</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116</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ind w:right="27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8"/>
                <w:szCs w:val="18"/>
                <w:color w:val="auto"/>
              </w:rPr>
              <w:t>116</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7,947</w:t>
            </w:r>
          </w:p>
        </w:tc>
        <w:tc>
          <w:tcPr>
            <w:tcW w:w="34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272</w:t>
            </w:r>
          </w:p>
        </w:tc>
        <w:tc>
          <w:tcPr>
            <w:tcW w:w="320" w:type="dxa"/>
            <w:vAlign w:val="bottom"/>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8,072</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1,185</w:t>
            </w:r>
          </w:p>
        </w:tc>
        <w:tc>
          <w:tcPr>
            <w:tcW w:w="140" w:type="dxa"/>
            <w:vAlign w:val="bottom"/>
            <w:shd w:val="clear" w:color="auto" w:fill="E5E5E5"/>
          </w:tcPr>
          <w:p>
            <w:pPr>
              <w:ind w:left="40"/>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9,132</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1,185</w:t>
            </w:r>
          </w:p>
        </w:tc>
        <w:tc>
          <w:tcPr>
            <w:tcW w:w="24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w w:val="96"/>
              </w:rPr>
              <w:t>Depreciation and Amortization</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4,346</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154</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8"/>
                <w:szCs w:val="18"/>
                <w:color w:val="auto"/>
              </w:rPr>
              <w:t>4,551</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1,134</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8"/>
                <w:szCs w:val="18"/>
                <w:color w:val="auto"/>
              </w:rPr>
              <w:t>5,480</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1,133</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3,601</w:t>
            </w:r>
          </w:p>
        </w:tc>
        <w:tc>
          <w:tcPr>
            <w:tcW w:w="3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118</w:t>
            </w:r>
          </w:p>
        </w:tc>
        <w:tc>
          <w:tcPr>
            <w:tcW w:w="3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3,521</w:t>
            </w:r>
          </w:p>
        </w:tc>
        <w:tc>
          <w:tcPr>
            <w:tcW w:w="4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right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3,652</w:t>
            </w:r>
          </w:p>
        </w:tc>
        <w:tc>
          <w:tcPr>
            <w:tcW w:w="4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52</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466"/>
        </w:trPr>
        <w:tc>
          <w:tcPr>
            <w:tcW w:w="236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3,409</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196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8"/>
                <w:szCs w:val="18"/>
                <w:color w:val="auto"/>
              </w:rPr>
              <w:t>3,621</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621</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right w:val="single" w:sz="8" w:color="auto"/>
            </w:tcBorders>
          </w:tcPr>
          <w:p>
            <w:pPr>
              <w:jc w:val="right"/>
              <w:ind w:right="193"/>
              <w:spacing w:after="0"/>
              <w:rPr>
                <w:sz w:val="20"/>
                <w:szCs w:val="20"/>
                <w:color w:val="auto"/>
              </w:rPr>
            </w:pPr>
            <w:r>
              <w:rPr>
                <w:rFonts w:ascii="Arial" w:cs="Arial" w:eastAsia="Arial" w:hAnsi="Arial"/>
                <w:sz w:val="18"/>
                <w:szCs w:val="18"/>
                <w:color w:val="auto"/>
              </w:rPr>
              <w:t>4,030</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463</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4,084</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Total Pro Forma (1), “As Adjusted” Financial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3"/>
          </w:tcPr>
          <w:p>
            <w:pPr>
              <w:jc w:val="center"/>
              <w:ind w:right="237"/>
              <w:spacing w:after="0"/>
              <w:rPr>
                <w:sz w:val="20"/>
                <w:szCs w:val="20"/>
                <w:color w:val="auto"/>
              </w:rPr>
            </w:pPr>
            <w:r>
              <w:rPr>
                <w:rFonts w:ascii="Arial" w:cs="Arial" w:eastAsia="Arial" w:hAnsi="Arial"/>
                <w:sz w:val="14"/>
                <w:szCs w:val="14"/>
                <w:b w:val="1"/>
                <w:bCs w:val="1"/>
                <w:color w:val="auto"/>
                <w:w w:val="87"/>
              </w:rPr>
              <w:t>Twelve Months Ended</w:t>
            </w: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left="259"/>
              <w:spacing w:after="0"/>
              <w:rPr>
                <w:sz w:val="20"/>
                <w:szCs w:val="20"/>
                <w:color w:val="auto"/>
              </w:rPr>
            </w:pPr>
            <w:r>
              <w:rPr>
                <w:rFonts w:ascii="Arial" w:cs="Arial" w:eastAsia="Arial" w:hAnsi="Arial"/>
                <w:sz w:val="14"/>
                <w:szCs w:val="14"/>
                <w:b w:val="1"/>
                <w:bCs w:val="1"/>
                <w:color w:val="auto"/>
                <w:w w:val="87"/>
              </w:rPr>
              <w:t>December 31,</w:t>
            </w:r>
          </w:p>
        </w:tc>
        <w:tc>
          <w:tcPr>
            <w:tcW w:w="6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95"/>
              <w:spacing w:after="0" w:line="143" w:lineRule="exact"/>
              <w:rPr>
                <w:sz w:val="20"/>
                <w:szCs w:val="20"/>
                <w:color w:val="auto"/>
              </w:rPr>
            </w:pPr>
            <w:r>
              <w:rPr>
                <w:rFonts w:ascii="Arial" w:cs="Arial" w:eastAsia="Arial" w:hAnsi="Arial"/>
                <w:sz w:val="14"/>
                <w:szCs w:val="14"/>
                <w:b w:val="1"/>
                <w:bCs w:val="1"/>
                <w:color w:val="auto"/>
              </w:rPr>
              <w:t>2005</w:t>
            </w: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7"/>
              <w:spacing w:after="0" w:line="143" w:lineRule="exact"/>
              <w:rPr>
                <w:sz w:val="20"/>
                <w:szCs w:val="20"/>
                <w:color w:val="auto"/>
              </w:rPr>
            </w:pPr>
            <w:r>
              <w:rPr>
                <w:rFonts w:ascii="Arial" w:cs="Arial" w:eastAsia="Arial" w:hAnsi="Arial"/>
                <w:sz w:val="14"/>
                <w:szCs w:val="14"/>
                <w:b w:val="1"/>
                <w:bCs w:val="1"/>
                <w:color w:val="auto"/>
              </w:rPr>
              <w:t>2006</w:t>
            </w:r>
          </w:p>
        </w:tc>
        <w:tc>
          <w:tcPr>
            <w:tcW w:w="1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jc w:val="right"/>
              <w:ind w:right="499"/>
              <w:spacing w:after="0" w:line="129" w:lineRule="exact"/>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jc w:val="right"/>
              <w:ind w:right="455"/>
              <w:spacing w:after="0" w:line="149" w:lineRule="exact"/>
              <w:rPr>
                <w:sz w:val="20"/>
                <w:szCs w:val="20"/>
                <w:color w:val="auto"/>
              </w:rPr>
            </w:pPr>
            <w:r>
              <w:rPr>
                <w:rFonts w:ascii="Arial" w:cs="Arial" w:eastAsia="Arial" w:hAnsi="Arial"/>
                <w:sz w:val="14"/>
                <w:szCs w:val="14"/>
                <w:b w:val="1"/>
                <w:bCs w:val="1"/>
                <w:color w:val="auto"/>
                <w:w w:val="95"/>
              </w:rPr>
              <w:t>Total</w:t>
            </w: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gridSpan w:val="2"/>
          </w:tcPr>
          <w:p>
            <w:pPr>
              <w:jc w:val="right"/>
              <w:ind w:right="299"/>
              <w:spacing w:after="0" w:line="149" w:lineRule="exact"/>
              <w:rPr>
                <w:sz w:val="20"/>
                <w:szCs w:val="20"/>
                <w:color w:val="auto"/>
              </w:rPr>
            </w:pPr>
            <w:r>
              <w:rPr>
                <w:rFonts w:ascii="Arial" w:cs="Arial" w:eastAsia="Arial" w:hAnsi="Arial"/>
                <w:sz w:val="14"/>
                <w:szCs w:val="14"/>
                <w:b w:val="1"/>
                <w:bCs w:val="1"/>
                <w:color w:val="auto"/>
              </w:rPr>
              <w:t>Pro Forma,</w:t>
            </w:r>
          </w:p>
        </w:tc>
        <w:tc>
          <w:tcPr>
            <w:tcW w:w="320" w:type="dxa"/>
            <w:vAlign w:val="bottom"/>
          </w:tcPr>
          <w:p>
            <w:pPr>
              <w:spacing w:after="0"/>
              <w:rPr>
                <w:sz w:val="12"/>
                <w:szCs w:val="12"/>
                <w:color w:val="auto"/>
              </w:rPr>
            </w:pPr>
          </w:p>
        </w:tc>
        <w:tc>
          <w:tcPr>
            <w:tcW w:w="660" w:type="dxa"/>
            <w:vAlign w:val="bottom"/>
          </w:tcPr>
          <w:p>
            <w:pPr>
              <w:jc w:val="right"/>
              <w:ind w:right="237"/>
              <w:spacing w:after="0" w:line="149" w:lineRule="exact"/>
              <w:rPr>
                <w:sz w:val="20"/>
                <w:szCs w:val="20"/>
                <w:color w:val="auto"/>
              </w:rPr>
            </w:pPr>
            <w:r>
              <w:rPr>
                <w:rFonts w:ascii="Arial" w:cs="Arial" w:eastAsia="Arial" w:hAnsi="Arial"/>
                <w:sz w:val="14"/>
                <w:szCs w:val="14"/>
                <w:b w:val="1"/>
                <w:bCs w:val="1"/>
                <w:color w:val="auto"/>
                <w:w w:val="95"/>
              </w:rPr>
              <w:t>Total</w:t>
            </w:r>
          </w:p>
        </w:tc>
        <w:tc>
          <w:tcPr>
            <w:tcW w:w="1500" w:type="dxa"/>
            <w:vAlign w:val="bottom"/>
          </w:tcPr>
          <w:p>
            <w:pPr>
              <w:jc w:val="right"/>
              <w:ind w:right="320"/>
              <w:spacing w:after="0" w:line="149" w:lineRule="exact"/>
              <w:rPr>
                <w:sz w:val="20"/>
                <w:szCs w:val="20"/>
                <w:color w:val="auto"/>
              </w:rPr>
            </w:pPr>
            <w:r>
              <w:rPr>
                <w:rFonts w:ascii="Arial" w:cs="Arial" w:eastAsia="Arial" w:hAnsi="Arial"/>
                <w:sz w:val="14"/>
                <w:szCs w:val="14"/>
                <w:b w:val="1"/>
                <w:bCs w:val="1"/>
                <w:color w:val="auto"/>
              </w:rPr>
              <w:t>% Growth</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2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1420" w:type="dxa"/>
            <w:vAlign w:val="bottom"/>
            <w:gridSpan w:val="2"/>
          </w:tcPr>
          <w:p>
            <w:pPr>
              <w:ind w:left="420"/>
              <w:spacing w:after="0"/>
              <w:rPr>
                <w:sz w:val="20"/>
                <w:szCs w:val="20"/>
                <w:color w:val="auto"/>
              </w:rPr>
            </w:pPr>
            <w:r>
              <w:rPr>
                <w:rFonts w:ascii="Arial" w:cs="Arial" w:eastAsia="Arial" w:hAnsi="Arial"/>
                <w:sz w:val="14"/>
                <w:szCs w:val="14"/>
                <w:b w:val="1"/>
                <w:bCs w:val="1"/>
                <w:color w:val="auto"/>
              </w:rPr>
              <w:t>Pro Forma</w:t>
            </w:r>
          </w:p>
        </w:tc>
        <w:tc>
          <w:tcPr>
            <w:tcW w:w="1360" w:type="dxa"/>
            <w:vAlign w:val="bottom"/>
            <w:gridSpan w:val="2"/>
          </w:tcPr>
          <w:p>
            <w:pPr>
              <w:jc w:val="right"/>
              <w:ind w:right="195"/>
              <w:spacing w:after="0"/>
              <w:rPr>
                <w:sz w:val="20"/>
                <w:szCs w:val="20"/>
                <w:color w:val="auto"/>
              </w:rPr>
            </w:pPr>
            <w:r>
              <w:rPr>
                <w:rFonts w:ascii="Arial" w:cs="Arial" w:eastAsia="Arial" w:hAnsi="Arial"/>
                <w:sz w:val="14"/>
                <w:szCs w:val="14"/>
                <w:b w:val="1"/>
                <w:bCs w:val="1"/>
                <w:color w:val="auto"/>
              </w:rPr>
              <w:t>Adjustment (6)</w:t>
            </w: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As Adjusted</w:t>
            </w: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Pro Forma</w:t>
            </w:r>
          </w:p>
        </w:tc>
        <w:tc>
          <w:tcPr>
            <w:tcW w:w="1500" w:type="dxa"/>
            <w:vAlign w:val="bottom"/>
          </w:tcPr>
          <w:p>
            <w:pPr>
              <w:jc w:val="right"/>
              <w:ind w:right="280"/>
              <w:spacing w:after="0"/>
              <w:rPr>
                <w:sz w:val="20"/>
                <w:szCs w:val="20"/>
                <w:color w:val="auto"/>
              </w:rPr>
            </w:pPr>
            <w:r>
              <w:rPr>
                <w:rFonts w:ascii="Arial" w:cs="Arial" w:eastAsia="Arial" w:hAnsi="Arial"/>
                <w:sz w:val="14"/>
                <w:szCs w:val="14"/>
                <w:b w:val="1"/>
                <w:bCs w:val="1"/>
                <w:color w:val="auto"/>
              </w:rPr>
              <w:t>As Adjusted</w:t>
            </w:r>
          </w:p>
        </w:tc>
        <w:tc>
          <w:tcPr>
            <w:tcW w:w="1140" w:type="dxa"/>
            <w:vAlign w:val="bottom"/>
          </w:tcPr>
          <w:p>
            <w:pPr>
              <w:jc w:val="right"/>
              <w:ind w:right="237"/>
              <w:spacing w:after="0"/>
              <w:rPr>
                <w:sz w:val="20"/>
                <w:szCs w:val="20"/>
                <w:color w:val="auto"/>
              </w:rPr>
            </w:pPr>
            <w:r>
              <w:rPr>
                <w:rFonts w:ascii="Arial" w:cs="Arial" w:eastAsia="Arial" w:hAnsi="Arial"/>
                <w:sz w:val="14"/>
                <w:szCs w:val="14"/>
                <w:b w:val="1"/>
                <w:bCs w:val="1"/>
                <w:color w:val="auto"/>
              </w:rPr>
              <w:t>% Growth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540" w:type="dxa"/>
            <w:vAlign w:val="bottom"/>
            <w:tcBorders>
              <w:top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w w:val="90"/>
              </w:rPr>
              <w:t>24,645</w:t>
            </w:r>
          </w:p>
        </w:tc>
        <w:tc>
          <w:tcPr>
            <w:tcW w:w="44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E5E5E5"/>
          </w:tcPr>
          <w:p>
            <w:pPr>
              <w:jc w:val="right"/>
              <w:ind w:right="279"/>
              <w:spacing w:after="0"/>
              <w:rPr>
                <w:sz w:val="20"/>
                <w:szCs w:val="20"/>
                <w:color w:val="auto"/>
              </w:rPr>
            </w:pPr>
            <w:r>
              <w:rPr>
                <w:rFonts w:ascii="Arial" w:cs="Arial" w:eastAsia="Arial" w:hAnsi="Arial"/>
                <w:sz w:val="18"/>
                <w:szCs w:val="18"/>
                <w:color w:val="auto"/>
              </w:rPr>
              <w:t>24,645</w:t>
            </w:r>
          </w:p>
        </w:tc>
        <w:tc>
          <w:tcPr>
            <w:tcW w:w="32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w w:val="90"/>
              </w:rPr>
              <w:t>27,595</w:t>
            </w:r>
          </w:p>
        </w:tc>
        <w:tc>
          <w:tcPr>
            <w:tcW w:w="1500" w:type="dxa"/>
            <w:vAlign w:val="bottom"/>
            <w:tcBorders>
              <w:top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color w:val="auto"/>
              </w:rPr>
              <w:t>12%</w:t>
            </w:r>
          </w:p>
        </w:tc>
        <w:tc>
          <w:tcPr>
            <w:tcW w:w="1140" w:type="dxa"/>
            <w:vAlign w:val="bottom"/>
            <w:tcBorders>
              <w:top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16"/>
        </w:trPr>
        <w:tc>
          <w:tcPr>
            <w:tcW w:w="3720" w:type="dxa"/>
            <w:vAlign w:val="bottom"/>
            <w:gridSpan w:val="2"/>
          </w:tcPr>
          <w:p>
            <w:pPr>
              <w:spacing w:after="0"/>
              <w:rPr>
                <w:sz w:val="20"/>
                <w:szCs w:val="20"/>
                <w:color w:val="auto"/>
              </w:rPr>
            </w:pPr>
            <w:r>
              <w:rPr>
                <w:rFonts w:ascii="Arial" w:cs="Arial" w:eastAsia="Arial" w:hAnsi="Arial"/>
                <w:sz w:val="18"/>
                <w:szCs w:val="18"/>
                <w:color w:val="auto"/>
                <w:w w:val="95"/>
              </w:rPr>
              <w:t>Operating Expenses (excluding depreciation and</w:t>
            </w:r>
          </w:p>
        </w:tc>
        <w:tc>
          <w:tcPr>
            <w:tcW w:w="540" w:type="dxa"/>
            <w:vAlign w:val="bottom"/>
          </w:tcPr>
          <w:p>
            <w:pPr>
              <w:spacing w:after="0"/>
              <w:rPr>
                <w:sz w:val="24"/>
                <w:szCs w:val="24"/>
                <w:color w:val="auto"/>
              </w:rPr>
            </w:pPr>
          </w:p>
        </w:tc>
        <w:tc>
          <w:tcPr>
            <w:tcW w:w="880" w:type="dxa"/>
            <w:vAlign w:val="bottom"/>
            <w:vMerge w:val="restart"/>
          </w:tcPr>
          <w:p>
            <w:pPr>
              <w:jc w:val="right"/>
              <w:ind w:right="275"/>
              <w:spacing w:after="0"/>
              <w:rPr>
                <w:sz w:val="20"/>
                <w:szCs w:val="20"/>
                <w:color w:val="auto"/>
              </w:rPr>
            </w:pPr>
            <w:r>
              <w:rPr>
                <w:rFonts w:ascii="Arial" w:cs="Arial" w:eastAsia="Arial" w:hAnsi="Arial"/>
                <w:sz w:val="18"/>
                <w:szCs w:val="18"/>
                <w:color w:val="auto"/>
                <w:w w:val="90"/>
              </w:rPr>
              <w:t>15,388</w:t>
            </w:r>
          </w:p>
        </w:tc>
        <w:tc>
          <w:tcPr>
            <w:tcW w:w="440" w:type="dxa"/>
            <w:vAlign w:val="bottom"/>
          </w:tcPr>
          <w:p>
            <w:pPr>
              <w:spacing w:after="0"/>
              <w:rPr>
                <w:sz w:val="24"/>
                <w:szCs w:val="24"/>
                <w:color w:val="auto"/>
              </w:rPr>
            </w:pPr>
          </w:p>
        </w:tc>
        <w:tc>
          <w:tcPr>
            <w:tcW w:w="920" w:type="dxa"/>
            <w:vAlign w:val="bottom"/>
            <w:vMerge w:val="restart"/>
          </w:tcPr>
          <w:p>
            <w:pPr>
              <w:ind w:left="380"/>
              <w:spacing w:after="0"/>
              <w:rPr>
                <w:sz w:val="20"/>
                <w:szCs w:val="20"/>
                <w:color w:val="auto"/>
              </w:rPr>
            </w:pPr>
            <w:r>
              <w:rPr>
                <w:rFonts w:ascii="Arial" w:cs="Arial" w:eastAsia="Arial" w:hAnsi="Arial"/>
                <w:sz w:val="18"/>
                <w:szCs w:val="18"/>
                <w:color w:val="auto"/>
              </w:rPr>
              <w:t>166</w:t>
            </w:r>
          </w:p>
        </w:tc>
        <w:tc>
          <w:tcPr>
            <w:tcW w:w="360" w:type="dxa"/>
            <w:vAlign w:val="bottom"/>
          </w:tcPr>
          <w:p>
            <w:pPr>
              <w:spacing w:after="0"/>
              <w:rPr>
                <w:sz w:val="24"/>
                <w:szCs w:val="24"/>
                <w:color w:val="auto"/>
              </w:rPr>
            </w:pPr>
          </w:p>
        </w:tc>
        <w:tc>
          <w:tcPr>
            <w:tcW w:w="940" w:type="dxa"/>
            <w:vAlign w:val="bottom"/>
            <w:vMerge w:val="restart"/>
          </w:tcPr>
          <w:p>
            <w:pPr>
              <w:jc w:val="right"/>
              <w:ind w:right="279"/>
              <w:spacing w:after="0"/>
              <w:rPr>
                <w:sz w:val="20"/>
                <w:szCs w:val="20"/>
                <w:color w:val="auto"/>
              </w:rPr>
            </w:pPr>
            <w:r>
              <w:rPr>
                <w:rFonts w:ascii="Arial" w:cs="Arial" w:eastAsia="Arial" w:hAnsi="Arial"/>
                <w:sz w:val="18"/>
                <w:szCs w:val="18"/>
                <w:color w:val="auto"/>
              </w:rPr>
              <w:t>15,554</w:t>
            </w:r>
          </w:p>
        </w:tc>
        <w:tc>
          <w:tcPr>
            <w:tcW w:w="320" w:type="dxa"/>
            <w:vAlign w:val="bottom"/>
          </w:tcPr>
          <w:p>
            <w:pPr>
              <w:spacing w:after="0"/>
              <w:rPr>
                <w:sz w:val="24"/>
                <w:szCs w:val="24"/>
                <w:color w:val="auto"/>
              </w:rPr>
            </w:pPr>
          </w:p>
        </w:tc>
        <w:tc>
          <w:tcPr>
            <w:tcW w:w="660" w:type="dxa"/>
            <w:vAlign w:val="bottom"/>
            <w:vMerge w:val="restart"/>
          </w:tcPr>
          <w:p>
            <w:pPr>
              <w:jc w:val="right"/>
              <w:ind w:right="57"/>
              <w:spacing w:after="0"/>
              <w:rPr>
                <w:sz w:val="20"/>
                <w:szCs w:val="20"/>
                <w:color w:val="auto"/>
              </w:rPr>
            </w:pPr>
            <w:r>
              <w:rPr>
                <w:rFonts w:ascii="Arial" w:cs="Arial" w:eastAsia="Arial" w:hAnsi="Arial"/>
                <w:sz w:val="18"/>
                <w:szCs w:val="18"/>
                <w:color w:val="auto"/>
                <w:w w:val="90"/>
              </w:rPr>
              <w:t>17,205</w:t>
            </w: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54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9,257</w:t>
            </w:r>
          </w:p>
        </w:tc>
        <w:tc>
          <w:tcPr>
            <w:tcW w:w="4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ind w:left="380"/>
              <w:spacing w:after="0"/>
              <w:rPr>
                <w:sz w:val="20"/>
                <w:szCs w:val="20"/>
                <w:color w:val="auto"/>
              </w:rPr>
            </w:pPr>
            <w:r>
              <w:rPr>
                <w:rFonts w:ascii="Arial" w:cs="Arial" w:eastAsia="Arial" w:hAnsi="Arial"/>
                <w:sz w:val="18"/>
                <w:szCs w:val="18"/>
                <w:color w:val="auto"/>
              </w:rPr>
              <w:t>166)</w:t>
            </w:r>
          </w:p>
        </w:tc>
        <w:tc>
          <w:tcPr>
            <w:tcW w:w="3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279"/>
              <w:spacing w:after="0"/>
              <w:rPr>
                <w:sz w:val="20"/>
                <w:szCs w:val="20"/>
                <w:color w:val="auto"/>
              </w:rPr>
            </w:pPr>
            <w:r>
              <w:rPr>
                <w:rFonts w:ascii="Arial" w:cs="Arial" w:eastAsia="Arial" w:hAnsi="Arial"/>
                <w:sz w:val="18"/>
                <w:szCs w:val="18"/>
                <w:color w:val="auto"/>
              </w:rPr>
              <w:t>9,091</w:t>
            </w:r>
          </w:p>
        </w:tc>
        <w:tc>
          <w:tcPr>
            <w:tcW w:w="32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w w:val="90"/>
              </w:rPr>
              <w:t>10,390</w:t>
            </w:r>
          </w:p>
        </w:tc>
        <w:tc>
          <w:tcPr>
            <w:tcW w:w="1500" w:type="dxa"/>
            <w:vAlign w:val="bottom"/>
            <w:shd w:val="clear" w:color="auto" w:fill="E5E5E5"/>
          </w:tcPr>
          <w:p>
            <w:pPr>
              <w:jc w:val="right"/>
              <w:ind w:right="140"/>
              <w:spacing w:after="0"/>
              <w:rPr>
                <w:sz w:val="20"/>
                <w:szCs w:val="20"/>
                <w:color w:val="auto"/>
              </w:rPr>
            </w:pPr>
            <w:r>
              <w:rPr>
                <w:rFonts w:ascii="Arial" w:cs="Arial" w:eastAsia="Arial" w:hAnsi="Arial"/>
                <w:sz w:val="18"/>
                <w:szCs w:val="18"/>
                <w:color w:val="auto"/>
              </w:rPr>
              <w:t>14%</w:t>
            </w:r>
          </w:p>
        </w:tc>
        <w:tc>
          <w:tcPr>
            <w:tcW w:w="114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5,684</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8"/>
                <w:szCs w:val="18"/>
                <w:color w:val="auto"/>
              </w:rPr>
              <w:t>5,684</w:t>
            </w:r>
          </w:p>
        </w:tc>
        <w:tc>
          <w:tcPr>
            <w:tcW w:w="3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5,499</w:t>
            </w:r>
          </w:p>
        </w:tc>
        <w:tc>
          <w:tcPr>
            <w:tcW w:w="15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5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3,573</w:t>
            </w:r>
          </w:p>
        </w:tc>
        <w:tc>
          <w:tcPr>
            <w:tcW w:w="4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color w:val="auto"/>
              </w:rPr>
              <w:t>166)</w:t>
            </w:r>
          </w:p>
        </w:tc>
        <w:tc>
          <w:tcPr>
            <w:tcW w:w="3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5E5E5"/>
          </w:tcPr>
          <w:p>
            <w:pPr>
              <w:jc w:val="right"/>
              <w:ind w:right="279"/>
              <w:spacing w:after="0"/>
              <w:rPr>
                <w:sz w:val="20"/>
                <w:szCs w:val="20"/>
                <w:color w:val="auto"/>
              </w:rPr>
            </w:pPr>
            <w:r>
              <w:rPr>
                <w:rFonts w:ascii="Arial" w:cs="Arial" w:eastAsia="Arial" w:hAnsi="Arial"/>
                <w:sz w:val="18"/>
                <w:szCs w:val="18"/>
                <w:color w:val="auto"/>
              </w:rPr>
              <w:t>3,407</w:t>
            </w:r>
          </w:p>
        </w:tc>
        <w:tc>
          <w:tcPr>
            <w:tcW w:w="3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rPr>
              <w:t>4,891</w:t>
            </w:r>
          </w:p>
        </w:tc>
        <w:tc>
          <w:tcPr>
            <w:tcW w:w="1500" w:type="dxa"/>
            <w:vAlign w:val="bottom"/>
            <w:tcBorders>
              <w:bottom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color w:val="auto"/>
              </w:rPr>
              <w:t>44%</w:t>
            </w:r>
          </w:p>
        </w:tc>
        <w:tc>
          <w:tcPr>
            <w:tcW w:w="114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Operating Cash Flow Margin</w:t>
            </w:r>
          </w:p>
        </w:tc>
        <w:tc>
          <w:tcPr>
            <w:tcW w:w="540" w:type="dxa"/>
            <w:vAlign w:val="bottom"/>
          </w:tcPr>
          <w:p>
            <w:pPr>
              <w:spacing w:after="0"/>
              <w:rPr>
                <w:sz w:val="19"/>
                <w:szCs w:val="19"/>
                <w:color w:val="auto"/>
              </w:rPr>
            </w:pPr>
          </w:p>
        </w:tc>
        <w:tc>
          <w:tcPr>
            <w:tcW w:w="880" w:type="dxa"/>
            <w:vAlign w:val="bottom"/>
          </w:tcPr>
          <w:p>
            <w:pPr>
              <w:jc w:val="right"/>
              <w:ind w:right="135"/>
              <w:spacing w:after="0"/>
              <w:rPr>
                <w:sz w:val="20"/>
                <w:szCs w:val="20"/>
                <w:color w:val="auto"/>
              </w:rPr>
            </w:pPr>
            <w:r>
              <w:rPr>
                <w:rFonts w:ascii="Arial" w:cs="Arial" w:eastAsia="Arial" w:hAnsi="Arial"/>
                <w:sz w:val="18"/>
                <w:szCs w:val="18"/>
                <w:color w:val="auto"/>
              </w:rPr>
              <w:t>37.6%</w:t>
            </w:r>
          </w:p>
        </w:tc>
        <w:tc>
          <w:tcPr>
            <w:tcW w:w="440" w:type="dxa"/>
            <w:vAlign w:val="bottom"/>
          </w:tcPr>
          <w:p>
            <w:pPr>
              <w:spacing w:after="0"/>
              <w:rPr>
                <w:sz w:val="19"/>
                <w:szCs w:val="19"/>
                <w:color w:val="auto"/>
              </w:rPr>
            </w:pPr>
          </w:p>
        </w:tc>
        <w:tc>
          <w:tcPr>
            <w:tcW w:w="920" w:type="dxa"/>
            <w:vAlign w:val="bottom"/>
          </w:tcPr>
          <w:p>
            <w:pPr>
              <w:jc w:val="right"/>
              <w:ind w:right="195"/>
              <w:spacing w:after="0"/>
              <w:rPr>
                <w:sz w:val="20"/>
                <w:szCs w:val="20"/>
                <w:color w:val="auto"/>
              </w:rPr>
            </w:pPr>
            <w:r>
              <w:rPr>
                <w:rFonts w:ascii="Arial" w:cs="Arial" w:eastAsia="Arial" w:hAnsi="Arial"/>
                <w:sz w:val="18"/>
                <w:szCs w:val="18"/>
                <w:color w:val="auto"/>
              </w:rPr>
              <w:t>NM</w:t>
            </w:r>
          </w:p>
        </w:tc>
        <w:tc>
          <w:tcPr>
            <w:tcW w:w="36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Arial" w:cs="Arial" w:eastAsia="Arial" w:hAnsi="Arial"/>
                <w:sz w:val="18"/>
                <w:szCs w:val="18"/>
                <w:color w:val="auto"/>
              </w:rPr>
              <w:t>36.9%</w:t>
            </w: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37.7%</w:t>
            </w:r>
          </w:p>
        </w:tc>
        <w:tc>
          <w:tcPr>
            <w:tcW w:w="1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Reconciliation of Total “As Adjusted” Financial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ind w:right="397"/>
              <w:spacing w:after="0"/>
              <w:rPr>
                <w:sz w:val="20"/>
                <w:szCs w:val="20"/>
                <w:color w:val="auto"/>
              </w:rPr>
            </w:pPr>
            <w:r>
              <w:rPr>
                <w:rFonts w:ascii="Arial" w:cs="Arial" w:eastAsia="Arial" w:hAnsi="Arial"/>
                <w:sz w:val="14"/>
                <w:szCs w:val="14"/>
                <w:b w:val="1"/>
                <w:bCs w:val="1"/>
                <w:color w:val="auto"/>
                <w:w w:val="95"/>
              </w:rPr>
              <w:t>Twelve Months Ended</w:t>
            </w: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95"/>
              <w:spacing w:after="0" w:line="143" w:lineRule="exact"/>
              <w:rPr>
                <w:sz w:val="20"/>
                <w:szCs w:val="20"/>
                <w:color w:val="auto"/>
              </w:rPr>
            </w:pPr>
            <w:r>
              <w:rPr>
                <w:rFonts w:ascii="Arial" w:cs="Arial" w:eastAsia="Arial" w:hAnsi="Arial"/>
                <w:sz w:val="14"/>
                <w:szCs w:val="14"/>
                <w:b w:val="1"/>
                <w:bCs w:val="1"/>
                <w:color w:val="auto"/>
              </w:rPr>
              <w:t>2005</w:t>
            </w:r>
          </w:p>
        </w:tc>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7"/>
              <w:spacing w:after="0" w:line="143" w:lineRule="exact"/>
              <w:rPr>
                <w:sz w:val="20"/>
                <w:szCs w:val="20"/>
                <w:color w:val="auto"/>
              </w:rPr>
            </w:pPr>
            <w:r>
              <w:rPr>
                <w:rFonts w:ascii="Arial" w:cs="Arial" w:eastAsia="Arial" w:hAnsi="Arial"/>
                <w:sz w:val="14"/>
                <w:szCs w:val="14"/>
                <w:b w:val="1"/>
                <w:bCs w:val="1"/>
                <w:color w:val="auto"/>
              </w:rPr>
              <w:t>2006</w:t>
            </w:r>
          </w:p>
        </w:tc>
        <w:tc>
          <w:tcPr>
            <w:tcW w:w="150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 Growth</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420" w:type="dxa"/>
            <w:vAlign w:val="bottom"/>
            <w:gridSpan w:val="2"/>
          </w:tcPr>
          <w:p>
            <w:pPr>
              <w:jc w:val="right"/>
              <w:ind w:right="315"/>
              <w:spacing w:after="0" w:line="129" w:lineRule="exact"/>
              <w:rPr>
                <w:sz w:val="20"/>
                <w:szCs w:val="20"/>
                <w:color w:val="auto"/>
              </w:rPr>
            </w:pPr>
            <w:r>
              <w:rPr>
                <w:rFonts w:ascii="Arial" w:cs="Arial" w:eastAsia="Arial" w:hAnsi="Arial"/>
                <w:sz w:val="14"/>
                <w:szCs w:val="14"/>
                <w:b w:val="1"/>
                <w:bCs w:val="1"/>
                <w:color w:val="auto"/>
              </w:rPr>
              <w:t>Historical</w:t>
            </w: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720" w:type="dxa"/>
            <w:vAlign w:val="bottom"/>
            <w:gridSpan w:val="2"/>
          </w:tcPr>
          <w:p>
            <w:pPr>
              <w:spacing w:after="0"/>
              <w:rPr>
                <w:sz w:val="20"/>
                <w:szCs w:val="20"/>
                <w:color w:val="auto"/>
              </w:rPr>
            </w:pPr>
            <w:r>
              <w:rPr>
                <w:rFonts w:ascii="Arial" w:cs="Arial" w:eastAsia="Arial" w:hAnsi="Arial"/>
                <w:sz w:val="14"/>
                <w:szCs w:val="14"/>
                <w:color w:val="auto"/>
              </w:rPr>
              <w:t>(Dollars in millions, except per share data)</w:t>
            </w:r>
          </w:p>
        </w:tc>
        <w:tc>
          <w:tcPr>
            <w:tcW w:w="540" w:type="dxa"/>
            <w:vAlign w:val="bottom"/>
          </w:tcPr>
          <w:p>
            <w:pPr>
              <w:spacing w:after="0"/>
              <w:rPr>
                <w:sz w:val="15"/>
                <w:szCs w:val="15"/>
                <w:color w:val="auto"/>
              </w:rPr>
            </w:pPr>
          </w:p>
        </w:tc>
        <w:tc>
          <w:tcPr>
            <w:tcW w:w="880" w:type="dxa"/>
            <w:vAlign w:val="bottom"/>
          </w:tcPr>
          <w:p>
            <w:pPr>
              <w:jc w:val="right"/>
              <w:ind w:right="455"/>
              <w:spacing w:after="0"/>
              <w:rPr>
                <w:sz w:val="20"/>
                <w:szCs w:val="20"/>
                <w:color w:val="auto"/>
              </w:rPr>
            </w:pPr>
            <w:r>
              <w:rPr>
                <w:rFonts w:ascii="Arial" w:cs="Arial" w:eastAsia="Arial" w:hAnsi="Arial"/>
                <w:sz w:val="14"/>
                <w:szCs w:val="14"/>
                <w:b w:val="1"/>
                <w:bCs w:val="1"/>
                <w:color w:val="auto"/>
                <w:w w:val="95"/>
              </w:rPr>
              <w:t>Total</w:t>
            </w:r>
          </w:p>
        </w:tc>
        <w:tc>
          <w:tcPr>
            <w:tcW w:w="1360" w:type="dxa"/>
            <w:vAlign w:val="bottom"/>
            <w:gridSpan w:val="2"/>
          </w:tcPr>
          <w:p>
            <w:pPr>
              <w:jc w:val="right"/>
              <w:ind w:right="195"/>
              <w:spacing w:after="0"/>
              <w:rPr>
                <w:sz w:val="20"/>
                <w:szCs w:val="20"/>
                <w:color w:val="auto"/>
              </w:rPr>
            </w:pPr>
            <w:r>
              <w:rPr>
                <w:rFonts w:ascii="Arial" w:cs="Arial" w:eastAsia="Arial" w:hAnsi="Arial"/>
                <w:sz w:val="14"/>
                <w:szCs w:val="14"/>
                <w:b w:val="1"/>
                <w:bCs w:val="1"/>
                <w:color w:val="auto"/>
              </w:rPr>
              <w:t>Adjustment (6)</w:t>
            </w: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As Adjusted</w:t>
            </w:r>
          </w:p>
        </w:tc>
        <w:tc>
          <w:tcPr>
            <w:tcW w:w="320" w:type="dxa"/>
            <w:vAlign w:val="bottom"/>
          </w:tcPr>
          <w:p>
            <w:pPr>
              <w:spacing w:after="0"/>
              <w:rPr>
                <w:sz w:val="15"/>
                <w:szCs w:val="15"/>
                <w:color w:val="auto"/>
              </w:rPr>
            </w:pPr>
          </w:p>
        </w:tc>
        <w:tc>
          <w:tcPr>
            <w:tcW w:w="660" w:type="dxa"/>
            <w:vAlign w:val="bottom"/>
          </w:tcPr>
          <w:p>
            <w:pPr>
              <w:jc w:val="right"/>
              <w:ind w:right="237"/>
              <w:spacing w:after="0"/>
              <w:rPr>
                <w:sz w:val="20"/>
                <w:szCs w:val="20"/>
                <w:color w:val="auto"/>
              </w:rPr>
            </w:pPr>
            <w:r>
              <w:rPr>
                <w:rFonts w:ascii="Arial" w:cs="Arial" w:eastAsia="Arial" w:hAnsi="Arial"/>
                <w:sz w:val="14"/>
                <w:szCs w:val="14"/>
                <w:b w:val="1"/>
                <w:bCs w:val="1"/>
                <w:color w:val="auto"/>
                <w:w w:val="95"/>
              </w:rPr>
              <w:t>Total</w:t>
            </w:r>
          </w:p>
        </w:tc>
        <w:tc>
          <w:tcPr>
            <w:tcW w:w="1500" w:type="dxa"/>
            <w:vAlign w:val="bottom"/>
          </w:tcPr>
          <w:p>
            <w:pPr>
              <w:jc w:val="right"/>
              <w:ind w:right="279"/>
              <w:spacing w:after="0"/>
              <w:rPr>
                <w:sz w:val="20"/>
                <w:szCs w:val="20"/>
                <w:color w:val="auto"/>
              </w:rPr>
            </w:pPr>
            <w:r>
              <w:rPr>
                <w:rFonts w:ascii="Arial" w:cs="Arial" w:eastAsia="Arial" w:hAnsi="Arial"/>
                <w:sz w:val="14"/>
                <w:szCs w:val="14"/>
                <w:b w:val="1"/>
                <w:bCs w:val="1"/>
                <w:color w:val="auto"/>
              </w:rPr>
              <w:t>As Adjusted</w:t>
            </w:r>
          </w:p>
        </w:tc>
        <w:tc>
          <w:tcPr>
            <w:tcW w:w="1140" w:type="dxa"/>
            <w:vAlign w:val="bottom"/>
          </w:tcPr>
          <w:p>
            <w:pPr>
              <w:jc w:val="right"/>
              <w:ind w:right="236"/>
              <w:spacing w:after="0"/>
              <w:rPr>
                <w:sz w:val="20"/>
                <w:szCs w:val="20"/>
                <w:color w:val="auto"/>
              </w:rPr>
            </w:pPr>
            <w:r>
              <w:rPr>
                <w:rFonts w:ascii="Arial" w:cs="Arial" w:eastAsia="Arial" w:hAnsi="Arial"/>
                <w:sz w:val="14"/>
                <w:szCs w:val="14"/>
                <w:b w:val="1"/>
                <w:bCs w:val="1"/>
                <w:color w:val="auto"/>
              </w:rPr>
              <w:t>% Growth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w w:val="90"/>
              </w:rPr>
              <w:t>21,075</w:t>
            </w:r>
          </w:p>
        </w:tc>
        <w:tc>
          <w:tcPr>
            <w:tcW w:w="44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w w:val="98"/>
              </w:rPr>
              <w:t>21,075</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w w:val="90"/>
              </w:rPr>
              <w:t>24,966</w:t>
            </w:r>
          </w:p>
        </w:tc>
        <w:tc>
          <w:tcPr>
            <w:tcW w:w="1500" w:type="dxa"/>
            <w:vAlign w:val="bottom"/>
            <w:tcBorders>
              <w:top w:val="single" w:sz="8" w:color="auto"/>
            </w:tcBorders>
            <w:shd w:val="clear" w:color="auto" w:fill="E5E5E5"/>
          </w:tcPr>
          <w:p>
            <w:pPr>
              <w:jc w:val="right"/>
              <w:ind w:right="139"/>
              <w:spacing w:after="0"/>
              <w:rPr>
                <w:sz w:val="20"/>
                <w:szCs w:val="20"/>
                <w:color w:val="auto"/>
              </w:rPr>
            </w:pPr>
            <w:r>
              <w:rPr>
                <w:rFonts w:ascii="Arial" w:cs="Arial" w:eastAsia="Arial" w:hAnsi="Arial"/>
                <w:sz w:val="18"/>
                <w:szCs w:val="18"/>
                <w:color w:val="auto"/>
              </w:rPr>
              <w:t>18%</w:t>
            </w:r>
          </w:p>
        </w:tc>
        <w:tc>
          <w:tcPr>
            <w:tcW w:w="1140" w:type="dxa"/>
            <w:vAlign w:val="bottom"/>
            <w:tcBorders>
              <w:top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6"/>
        </w:trPr>
        <w:tc>
          <w:tcPr>
            <w:tcW w:w="3720" w:type="dxa"/>
            <w:vAlign w:val="bottom"/>
            <w:gridSpan w:val="2"/>
          </w:tcPr>
          <w:p>
            <w:pPr>
              <w:spacing w:after="0"/>
              <w:rPr>
                <w:sz w:val="20"/>
                <w:szCs w:val="20"/>
                <w:color w:val="auto"/>
              </w:rPr>
            </w:pPr>
            <w:r>
              <w:rPr>
                <w:rFonts w:ascii="Arial" w:cs="Arial" w:eastAsia="Arial" w:hAnsi="Arial"/>
                <w:sz w:val="18"/>
                <w:szCs w:val="18"/>
                <w:color w:val="auto"/>
                <w:w w:val="95"/>
              </w:rPr>
              <w:t>Operating Expenses (excluding depreciation and</w:t>
            </w:r>
          </w:p>
        </w:tc>
        <w:tc>
          <w:tcPr>
            <w:tcW w:w="540" w:type="dxa"/>
            <w:vAlign w:val="bottom"/>
          </w:tcPr>
          <w:p>
            <w:pPr>
              <w:spacing w:after="0"/>
              <w:rPr>
                <w:sz w:val="24"/>
                <w:szCs w:val="24"/>
                <w:color w:val="auto"/>
              </w:rPr>
            </w:pPr>
          </w:p>
        </w:tc>
        <w:tc>
          <w:tcPr>
            <w:tcW w:w="880" w:type="dxa"/>
            <w:vAlign w:val="bottom"/>
            <w:vMerge w:val="restart"/>
          </w:tcPr>
          <w:p>
            <w:pPr>
              <w:jc w:val="right"/>
              <w:ind w:right="275"/>
              <w:spacing w:after="0"/>
              <w:rPr>
                <w:sz w:val="20"/>
                <w:szCs w:val="20"/>
                <w:color w:val="auto"/>
              </w:rPr>
            </w:pPr>
            <w:r>
              <w:rPr>
                <w:rFonts w:ascii="Arial" w:cs="Arial" w:eastAsia="Arial" w:hAnsi="Arial"/>
                <w:sz w:val="18"/>
                <w:szCs w:val="18"/>
                <w:color w:val="auto"/>
                <w:w w:val="90"/>
              </w:rPr>
              <w:t>13,003</w:t>
            </w:r>
          </w:p>
        </w:tc>
        <w:tc>
          <w:tcPr>
            <w:tcW w:w="440" w:type="dxa"/>
            <w:vAlign w:val="bottom"/>
          </w:tcPr>
          <w:p>
            <w:pPr>
              <w:spacing w:after="0"/>
              <w:rPr>
                <w:sz w:val="24"/>
                <w:szCs w:val="24"/>
                <w:color w:val="auto"/>
              </w:rPr>
            </w:pPr>
          </w:p>
        </w:tc>
        <w:tc>
          <w:tcPr>
            <w:tcW w:w="920" w:type="dxa"/>
            <w:vAlign w:val="bottom"/>
            <w:vMerge w:val="restart"/>
          </w:tcPr>
          <w:p>
            <w:pPr>
              <w:ind w:left="380"/>
              <w:spacing w:after="0"/>
              <w:rPr>
                <w:sz w:val="20"/>
                <w:szCs w:val="20"/>
                <w:color w:val="auto"/>
              </w:rPr>
            </w:pPr>
            <w:r>
              <w:rPr>
                <w:rFonts w:ascii="Arial" w:cs="Arial" w:eastAsia="Arial" w:hAnsi="Arial"/>
                <w:sz w:val="18"/>
                <w:szCs w:val="18"/>
                <w:color w:val="auto"/>
              </w:rPr>
              <w:t>166</w:t>
            </w:r>
          </w:p>
        </w:tc>
        <w:tc>
          <w:tcPr>
            <w:tcW w:w="380" w:type="dxa"/>
            <w:vAlign w:val="bottom"/>
          </w:tcPr>
          <w:p>
            <w:pPr>
              <w:spacing w:after="0"/>
              <w:rPr>
                <w:sz w:val="24"/>
                <w:szCs w:val="24"/>
                <w:color w:val="auto"/>
              </w:rPr>
            </w:pPr>
          </w:p>
        </w:tc>
        <w:tc>
          <w:tcPr>
            <w:tcW w:w="920" w:type="dxa"/>
            <w:vAlign w:val="bottom"/>
            <w:vMerge w:val="restart"/>
          </w:tcPr>
          <w:p>
            <w:pPr>
              <w:jc w:val="right"/>
              <w:ind w:right="277"/>
              <w:spacing w:after="0"/>
              <w:rPr>
                <w:sz w:val="20"/>
                <w:szCs w:val="20"/>
                <w:color w:val="auto"/>
              </w:rPr>
            </w:pPr>
            <w:r>
              <w:rPr>
                <w:rFonts w:ascii="Arial" w:cs="Arial" w:eastAsia="Arial" w:hAnsi="Arial"/>
                <w:sz w:val="18"/>
                <w:szCs w:val="18"/>
                <w:color w:val="auto"/>
                <w:w w:val="98"/>
              </w:rPr>
              <w:t>13,169</w:t>
            </w:r>
          </w:p>
        </w:tc>
        <w:tc>
          <w:tcPr>
            <w:tcW w:w="320" w:type="dxa"/>
            <w:vAlign w:val="bottom"/>
          </w:tcPr>
          <w:p>
            <w:pPr>
              <w:spacing w:after="0"/>
              <w:rPr>
                <w:sz w:val="24"/>
                <w:szCs w:val="24"/>
                <w:color w:val="auto"/>
              </w:rPr>
            </w:pPr>
          </w:p>
        </w:tc>
        <w:tc>
          <w:tcPr>
            <w:tcW w:w="660" w:type="dxa"/>
            <w:vAlign w:val="bottom"/>
            <w:vMerge w:val="restart"/>
          </w:tcPr>
          <w:p>
            <w:pPr>
              <w:jc w:val="right"/>
              <w:ind w:right="57"/>
              <w:spacing w:after="0"/>
              <w:rPr>
                <w:sz w:val="20"/>
                <w:szCs w:val="20"/>
                <w:color w:val="auto"/>
              </w:rPr>
            </w:pPr>
            <w:r>
              <w:rPr>
                <w:rFonts w:ascii="Arial" w:cs="Arial" w:eastAsia="Arial" w:hAnsi="Arial"/>
                <w:sz w:val="18"/>
                <w:szCs w:val="18"/>
                <w:color w:val="auto"/>
                <w:w w:val="90"/>
              </w:rPr>
              <w:t>15,524</w:t>
            </w: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8,072</w:t>
            </w:r>
          </w:p>
        </w:tc>
        <w:tc>
          <w:tcPr>
            <w:tcW w:w="4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ind w:left="380"/>
              <w:spacing w:after="0"/>
              <w:rPr>
                <w:sz w:val="20"/>
                <w:szCs w:val="20"/>
                <w:color w:val="auto"/>
              </w:rPr>
            </w:pPr>
            <w:r>
              <w:rPr>
                <w:rFonts w:ascii="Arial" w:cs="Arial" w:eastAsia="Arial" w:hAnsi="Arial"/>
                <w:sz w:val="18"/>
                <w:szCs w:val="18"/>
                <w:color w:val="auto"/>
              </w:rPr>
              <w:t>166)</w:t>
            </w:r>
          </w:p>
        </w:tc>
        <w:tc>
          <w:tcPr>
            <w:tcW w:w="3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7,906</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9,442</w:t>
            </w:r>
          </w:p>
        </w:tc>
        <w:tc>
          <w:tcPr>
            <w:tcW w:w="1500" w:type="dxa"/>
            <w:vAlign w:val="bottom"/>
            <w:shd w:val="clear" w:color="auto" w:fill="E5E5E5"/>
          </w:tcPr>
          <w:p>
            <w:pPr>
              <w:jc w:val="right"/>
              <w:ind w:right="139"/>
              <w:spacing w:after="0"/>
              <w:rPr>
                <w:sz w:val="20"/>
                <w:szCs w:val="20"/>
                <w:color w:val="auto"/>
              </w:rPr>
            </w:pPr>
            <w:r>
              <w:rPr>
                <w:rFonts w:ascii="Arial" w:cs="Arial" w:eastAsia="Arial" w:hAnsi="Arial"/>
                <w:sz w:val="18"/>
                <w:szCs w:val="18"/>
                <w:color w:val="auto"/>
              </w:rPr>
              <w:t>19%</w:t>
            </w:r>
          </w:p>
        </w:tc>
        <w:tc>
          <w:tcPr>
            <w:tcW w:w="11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4,551</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4,551</w:t>
            </w:r>
          </w:p>
        </w:tc>
        <w:tc>
          <w:tcPr>
            <w:tcW w:w="3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4,823</w:t>
            </w:r>
          </w:p>
        </w:tc>
        <w:tc>
          <w:tcPr>
            <w:tcW w:w="15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3,521</w:t>
            </w:r>
          </w:p>
        </w:tc>
        <w:tc>
          <w:tcPr>
            <w:tcW w:w="4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color w:val="auto"/>
              </w:rPr>
              <w:t>166)</w:t>
            </w:r>
          </w:p>
        </w:tc>
        <w:tc>
          <w:tcPr>
            <w:tcW w:w="38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rPr>
              <w:t>3,355</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rPr>
              <w:t>4,619</w:t>
            </w:r>
          </w:p>
        </w:tc>
        <w:tc>
          <w:tcPr>
            <w:tcW w:w="1500" w:type="dxa"/>
            <w:vAlign w:val="bottom"/>
            <w:tcBorders>
              <w:bottom w:val="single" w:sz="8" w:color="auto"/>
            </w:tcBorders>
            <w:shd w:val="clear" w:color="auto" w:fill="E5E5E5"/>
          </w:tcPr>
          <w:p>
            <w:pPr>
              <w:jc w:val="right"/>
              <w:ind w:right="139"/>
              <w:spacing w:after="0"/>
              <w:rPr>
                <w:sz w:val="20"/>
                <w:szCs w:val="20"/>
                <w:color w:val="auto"/>
              </w:rPr>
            </w:pPr>
            <w:r>
              <w:rPr>
                <w:rFonts w:ascii="Arial" w:cs="Arial" w:eastAsia="Arial" w:hAnsi="Arial"/>
                <w:sz w:val="18"/>
                <w:szCs w:val="18"/>
                <w:color w:val="auto"/>
              </w:rPr>
              <w:t>38%</w:t>
            </w:r>
          </w:p>
        </w:tc>
        <w:tc>
          <w:tcPr>
            <w:tcW w:w="11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Operating Cash Flow Margin</w:t>
            </w:r>
          </w:p>
        </w:tc>
        <w:tc>
          <w:tcPr>
            <w:tcW w:w="540" w:type="dxa"/>
            <w:vAlign w:val="bottom"/>
          </w:tcPr>
          <w:p>
            <w:pPr>
              <w:spacing w:after="0"/>
              <w:rPr>
                <w:sz w:val="18"/>
                <w:szCs w:val="18"/>
                <w:color w:val="auto"/>
              </w:rPr>
            </w:pPr>
          </w:p>
        </w:tc>
        <w:tc>
          <w:tcPr>
            <w:tcW w:w="880" w:type="dxa"/>
            <w:vAlign w:val="bottom"/>
          </w:tcPr>
          <w:p>
            <w:pPr>
              <w:jc w:val="right"/>
              <w:ind w:right="135"/>
              <w:spacing w:after="0"/>
              <w:rPr>
                <w:sz w:val="20"/>
                <w:szCs w:val="20"/>
                <w:color w:val="auto"/>
              </w:rPr>
            </w:pPr>
            <w:r>
              <w:rPr>
                <w:rFonts w:ascii="Arial" w:cs="Arial" w:eastAsia="Arial" w:hAnsi="Arial"/>
                <w:sz w:val="18"/>
                <w:szCs w:val="18"/>
                <w:color w:val="auto"/>
              </w:rPr>
              <w:t>38.3%</w:t>
            </w:r>
          </w:p>
        </w:tc>
        <w:tc>
          <w:tcPr>
            <w:tcW w:w="440" w:type="dxa"/>
            <w:vAlign w:val="bottom"/>
          </w:tcPr>
          <w:p>
            <w:pPr>
              <w:spacing w:after="0"/>
              <w:rPr>
                <w:sz w:val="18"/>
                <w:szCs w:val="18"/>
                <w:color w:val="auto"/>
              </w:rPr>
            </w:pPr>
          </w:p>
        </w:tc>
        <w:tc>
          <w:tcPr>
            <w:tcW w:w="920" w:type="dxa"/>
            <w:vAlign w:val="bottom"/>
          </w:tcPr>
          <w:p>
            <w:pPr>
              <w:jc w:val="right"/>
              <w:ind w:right="195"/>
              <w:spacing w:after="0"/>
              <w:rPr>
                <w:sz w:val="20"/>
                <w:szCs w:val="20"/>
                <w:color w:val="auto"/>
              </w:rPr>
            </w:pPr>
            <w:r>
              <w:rPr>
                <w:rFonts w:ascii="Arial" w:cs="Arial" w:eastAsia="Arial" w:hAnsi="Arial"/>
                <w:sz w:val="18"/>
                <w:szCs w:val="18"/>
                <w:color w:val="auto"/>
              </w:rPr>
              <w:t>NM</w:t>
            </w:r>
          </w:p>
        </w:tc>
        <w:tc>
          <w:tcPr>
            <w:tcW w:w="380" w:type="dxa"/>
            <w:vAlign w:val="bottom"/>
          </w:tcPr>
          <w:p>
            <w:pPr>
              <w:spacing w:after="0"/>
              <w:rPr>
                <w:sz w:val="18"/>
                <w:szCs w:val="18"/>
                <w:color w:val="auto"/>
              </w:rPr>
            </w:pPr>
          </w:p>
        </w:tc>
        <w:tc>
          <w:tcPr>
            <w:tcW w:w="920" w:type="dxa"/>
            <w:vAlign w:val="bottom"/>
          </w:tcPr>
          <w:p>
            <w:pPr>
              <w:jc w:val="right"/>
              <w:ind w:right="137"/>
              <w:spacing w:after="0"/>
              <w:rPr>
                <w:sz w:val="20"/>
                <w:szCs w:val="20"/>
                <w:color w:val="auto"/>
              </w:rPr>
            </w:pPr>
            <w:r>
              <w:rPr>
                <w:rFonts w:ascii="Arial" w:cs="Arial" w:eastAsia="Arial" w:hAnsi="Arial"/>
                <w:sz w:val="18"/>
                <w:szCs w:val="18"/>
                <w:color w:val="auto"/>
              </w:rPr>
              <w:t>37.5%</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37.8%</w:t>
            </w: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Earnings Per Share</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0.42</w:t>
            </w:r>
          </w:p>
        </w:tc>
        <w:tc>
          <w:tcPr>
            <w:tcW w:w="4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0.04)</w:t>
            </w:r>
          </w:p>
        </w:tc>
        <w:tc>
          <w:tcPr>
            <w:tcW w:w="3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0.38</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57"/>
              <w:spacing w:after="0"/>
              <w:rPr>
                <w:sz w:val="20"/>
                <w:szCs w:val="20"/>
                <w:color w:val="auto"/>
              </w:rPr>
            </w:pPr>
            <w:r>
              <w:rPr>
                <w:rFonts w:ascii="Arial" w:cs="Arial" w:eastAsia="Arial" w:hAnsi="Arial"/>
                <w:sz w:val="18"/>
                <w:szCs w:val="18"/>
                <w:color w:val="auto"/>
              </w:rPr>
              <w:t>1.19</w:t>
            </w:r>
          </w:p>
        </w:tc>
        <w:tc>
          <w:tcPr>
            <w:tcW w:w="1500" w:type="dxa"/>
            <w:vAlign w:val="bottom"/>
            <w:shd w:val="clear" w:color="auto" w:fill="E5E5E5"/>
          </w:tcPr>
          <w:p>
            <w:pPr>
              <w:jc w:val="right"/>
              <w:ind w:right="139"/>
              <w:spacing w:after="0"/>
              <w:rPr>
                <w:sz w:val="20"/>
                <w:szCs w:val="20"/>
                <w:color w:val="auto"/>
              </w:rPr>
            </w:pPr>
            <w:r>
              <w:rPr>
                <w:rFonts w:ascii="Arial" w:cs="Arial" w:eastAsia="Arial" w:hAnsi="Arial"/>
                <w:sz w:val="18"/>
                <w:szCs w:val="18"/>
                <w:color w:val="auto"/>
              </w:rPr>
              <w:t>213%</w:t>
            </w:r>
          </w:p>
        </w:tc>
        <w:tc>
          <w:tcPr>
            <w:tcW w:w="11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 forma data is adjusted only for timing of acquisitions (or dispositions) and does not include adjustments for costs related to integration activities, cost</w:t>
      </w:r>
    </w:p>
    <w:p>
      <w:pPr>
        <w:sectPr>
          <w:pgSz w:w="11900" w:h="16838" w:orient="portrait"/>
          <w:cols w:equalWidth="0" w:num="1">
            <w:col w:w="11420"/>
          </w:cols>
          <w:pgMar w:left="240" w:top="971" w:right="239" w:bottom="0" w:gutter="0" w:footer="0" w:header="0"/>
        </w:sectPr>
      </w:pPr>
    </w:p>
    <w:bookmarkStart w:id="19" w:name="page20"/>
    <w:bookmarkEnd w:id="19"/>
    <w:p>
      <w:pPr>
        <w:ind w:left="452"/>
        <w:spacing w:after="0" w:line="268" w:lineRule="auto"/>
        <w:rPr>
          <w:sz w:val="20"/>
          <w:szCs w:val="20"/>
          <w:color w:val="auto"/>
        </w:rPr>
      </w:pPr>
      <w:r>
        <w:rPr>
          <w:rFonts w:ascii="Arial" w:cs="Arial" w:eastAsia="Arial" w:hAnsi="Arial"/>
          <w:sz w:val="18"/>
          <w:szCs w:val="18"/>
          <w:color w:val="auto"/>
        </w:rPr>
        <w:t>savings or synergies that have been or may be achieved by the combined businesses. Pro Forma results are presented as if the acquisitions and dispositions were effective on January 1, 2005. Minor differences may exist due to rounding.</w:t>
      </w:r>
    </w:p>
    <w:p>
      <w:pPr>
        <w:spacing w:after="0" w:line="51" w:lineRule="exact"/>
        <w:rPr>
          <w:sz w:val="20"/>
          <w:szCs w:val="20"/>
          <w:color w:val="auto"/>
        </w:rPr>
      </w:pPr>
    </w:p>
    <w:p>
      <w:pPr>
        <w:jc w:val="both"/>
        <w:ind w:left="452" w:hanging="452"/>
        <w:spacing w:after="0" w:line="259" w:lineRule="auto"/>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Beginning on August 1, 2006, the cable segment includes the operating results of the cable systems serving Houston, TX as a result of the dissolution of our cable partnership with Time Warner. This adjustment is reversed in the Corporate, Other and Eliminations column to reconcile to our consolidated amounts.</w:t>
      </w:r>
    </w:p>
    <w:p>
      <w:pPr>
        <w:spacing w:after="0" w:line="59" w:lineRule="exact"/>
        <w:rPr>
          <w:rFonts w:ascii="Arial" w:cs="Arial" w:eastAsia="Arial" w:hAnsi="Arial"/>
          <w:sz w:val="18"/>
          <w:szCs w:val="18"/>
          <w:color w:val="auto"/>
        </w:rPr>
      </w:pPr>
    </w:p>
    <w:p>
      <w:pPr>
        <w:ind w:left="452" w:hanging="452"/>
        <w:spacing w:after="0"/>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Cable Pro Forma adjustments include cable systems serving Houston, TX prior to August 1, 2006.</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Pro Forma adjustments include cable systems serving Houston, TX for all periods.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be consistent with our management reporting, reclassifications were made to technology development ventures, programming headquarters and other.</w:t>
      </w:r>
    </w:p>
    <w:p>
      <w:pPr>
        <w:spacing w:after="0" w:line="113" w:lineRule="exact"/>
        <w:rPr>
          <w:rFonts w:ascii="Arial" w:cs="Arial" w:eastAsia="Arial" w:hAnsi="Arial"/>
          <w:sz w:val="16"/>
          <w:szCs w:val="16"/>
          <w:color w:val="auto"/>
        </w:rPr>
      </w:pPr>
    </w:p>
    <w:p>
      <w:pPr>
        <w:jc w:val="both"/>
        <w:ind w:left="452" w:hanging="452"/>
        <w:spacing w:after="0" w:line="298" w:lineRule="auto"/>
        <w:tabs>
          <w:tab w:leader="none" w:pos="4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be consistent with our management reporting, the 2005 segment amounts have been adjusted as if stock options had been expensed as of January 1, 2005. For the twelve months ended December 31, 2005, the adjustments reducing operating income before depreciation and amortization by segment were $116 million for Cable, $1 million for Programming and $49 million for Corporate and Other. For the twelve months ended December 31, 2005, the total adjustment of $166 million is reversed in the Corporate, Other and Eliminations column to reconcile to our consolidated 2005 amounts.</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12"/>
          </w:cols>
          <w:pgMar w:left="248" w:top="13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7-C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Net Income to Adjusted Net Income</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4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w w:val="96"/>
              </w:rPr>
              <w:t>Three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ind w:right="315"/>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20" w:type="dxa"/>
            <w:vAlign w:val="bottom"/>
            <w:gridSpan w:val="2"/>
            <w:vMerge w:val="restart"/>
          </w:tcPr>
          <w:p>
            <w:pPr>
              <w:spacing w:after="0"/>
              <w:rPr>
                <w:sz w:val="20"/>
                <w:szCs w:val="20"/>
                <w:color w:val="auto"/>
              </w:rPr>
            </w:pPr>
            <w:r>
              <w:rPr>
                <w:rFonts w:ascii="Arial" w:cs="Arial" w:eastAsia="Arial" w:hAnsi="Arial"/>
                <w:sz w:val="14"/>
                <w:szCs w:val="14"/>
                <w:color w:val="auto"/>
              </w:rPr>
              <w:t>(Dollars in millions, except per share data)</w:t>
            </w:r>
          </w:p>
        </w:tc>
        <w:tc>
          <w:tcPr>
            <w:tcW w:w="5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440"/>
              <w:spacing w:after="0" w:line="143" w:lineRule="exact"/>
              <w:rPr>
                <w:sz w:val="20"/>
                <w:szCs w:val="20"/>
                <w:color w:val="auto"/>
              </w:rPr>
            </w:pPr>
            <w:r>
              <w:rPr>
                <w:rFonts w:ascii="Arial" w:cs="Arial" w:eastAsia="Arial" w:hAnsi="Arial"/>
                <w:sz w:val="14"/>
                <w:szCs w:val="14"/>
                <w:b w:val="1"/>
                <w:bCs w:val="1"/>
                <w:color w:val="auto"/>
                <w:w w:val="96"/>
              </w:rPr>
              <w:t>2006</w:t>
            </w:r>
          </w:p>
        </w:tc>
        <w:tc>
          <w:tcPr>
            <w:tcW w:w="8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37"/>
              <w:spacing w:after="0" w:line="143" w:lineRule="exact"/>
              <w:rPr>
                <w:sz w:val="20"/>
                <w:szCs w:val="20"/>
                <w:color w:val="auto"/>
              </w:rPr>
            </w:pPr>
            <w:r>
              <w:rPr>
                <w:rFonts w:ascii="Arial" w:cs="Arial" w:eastAsia="Arial" w:hAnsi="Arial"/>
                <w:sz w:val="14"/>
                <w:szCs w:val="14"/>
                <w:b w:val="1"/>
                <w:bCs w:val="1"/>
                <w:color w:val="auto"/>
                <w:w w:val="89"/>
              </w:rPr>
              <w:t>2005</w:t>
            </w:r>
          </w:p>
        </w:tc>
        <w:tc>
          <w:tcPr>
            <w:tcW w:w="0" w:type="dxa"/>
            <w:vAlign w:val="bottom"/>
          </w:tcPr>
          <w:p>
            <w:pPr>
              <w:spacing w:after="0"/>
              <w:rPr>
                <w:sz w:val="1"/>
                <w:szCs w:val="1"/>
                <w:color w:val="auto"/>
              </w:rPr>
            </w:pPr>
          </w:p>
        </w:tc>
      </w:tr>
      <w:tr>
        <w:trPr>
          <w:trHeight w:val="142"/>
        </w:trPr>
        <w:tc>
          <w:tcPr>
            <w:tcW w:w="76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18"/>
              <w:spacing w:after="0" w:line="142" w:lineRule="exact"/>
              <w:rPr>
                <w:sz w:val="20"/>
                <w:szCs w:val="20"/>
                <w:color w:val="auto"/>
              </w:rPr>
            </w:pPr>
            <w:r>
              <w:rPr>
                <w:rFonts w:ascii="Arial" w:cs="Arial" w:eastAsia="Arial" w:hAnsi="Arial"/>
                <w:sz w:val="14"/>
                <w:szCs w:val="14"/>
                <w:b w:val="1"/>
                <w:bCs w:val="1"/>
                <w:color w:val="auto"/>
              </w:rPr>
              <w:t>EPS (1)</w:t>
            </w:r>
          </w:p>
        </w:tc>
        <w:tc>
          <w:tcPr>
            <w:tcW w:w="72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EPS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390</w:t>
            </w:r>
          </w:p>
        </w:tc>
        <w:tc>
          <w:tcPr>
            <w:tcW w:w="820" w:type="dxa"/>
            <w:vAlign w:val="bottom"/>
            <w:tcBorders>
              <w:top w:val="single" w:sz="8" w:color="auto"/>
            </w:tcBorders>
            <w:shd w:val="clear" w:color="auto" w:fill="E5E5E5"/>
          </w:tcPr>
          <w:p>
            <w:pPr>
              <w:jc w:val="right"/>
              <w:ind w:right="198"/>
              <w:spacing w:after="0"/>
              <w:rPr>
                <w:sz w:val="20"/>
                <w:szCs w:val="20"/>
                <w:color w:val="auto"/>
              </w:rPr>
            </w:pPr>
            <w:r>
              <w:rPr>
                <w:rFonts w:ascii="Arial" w:cs="Arial" w:eastAsia="Arial" w:hAnsi="Arial"/>
                <w:sz w:val="18"/>
                <w:szCs w:val="18"/>
                <w:color w:val="auto"/>
              </w:rPr>
              <w:t>$ 0.18</w:t>
            </w:r>
          </w:p>
        </w:tc>
        <w:tc>
          <w:tcPr>
            <w:tcW w:w="720" w:type="dxa"/>
            <w:vAlign w:val="bottom"/>
            <w:tcBorders>
              <w:top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$ 133</w:t>
            </w:r>
          </w:p>
        </w:tc>
        <w:tc>
          <w:tcPr>
            <w:tcW w:w="9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$ 0.06</w:t>
            </w:r>
          </w:p>
        </w:tc>
        <w:tc>
          <w:tcPr>
            <w:tcW w:w="0" w:type="dxa"/>
            <w:vAlign w:val="bottom"/>
          </w:tcPr>
          <w:p>
            <w:pPr>
              <w:spacing w:after="0"/>
              <w:rPr>
                <w:sz w:val="1"/>
                <w:szCs w:val="1"/>
                <w:color w:val="auto"/>
              </w:rPr>
            </w:pPr>
          </w:p>
        </w:tc>
      </w:tr>
      <w:tr>
        <w:trPr>
          <w:trHeight w:val="323"/>
        </w:trPr>
        <w:tc>
          <w:tcPr>
            <w:tcW w:w="762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 income</w:t>
            </w:r>
          </w:p>
        </w:tc>
        <w:tc>
          <w:tcPr>
            <w:tcW w:w="580" w:type="dxa"/>
            <w:vAlign w:val="bottom"/>
            <w:shd w:val="clear" w:color="auto" w:fill="E5E5E5"/>
          </w:tcPr>
          <w:p>
            <w:pPr>
              <w:spacing w:after="0"/>
              <w:rPr>
                <w:sz w:val="18"/>
                <w:szCs w:val="18"/>
                <w:color w:val="auto"/>
              </w:rPr>
            </w:pPr>
          </w:p>
        </w:tc>
        <w:tc>
          <w:tcPr>
            <w:tcW w:w="76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53</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580" w:type="dxa"/>
            <w:vAlign w:val="bottom"/>
          </w:tcPr>
          <w:p>
            <w:pPr>
              <w:spacing w:after="0"/>
              <w:rPr>
                <w:sz w:val="18"/>
                <w:szCs w:val="18"/>
                <w:color w:val="auto"/>
              </w:rPr>
            </w:pPr>
          </w:p>
        </w:tc>
        <w:tc>
          <w:tcPr>
            <w:tcW w:w="76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5</w:t>
            </w:r>
          </w:p>
        </w:tc>
        <w:tc>
          <w:tcPr>
            <w:tcW w:w="92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Tax effect of adjustments (at 40%) and refinement of effective tax rate</w:t>
            </w:r>
          </w:p>
        </w:tc>
        <w:tc>
          <w:tcPr>
            <w:tcW w:w="580" w:type="dxa"/>
            <w:vAlign w:val="bottom"/>
            <w:shd w:val="clear" w:color="auto" w:fill="E5E5E5"/>
          </w:tcPr>
          <w:p>
            <w:pPr>
              <w:spacing w:after="0"/>
              <w:rPr>
                <w:sz w:val="18"/>
                <w:szCs w:val="18"/>
                <w:color w:val="auto"/>
              </w:rPr>
            </w:pPr>
          </w:p>
        </w:tc>
        <w:tc>
          <w:tcPr>
            <w:tcW w:w="76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(111)</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Adjustment to gain on discontinued operations, net of tax</w:t>
            </w:r>
          </w:p>
        </w:tc>
        <w:tc>
          <w:tcPr>
            <w:tcW w:w="580" w:type="dxa"/>
            <w:vAlign w:val="bottom"/>
          </w:tcPr>
          <w:p>
            <w:pPr>
              <w:spacing w:after="0"/>
              <w:rPr>
                <w:sz w:val="18"/>
                <w:szCs w:val="18"/>
                <w:color w:val="auto"/>
              </w:rPr>
            </w:pPr>
          </w:p>
        </w:tc>
        <w:tc>
          <w:tcPr>
            <w:tcW w:w="760" w:type="dxa"/>
            <w:vAlign w:val="bottom"/>
          </w:tcPr>
          <w:p>
            <w:pPr>
              <w:jc w:val="right"/>
              <w:ind w:right="277"/>
              <w:spacing w:after="0"/>
              <w:rPr>
                <w:sz w:val="20"/>
                <w:szCs w:val="20"/>
                <w:color w:val="auto"/>
              </w:rPr>
            </w:pPr>
            <w:r>
              <w:rPr>
                <w:rFonts w:ascii="Arial" w:cs="Arial" w:eastAsia="Arial" w:hAnsi="Arial"/>
                <w:sz w:val="18"/>
                <w:szCs w:val="18"/>
                <w:color w:val="auto"/>
              </w:rPr>
              <w:t>(39)</w:t>
            </w:r>
          </w:p>
        </w:tc>
        <w:tc>
          <w:tcPr>
            <w:tcW w:w="820" w:type="dxa"/>
            <w:vAlign w:val="bottom"/>
          </w:tcPr>
          <w:p>
            <w:pPr>
              <w:jc w:val="right"/>
              <w:ind w:right="138"/>
              <w:spacing w:after="0"/>
              <w:rPr>
                <w:sz w:val="20"/>
                <w:szCs w:val="20"/>
                <w:color w:val="auto"/>
              </w:rPr>
            </w:pPr>
            <w:r>
              <w:rPr>
                <w:rFonts w:ascii="Arial" w:cs="Arial" w:eastAsia="Arial" w:hAnsi="Arial"/>
                <w:sz w:val="18"/>
                <w:szCs w:val="18"/>
                <w:color w:val="auto"/>
              </w:rPr>
              <w:t>(0.02)</w:t>
            </w:r>
          </w:p>
        </w:tc>
        <w:tc>
          <w:tcPr>
            <w:tcW w:w="72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Adjustment to gain on Adelphia/Time Warner transactions, net of tax</w:t>
            </w:r>
          </w:p>
        </w:tc>
        <w:tc>
          <w:tcPr>
            <w:tcW w:w="5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rPr>
              <w:t>(30)</w:t>
            </w:r>
          </w:p>
        </w:tc>
        <w:tc>
          <w:tcPr>
            <w:tcW w:w="820" w:type="dxa"/>
            <w:vAlign w:val="bottom"/>
            <w:tcBorders>
              <w:bottom w:val="single" w:sz="8" w:color="auto"/>
            </w:tcBorders>
            <w:shd w:val="clear" w:color="auto" w:fill="E5E5E5"/>
          </w:tcPr>
          <w:p>
            <w:pPr>
              <w:jc w:val="right"/>
              <w:ind w:right="138"/>
              <w:spacing w:after="0"/>
              <w:rPr>
                <w:sz w:val="20"/>
                <w:szCs w:val="20"/>
                <w:color w:val="auto"/>
              </w:rPr>
            </w:pPr>
            <w:r>
              <w:rPr>
                <w:rFonts w:ascii="Arial" w:cs="Arial" w:eastAsia="Arial" w:hAnsi="Arial"/>
                <w:sz w:val="18"/>
                <w:szCs w:val="18"/>
                <w:color w:val="auto"/>
              </w:rPr>
              <w:t>(0.01)</w:t>
            </w:r>
          </w:p>
        </w:tc>
        <w:tc>
          <w:tcPr>
            <w:tcW w:w="72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Adjusted Net Income (2)</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80"/>
              <w:spacing w:after="0"/>
              <w:rPr>
                <w:sz w:val="20"/>
                <w:szCs w:val="20"/>
                <w:color w:val="auto"/>
              </w:rPr>
            </w:pPr>
            <w:r>
              <w:rPr>
                <w:rFonts w:ascii="Arial" w:cs="Arial" w:eastAsia="Arial" w:hAnsi="Arial"/>
                <w:sz w:val="18"/>
                <w:szCs w:val="18"/>
                <w:color w:val="auto"/>
              </w:rPr>
              <w:t>459</w:t>
            </w:r>
          </w:p>
        </w:tc>
        <w:tc>
          <w:tcPr>
            <w:tcW w:w="820" w:type="dxa"/>
            <w:vAlign w:val="bottom"/>
          </w:tcPr>
          <w:p>
            <w:pPr>
              <w:jc w:val="right"/>
              <w:ind w:right="198"/>
              <w:spacing w:after="0"/>
              <w:rPr>
                <w:sz w:val="20"/>
                <w:szCs w:val="20"/>
                <w:color w:val="auto"/>
              </w:rPr>
            </w:pPr>
            <w:r>
              <w:rPr>
                <w:rFonts w:ascii="Arial" w:cs="Arial" w:eastAsia="Arial" w:hAnsi="Arial"/>
                <w:sz w:val="18"/>
                <w:szCs w:val="18"/>
                <w:color w:val="auto"/>
              </w:rPr>
              <w:t>$ 0.21</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$ 186</w:t>
            </w:r>
          </w:p>
        </w:tc>
        <w:tc>
          <w:tcPr>
            <w:tcW w:w="920" w:type="dxa"/>
            <w:vAlign w:val="bottom"/>
          </w:tcPr>
          <w:p>
            <w:pPr>
              <w:jc w:val="right"/>
              <w:spacing w:after="0"/>
              <w:rPr>
                <w:sz w:val="20"/>
                <w:szCs w:val="20"/>
                <w:color w:val="auto"/>
              </w:rPr>
            </w:pPr>
            <w:r>
              <w:rPr>
                <w:rFonts w:ascii="Arial" w:cs="Arial" w:eastAsia="Arial" w:hAnsi="Arial"/>
                <w:sz w:val="18"/>
                <w:szCs w:val="18"/>
                <w:color w:val="auto"/>
              </w:rPr>
              <w:t>$ 0.09</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w w:val="95"/>
              </w:rPr>
              <w:t>Twelve Months Ended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275"/>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20" w:type="dxa"/>
            <w:vAlign w:val="bottom"/>
            <w:gridSpan w:val="2"/>
            <w:vMerge w:val="restart"/>
          </w:tcPr>
          <w:p>
            <w:pPr>
              <w:spacing w:after="0"/>
              <w:rPr>
                <w:sz w:val="20"/>
                <w:szCs w:val="20"/>
                <w:color w:val="auto"/>
              </w:rPr>
            </w:pPr>
            <w:r>
              <w:rPr>
                <w:rFonts w:ascii="Arial" w:cs="Arial" w:eastAsia="Arial" w:hAnsi="Arial"/>
                <w:sz w:val="14"/>
                <w:szCs w:val="14"/>
                <w:color w:val="auto"/>
              </w:rPr>
              <w:t>(Dollars in millions, except per share data)</w:t>
            </w:r>
          </w:p>
        </w:tc>
        <w:tc>
          <w:tcPr>
            <w:tcW w:w="5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440"/>
              <w:spacing w:after="0" w:line="142" w:lineRule="exact"/>
              <w:rPr>
                <w:sz w:val="20"/>
                <w:szCs w:val="20"/>
                <w:color w:val="auto"/>
              </w:rPr>
            </w:pPr>
            <w:r>
              <w:rPr>
                <w:rFonts w:ascii="Arial" w:cs="Arial" w:eastAsia="Arial" w:hAnsi="Arial"/>
                <w:sz w:val="14"/>
                <w:szCs w:val="14"/>
                <w:b w:val="1"/>
                <w:bCs w:val="1"/>
                <w:color w:val="auto"/>
                <w:w w:val="96"/>
              </w:rPr>
              <w:t>2006</w:t>
            </w:r>
          </w:p>
        </w:tc>
        <w:tc>
          <w:tcPr>
            <w:tcW w:w="8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37"/>
              <w:spacing w:after="0" w:line="142" w:lineRule="exact"/>
              <w:rPr>
                <w:sz w:val="20"/>
                <w:szCs w:val="20"/>
                <w:color w:val="auto"/>
              </w:rPr>
            </w:pPr>
            <w:r>
              <w:rPr>
                <w:rFonts w:ascii="Arial" w:cs="Arial" w:eastAsia="Arial" w:hAnsi="Arial"/>
                <w:sz w:val="14"/>
                <w:szCs w:val="14"/>
                <w:b w:val="1"/>
                <w:bCs w:val="1"/>
                <w:color w:val="auto"/>
                <w:w w:val="89"/>
              </w:rPr>
              <w:t>2005</w:t>
            </w:r>
          </w:p>
        </w:tc>
        <w:tc>
          <w:tcPr>
            <w:tcW w:w="0" w:type="dxa"/>
            <w:vAlign w:val="bottom"/>
          </w:tcPr>
          <w:p>
            <w:pPr>
              <w:spacing w:after="0"/>
              <w:rPr>
                <w:sz w:val="1"/>
                <w:szCs w:val="1"/>
                <w:color w:val="auto"/>
              </w:rPr>
            </w:pPr>
          </w:p>
        </w:tc>
      </w:tr>
      <w:tr>
        <w:trPr>
          <w:trHeight w:val="142"/>
        </w:trPr>
        <w:tc>
          <w:tcPr>
            <w:tcW w:w="76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18"/>
              <w:spacing w:after="0" w:line="142" w:lineRule="exact"/>
              <w:rPr>
                <w:sz w:val="20"/>
                <w:szCs w:val="20"/>
                <w:color w:val="auto"/>
              </w:rPr>
            </w:pPr>
            <w:r>
              <w:rPr>
                <w:rFonts w:ascii="Arial" w:cs="Arial" w:eastAsia="Arial" w:hAnsi="Arial"/>
                <w:sz w:val="14"/>
                <w:szCs w:val="14"/>
                <w:b w:val="1"/>
                <w:bCs w:val="1"/>
                <w:color w:val="auto"/>
              </w:rPr>
              <w:t>EPS (1)</w:t>
            </w:r>
          </w:p>
        </w:tc>
        <w:tc>
          <w:tcPr>
            <w:tcW w:w="72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EPS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w:t>
            </w:r>
          </w:p>
        </w:tc>
        <w:tc>
          <w:tcPr>
            <w:tcW w:w="1340" w:type="dxa"/>
            <w:vAlign w:val="bottom"/>
            <w:tcBorders>
              <w:top w:val="single" w:sz="8" w:color="auto"/>
            </w:tcBorders>
            <w:gridSpan w:val="2"/>
            <w:shd w:val="clear" w:color="auto" w:fill="E5E5E5"/>
          </w:tcPr>
          <w:p>
            <w:pPr>
              <w:jc w:val="right"/>
              <w:ind w:right="337"/>
              <w:spacing w:after="0"/>
              <w:rPr>
                <w:sz w:val="20"/>
                <w:szCs w:val="20"/>
                <w:color w:val="auto"/>
              </w:rPr>
            </w:pPr>
            <w:r>
              <w:rPr>
                <w:rFonts w:ascii="Arial" w:cs="Arial" w:eastAsia="Arial" w:hAnsi="Arial"/>
                <w:sz w:val="18"/>
                <w:szCs w:val="18"/>
                <w:color w:val="auto"/>
              </w:rPr>
              <w:t>$2,533</w:t>
            </w:r>
          </w:p>
        </w:tc>
        <w:tc>
          <w:tcPr>
            <w:tcW w:w="820" w:type="dxa"/>
            <w:vAlign w:val="bottom"/>
            <w:tcBorders>
              <w:top w:val="single" w:sz="8" w:color="auto"/>
            </w:tcBorders>
            <w:shd w:val="clear" w:color="auto" w:fill="E5E5E5"/>
          </w:tcPr>
          <w:p>
            <w:pPr>
              <w:jc w:val="right"/>
              <w:ind w:right="198"/>
              <w:spacing w:after="0"/>
              <w:rPr>
                <w:sz w:val="20"/>
                <w:szCs w:val="20"/>
                <w:color w:val="auto"/>
              </w:rPr>
            </w:pPr>
            <w:r>
              <w:rPr>
                <w:rFonts w:ascii="Arial" w:cs="Arial" w:eastAsia="Arial" w:hAnsi="Arial"/>
                <w:sz w:val="18"/>
                <w:szCs w:val="18"/>
                <w:color w:val="auto"/>
              </w:rPr>
              <w:t>$ 1.19</w:t>
            </w:r>
          </w:p>
        </w:tc>
        <w:tc>
          <w:tcPr>
            <w:tcW w:w="720" w:type="dxa"/>
            <w:vAlign w:val="bottom"/>
            <w:tcBorders>
              <w:top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$ 928</w:t>
            </w:r>
          </w:p>
        </w:tc>
        <w:tc>
          <w:tcPr>
            <w:tcW w:w="9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$ 0.42</w:t>
            </w:r>
          </w:p>
        </w:tc>
        <w:tc>
          <w:tcPr>
            <w:tcW w:w="0" w:type="dxa"/>
            <w:vAlign w:val="bottom"/>
          </w:tcPr>
          <w:p>
            <w:pPr>
              <w:spacing w:after="0"/>
              <w:rPr>
                <w:sz w:val="1"/>
                <w:szCs w:val="1"/>
                <w:color w:val="auto"/>
              </w:rPr>
            </w:pPr>
          </w:p>
        </w:tc>
      </w:tr>
      <w:tr>
        <w:trPr>
          <w:trHeight w:val="323"/>
        </w:trPr>
        <w:tc>
          <w:tcPr>
            <w:tcW w:w="762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 income</w:t>
            </w:r>
          </w:p>
        </w:tc>
        <w:tc>
          <w:tcPr>
            <w:tcW w:w="580" w:type="dxa"/>
            <w:vAlign w:val="bottom"/>
            <w:shd w:val="clear" w:color="auto" w:fill="E5E5E5"/>
          </w:tcPr>
          <w:p>
            <w:pPr>
              <w:spacing w:after="0"/>
              <w:rPr>
                <w:sz w:val="18"/>
                <w:szCs w:val="18"/>
                <w:color w:val="auto"/>
              </w:rPr>
            </w:pPr>
          </w:p>
        </w:tc>
        <w:tc>
          <w:tcPr>
            <w:tcW w:w="76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89</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580" w:type="dxa"/>
            <w:vAlign w:val="bottom"/>
          </w:tcPr>
          <w:p>
            <w:pPr>
              <w:spacing w:after="0"/>
              <w:rPr>
                <w:sz w:val="18"/>
                <w:szCs w:val="18"/>
                <w:color w:val="auto"/>
              </w:rPr>
            </w:pPr>
          </w:p>
        </w:tc>
        <w:tc>
          <w:tcPr>
            <w:tcW w:w="76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w:t>
            </w:r>
          </w:p>
        </w:tc>
        <w:tc>
          <w:tcPr>
            <w:tcW w:w="92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Tax effect of adjustments (at 40%) and refinement of effective tax rate</w:t>
            </w:r>
          </w:p>
        </w:tc>
        <w:tc>
          <w:tcPr>
            <w:tcW w:w="580" w:type="dxa"/>
            <w:vAlign w:val="bottom"/>
            <w:shd w:val="clear" w:color="auto" w:fill="E5E5E5"/>
          </w:tcPr>
          <w:p>
            <w:pPr>
              <w:spacing w:after="0"/>
              <w:rPr>
                <w:sz w:val="18"/>
                <w:szCs w:val="18"/>
                <w:color w:val="auto"/>
              </w:rPr>
            </w:pPr>
          </w:p>
        </w:tc>
        <w:tc>
          <w:tcPr>
            <w:tcW w:w="76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Gain on discontinued operations, net of tax</w:t>
            </w:r>
          </w:p>
        </w:tc>
        <w:tc>
          <w:tcPr>
            <w:tcW w:w="580" w:type="dxa"/>
            <w:vAlign w:val="bottom"/>
          </w:tcPr>
          <w:p>
            <w:pPr>
              <w:spacing w:after="0"/>
              <w:rPr>
                <w:sz w:val="18"/>
                <w:szCs w:val="18"/>
                <w:color w:val="auto"/>
              </w:rPr>
            </w:pPr>
          </w:p>
        </w:tc>
        <w:tc>
          <w:tcPr>
            <w:tcW w:w="760" w:type="dxa"/>
            <w:vAlign w:val="bottom"/>
          </w:tcPr>
          <w:p>
            <w:pPr>
              <w:ind w:left="80"/>
              <w:spacing w:after="0"/>
              <w:rPr>
                <w:sz w:val="20"/>
                <w:szCs w:val="20"/>
                <w:color w:val="auto"/>
              </w:rPr>
            </w:pPr>
            <w:r>
              <w:rPr>
                <w:rFonts w:ascii="Arial" w:cs="Arial" w:eastAsia="Arial" w:hAnsi="Arial"/>
                <w:sz w:val="18"/>
                <w:szCs w:val="18"/>
                <w:color w:val="auto"/>
              </w:rPr>
              <w:t>195</w:t>
            </w:r>
          </w:p>
        </w:tc>
        <w:tc>
          <w:tcPr>
            <w:tcW w:w="820" w:type="dxa"/>
            <w:vAlign w:val="bottom"/>
          </w:tcPr>
          <w:p>
            <w:pPr>
              <w:jc w:val="right"/>
              <w:ind w:right="198"/>
              <w:spacing w:after="0"/>
              <w:rPr>
                <w:sz w:val="20"/>
                <w:szCs w:val="20"/>
                <w:color w:val="auto"/>
              </w:rPr>
            </w:pPr>
            <w:r>
              <w:rPr>
                <w:rFonts w:ascii="Arial" w:cs="Arial" w:eastAsia="Arial" w:hAnsi="Arial"/>
                <w:sz w:val="18"/>
                <w:szCs w:val="18"/>
                <w:color w:val="auto"/>
              </w:rPr>
              <w:t>0.09</w:t>
            </w:r>
          </w:p>
        </w:tc>
        <w:tc>
          <w:tcPr>
            <w:tcW w:w="72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Gain on Adelphia/Time Warner transactions, net of tax</w:t>
            </w:r>
          </w:p>
        </w:tc>
        <w:tc>
          <w:tcPr>
            <w:tcW w:w="5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405</w:t>
            </w:r>
          </w:p>
        </w:tc>
        <w:tc>
          <w:tcPr>
            <w:tcW w:w="820" w:type="dxa"/>
            <w:vAlign w:val="bottom"/>
            <w:tcBorders>
              <w:bottom w:val="single" w:sz="8" w:color="auto"/>
            </w:tcBorders>
            <w:shd w:val="clear" w:color="auto" w:fill="E5E5E5"/>
          </w:tcPr>
          <w:p>
            <w:pPr>
              <w:jc w:val="right"/>
              <w:ind w:right="198"/>
              <w:spacing w:after="0"/>
              <w:rPr>
                <w:sz w:val="20"/>
                <w:szCs w:val="20"/>
                <w:color w:val="auto"/>
              </w:rPr>
            </w:pPr>
            <w:r>
              <w:rPr>
                <w:rFonts w:ascii="Arial" w:cs="Arial" w:eastAsia="Arial" w:hAnsi="Arial"/>
                <w:sz w:val="18"/>
                <w:szCs w:val="18"/>
                <w:color w:val="auto"/>
              </w:rPr>
              <w:t>0.20</w:t>
            </w:r>
          </w:p>
        </w:tc>
        <w:tc>
          <w:tcPr>
            <w:tcW w:w="72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Adjusted Net Income (2)</w:t>
            </w:r>
          </w:p>
        </w:tc>
        <w:tc>
          <w:tcPr>
            <w:tcW w:w="1340" w:type="dxa"/>
            <w:vAlign w:val="bottom"/>
            <w:gridSpan w:val="2"/>
          </w:tcPr>
          <w:p>
            <w:pPr>
              <w:jc w:val="right"/>
              <w:ind w:right="337"/>
              <w:spacing w:after="0"/>
              <w:rPr>
                <w:sz w:val="20"/>
                <w:szCs w:val="20"/>
                <w:color w:val="auto"/>
              </w:rPr>
            </w:pPr>
            <w:r>
              <w:rPr>
                <w:rFonts w:ascii="Arial" w:cs="Arial" w:eastAsia="Arial" w:hAnsi="Arial"/>
                <w:sz w:val="18"/>
                <w:szCs w:val="18"/>
                <w:color w:val="auto"/>
              </w:rPr>
              <w:t>$1,933</w:t>
            </w:r>
          </w:p>
        </w:tc>
        <w:tc>
          <w:tcPr>
            <w:tcW w:w="820" w:type="dxa"/>
            <w:vAlign w:val="bottom"/>
          </w:tcPr>
          <w:p>
            <w:pPr>
              <w:jc w:val="right"/>
              <w:ind w:right="198"/>
              <w:spacing w:after="0"/>
              <w:rPr>
                <w:sz w:val="20"/>
                <w:szCs w:val="20"/>
                <w:color w:val="auto"/>
              </w:rPr>
            </w:pPr>
            <w:r>
              <w:rPr>
                <w:rFonts w:ascii="Arial" w:cs="Arial" w:eastAsia="Arial" w:hAnsi="Arial"/>
                <w:sz w:val="18"/>
                <w:szCs w:val="18"/>
                <w:color w:val="auto"/>
              </w:rPr>
              <w:t>$ 0.90</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$ 908</w:t>
            </w:r>
          </w:p>
        </w:tc>
        <w:tc>
          <w:tcPr>
            <w:tcW w:w="920" w:type="dxa"/>
            <w:vAlign w:val="bottom"/>
          </w:tcPr>
          <w:p>
            <w:pPr>
              <w:jc w:val="right"/>
              <w:spacing w:after="0"/>
              <w:rPr>
                <w:sz w:val="20"/>
                <w:szCs w:val="20"/>
                <w:color w:val="auto"/>
              </w:rPr>
            </w:pPr>
            <w:r>
              <w:rPr>
                <w:rFonts w:ascii="Arial" w:cs="Arial" w:eastAsia="Arial" w:hAnsi="Arial"/>
                <w:sz w:val="18"/>
                <w:szCs w:val="18"/>
                <w:color w:val="auto"/>
              </w:rPr>
              <w:t>$ 0.41</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diluted average number of common shares for the respective periods as presented in Table 1.</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2006, Adjusted Net Income excludes a one-time gain on discontinued operations, net of tax, and a one-time investment gain, net of tax, related to the Adelphia/Time Warner transactions.</w:t>
      </w:r>
    </w:p>
    <w:p>
      <w:pPr>
        <w:spacing w:after="0" w:line="50"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For 2005, Adjusted Net Income excludes Investment Income and Other Income (Expense) (as presented in our Consolidated Statement of Operations), net of a 40% income tax rate and excludes in the fourth quarter of 2005 a refinement to our effective tax rate.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sectPr>
      <w:pgSz w:w="11900" w:h="16838" w:orient="portrait"/>
      <w:cols w:equalWidth="0" w:num="1">
        <w:col w:w="11420"/>
      </w:cols>
      <w:pgMar w:left="240" w:top="9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bullet"/>
      <w:start w:val="1"/>
    </w:lvl>
  </w:abstractNum>
  <w:abstractNum w:abstractNumId="7">
    <w:nsid w:val="140E0F76"/>
    <w:multiLevelType w:val="hybridMultilevel"/>
    <w:lvl w:ilvl="0">
      <w:lvlJc w:val="left"/>
      <w:lvlText w:val="2"/>
      <w:numFmt w:val="bullet"/>
      <w:start w:val="1"/>
    </w:lvl>
  </w:abstractNum>
  <w:abstractNum w:abstractNumId="8">
    <w:nsid w:val="3352255A"/>
    <w:multiLevelType w:val="hybridMultilevel"/>
    <w:lvl w:ilvl="0">
      <w:lvlJc w:val="left"/>
      <w:lvlText w:val="3"/>
      <w:numFmt w:val="bullet"/>
      <w:start w:val="1"/>
    </w:lvl>
  </w:abstractNum>
  <w:abstractNum w:abstractNumId="9">
    <w:nsid w:val="109CF92E"/>
    <w:multiLevelType w:val="hybridMultilevel"/>
    <w:lvl w:ilvl="0">
      <w:lvlJc w:val="left"/>
      <w:lvlText w:val="5"/>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4"/>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2"/>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2019-12-15T06:53:58Z</dcterms:created>
  <dcterms:modified xsi:type="dcterms:W3CDTF">2019-12-15T06:53:58Z</dcterms:modified>
</cp:coreProperties>
</file>