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September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5480" w:type="dxa"/>
            <w:vAlign w:val="bottom"/>
          </w:tcPr>
          <w:p>
            <w:pPr>
              <w:jc w:val="center"/>
              <w:ind w:right="241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60" w:type="dxa"/>
            <w:vAlign w:val="bottom"/>
          </w:tcPr>
          <w:p>
            <w:pPr>
              <w:spacing w:after="0"/>
              <w:rPr>
                <w:sz w:val="16"/>
                <w:szCs w:val="16"/>
                <w:color w:val="auto"/>
              </w:rPr>
            </w:pPr>
          </w:p>
        </w:tc>
        <w:tc>
          <w:tcPr>
            <w:tcW w:w="5480" w:type="dxa"/>
            <w:vAlign w:val="bottom"/>
          </w:tcPr>
          <w:p>
            <w:pPr>
              <w:jc w:val="center"/>
              <w:ind w:right="241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6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001-32871</w:t>
            </w:r>
          </w:p>
        </w:tc>
        <w:tc>
          <w:tcPr>
            <w:tcW w:w="5480" w:type="dxa"/>
            <w:vAlign w:val="bottom"/>
          </w:tcPr>
          <w:p>
            <w:pPr>
              <w:jc w:val="center"/>
              <w:ind w:left="329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5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(Commission File Number)</w:t>
            </w:r>
          </w:p>
        </w:tc>
        <w:tc>
          <w:tcPr>
            <w:tcW w:w="548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56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One Comcast Center</w:t>
            </w:r>
          </w:p>
        </w:tc>
        <w:tc>
          <w:tcPr>
            <w:tcW w:w="5480" w:type="dxa"/>
            <w:vAlign w:val="bottom"/>
          </w:tcPr>
          <w:p>
            <w:pPr>
              <w:spacing w:after="0"/>
              <w:rPr>
                <w:sz w:val="24"/>
                <w:szCs w:val="24"/>
                <w:color w:val="auto"/>
              </w:rPr>
            </w:pPr>
          </w:p>
        </w:tc>
      </w:tr>
      <w:tr>
        <w:trPr>
          <w:trHeight w:val="225"/>
        </w:trPr>
        <w:tc>
          <w:tcPr>
            <w:tcW w:w="2560" w:type="dxa"/>
            <w:vAlign w:val="bottom"/>
          </w:tcPr>
          <w:p>
            <w:pPr>
              <w:jc w:val="center"/>
              <w:ind w:right="17"/>
              <w:spacing w:after="0"/>
              <w:rPr>
                <w:sz w:val="20"/>
                <w:szCs w:val="20"/>
                <w:color w:val="auto"/>
              </w:rPr>
            </w:pPr>
            <w:r>
              <w:rPr>
                <w:rFonts w:ascii="Arial" w:cs="Arial" w:eastAsia="Arial" w:hAnsi="Arial"/>
                <w:sz w:val="18"/>
                <w:szCs w:val="18"/>
                <w:b w:val="1"/>
                <w:bCs w:val="1"/>
                <w:color w:val="auto"/>
                <w:w w:val="92"/>
              </w:rPr>
              <w:t>Philadelphia, PA</w:t>
            </w:r>
          </w:p>
        </w:tc>
        <w:tc>
          <w:tcPr>
            <w:tcW w:w="5480" w:type="dxa"/>
            <w:vAlign w:val="bottom"/>
          </w:tcPr>
          <w:p>
            <w:pPr>
              <w:jc w:val="center"/>
              <w:ind w:left="329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80" w:type="dxa"/>
            <w:vAlign w:val="bottom"/>
          </w:tcPr>
          <w:p>
            <w:pPr>
              <w:jc w:val="center"/>
              <w:ind w:left="329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described in our Form 8-K filed on March 27, 2013, NBCUniversal Media, LLC entered into a series of agreements and supplemental indentures to become part of our existing cross-guarantee structure. We anticipate filing a Registration Statement on Form S-3 that will reflect the addition of NBCUniversal Media, LLC as a subsidiary guarantor of Comcast Corporation debt securities. In connection with that Registration Statement, we are filing this Form 8-K to update the supplemental guarantor financial information included in Note 22 to the Financial Statements and Supplementary Data set forth in Item 8 of our Annual Report on Form 10-K for the year ended December 31, 2012. Other than the updated information reflected in Note 22, no other changes have been made to the consolidated financial statements previously included in our Annual Report on Form 10-K for the year ended December 31, 2012. The supplemental guarantor financial information included in our Condensed Consolidating Financial Information footnote to the Financial Statements set forth in Item 1 of our Quarterly Reports on Form 10-Q for the periods ended March 31, 2013 and June 30, 2013 already reflects the addition of NBCUniversal Media, LLC as a subsidiary guarantor of Comcast Corporation debt securities.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820" w:hanging="719"/>
        <w:spacing w:after="0" w:line="277" w:lineRule="auto"/>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Updates to Item 8. Financial Statements and Supplementary Data of Comcast Corporation’s Annual Report on Form 10-K for the fiscal year ended December 31, 2012.</w:t>
      </w:r>
    </w:p>
    <w:p>
      <w:pPr>
        <w:spacing w:after="0" w:line="62" w:lineRule="exact"/>
        <w:rPr>
          <w:sz w:val="20"/>
          <w:szCs w:val="20"/>
          <w:color w:val="auto"/>
        </w:rPr>
      </w:pPr>
    </w:p>
    <w:p>
      <w:pPr>
        <w:ind w:left="820" w:hanging="677"/>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2012, formatted in XBRL (eXtensible Business Reporting Language): (i) the Consolidated Balance Sheet; (ii) the Consolidated Statement of Income; (iii) the Consolidated Statement of Comprehensive Income; (iv) the Consolidated Statement of Cash Flows; (v) the Consolidated Statement of Changes in Equity; and (vi) the Notes to Consolidated Financial Statements.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September 18, 2013</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Lawrence J. Salva</w:t>
            </w:r>
          </w:p>
        </w:tc>
      </w:tr>
      <w:tr>
        <w:trPr>
          <w:trHeight w:val="222"/>
        </w:trPr>
        <w:tc>
          <w:tcPr>
            <w:tcW w:w="38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Lawrence J. Salva</w:t>
            </w:r>
          </w:p>
        </w:tc>
      </w:tr>
      <w:tr>
        <w:trPr>
          <w:trHeight w:val="216"/>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840" w:type="dxa"/>
            <w:vAlign w:val="bottom"/>
          </w:tcPr>
          <w:p>
            <w:pPr>
              <w:spacing w:after="0"/>
              <w:rPr>
                <w:sz w:val="24"/>
                <w:szCs w:val="24"/>
                <w:color w:val="auto"/>
              </w:rPr>
            </w:pPr>
          </w:p>
        </w:tc>
        <w:tc>
          <w:tcPr>
            <w:tcW w:w="244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consent to the incorporation by reference in Registration Statements on Form S-8 (Nos. 333-101645, 333-101295, 333-104385, 333-121082, 333-123059, 333-130844, 333-130845, 333-130847, 333-150976, 333-161468, 333-174416, 333-174417, 333-179638, and 333-183008) and Form S-3 (No. 333-179678) of our report dated February 20, 2013, except for Note 22, as to which the date is September 18, 2013, relating to the consolidated financial statements appearing in this Current Report on Form 8-K of Comcast Corporation dated September 18,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439"/>
        </w:trPr>
        <w:tc>
          <w:tcPr>
            <w:tcW w:w="8140" w:type="dxa"/>
            <w:vAlign w:val="bottom"/>
            <w:gridSpan w:val="8"/>
          </w:tcPr>
          <w:p>
            <w:pPr>
              <w:spacing w:after="0"/>
              <w:rPr>
                <w:sz w:val="20"/>
                <w:szCs w:val="20"/>
                <w:color w:val="auto"/>
              </w:rPr>
            </w:pPr>
            <w:r>
              <w:rPr>
                <w:rFonts w:ascii="Arial" w:cs="Arial" w:eastAsia="Arial" w:hAnsi="Arial"/>
                <w:sz w:val="24"/>
                <w:szCs w:val="24"/>
                <w:color w:val="0551D3"/>
              </w:rPr>
              <w:t>Item 8: Financial Statements and Supplementary Data</w:t>
            </w:r>
          </w:p>
        </w:tc>
        <w:tc>
          <w:tcPr>
            <w:tcW w:w="3280" w:type="dxa"/>
            <w:vAlign w:val="bottom"/>
          </w:tcPr>
          <w:p>
            <w:pPr>
              <w:spacing w:after="0"/>
              <w:rPr>
                <w:sz w:val="24"/>
                <w:szCs w:val="24"/>
                <w:color w:val="auto"/>
              </w:rPr>
            </w:pPr>
          </w:p>
        </w:tc>
      </w:tr>
      <w:tr>
        <w:trPr>
          <w:trHeight w:val="347"/>
        </w:trPr>
        <w:tc>
          <w:tcPr>
            <w:tcW w:w="814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4500" w:type="dxa"/>
            <w:vAlign w:val="bottom"/>
            <w:tcBorders>
              <w:bottom w:val="single" w:sz="8" w:color="0000EE"/>
            </w:tcBorders>
            <w:gridSpan w:val="7"/>
          </w:tcPr>
          <w:p>
            <w:pPr>
              <w:spacing w:after="0" w:line="170"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Report of Independent Registered Public Accounting Firm</w:t>
              </w:r>
            </w:hyperlink>
          </w:p>
        </w:tc>
        <w:tc>
          <w:tcPr>
            <w:tcW w:w="3640" w:type="dxa"/>
            <w:vAlign w:val="bottom"/>
          </w:tcPr>
          <w:p>
            <w:pPr>
              <w:spacing w:after="0"/>
              <w:rPr>
                <w:sz w:val="14"/>
                <w:szCs w:val="14"/>
                <w:color w:val="auto"/>
              </w:rPr>
            </w:pPr>
          </w:p>
        </w:tc>
        <w:tc>
          <w:tcPr>
            <w:tcW w:w="3280" w:type="dxa"/>
            <w:vAlign w:val="bottom"/>
          </w:tcPr>
          <w:p>
            <w:pPr>
              <w:jc w:val="right"/>
              <w:spacing w:after="0" w:line="170" w:lineRule="exact"/>
              <w:rPr>
                <w:sz w:val="20"/>
                <w:szCs w:val="20"/>
                <w:color w:val="auto"/>
              </w:rPr>
            </w:pPr>
            <w:r>
              <w:rPr>
                <w:rFonts w:ascii="Arial" w:cs="Arial" w:eastAsia="Arial" w:hAnsi="Arial"/>
                <w:sz w:val="18"/>
                <w:szCs w:val="18"/>
                <w:color w:val="auto"/>
              </w:rPr>
              <w:t>5</w:t>
            </w:r>
          </w:p>
        </w:tc>
      </w:tr>
      <w:tr>
        <w:trPr>
          <w:trHeight w:val="291"/>
        </w:trPr>
        <w:tc>
          <w:tcPr>
            <w:tcW w:w="814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91"/>
        </w:trPr>
        <w:tc>
          <w:tcPr>
            <w:tcW w:w="81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Consolidated Statement of Comprehensive Income</w:t>
              </w:r>
            </w:hyperlink>
          </w:p>
        </w:tc>
        <w:tc>
          <w:tcPr>
            <w:tcW w:w="4160" w:type="dxa"/>
            <w:vAlign w:val="bottom"/>
            <w:gridSpan w:val="2"/>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814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Consolidated Statement of Changes in Equity</w:t>
              </w:r>
            </w:hyperlink>
          </w:p>
        </w:tc>
        <w:tc>
          <w:tcPr>
            <w:tcW w:w="4580" w:type="dxa"/>
            <w:vAlign w:val="bottom"/>
            <w:gridSpan w:val="3"/>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1"/>
        </w:trPr>
        <w:tc>
          <w:tcPr>
            <w:tcW w:w="814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91"/>
        </w:trPr>
        <w:tc>
          <w:tcPr>
            <w:tcW w:w="8140" w:type="dxa"/>
            <w:vAlign w:val="bottom"/>
            <w:gridSpan w:val="8"/>
          </w:tcPr>
          <w:p>
            <w:pPr>
              <w:ind w:left="5680"/>
              <w:spacing w:after="0"/>
              <w:rPr>
                <w:sz w:val="20"/>
                <w:szCs w:val="20"/>
                <w:color w:val="auto"/>
              </w:rPr>
            </w:pPr>
            <w:r>
              <w:rPr>
                <w:rFonts w:ascii="Arial" w:cs="Arial" w:eastAsia="Arial" w:hAnsi="Arial"/>
                <w:sz w:val="14"/>
                <w:szCs w:val="14"/>
                <w:b w:val="1"/>
                <w:bCs w:val="1"/>
                <w:color w:val="auto"/>
              </w:rPr>
              <w:t>4</w:t>
            </w:r>
          </w:p>
        </w:tc>
        <w:tc>
          <w:tcPr>
            <w:tcW w:w="3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Comcast Corporation and subsidiaries (the “Company”) as of December 31, 2012 and 2011, and the related consolidated statements of income, comprehensive income, cash flows and changes in equity for each of the three years in the period ended December 31, 2012. These financial statements are the responsibility of the Company’s management. Our responsibility is to express an opinion on the financial statements based on our audits.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Comcast Corporation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20, 2013, except for Note 22, as to which the date is September 18, 2013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912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10,951</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12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1,464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5,521</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909</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1"/>
        </w:trPr>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1,146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77"/>
        </w:trPr>
        <w:tc>
          <w:tcPr>
            <w:tcW w:w="912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19,991</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5,054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6,325</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27,232</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27,559</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59,364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59,376</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26,985</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17,840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21"/>
        </w:trPr>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2,180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96"/>
        </w:trPr>
        <w:tc>
          <w:tcPr>
            <w:tcW w:w="91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164,971</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color w:val="auto"/>
              </w:rPr>
              <w:t>157,818</w:t>
            </w:r>
          </w:p>
        </w:tc>
        <w:tc>
          <w:tcPr>
            <w:tcW w:w="0" w:type="dxa"/>
            <w:vAlign w:val="bottom"/>
          </w:tcPr>
          <w:p>
            <w:pPr>
              <w:spacing w:after="0"/>
              <w:rPr>
                <w:sz w:val="1"/>
                <w:szCs w:val="1"/>
                <w:color w:val="auto"/>
              </w:rPr>
            </w:pPr>
          </w:p>
        </w:tc>
      </w:tr>
      <w:tr>
        <w:trPr>
          <w:trHeight w:val="199"/>
        </w:trPr>
        <w:tc>
          <w:tcPr>
            <w:tcW w:w="912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6,206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12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1,350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851</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5,931</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1"/>
        </w:trPr>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2,376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177"/>
        </w:trPr>
        <w:tc>
          <w:tcPr>
            <w:tcW w:w="912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16,714</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38,082</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30,110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25"/>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5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b w:val="1"/>
                <w:bCs w:val="1"/>
                <w:color w:val="auto"/>
              </w:rPr>
              <w:t>13,271</w:t>
            </w:r>
          </w:p>
        </w:tc>
        <w:tc>
          <w:tcPr>
            <w:tcW w:w="2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16,998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2,487,739,385 and</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tcPr>
          <w:p>
            <w:pPr>
              <w:ind w:left="440"/>
              <w:spacing w:after="0" w:line="202" w:lineRule="exact"/>
              <w:rPr>
                <w:sz w:val="20"/>
                <w:szCs w:val="20"/>
                <w:color w:val="auto"/>
              </w:rPr>
            </w:pPr>
            <w:r>
              <w:rPr>
                <w:rFonts w:ascii="Arial" w:cs="Arial" w:eastAsia="Arial" w:hAnsi="Arial"/>
                <w:sz w:val="18"/>
                <w:szCs w:val="18"/>
                <w:color w:val="auto"/>
              </w:rPr>
              <w:t>2,460,937,253; outstanding, 2,122,278,635 and 2,095,476,503</w:t>
            </w: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Class A Special common stock, $0.01 par value—authorized, 7,500,000,000 shares; issued, 578,704,227 and</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120" w:type="dxa"/>
            <w:vAlign w:val="bottom"/>
          </w:tcPr>
          <w:p>
            <w:pPr>
              <w:ind w:left="440"/>
              <w:spacing w:after="0" w:line="181" w:lineRule="exact"/>
              <w:rPr>
                <w:sz w:val="20"/>
                <w:szCs w:val="20"/>
                <w:color w:val="auto"/>
              </w:rPr>
            </w:pPr>
            <w:r>
              <w:rPr>
                <w:rFonts w:ascii="Arial" w:cs="Arial" w:eastAsia="Arial" w:hAnsi="Arial"/>
                <w:sz w:val="18"/>
                <w:szCs w:val="18"/>
                <w:color w:val="auto"/>
              </w:rPr>
              <w:t>671,947,577; outstanding, 507,769,463 and 601,012,813</w:t>
            </w:r>
          </w:p>
        </w:tc>
        <w:tc>
          <w:tcPr>
            <w:tcW w:w="5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40,547</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40,940</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16,280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(7,517)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77"/>
        </w:trPr>
        <w:tc>
          <w:tcPr>
            <w:tcW w:w="912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49,356</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1"/>
        </w:trPr>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440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96"/>
        </w:trPr>
        <w:tc>
          <w:tcPr>
            <w:tcW w:w="9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49,796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196"/>
        </w:trPr>
        <w:tc>
          <w:tcPr>
            <w:tcW w:w="91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5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164,971</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color w:val="auto"/>
              </w:rPr>
              <w:t>157,818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7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8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78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62,570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55,842</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37,937</w:t>
            </w: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78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19,929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16,598</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17,857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16,656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4,807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4,231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6,150</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6,040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1,648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1,596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50,391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45,121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29,957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78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12,179</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10,721</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7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(2,521)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(2,505)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959</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773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(570)</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177"/>
        </w:trPr>
        <w:tc>
          <w:tcPr>
            <w:tcW w:w="812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11,609</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8,207</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21"/>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(3,744)</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177"/>
        </w:trPr>
        <w:tc>
          <w:tcPr>
            <w:tcW w:w="812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7,865</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5,157</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1"/>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0551D3"/>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7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6,203</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551D3"/>
            </w:tcBorders>
          </w:tcPr>
          <w:p>
            <w:pPr>
              <w:jc w:val="right"/>
              <w:ind w:right="53"/>
              <w:spacing w:after="0" w:line="196" w:lineRule="exact"/>
              <w:rPr>
                <w:sz w:val="20"/>
                <w:szCs w:val="20"/>
                <w:color w:val="auto"/>
              </w:rPr>
            </w:pPr>
            <w:r>
              <w:rPr>
                <w:rFonts w:ascii="Arial" w:cs="Arial" w:eastAsia="Arial" w:hAnsi="Arial"/>
                <w:sz w:val="18"/>
                <w:szCs w:val="18"/>
                <w:color w:val="auto"/>
              </w:rPr>
              <w:t>4,160</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177"/>
        </w:trPr>
        <w:tc>
          <w:tcPr>
            <w:tcW w:w="81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7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2.32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1.51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2.28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1"/>
        </w:trPr>
        <w:tc>
          <w:tcPr>
            <w:tcW w:w="8120" w:type="dxa"/>
            <w:vAlign w:val="bottom"/>
            <w:tcBorders>
              <w:bottom w:val="single" w:sz="8" w:color="0551D3"/>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7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53"/>
              <w:spacing w:after="0"/>
              <w:rPr>
                <w:sz w:val="20"/>
                <w:szCs w:val="20"/>
                <w:color w:val="auto"/>
              </w:rPr>
            </w:pPr>
            <w:r>
              <w:rPr>
                <w:rFonts w:ascii="Arial" w:cs="Arial" w:eastAsia="Arial" w:hAnsi="Arial"/>
                <w:sz w:val="18"/>
                <w:szCs w:val="18"/>
                <w:b w:val="1"/>
                <w:bCs w:val="1"/>
                <w:color w:val="auto"/>
              </w:rPr>
              <w:t>0.65</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551D3"/>
            </w:tcBorders>
          </w:tcPr>
          <w:p>
            <w:pPr>
              <w:jc w:val="right"/>
              <w:ind w:right="53"/>
              <w:spacing w:after="0"/>
              <w:rPr>
                <w:sz w:val="20"/>
                <w:szCs w:val="20"/>
                <w:color w:val="auto"/>
              </w:rPr>
            </w:pPr>
            <w:r>
              <w:rPr>
                <w:rFonts w:ascii="Arial" w:cs="Arial" w:eastAsia="Arial" w:hAnsi="Arial"/>
                <w:sz w:val="18"/>
                <w:szCs w:val="18"/>
                <w:color w:val="auto"/>
              </w:rPr>
              <w:t>0.45</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color w:val="auto"/>
              </w:rPr>
              <w:t>0.378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Comprehensive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7500" w:type="dxa"/>
            <w:vAlign w:val="bottom"/>
          </w:tcPr>
          <w:p>
            <w:pPr>
              <w:spacing w:after="0" w:line="200" w:lineRule="exact"/>
              <w:rPr>
                <w:sz w:val="20"/>
                <w:szCs w:val="20"/>
                <w:color w:val="auto"/>
              </w:rPr>
            </w:pPr>
            <w:r>
              <w:rPr>
                <w:rFonts w:ascii="Arial" w:cs="Arial" w:eastAsia="Arial" w:hAnsi="Arial"/>
                <w:sz w:val="18"/>
                <w:szCs w:val="18"/>
                <w:color w:val="auto"/>
              </w:rPr>
              <w:t>Net income</w:t>
            </w:r>
          </w:p>
        </w:tc>
        <w:tc>
          <w:tcPr>
            <w:tcW w:w="230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$ 7,865</w:t>
            </w:r>
          </w:p>
        </w:tc>
        <w:tc>
          <w:tcPr>
            <w:tcW w:w="8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$ 5,157</w:t>
            </w: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$ 3,668</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Unrealized gains (losses) on marketable securities, net of deferred taxes</w:t>
            </w:r>
          </w:p>
        </w:tc>
        <w:tc>
          <w:tcPr>
            <w:tcW w:w="23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161</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of $(95), $(2) and $ —</w:t>
            </w:r>
          </w:p>
        </w:tc>
        <w:tc>
          <w:tcPr>
            <w:tcW w:w="2300" w:type="dxa"/>
            <w:vAlign w:val="bottom"/>
            <w:vMerge w:val="continue"/>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 net of deferred taxes</w:t>
            </w:r>
          </w:p>
        </w:tc>
        <w:tc>
          <w:tcPr>
            <w:tcW w:w="23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58</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of $(34), $15 and $47</w:t>
            </w:r>
          </w:p>
        </w:tc>
        <w:tc>
          <w:tcPr>
            <w:tcW w:w="2300" w:type="dxa"/>
            <w:vAlign w:val="bottom"/>
            <w:vMerge w:val="continue"/>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Amounts reclassified to net income:</w:t>
            </w: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Realized (gains) losses on marketable securities, net of deferred taxes</w:t>
            </w:r>
          </w:p>
        </w:tc>
        <w:tc>
          <w:tcPr>
            <w:tcW w:w="23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440"/>
              <w:spacing w:after="0" w:line="202" w:lineRule="exact"/>
              <w:rPr>
                <w:sz w:val="20"/>
                <w:szCs w:val="20"/>
                <w:color w:val="auto"/>
              </w:rPr>
            </w:pPr>
            <w:r>
              <w:rPr>
                <w:rFonts w:ascii="Arial" w:cs="Arial" w:eastAsia="Arial" w:hAnsi="Arial"/>
                <w:sz w:val="18"/>
                <w:szCs w:val="18"/>
                <w:color w:val="auto"/>
              </w:rPr>
              <w:t>of $ — , $5 and $2</w:t>
            </w:r>
          </w:p>
        </w:tc>
        <w:tc>
          <w:tcPr>
            <w:tcW w:w="2300" w:type="dxa"/>
            <w:vAlign w:val="bottom"/>
            <w:vMerge w:val="continue"/>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Realized (gains) losses on cash flow hedges, net of deferred taxes</w:t>
            </w:r>
          </w:p>
        </w:tc>
        <w:tc>
          <w:tcPr>
            <w:tcW w:w="2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00" w:type="dxa"/>
            <w:vAlign w:val="bottom"/>
          </w:tcPr>
          <w:p>
            <w:pPr>
              <w:ind w:left="440"/>
              <w:spacing w:after="0" w:line="181" w:lineRule="exact"/>
              <w:rPr>
                <w:sz w:val="20"/>
                <w:szCs w:val="20"/>
                <w:color w:val="auto"/>
              </w:rPr>
            </w:pPr>
            <w:r>
              <w:rPr>
                <w:rFonts w:ascii="Arial" w:cs="Arial" w:eastAsia="Arial" w:hAnsi="Arial"/>
                <w:sz w:val="18"/>
                <w:szCs w:val="18"/>
                <w:color w:val="auto"/>
              </w:rPr>
              <w:t>of $8, $(11) and $(21)</w:t>
            </w:r>
          </w:p>
        </w:tc>
        <w:tc>
          <w:tcPr>
            <w:tcW w:w="2300" w:type="dxa"/>
            <w:vAlign w:val="bottom"/>
            <w:vMerge w:val="continue"/>
          </w:tcPr>
          <w:p>
            <w:pPr>
              <w:spacing w:after="0"/>
              <w:rPr>
                <w:sz w:val="15"/>
                <w:szCs w:val="15"/>
                <w:color w:val="auto"/>
              </w:rPr>
            </w:pP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20</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 of deferred taxes of $22, $22 and $9</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 — , $3, and $ —</w:t>
            </w:r>
          </w:p>
        </w:tc>
        <w:tc>
          <w:tcPr>
            <w:tcW w:w="2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7"/>
        </w:trPr>
        <w:tc>
          <w:tcPr>
            <w:tcW w:w="750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23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8,038</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5,066</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5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230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$ 6,370</w:t>
            </w:r>
          </w:p>
        </w:tc>
        <w:tc>
          <w:tcPr>
            <w:tcW w:w="82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color w:val="auto"/>
              </w:rPr>
              <w:t>$ 4,107</w:t>
            </w:r>
          </w:p>
        </w:tc>
        <w:tc>
          <w:tcPr>
            <w:tcW w:w="8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$ 3,582</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7,865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5,157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7,798</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3"/>
              <w:spacing w:after="0" w:line="181" w:lineRule="exact"/>
              <w:rPr>
                <w:sz w:val="20"/>
                <w:szCs w:val="20"/>
                <w:color w:val="auto"/>
              </w:rPr>
            </w:pPr>
            <w:r>
              <w:rPr>
                <w:rFonts w:ascii="Arial" w:cs="Arial" w:eastAsia="Arial" w:hAnsi="Arial"/>
                <w:sz w:val="18"/>
                <w:szCs w:val="18"/>
                <w:color w:val="auto"/>
              </w:rPr>
              <w:t>7,636</w:t>
            </w:r>
          </w:p>
        </w:tc>
        <w:tc>
          <w:tcPr>
            <w:tcW w:w="18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9,454</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6,787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371</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 (income), net</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193</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146</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(959)</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195</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(1,062)</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b w:val="1"/>
                <w:bCs w:val="1"/>
                <w:color w:val="auto"/>
              </w:rPr>
              <w:t>139</w:t>
            </w:r>
          </w:p>
        </w:tc>
        <w:tc>
          <w:tcPr>
            <w:tcW w:w="180" w:type="dxa"/>
            <w:vAlign w:val="bottom"/>
          </w:tcPr>
          <w:p>
            <w:pPr>
              <w:spacing w:after="0"/>
              <w:rPr>
                <w:sz w:val="19"/>
                <w:szCs w:val="19"/>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(823)</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1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(427)</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Change in film and television costs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(9,432)</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(7,080)</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366</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 in other operating assets and liabilities</w:t>
            </w: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749</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440</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14,854</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14,345</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11,179</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(5,714)</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(5,307)</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3,102</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2,362</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(297)</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74</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(1,486)</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(12,508)</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(544)</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3"/>
              <w:spacing w:after="0" w:line="181" w:lineRule="exact"/>
              <w:rPr>
                <w:sz w:val="20"/>
                <w:szCs w:val="20"/>
                <w:color w:val="auto"/>
              </w:rPr>
            </w:pPr>
            <w:r>
              <w:rPr>
                <w:rFonts w:ascii="Arial" w:cs="Arial" w:eastAsia="Arial" w:hAnsi="Arial"/>
                <w:sz w:val="18"/>
                <w:szCs w:val="18"/>
                <w:color w:val="auto"/>
              </w:rPr>
              <w:t>544</w:t>
            </w:r>
          </w:p>
        </w:tc>
        <w:tc>
          <w:tcPr>
            <w:tcW w:w="18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4,544</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(2,881)</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(3,000)</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(1,608)</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11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233</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NBCUniversal noncontrolling member</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other noncontrolling interests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(218)</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(4,037)</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(6,201)</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7"/>
        </w:trPr>
        <w:tc>
          <w:tcPr>
            <w:tcW w:w="784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11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9,331</w:t>
            </w:r>
          </w:p>
        </w:tc>
        <w:tc>
          <w:tcPr>
            <w:tcW w:w="18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(4,364)</w:t>
            </w:r>
          </w:p>
        </w:tc>
        <w:tc>
          <w:tcPr>
            <w:tcW w:w="180" w:type="dxa"/>
            <w:vAlign w:val="bottom"/>
          </w:tcPr>
          <w:p>
            <w:pPr>
              <w:spacing w:after="0"/>
              <w:rPr>
                <w:sz w:val="15"/>
                <w:szCs w:val="15"/>
                <w:color w:val="auto"/>
              </w:rPr>
            </w:pP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21"/>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1,620</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5,984</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0551D3"/>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1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10,951</w:t>
            </w:r>
          </w:p>
        </w:tc>
        <w:tc>
          <w:tcPr>
            <w:tcW w:w="1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0551D3"/>
            </w:tcBorders>
          </w:tcPr>
          <w:p>
            <w:pPr>
              <w:jc w:val="right"/>
              <w:ind w:right="53"/>
              <w:spacing w:after="0" w:line="196" w:lineRule="exact"/>
              <w:rPr>
                <w:sz w:val="20"/>
                <w:szCs w:val="20"/>
                <w:color w:val="auto"/>
              </w:rPr>
            </w:pPr>
            <w:r>
              <w:rPr>
                <w:rFonts w:ascii="Arial" w:cs="Arial" w:eastAsia="Arial" w:hAnsi="Arial"/>
                <w:sz w:val="18"/>
                <w:szCs w:val="18"/>
                <w:color w:val="auto"/>
              </w:rPr>
              <w:t>1,620</w:t>
            </w:r>
          </w:p>
        </w:tc>
        <w:tc>
          <w:tcPr>
            <w:tcW w:w="1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60" w:type="dxa"/>
            <w:vAlign w:val="bottom"/>
            <w:gridSpan w:val="2"/>
          </w:tcPr>
          <w:p>
            <w:pPr>
              <w:jc w:val="center"/>
              <w:ind w:right="94"/>
              <w:spacing w:after="0"/>
              <w:rPr>
                <w:sz w:val="20"/>
                <w:szCs w:val="20"/>
                <w:color w:val="auto"/>
              </w:rPr>
            </w:pPr>
            <w:r>
              <w:rPr>
                <w:rFonts w:ascii="Arial" w:cs="Arial" w:eastAsia="Arial" w:hAnsi="Arial"/>
                <w:sz w:val="14"/>
                <w:szCs w:val="14"/>
                <w:color w:val="auto"/>
                <w:w w:val="95"/>
              </w:rPr>
              <w:t>Redeemable</w:t>
            </w:r>
          </w:p>
        </w:tc>
        <w:tc>
          <w:tcPr>
            <w:tcW w:w="100" w:type="dxa"/>
            <w:vAlign w:val="bottom"/>
          </w:tcPr>
          <w:p>
            <w:pPr>
              <w:spacing w:after="0"/>
              <w:rPr>
                <w:sz w:val="14"/>
                <w:szCs w:val="14"/>
                <w:color w:val="auto"/>
              </w:rPr>
            </w:pPr>
          </w:p>
        </w:tc>
        <w:tc>
          <w:tcPr>
            <w:tcW w:w="1680" w:type="dxa"/>
            <w:vAlign w:val="bottom"/>
            <w:gridSpan w:val="4"/>
          </w:tcPr>
          <w:p>
            <w:pPr>
              <w:jc w:val="right"/>
              <w:ind w:right="316"/>
              <w:spacing w:after="0"/>
              <w:rPr>
                <w:sz w:val="20"/>
                <w:szCs w:val="20"/>
                <w:color w:val="auto"/>
              </w:rPr>
            </w:pPr>
            <w:r>
              <w:rPr>
                <w:rFonts w:ascii="Arial" w:cs="Arial" w:eastAsia="Arial" w:hAnsi="Arial"/>
                <w:sz w:val="14"/>
                <w:szCs w:val="14"/>
                <w:color w:val="auto"/>
              </w:rPr>
              <w:t>Common Stock</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restart"/>
          </w:tcPr>
          <w:p>
            <w:pPr>
              <w:jc w:val="center"/>
              <w:ind w:right="274"/>
              <w:spacing w:after="0" w:line="149" w:lineRule="exact"/>
              <w:rPr>
                <w:sz w:val="20"/>
                <w:szCs w:val="20"/>
                <w:color w:val="auto"/>
              </w:rPr>
            </w:pPr>
            <w:r>
              <w:rPr>
                <w:rFonts w:ascii="Arial" w:cs="Arial" w:eastAsia="Arial" w:hAnsi="Arial"/>
                <w:sz w:val="14"/>
                <w:szCs w:val="14"/>
                <w:color w:val="auto"/>
                <w:w w:val="98"/>
              </w:rPr>
              <w:t>Non-</w:t>
            </w: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vMerge w:val="restart"/>
          </w:tcPr>
          <w:p>
            <w:pPr>
              <w:jc w:val="right"/>
              <w:ind w:right="95"/>
              <w:spacing w:after="0" w:line="149" w:lineRule="exact"/>
              <w:rPr>
                <w:sz w:val="20"/>
                <w:szCs w:val="20"/>
                <w:color w:val="auto"/>
              </w:rPr>
            </w:pPr>
            <w:r>
              <w:rPr>
                <w:rFonts w:ascii="Arial" w:cs="Arial" w:eastAsia="Arial" w:hAnsi="Arial"/>
                <w:sz w:val="14"/>
                <w:szCs w:val="14"/>
                <w:color w:val="auto"/>
              </w:rPr>
              <w:t>Additional</w:t>
            </w:r>
          </w:p>
        </w:tc>
        <w:tc>
          <w:tcPr>
            <w:tcW w:w="880" w:type="dxa"/>
            <w:vAlign w:val="bottom"/>
          </w:tcPr>
          <w:p>
            <w:pPr>
              <w:spacing w:after="0"/>
              <w:rPr>
                <w:sz w:val="3"/>
                <w:szCs w:val="3"/>
                <w:color w:val="auto"/>
              </w:rPr>
            </w:pPr>
          </w:p>
        </w:tc>
        <w:tc>
          <w:tcPr>
            <w:tcW w:w="1280" w:type="dxa"/>
            <w:vAlign w:val="bottom"/>
            <w:gridSpan w:val="2"/>
            <w:vMerge w:val="restart"/>
          </w:tcPr>
          <w:p>
            <w:pPr>
              <w:jc w:val="center"/>
              <w:ind w:right="476"/>
              <w:spacing w:after="0" w:line="149" w:lineRule="exact"/>
              <w:rPr>
                <w:sz w:val="20"/>
                <w:szCs w:val="20"/>
                <w:color w:val="auto"/>
              </w:rPr>
            </w:pPr>
            <w:r>
              <w:rPr>
                <w:rFonts w:ascii="Arial" w:cs="Arial" w:eastAsia="Arial" w:hAnsi="Arial"/>
                <w:sz w:val="14"/>
                <w:szCs w:val="14"/>
                <w:color w:val="auto"/>
                <w:w w:val="94"/>
              </w:rPr>
              <w:t>Treasury</w:t>
            </w:r>
          </w:p>
        </w:tc>
        <w:tc>
          <w:tcPr>
            <w:tcW w:w="260" w:type="dxa"/>
            <w:vAlign w:val="bottom"/>
          </w:tcPr>
          <w:p>
            <w:pPr>
              <w:spacing w:after="0"/>
              <w:rPr>
                <w:sz w:val="3"/>
                <w:szCs w:val="3"/>
                <w:color w:val="auto"/>
              </w:rPr>
            </w:pPr>
          </w:p>
        </w:tc>
        <w:tc>
          <w:tcPr>
            <w:tcW w:w="880" w:type="dxa"/>
            <w:vAlign w:val="bottom"/>
            <w:vMerge w:val="restart"/>
          </w:tcPr>
          <w:p>
            <w:pPr>
              <w:jc w:val="center"/>
              <w:ind w:right="255"/>
              <w:spacing w:after="0" w:line="149" w:lineRule="exact"/>
              <w:rPr>
                <w:sz w:val="20"/>
                <w:szCs w:val="20"/>
                <w:color w:val="auto"/>
              </w:rPr>
            </w:pPr>
            <w:r>
              <w:rPr>
                <w:rFonts w:ascii="Arial" w:cs="Arial" w:eastAsia="Arial" w:hAnsi="Arial"/>
                <w:sz w:val="14"/>
                <w:szCs w:val="14"/>
                <w:color w:val="auto"/>
                <w:w w:val="96"/>
              </w:rPr>
              <w:t>Other</w:t>
            </w:r>
          </w:p>
        </w:tc>
        <w:tc>
          <w:tcPr>
            <w:tcW w:w="180" w:type="dxa"/>
            <w:vAlign w:val="bottom"/>
          </w:tcPr>
          <w:p>
            <w:pPr>
              <w:spacing w:after="0"/>
              <w:rPr>
                <w:sz w:val="3"/>
                <w:szCs w:val="3"/>
                <w:color w:val="auto"/>
              </w:rPr>
            </w:pPr>
          </w:p>
        </w:tc>
        <w:tc>
          <w:tcPr>
            <w:tcW w:w="620" w:type="dxa"/>
            <w:vAlign w:val="bottom"/>
            <w:vMerge w:val="restart"/>
          </w:tcPr>
          <w:p>
            <w:pPr>
              <w:jc w:val="right"/>
              <w:ind w:right="214"/>
              <w:spacing w:after="0" w:line="149" w:lineRule="exact"/>
              <w:rPr>
                <w:sz w:val="20"/>
                <w:szCs w:val="20"/>
                <w:color w:val="auto"/>
              </w:rPr>
            </w:pPr>
            <w:r>
              <w:rPr>
                <w:rFonts w:ascii="Arial" w:cs="Arial" w:eastAsia="Arial" w:hAnsi="Arial"/>
                <w:sz w:val="14"/>
                <w:szCs w:val="14"/>
                <w:color w:val="auto"/>
                <w:w w:val="98"/>
              </w:rPr>
              <w:t>Non-</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60" w:type="dxa"/>
            <w:vAlign w:val="bottom"/>
            <w:gridSpan w:val="2"/>
          </w:tcPr>
          <w:p>
            <w:pPr>
              <w:jc w:val="center"/>
              <w:ind w:right="114"/>
              <w:spacing w:after="0" w:line="149" w:lineRule="exact"/>
              <w:rPr>
                <w:sz w:val="20"/>
                <w:szCs w:val="20"/>
                <w:color w:val="auto"/>
              </w:rPr>
            </w:pPr>
            <w:r>
              <w:rPr>
                <w:rFonts w:ascii="Arial" w:cs="Arial" w:eastAsia="Arial" w:hAnsi="Arial"/>
                <w:sz w:val="14"/>
                <w:szCs w:val="14"/>
                <w:color w:val="auto"/>
                <w:w w:val="97"/>
              </w:rPr>
              <w:t>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A</w:t>
            </w:r>
          </w:p>
        </w:tc>
        <w:tc>
          <w:tcPr>
            <w:tcW w:w="520" w:type="dxa"/>
            <w:vAlign w:val="bottom"/>
          </w:tcPr>
          <w:p>
            <w:pPr>
              <w:spacing w:after="0"/>
              <w:rPr>
                <w:sz w:val="12"/>
                <w:szCs w:val="12"/>
                <w:color w:val="auto"/>
              </w:rPr>
            </w:pPr>
          </w:p>
        </w:tc>
        <w:tc>
          <w:tcPr>
            <w:tcW w:w="88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Paid-In</w:t>
            </w:r>
          </w:p>
        </w:tc>
        <w:tc>
          <w:tcPr>
            <w:tcW w:w="88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Retained</w:t>
            </w:r>
          </w:p>
        </w:tc>
        <w:tc>
          <w:tcPr>
            <w:tcW w:w="1280" w:type="dxa"/>
            <w:vAlign w:val="bottom"/>
            <w:gridSpan w:val="2"/>
          </w:tcPr>
          <w:p>
            <w:pPr>
              <w:jc w:val="center"/>
              <w:ind w:right="476"/>
              <w:spacing w:after="0" w:line="149" w:lineRule="exact"/>
              <w:rPr>
                <w:sz w:val="20"/>
                <w:szCs w:val="20"/>
                <w:color w:val="auto"/>
              </w:rPr>
            </w:pPr>
            <w:r>
              <w:rPr>
                <w:rFonts w:ascii="Arial" w:cs="Arial" w:eastAsia="Arial" w:hAnsi="Arial"/>
                <w:sz w:val="14"/>
                <w:szCs w:val="14"/>
                <w:color w:val="auto"/>
                <w:w w:val="94"/>
              </w:rPr>
              <w:t>Stock at</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Comprehensive</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color w:val="auto"/>
                <w:w w:val="96"/>
              </w:rPr>
              <w:t>Interests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A</w:t>
            </w: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Special</w:t>
            </w: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B</w:t>
            </w: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Capital</w:t>
            </w: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Earnings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36"/>
              <w:spacing w:after="0"/>
              <w:rPr>
                <w:sz w:val="20"/>
                <w:szCs w:val="20"/>
                <w:color w:val="auto"/>
              </w:rPr>
            </w:pPr>
            <w:r>
              <w:rPr>
                <w:rFonts w:ascii="Arial" w:cs="Arial" w:eastAsia="Arial" w:hAnsi="Arial"/>
                <w:sz w:val="14"/>
                <w:szCs w:val="14"/>
                <w:color w:val="auto"/>
                <w:w w:val="97"/>
              </w:rPr>
              <w:t>Cost</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8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rPr>
              <w:t>Interests</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2740" w:type="dxa"/>
            <w:vAlign w:val="bottom"/>
          </w:tcPr>
          <w:p>
            <w:pPr>
              <w:spacing w:after="0" w:line="200" w:lineRule="exact"/>
              <w:rPr>
                <w:sz w:val="20"/>
                <w:szCs w:val="20"/>
                <w:color w:val="auto"/>
              </w:rPr>
            </w:pPr>
            <w:r>
              <w:rPr>
                <w:rFonts w:ascii="Arial" w:cs="Arial" w:eastAsia="Arial" w:hAnsi="Arial"/>
                <w:sz w:val="18"/>
                <w:szCs w:val="18"/>
                <w:color w:val="auto"/>
              </w:rPr>
              <w:t>Balance, January 1, 2010</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166</w:t>
            </w:r>
          </w:p>
        </w:tc>
        <w:tc>
          <w:tcPr>
            <w:tcW w:w="62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$ 24</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8</w:t>
            </w:r>
          </w:p>
        </w:tc>
        <w:tc>
          <w:tcPr>
            <w:tcW w:w="52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$ 40,247</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$ 10,005</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76"/>
              <w:spacing w:after="0" w:line="200" w:lineRule="exact"/>
              <w:rPr>
                <w:sz w:val="20"/>
                <w:szCs w:val="20"/>
                <w:color w:val="auto"/>
              </w:rPr>
            </w:pPr>
            <w:r>
              <w:rPr>
                <w:rFonts w:ascii="Arial" w:cs="Arial" w:eastAsia="Arial" w:hAnsi="Arial"/>
                <w:sz w:val="18"/>
                <w:szCs w:val="18"/>
                <w:color w:val="auto"/>
                <w:w w:val="94"/>
              </w:rPr>
              <w:t>(7,517)</w:t>
            </w:r>
          </w:p>
        </w:tc>
        <w:tc>
          <w:tcPr>
            <w:tcW w:w="260" w:type="dxa"/>
            <w:vAlign w:val="bottom"/>
          </w:tcPr>
          <w:p>
            <w:pPr>
              <w:jc w:val="right"/>
              <w:ind w:right="24"/>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(46)</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90</w:t>
            </w: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$ 42,811</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(loss)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Sale (purchase) of subsidiary</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shares to (from) noncontrolling</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interests, net</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to) noncontrolling interests, net</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9"/>
        </w:trPr>
        <w:tc>
          <w:tcPr>
            <w:tcW w:w="2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3,635</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34</w:t>
            </w: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199"/>
        </w:trPr>
        <w:tc>
          <w:tcPr>
            <w:tcW w:w="274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143</w:t>
            </w:r>
          </w:p>
        </w:tc>
        <w:tc>
          <w:tcPr>
            <w:tcW w:w="62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3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8</w:t>
            </w:r>
          </w:p>
        </w:tc>
        <w:tc>
          <w:tcPr>
            <w:tcW w:w="520" w:type="dxa"/>
            <w:vAlign w:val="bottom"/>
          </w:tcPr>
          <w:p>
            <w:pPr>
              <w:jc w:val="right"/>
              <w:ind w:right="36"/>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39,780</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12,158</w:t>
            </w:r>
          </w:p>
        </w:tc>
        <w:tc>
          <w:tcPr>
            <w:tcW w:w="160" w:type="dxa"/>
            <w:vAlign w:val="bottom"/>
          </w:tcPr>
          <w:p>
            <w:pPr>
              <w:spacing w:after="0"/>
              <w:rPr>
                <w:sz w:val="17"/>
                <w:szCs w:val="17"/>
                <w:color w:val="auto"/>
              </w:rPr>
            </w:pPr>
          </w:p>
        </w:tc>
        <w:tc>
          <w:tcPr>
            <w:tcW w:w="1120" w:type="dxa"/>
            <w:vAlign w:val="bottom"/>
          </w:tcPr>
          <w:p>
            <w:pPr>
              <w:jc w:val="right"/>
              <w:ind w:right="476"/>
              <w:spacing w:after="0" w:line="200" w:lineRule="exact"/>
              <w:rPr>
                <w:sz w:val="20"/>
                <w:szCs w:val="20"/>
                <w:color w:val="auto"/>
              </w:rPr>
            </w:pPr>
            <w:r>
              <w:rPr>
                <w:rFonts w:ascii="Arial" w:cs="Arial" w:eastAsia="Arial" w:hAnsi="Arial"/>
                <w:sz w:val="18"/>
                <w:szCs w:val="18"/>
                <w:color w:val="auto"/>
                <w:w w:val="94"/>
              </w:rPr>
              <w:t>(7,517)</w:t>
            </w:r>
          </w:p>
        </w:tc>
        <w:tc>
          <w:tcPr>
            <w:tcW w:w="2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(99)</w:t>
            </w:r>
          </w:p>
        </w:tc>
        <w:tc>
          <w:tcPr>
            <w:tcW w:w="18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80</w:t>
            </w: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509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(loss)</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NBCUniversal transaction</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15,198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1,605</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264</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color w:val="auto"/>
              </w:rPr>
              <w:t>to) noncontrolling interests, net</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9"/>
        </w:trPr>
        <w:tc>
          <w:tcPr>
            <w:tcW w:w="2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842</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4,160</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155</w:t>
            </w: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177"/>
        </w:trPr>
        <w:tc>
          <w:tcPr>
            <w:tcW w:w="274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160" w:type="dxa"/>
            <w:vAlign w:val="bottom"/>
          </w:tcPr>
          <w:p>
            <w:pPr>
              <w:spacing w:after="0"/>
              <w:rPr>
                <w:sz w:val="15"/>
                <w:szCs w:val="15"/>
                <w:color w:val="auto"/>
              </w:rPr>
            </w:pPr>
          </w:p>
        </w:tc>
        <w:tc>
          <w:tcPr>
            <w:tcW w:w="900" w:type="dxa"/>
            <w:vAlign w:val="bottom"/>
            <w:tcBorders>
              <w:right w:val="single" w:sz="8" w:color="auto"/>
            </w:tcBorders>
          </w:tcPr>
          <w:p>
            <w:pPr>
              <w:jc w:val="right"/>
              <w:ind w:right="154"/>
              <w:spacing w:after="0" w:line="177" w:lineRule="exact"/>
              <w:rPr>
                <w:sz w:val="20"/>
                <w:szCs w:val="20"/>
                <w:color w:val="auto"/>
              </w:rPr>
            </w:pPr>
            <w:r>
              <w:rPr>
                <w:rFonts w:ascii="Arial" w:cs="Arial" w:eastAsia="Arial" w:hAnsi="Arial"/>
                <w:sz w:val="18"/>
                <w:szCs w:val="18"/>
                <w:color w:val="auto"/>
              </w:rPr>
              <w:t>16,014</w:t>
            </w:r>
          </w:p>
        </w:tc>
        <w:tc>
          <w:tcPr>
            <w:tcW w:w="620" w:type="dxa"/>
            <w:vAlign w:val="bottom"/>
            <w:gridSpan w:val="2"/>
          </w:tcPr>
          <w:p>
            <w:pPr>
              <w:jc w:val="right"/>
              <w:ind w:right="32"/>
              <w:spacing w:after="0" w:line="177"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5"/>
                <w:szCs w:val="15"/>
                <w:color w:val="auto"/>
              </w:rPr>
            </w:pPr>
          </w:p>
        </w:tc>
        <w:tc>
          <w:tcPr>
            <w:tcW w:w="360" w:type="dxa"/>
            <w:vAlign w:val="bottom"/>
          </w:tcPr>
          <w:p>
            <w:pPr>
              <w:jc w:val="right"/>
              <w:ind w:right="15"/>
              <w:spacing w:after="0" w:line="177" w:lineRule="exact"/>
              <w:rPr>
                <w:sz w:val="20"/>
                <w:szCs w:val="20"/>
                <w:color w:val="auto"/>
              </w:rPr>
            </w:pPr>
            <w:r>
              <w:rPr>
                <w:rFonts w:ascii="Arial" w:cs="Arial" w:eastAsia="Arial" w:hAnsi="Arial"/>
                <w:sz w:val="18"/>
                <w:szCs w:val="18"/>
                <w:color w:val="auto"/>
              </w:rPr>
              <w:t>7</w:t>
            </w:r>
          </w:p>
        </w:tc>
        <w:tc>
          <w:tcPr>
            <w:tcW w:w="520" w:type="dxa"/>
            <w:vAlign w:val="bottom"/>
          </w:tcPr>
          <w:p>
            <w:pPr>
              <w:jc w:val="right"/>
              <w:ind w:right="36"/>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177" w:lineRule="exact"/>
              <w:rPr>
                <w:sz w:val="20"/>
                <w:szCs w:val="20"/>
                <w:color w:val="auto"/>
              </w:rPr>
            </w:pPr>
            <w:r>
              <w:rPr>
                <w:rFonts w:ascii="Arial" w:cs="Arial" w:eastAsia="Arial" w:hAnsi="Arial"/>
                <w:sz w:val="18"/>
                <w:szCs w:val="18"/>
                <w:color w:val="auto"/>
              </w:rPr>
              <w:t>40,940</w:t>
            </w: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13,971</w:t>
            </w:r>
          </w:p>
        </w:tc>
        <w:tc>
          <w:tcPr>
            <w:tcW w:w="160" w:type="dxa"/>
            <w:vAlign w:val="bottom"/>
          </w:tcPr>
          <w:p>
            <w:pPr>
              <w:spacing w:after="0"/>
              <w:rPr>
                <w:sz w:val="15"/>
                <w:szCs w:val="15"/>
                <w:color w:val="auto"/>
              </w:rPr>
            </w:pPr>
          </w:p>
        </w:tc>
        <w:tc>
          <w:tcPr>
            <w:tcW w:w="1120" w:type="dxa"/>
            <w:vAlign w:val="bottom"/>
          </w:tcPr>
          <w:p>
            <w:pPr>
              <w:jc w:val="right"/>
              <w:ind w:right="476"/>
              <w:spacing w:after="0" w:line="177" w:lineRule="exact"/>
              <w:rPr>
                <w:sz w:val="20"/>
                <w:szCs w:val="20"/>
                <w:color w:val="auto"/>
              </w:rPr>
            </w:pPr>
            <w:r>
              <w:rPr>
                <w:rFonts w:ascii="Arial" w:cs="Arial" w:eastAsia="Arial" w:hAnsi="Arial"/>
                <w:sz w:val="18"/>
                <w:szCs w:val="18"/>
                <w:color w:val="auto"/>
                <w:w w:val="94"/>
              </w:rPr>
              <w:t>(7,517)</w:t>
            </w:r>
          </w:p>
        </w:tc>
        <w:tc>
          <w:tcPr>
            <w:tcW w:w="26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(152)</w:t>
            </w:r>
          </w:p>
        </w:tc>
        <w:tc>
          <w:tcPr>
            <w:tcW w:w="180" w:type="dxa"/>
            <w:vAlign w:val="bottom"/>
          </w:tcPr>
          <w:p>
            <w:pPr>
              <w:spacing w:after="0"/>
              <w:rPr>
                <w:sz w:val="15"/>
                <w:szCs w:val="15"/>
                <w:color w:val="auto"/>
              </w:rPr>
            </w:pPr>
          </w:p>
        </w:tc>
        <w:tc>
          <w:tcPr>
            <w:tcW w:w="6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381</w:t>
            </w:r>
          </w:p>
        </w:tc>
        <w:tc>
          <w:tcPr>
            <w:tcW w:w="8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612</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(240)</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Repurchases and retirements of</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(1,081)</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(1,918)</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Employee stock purchase plans</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80</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(1,736)</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(1,736)</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154"/>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167</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Contributions from</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(distributions to)</w:t>
            </w: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noncontrolling interests, net</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80</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21"/>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1,514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6,203</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148</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6,351</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1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551D3"/>
              <w:right w:val="single" w:sz="8" w:color="auto"/>
            </w:tcBorders>
          </w:tcPr>
          <w:p>
            <w:pPr>
              <w:jc w:val="right"/>
              <w:ind w:right="154"/>
              <w:spacing w:after="0" w:line="196" w:lineRule="exact"/>
              <w:rPr>
                <w:sz w:val="20"/>
                <w:szCs w:val="20"/>
                <w:color w:val="auto"/>
              </w:rPr>
            </w:pPr>
            <w:r>
              <w:rPr>
                <w:rFonts w:ascii="Arial" w:cs="Arial" w:eastAsia="Arial" w:hAnsi="Arial"/>
                <w:sz w:val="18"/>
                <w:szCs w:val="18"/>
                <w:b w:val="1"/>
                <w:bCs w:val="1"/>
                <w:color w:val="auto"/>
              </w:rPr>
              <w:t>16,998</w:t>
            </w:r>
          </w:p>
        </w:tc>
        <w:tc>
          <w:tcPr>
            <w:tcW w:w="620" w:type="dxa"/>
            <w:vAlign w:val="bottom"/>
            <w:tcBorders>
              <w:bottom w:val="single" w:sz="8" w:color="0551D3"/>
            </w:tcBorders>
            <w:gridSpan w:val="2"/>
          </w:tcPr>
          <w:p>
            <w:pPr>
              <w:jc w:val="right"/>
              <w:ind w:right="32"/>
              <w:spacing w:after="0" w:line="196" w:lineRule="exact"/>
              <w:rPr>
                <w:sz w:val="20"/>
                <w:szCs w:val="20"/>
                <w:color w:val="auto"/>
              </w:rPr>
            </w:pPr>
            <w:r>
              <w:rPr>
                <w:rFonts w:ascii="Arial" w:cs="Arial" w:eastAsia="Arial" w:hAnsi="Arial"/>
                <w:sz w:val="18"/>
                <w:szCs w:val="18"/>
                <w:b w:val="1"/>
                <w:bCs w:val="1"/>
                <w:color w:val="auto"/>
              </w:rPr>
              <w:t>$ 25</w:t>
            </w:r>
          </w:p>
        </w:tc>
        <w:tc>
          <w:tcPr>
            <w:tcW w:w="28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6</w:t>
            </w:r>
          </w:p>
        </w:tc>
        <w:tc>
          <w:tcPr>
            <w:tcW w:w="520" w:type="dxa"/>
            <w:vAlign w:val="bottom"/>
            <w:tcBorders>
              <w:bottom w:val="single" w:sz="8" w:color="0551D3"/>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0551D3"/>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$ 40,547</w:t>
            </w:r>
          </w:p>
        </w:tc>
        <w:tc>
          <w:tcPr>
            <w:tcW w:w="880" w:type="dxa"/>
            <w:vAlign w:val="bottom"/>
            <w:tcBorders>
              <w:bottom w:val="single" w:sz="8" w:color="0551D3"/>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$ 16,280</w:t>
            </w:r>
          </w:p>
        </w:tc>
        <w:tc>
          <w:tcPr>
            <w:tcW w:w="1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(7,517)</w:t>
            </w:r>
          </w:p>
        </w:tc>
        <w:tc>
          <w:tcPr>
            <w:tcW w:w="260" w:type="dxa"/>
            <w:vAlign w:val="bottom"/>
            <w:tcBorders>
              <w:bottom w:val="single" w:sz="8" w:color="0551D3"/>
            </w:tcBorders>
          </w:tcPr>
          <w:p>
            <w:pPr>
              <w:jc w:val="right"/>
              <w:ind w:right="24"/>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551D3"/>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0551D3"/>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0551D3"/>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440</w:t>
            </w:r>
          </w:p>
        </w:tc>
        <w:tc>
          <w:tcPr>
            <w:tcW w:w="86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$ 49,796</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and in 2011, we closed the NBCUniversal transaction in which we acquired control of the businesses of NBC Universal, Inc. (now named NBCUniversal Media, LLC (“NBCUniversal”)).</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five reportable business segments: Cable Communications, Cable Networks, Broadcast Television, Filmed Entertainment and Theme Parks. See Note 19 for additional information on our reportable business segments.</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Cable Communications segment is primarily involved in the management and operation of cable systems serving residential and business customers in the United States. As of December 31, 2012, we served 22.0 million video customers, 19.4 million high-speed Internet customers and 10.0 million voice customers.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our national cable entertainment networks (USA Network, Syfy, E!, Bravo, Oxygen, Style, G4, Chiller, Cloo and Universal HD); our national cable news and information networks (CNBC, MSNBC and CNBC World); our national cable sports networks (Golf Channel and NBC Sports Network); our regional sports and news networks; our international cable networks (including CNBC Europe, CNBC Asia and our Universal Networks International portfolio of networks); our cable television production studio; and our related digital media properties, which are primarily brand-aligned and other websites.</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which are primarily brand-aligned websites.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Our films are produced primarily under the Universal Pictures, Focus Features and Illumination names. We also develop, produce and license live stage plays.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in effect at the balance sheet date. The related translation adjustments are recorded as a component of accumulated other comprehensive income (loss). We translate revenue and expenses using average monthly exchange rates, and the related foreign currency transaction gains and losses are included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Reclassifications have been made to the prior year’s consolidated financial statements to conform to classifications used in the current year. In addition, costs and expenses for 2011 and 2010 in our consolidated statement of income have been adjusted to separately present the components of these costs and expenses as programming and production, other operating and administrative, and advertising, marketing and promotion.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8)</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taxes (see Note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installation costs in our Cable Communications segment (see Note 7)</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Information related to our accounting policies or methods related to investments, property and equipment, goodwill and other intangibles, postretirement, pension and other employee benefits, share-based compensation, and receivables monetization are included in their respective footnotes that follow. Below is a discussion of accounting policies and methods used in our consolidated financial statements that are not presented within other footnotes.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551D3"/>
        </w:rPr>
        <w:t>Cable Communications Segment</w:t>
      </w:r>
    </w:p>
    <w:p>
      <w:pPr>
        <w:jc w:val="both"/>
        <w:spacing w:after="0" w:line="236" w:lineRule="auto"/>
        <w:rPr>
          <w:sz w:val="20"/>
          <w:szCs w:val="20"/>
          <w:color w:val="auto"/>
        </w:rPr>
      </w:pPr>
      <w:r>
        <w:rPr>
          <w:rFonts w:ascii="Arial" w:cs="Arial" w:eastAsia="Arial" w:hAnsi="Arial"/>
          <w:sz w:val="18"/>
          <w:szCs w:val="18"/>
          <w:color w:val="auto"/>
        </w:rPr>
        <w:t>Our Cable Communications segment generates revenue primarily from subscriptions to our video, high-speed Internet and voice services (“cable services”) and from the sale of advertising. We recognize revenue from cable services as each service is provided. Customers are typically billed in advance on a monthly basis.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our cable systems is less than related direct selling costs, we recognize revenue as connections are completed.</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that we may sell to local, regional and national advertisers. We recognize advertising revenue when the advertising is aired and based on the broadcast calendar.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Since we are acting as the principal in these arrangements, we report the advertising that is sold as revenue and the fees paid to representation firms and multichannel video providers as other operating and administrative expenses.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earned from other sources is recognized when services are provided or events occur. Under the terms of our cable franchise agreements, we are generally required to pay to the franchising authority an amount based on our gross video revenue. We normally pass these fees through to our cable customers and classify the fees as a component of revenue with the corresponding costs included in other operating and administrative expenses. We present other taxes imposed on a revenue-producing transaction as revenue if we are acting as the principal or as a reduction to other operating and administrative expenses if we are acting as an agent.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551D3"/>
        </w:rPr>
        <w:t>Cable Networks and Broadcast Television Segments</w:t>
      </w:r>
    </w:p>
    <w:p>
      <w:pPr>
        <w:jc w:val="both"/>
        <w:spacing w:after="0" w:line="236"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the sale of advertising and the licensing of our owned programming. Our Broadcast Television segment generates revenue primarily from the sale of advertising and the licensing of our owned programming.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the shortfall is settled, primarily by providing additional advertising time. We record revenue from the licensing of our owned programming when the content is available for use by the licensee, and when certain other conditions are met. When license fees include advertising time, we recognize the advertising time component of revenue when the advertisements are aired.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551D3"/>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the licensing of our owned and acquired films to cable, broadcast and premium networks and digital distributors, and the sale of our owned and acquired films on both DVD and Blu-ray discs (together, “DVDs”) and through digital distributors. We also generate revenue from producing and licensing live stage plays and distributing filmed entertainment produced by third parties.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551D3"/>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We recognize revenue from advance theme park ticket sales when the tickets are used. For annual passes, we recognize revenue on a straight-line basis over the annual period following the initial redemption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acquired for distribution to our video customers, generally under multiyear distribution agreements, with rates typically based on the number of customers that receive the programming, adjusted for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our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our Cable Communications segment receives incentives from cable networks for the licensing of their programming, we defer a portion of these incentives, which are included in other current and noncurrent liabilities, and recognize them over the term of the contract as a reduction to programming and production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our cash equivalents approximate their fair value. Our cash equivalents consist primarily of money market funds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less than three months when purchased.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derivative financial instruments are recorded on our consolidated balance sheet at fair value. See Note 6 for additional information on the derivative component of our prepaid forward sale agreements. The impact of our other derivative financial instruments on our consolidated financial statements was not material during the years ended December 31, 2012, 2011 and 2010.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liabilities related to asset retirements recorded in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551D3"/>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980" w:type="dxa"/>
            <w:vAlign w:val="bottom"/>
            <w:gridSpan w:val="2"/>
          </w:tcPr>
          <w:p>
            <w:pPr>
              <w:jc w:val="right"/>
              <w:ind w:right="12"/>
              <w:spacing w:after="0" w:line="125" w:lineRule="exact"/>
              <w:rPr>
                <w:sz w:val="20"/>
                <w:szCs w:val="20"/>
                <w:color w:val="auto"/>
              </w:rPr>
            </w:pPr>
            <w:r>
              <w:rPr>
                <w:rFonts w:ascii="Arial" w:cs="Arial" w:eastAsia="Arial" w:hAnsi="Arial"/>
                <w:sz w:val="14"/>
                <w:szCs w:val="14"/>
                <w:b w:val="1"/>
                <w:bCs w:val="1"/>
                <w:color w:val="auto"/>
              </w:rPr>
              <w:t>Net Income</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Attributable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to Comcast</w:t>
            </w:r>
          </w:p>
        </w:tc>
        <w:tc>
          <w:tcPr>
            <w:tcW w:w="68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rPr>
              <w:t>Per Share</w:t>
            </w: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to Comcast</w:t>
            </w:r>
          </w:p>
        </w:tc>
        <w:tc>
          <w:tcPr>
            <w:tcW w:w="68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Per Share</w:t>
            </w: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65"/>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9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5"/>
              </w:rPr>
              <w:t>Amount</w:t>
            </w:r>
          </w:p>
        </w:tc>
        <w:tc>
          <w:tcPr>
            <w:tcW w:w="9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6,203</w:t>
            </w:r>
          </w:p>
        </w:tc>
        <w:tc>
          <w:tcPr>
            <w:tcW w:w="68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2,678</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4,160</w:t>
            </w:r>
          </w:p>
        </w:tc>
        <w:tc>
          <w:tcPr>
            <w:tcW w:w="6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2,746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1.51</w:t>
            </w: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3,635</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2,808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 relating to</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stock plans</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6,203</w:t>
            </w:r>
          </w:p>
        </w:tc>
        <w:tc>
          <w:tcPr>
            <w:tcW w:w="68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2,717</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2.28</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Borders>
              <w:bottom w:val="single" w:sz="8" w:color="0551D3"/>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0551D3"/>
            </w:tcBorders>
            <w:vMerge w:val="continue"/>
          </w:tcPr>
          <w:p>
            <w:pPr>
              <w:spacing w:after="0"/>
              <w:rPr>
                <w:sz w:val="17"/>
                <w:szCs w:val="17"/>
                <w:color w:val="auto"/>
              </w:rPr>
            </w:pPr>
          </w:p>
        </w:tc>
        <w:tc>
          <w:tcPr>
            <w:tcW w:w="680" w:type="dxa"/>
            <w:vAlign w:val="bottom"/>
            <w:tcBorders>
              <w:bottom w:val="single" w:sz="8" w:color="0551D3"/>
            </w:tcBorders>
            <w:vMerge w:val="continue"/>
          </w:tcPr>
          <w:p>
            <w:pPr>
              <w:spacing w:after="0"/>
              <w:rPr>
                <w:sz w:val="17"/>
                <w:szCs w:val="17"/>
                <w:color w:val="auto"/>
              </w:rPr>
            </w:pPr>
          </w:p>
        </w:tc>
        <w:tc>
          <w:tcPr>
            <w:tcW w:w="680" w:type="dxa"/>
            <w:vAlign w:val="bottom"/>
            <w:tcBorders>
              <w:bottom w:val="single" w:sz="8" w:color="0551D3"/>
            </w:tcBorders>
            <w:vMerge w:val="continue"/>
          </w:tcPr>
          <w:p>
            <w:pPr>
              <w:spacing w:after="0"/>
              <w:rPr>
                <w:sz w:val="17"/>
                <w:szCs w:val="17"/>
                <w:color w:val="auto"/>
              </w:rPr>
            </w:pPr>
          </w:p>
        </w:tc>
        <w:tc>
          <w:tcPr>
            <w:tcW w:w="200" w:type="dxa"/>
            <w:vAlign w:val="bottom"/>
            <w:tcBorders>
              <w:bottom w:val="single" w:sz="8" w:color="0551D3"/>
            </w:tcBorders>
            <w:vMerge w:val="continue"/>
          </w:tcPr>
          <w:p>
            <w:pPr>
              <w:spacing w:after="0"/>
              <w:rPr>
                <w:sz w:val="17"/>
                <w:szCs w:val="17"/>
                <w:color w:val="auto"/>
              </w:rPr>
            </w:pPr>
          </w:p>
        </w:tc>
        <w:tc>
          <w:tcPr>
            <w:tcW w:w="620" w:type="dxa"/>
            <w:vAlign w:val="bottom"/>
            <w:tcBorders>
              <w:bottom w:val="single" w:sz="8" w:color="0551D3"/>
            </w:tcBorders>
            <w:vMerge w:val="continue"/>
          </w:tcPr>
          <w:p>
            <w:pPr>
              <w:spacing w:after="0"/>
              <w:rPr>
                <w:sz w:val="17"/>
                <w:szCs w:val="17"/>
                <w:color w:val="auto"/>
              </w:rPr>
            </w:pPr>
          </w:p>
        </w:tc>
        <w:tc>
          <w:tcPr>
            <w:tcW w:w="280" w:type="dxa"/>
            <w:vAlign w:val="bottom"/>
            <w:tcBorders>
              <w:bottom w:val="single" w:sz="8" w:color="0551D3"/>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551D3"/>
            </w:tcBorders>
          </w:tcPr>
          <w:p>
            <w:pPr>
              <w:jc w:val="right"/>
              <w:ind w:right="32"/>
              <w:spacing w:after="0" w:line="200" w:lineRule="exact"/>
              <w:rPr>
                <w:sz w:val="20"/>
                <w:szCs w:val="20"/>
                <w:color w:val="auto"/>
              </w:rPr>
            </w:pPr>
            <w:r>
              <w:rPr>
                <w:rFonts w:ascii="Arial" w:cs="Arial" w:eastAsia="Arial" w:hAnsi="Arial"/>
                <w:sz w:val="18"/>
                <w:szCs w:val="18"/>
                <w:color w:val="auto"/>
              </w:rPr>
              <w:t>4,160</w:t>
            </w:r>
          </w:p>
        </w:tc>
        <w:tc>
          <w:tcPr>
            <w:tcW w:w="680" w:type="dxa"/>
            <w:vAlign w:val="bottom"/>
            <w:tcBorders>
              <w:bottom w:val="single" w:sz="8" w:color="0551D3"/>
            </w:tcBorders>
          </w:tcPr>
          <w:p>
            <w:pPr>
              <w:jc w:val="right"/>
              <w:ind w:right="20"/>
              <w:spacing w:after="0" w:line="200" w:lineRule="exact"/>
              <w:rPr>
                <w:sz w:val="20"/>
                <w:szCs w:val="20"/>
                <w:color w:val="auto"/>
              </w:rPr>
            </w:pPr>
            <w:r>
              <w:rPr>
                <w:rFonts w:ascii="Arial" w:cs="Arial" w:eastAsia="Arial" w:hAnsi="Arial"/>
                <w:sz w:val="18"/>
                <w:szCs w:val="18"/>
                <w:color w:val="auto"/>
              </w:rPr>
              <w:t>2,778</w:t>
            </w:r>
          </w:p>
        </w:tc>
        <w:tc>
          <w:tcPr>
            <w:tcW w:w="220" w:type="dxa"/>
            <w:vAlign w:val="bottom"/>
            <w:tcBorders>
              <w:bottom w:val="single" w:sz="8" w:color="0551D3"/>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551D3"/>
            </w:tcBorders>
          </w:tcPr>
          <w:p>
            <w:pPr>
              <w:jc w:val="right"/>
              <w:ind w:right="19"/>
              <w:spacing w:after="0" w:line="200" w:lineRule="exact"/>
              <w:rPr>
                <w:sz w:val="20"/>
                <w:szCs w:val="20"/>
                <w:color w:val="auto"/>
              </w:rPr>
            </w:pPr>
            <w:r>
              <w:rPr>
                <w:rFonts w:ascii="Arial" w:cs="Arial" w:eastAsia="Arial" w:hAnsi="Arial"/>
                <w:sz w:val="18"/>
                <w:szCs w:val="18"/>
                <w:color w:val="auto"/>
              </w:rPr>
              <w:t>1.50</w:t>
            </w:r>
          </w:p>
        </w:tc>
        <w:tc>
          <w:tcPr>
            <w:tcW w:w="280" w:type="dxa"/>
            <w:vAlign w:val="bottom"/>
            <w:tcBorders>
              <w:bottom w:val="single" w:sz="8" w:color="0551D3"/>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551D3"/>
            </w:tcBorders>
          </w:tcPr>
          <w:p>
            <w:pPr>
              <w:jc w:val="right"/>
              <w:ind w:right="32"/>
              <w:spacing w:after="0" w:line="200" w:lineRule="exact"/>
              <w:rPr>
                <w:sz w:val="20"/>
                <w:szCs w:val="20"/>
                <w:color w:val="auto"/>
              </w:rPr>
            </w:pPr>
            <w:r>
              <w:rPr>
                <w:rFonts w:ascii="Arial" w:cs="Arial" w:eastAsia="Arial" w:hAnsi="Arial"/>
                <w:sz w:val="18"/>
                <w:szCs w:val="18"/>
                <w:color w:val="auto"/>
              </w:rPr>
              <w:t>3,635</w:t>
            </w:r>
          </w:p>
        </w:tc>
        <w:tc>
          <w:tcPr>
            <w:tcW w:w="660" w:type="dxa"/>
            <w:vAlign w:val="bottom"/>
            <w:tcBorders>
              <w:bottom w:val="single" w:sz="8" w:color="0551D3"/>
            </w:tcBorders>
          </w:tcPr>
          <w:p>
            <w:pPr>
              <w:jc w:val="right"/>
              <w:ind w:right="20"/>
              <w:spacing w:after="0" w:line="200" w:lineRule="exact"/>
              <w:rPr>
                <w:sz w:val="20"/>
                <w:szCs w:val="20"/>
                <w:color w:val="auto"/>
              </w:rPr>
            </w:pPr>
            <w:r>
              <w:rPr>
                <w:rFonts w:ascii="Arial" w:cs="Arial" w:eastAsia="Arial" w:hAnsi="Arial"/>
                <w:sz w:val="18"/>
                <w:szCs w:val="18"/>
                <w:color w:val="auto"/>
              </w:rPr>
              <w:t>2,820</w:t>
            </w:r>
          </w:p>
        </w:tc>
        <w:tc>
          <w:tcPr>
            <w:tcW w:w="220" w:type="dxa"/>
            <w:vAlign w:val="bottom"/>
            <w:tcBorders>
              <w:bottom w:val="single" w:sz="8" w:color="0551D3"/>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551D3"/>
            </w:tcBorders>
          </w:tcPr>
          <w:p>
            <w:pPr>
              <w:jc w:val="right"/>
              <w:ind w:right="19"/>
              <w:spacing w:after="0" w:line="200"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Diluted EPS for 2012, 2011 and 2010 excludes 1 million, 45 million and 168 million, respectively, of potential common shares related to our share-based compensation plans, because the inclusion of the potential common shares would have had an antidilutive effect.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4: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a wholly owned subsidiary of NBCUniversal Holdings. We contributed our national cable networks, our regional sports and news networks, certain of our Internet businesses and other related assets (the “Comcast Content Business”). In addition to contributing the Comcast Content Business, we also made a cash payment to GE of $6.2 billion, which included transaction-related costs. We have received and expect to continue to receive tax benefits related to the transaction and have agreed to share with GE certain of these future tax benefits as they are realized.</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operating agreement of NBCUniversal Holdings, during the six month period beginning on July 28, 2014, GE has the right to cause NBCUniversal Holdings to redeem, in cash, half of GE’s noncontrolling common equity interest in NBCUniversal Holdings, and we would have the immediate right to purchase the remainder of GE’s noncontrolling common equity interest. If, however, we elect not to exercise this right, during the six month period beginning January 28, 2018, GE has the right to cause NBCUniversal Holdings to redeem GE’s remaining noncontrolling common equity interest, if any. If GE does not exercise its first redemption right, we have the right, during the six month period beginning January 28, 2016, to purchase half of GE’s noncontrolling common equity interest in NBCUniversal Holdings, and during the six month period beginning January 28, 2019, we have the right to purchase GE’s remaining noncontrolling common equity interest, if any, in NBCUniversal Holdings. The purchase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price to be paid in connection with any purchase or redemption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to the extent that NBCUniversal Holdings cannot fund the redemptions, with amounts not used in the first redemption to be available for the second redemption.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Until July 28, 2014, GE may not directly or indirectly transfer its noncontrolling common equity interest in NBCUniversal Holdings. Thereafter, GE may transfer its noncontrolling common equity interest to a third party, subject to our right of first offer. The right of first offer would permit us to purchase all, but not less than all, of the noncontrolling common equity interests proposed to be transferred. If GE makes a registration request in accordance with certain registration rights that are granted to it under the agreement, we will have the right to purchase, for cash at the market value (determined pursuant to an appraisal process if NBCUniversal Holdings is not then publicly traded), all of GE’s noncontrolling common equity interest in NBCUniversal Holdings that GE is seeking to register.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 so long as GE continues to own at least 20% of NBCUniversal Holdings, GE will have veto rights with respect to certain matters, which include</w:t>
      </w:r>
    </w:p>
    <w:p>
      <w:pPr>
        <w:spacing w:after="0" w:line="19" w:lineRule="exact"/>
        <w:rPr>
          <w:sz w:val="20"/>
          <w:szCs w:val="20"/>
          <w:color w:val="auto"/>
        </w:rPr>
      </w:pPr>
    </w:p>
    <w:p>
      <w:pPr>
        <w:ind w:firstLine="8"/>
        <w:spacing w:after="0" w:line="239"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issuances or repurchases of equity, (ii) certain distributions to equity holders, (iii) certain debt incurrences and (iv) certain loans to or guarantees for other persons made outside of the ordinary course of business.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On February 12, 2013, we entered into an agreement to acquire GE’s 49% noncontrolling common equity interest in NBCUniversal Holdings. See Note 21 to our consolidated financial statements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551D3"/>
        </w:rPr>
        <w:t>Allocation of Purchase Price</w:t>
      </w:r>
    </w:p>
    <w:p>
      <w:pPr>
        <w:jc w:val="both"/>
        <w:spacing w:after="0" w:line="269" w:lineRule="auto"/>
        <w:rPr>
          <w:sz w:val="20"/>
          <w:szCs w:val="20"/>
          <w:color w:val="auto"/>
        </w:rPr>
      </w:pPr>
      <w:r>
        <w:rPr>
          <w:rFonts w:ascii="Arial" w:cs="Arial" w:eastAsia="Arial" w:hAnsi="Arial"/>
          <w:sz w:val="16"/>
          <w:szCs w:val="16"/>
          <w:color w:val="auto"/>
        </w:rPr>
        <w:t>We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primarily using Level 3 inputs (see Note 10 for an explanation of Level 3 inputs).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GE’s noncontrolling common equity interest in NBCUniversal Holdings is recorded as a redeemable noncontrolling interest in our consolidated financial statements due to the redemption provisions outlined above. GE’s redeemable noncontrolling interest has been recorded at fair value for the portion attributable to the net assets we acquired, and at our historical cost for the portion attributable to the Comcast Content Business.</w:t>
      </w:r>
    </w:p>
    <w:p>
      <w:pPr>
        <w:spacing w:after="0" w:line="13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tables below present the fair value of the consideration transferred and the allocation of purchase price to the assets and liabilities of the NBCUniversal businesses acquired as a result of the NBCUniversal transaction.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551D3"/>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85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21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6,120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Fair value of 49% of the Comcast Content Business</w:t>
            </w:r>
          </w:p>
        </w:tc>
        <w:tc>
          <w:tcPr>
            <w:tcW w:w="216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4,308</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Fair value of contingent consideration</w:t>
            </w:r>
          </w:p>
        </w:tc>
        <w:tc>
          <w:tcPr>
            <w:tcW w:w="216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590</w:t>
            </w:r>
          </w:p>
        </w:tc>
      </w:tr>
      <w:tr>
        <w:trPr>
          <w:trHeight w:val="199"/>
        </w:trPr>
        <w:tc>
          <w:tcPr>
            <w:tcW w:w="8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redeemable noncontrolling interest associated with net assets acquired</w:t>
            </w: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13,071</w:t>
            </w:r>
          </w:p>
        </w:tc>
      </w:tr>
      <w:tr>
        <w:trPr>
          <w:trHeight w:val="196"/>
        </w:trPr>
        <w:tc>
          <w:tcPr>
            <w:tcW w:w="858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color w:val="auto"/>
              </w:rPr>
              <w:t>24,089</w:t>
            </w:r>
          </w:p>
        </w:tc>
      </w:tr>
      <w:tr>
        <w:trPr>
          <w:trHeight w:val="370"/>
        </w:trPr>
        <w:tc>
          <w:tcPr>
            <w:tcW w:w="8580" w:type="dxa"/>
            <w:vAlign w:val="bottom"/>
          </w:tcPr>
          <w:p>
            <w:pPr>
              <w:spacing w:after="0"/>
              <w:rPr>
                <w:sz w:val="20"/>
                <w:szCs w:val="20"/>
                <w:color w:val="auto"/>
              </w:rPr>
            </w:pPr>
            <w:r>
              <w:rPr>
                <w:rFonts w:ascii="Arial" w:cs="Arial" w:eastAsia="Arial" w:hAnsi="Arial"/>
                <w:sz w:val="18"/>
                <w:szCs w:val="18"/>
                <w:color w:val="0551D3"/>
              </w:rPr>
              <w:t>Allocation of Purchase Price</w:t>
            </w: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
        </w:trPr>
        <w:tc>
          <w:tcPr>
            <w:tcW w:w="85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37"/>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99"/>
        </w:trPr>
        <w:tc>
          <w:tcPr>
            <w:tcW w:w="8580" w:type="dxa"/>
            <w:vAlign w:val="bottom"/>
          </w:tcPr>
          <w:p>
            <w:pPr>
              <w:spacing w:after="0" w:line="200" w:lineRule="exact"/>
              <w:rPr>
                <w:sz w:val="20"/>
                <w:szCs w:val="20"/>
                <w:color w:val="auto"/>
              </w:rPr>
            </w:pPr>
            <w:r>
              <w:rPr>
                <w:rFonts w:ascii="Arial" w:cs="Arial" w:eastAsia="Arial" w:hAnsi="Arial"/>
                <w:sz w:val="18"/>
                <w:szCs w:val="18"/>
                <w:color w:val="auto"/>
              </w:rPr>
              <w:t>Film and television costs</w:t>
            </w:r>
          </w:p>
        </w:tc>
        <w:tc>
          <w:tcPr>
            <w:tcW w:w="2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5,049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16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4,339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16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2,322</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16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14,585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(9,115)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p>
        </w:tc>
        <w:tc>
          <w:tcPr>
            <w:tcW w:w="2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r>
      <w:tr>
        <w:trPr>
          <w:trHeight w:val="199"/>
        </w:trPr>
        <w:tc>
          <w:tcPr>
            <w:tcW w:w="8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 acquired</w:t>
            </w: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(262)</w:t>
            </w:r>
          </w:p>
        </w:tc>
      </w:tr>
      <w:tr>
        <w:trPr>
          <w:trHeight w:val="199"/>
        </w:trPr>
        <w:tc>
          <w:tcPr>
            <w:tcW w:w="858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2160" w:type="dxa"/>
            <w:vAlign w:val="bottom"/>
          </w:tcPr>
          <w:p>
            <w:pPr>
              <w:spacing w:after="0"/>
              <w:rPr>
                <w:sz w:val="17"/>
                <w:szCs w:val="17"/>
                <w:color w:val="auto"/>
              </w:rPr>
            </w:pPr>
          </w:p>
        </w:tc>
        <w:tc>
          <w:tcPr>
            <w:tcW w:w="6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13,144</w:t>
            </w:r>
          </w:p>
        </w:tc>
      </w:tr>
      <w:tr>
        <w:trPr>
          <w:trHeight w:val="199"/>
        </w:trPr>
        <w:tc>
          <w:tcPr>
            <w:tcW w:w="8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10,945</w:t>
            </w:r>
          </w:p>
        </w:tc>
      </w:tr>
      <w:tr>
        <w:trPr>
          <w:trHeight w:val="196"/>
        </w:trPr>
        <w:tc>
          <w:tcPr>
            <w:tcW w:w="858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color w:val="auto"/>
              </w:rPr>
              <w:t>24,089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551D3"/>
        </w:rPr>
        <w:t>Income Taxes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responsible for the tax matters of both NBCUniversal Holdings and NBCUniversal, including the filing of returns and the administering of any proceedings with taxing authorities. See Note 15 for additional information on the partnership structure of NBCUniversal Holdings and NBCUniversal. GE has indemnified us and NBCUniversal Holdings for any income tax liability attributable to the NBCUniversal contributed businesses for periods prior to the acquisition date. We have also indemnified GE and NBCUniversal Holdings for any income tax liability attributable to the Comcast Content Business for periods prior to the acquisition date.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recognized net deferred income tax liabilities of $35 million in the allocation of purchase price, which related primarily to acquired intangible assets in state and foreign jurisdictions. In addition, Comcast recognized $576 million of deferred tax liabilities in connection with the NBCUniversal transaction. Because we maintained control of the Comcast Content Business, the excess of fair value received over historical book value and the related tax impact were recorded to additional paid-in capital.</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agreed to share with GE certain tax benefits as they are realized that relate to the form and structure of the transaction. These payments to GE are contingent on us realizing tax benefits in the future and are accounted for as contingent consideration. See Note 10 for additional information on the fair value of this contingent consideration as of December 31, 2012.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551D3"/>
        </w:rPr>
        <w:t>Goodwill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Goodwill is calculated as the excess of the consideration transferred over the identifiable net assets acquired and represents the future economic benefits expected to arise from other intangible assets acquired that do not qualify for separate recognition, including assembled workforce, noncontractual relationships, and agreements between us and NBCUniversal. Due to the partnership structure of NBCUniversal Holdings, goodwill related to the NBCUniversal transaction is not deductible for tax purposes.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551D3"/>
        </w:rPr>
        <w:t>Transaction-Related Expenses</w:t>
      </w:r>
    </w:p>
    <w:p>
      <w:pPr>
        <w:jc w:val="both"/>
        <w:spacing w:after="0" w:line="239" w:lineRule="auto"/>
        <w:rPr>
          <w:sz w:val="20"/>
          <w:szCs w:val="20"/>
          <w:color w:val="auto"/>
        </w:rPr>
      </w:pPr>
      <w:r>
        <w:rPr>
          <w:rFonts w:ascii="Arial" w:cs="Arial" w:eastAsia="Arial" w:hAnsi="Arial"/>
          <w:sz w:val="18"/>
          <w:szCs w:val="18"/>
          <w:color w:val="auto"/>
        </w:rPr>
        <w:t>We incurred the following expenses in 2011 and 2010 that resulted either directly from the NBCUniversal transaction or from shared costs associated with NBCUniversal’s debt issuances prior to the close of the NBCUniversal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9"/>
        </w:trPr>
        <w:tc>
          <w:tcPr>
            <w:tcW w:w="6780" w:type="dxa"/>
            <w:vAlign w:val="bottom"/>
          </w:tcPr>
          <w:p>
            <w:pPr>
              <w:spacing w:after="0" w:line="200" w:lineRule="exact"/>
              <w:rPr>
                <w:sz w:val="20"/>
                <w:szCs w:val="20"/>
                <w:color w:val="auto"/>
              </w:rPr>
            </w:pPr>
            <w:r>
              <w:rPr>
                <w:rFonts w:ascii="Arial" w:cs="Arial" w:eastAsia="Arial" w:hAnsi="Arial"/>
                <w:sz w:val="18"/>
                <w:szCs w:val="18"/>
                <w:color w:val="auto"/>
              </w:rPr>
              <w:t>Other operating and administrative expenses</w:t>
            </w:r>
          </w:p>
        </w:tc>
        <w:tc>
          <w:tcPr>
            <w:tcW w:w="3920" w:type="dxa"/>
            <w:vAlign w:val="bottom"/>
          </w:tcPr>
          <w:p>
            <w:pPr>
              <w:jc w:val="right"/>
              <w:ind w:right="96"/>
              <w:spacing w:after="0" w:line="200" w:lineRule="exact"/>
              <w:rPr>
                <w:sz w:val="20"/>
                <w:szCs w:val="20"/>
                <w:color w:val="auto"/>
              </w:rPr>
            </w:pPr>
            <w:r>
              <w:rPr>
                <w:rFonts w:ascii="Arial" w:cs="Arial" w:eastAsia="Arial" w:hAnsi="Arial"/>
                <w:sz w:val="18"/>
                <w:szCs w:val="18"/>
                <w:color w:val="auto"/>
              </w:rPr>
              <w:t>$ 155</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80</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39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129</w:t>
            </w:r>
          </w:p>
        </w:tc>
      </w:tr>
      <w:tr>
        <w:trPr>
          <w:trHeight w:val="199"/>
        </w:trPr>
        <w:tc>
          <w:tcPr>
            <w:tcW w:w="67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expense</w:t>
            </w:r>
          </w:p>
        </w:tc>
        <w:tc>
          <w:tcPr>
            <w:tcW w:w="392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7</w:t>
            </w:r>
          </w:p>
        </w:tc>
      </w:tr>
      <w:tr>
        <w:trPr>
          <w:trHeight w:val="196"/>
        </w:trPr>
        <w:tc>
          <w:tcPr>
            <w:tcW w:w="678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3920" w:type="dxa"/>
            <w:vAlign w:val="bottom"/>
            <w:tcBorders>
              <w:bottom w:val="single" w:sz="8" w:color="0551D3"/>
            </w:tcBorders>
          </w:tcPr>
          <w:p>
            <w:pPr>
              <w:jc w:val="right"/>
              <w:ind w:right="96"/>
              <w:spacing w:after="0" w:line="196" w:lineRule="exact"/>
              <w:rPr>
                <w:sz w:val="20"/>
                <w:szCs w:val="20"/>
                <w:color w:val="auto"/>
              </w:rPr>
            </w:pPr>
            <w:r>
              <w:rPr>
                <w:rFonts w:ascii="Arial" w:cs="Arial" w:eastAsia="Arial" w:hAnsi="Arial"/>
                <w:sz w:val="18"/>
                <w:szCs w:val="18"/>
                <w:color w:val="auto"/>
              </w:rPr>
              <w:t>$ 171</w:t>
            </w:r>
          </w:p>
        </w:tc>
        <w:tc>
          <w:tcPr>
            <w:tcW w:w="2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551D3"/>
            </w:tcBorders>
          </w:tcPr>
          <w:p>
            <w:pPr>
              <w:jc w:val="right"/>
              <w:ind w:right="16"/>
              <w:spacing w:after="0" w:line="196" w:lineRule="exact"/>
              <w:rPr>
                <w:sz w:val="20"/>
                <w:szCs w:val="20"/>
                <w:color w:val="auto"/>
              </w:rPr>
            </w:pPr>
            <w:r>
              <w:rPr>
                <w:rFonts w:ascii="Arial" w:cs="Arial" w:eastAsia="Arial" w:hAnsi="Arial"/>
                <w:sz w:val="18"/>
                <w:szCs w:val="18"/>
                <w:color w:val="auto"/>
              </w:rPr>
              <w:t>216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Orlando Transaction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 2011, NBCUniversal acquired the remaining 50% equity interest in Universal Orlando that it did not already own for $1 billion. Following the close of the transaction, Universal Orlando is a wholly owned consolidated subsidiary of NBCUniversal, and its operations are reported in our Theme Parks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Allocation of Purchase Price</w:t>
      </w:r>
    </w:p>
    <w:p>
      <w:pPr>
        <w:jc w:val="both"/>
        <w:spacing w:after="0" w:line="239" w:lineRule="auto"/>
        <w:rPr>
          <w:sz w:val="20"/>
          <w:szCs w:val="20"/>
          <w:color w:val="auto"/>
        </w:rPr>
      </w:pPr>
      <w:r>
        <w:rPr>
          <w:rFonts w:ascii="Arial" w:cs="Arial" w:eastAsia="Arial" w:hAnsi="Arial"/>
          <w:sz w:val="18"/>
          <w:szCs w:val="18"/>
          <w:color w:val="auto"/>
        </w:rPr>
        <w:t>We applied acquisition accounting to the businesses of Universal Orlando, and its results of operations are included in our consolidated results of operations following the acquisition date.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carrying value of our investment in Universal Orlando on July 1, 2011 was $1 billion, which approximated its fair value and, therefore, no gain or loss was recognized as a result of the acquisition.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presents the fair value of the consideration transferred and the allocation of purchase price to the assets and liabilities of Universal Orlando.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551D3"/>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354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$ 1,019</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50% equity method investment in Universal Orlando</w:t>
            </w:r>
          </w:p>
        </w:tc>
        <w:tc>
          <w:tcPr>
            <w:tcW w:w="35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1,039</w:t>
            </w:r>
          </w:p>
        </w:tc>
      </w:tr>
      <w:tr>
        <w:trPr>
          <w:trHeight w:val="196"/>
        </w:trPr>
        <w:tc>
          <w:tcPr>
            <w:tcW w:w="788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color w:val="auto"/>
              </w:rPr>
              <w:t>$ 2,058</w:t>
            </w:r>
          </w:p>
        </w:tc>
      </w:tr>
      <w:tr>
        <w:trPr>
          <w:trHeight w:val="370"/>
        </w:trPr>
        <w:tc>
          <w:tcPr>
            <w:tcW w:w="7880" w:type="dxa"/>
            <w:vAlign w:val="bottom"/>
          </w:tcPr>
          <w:p>
            <w:pPr>
              <w:spacing w:after="0"/>
              <w:rPr>
                <w:sz w:val="20"/>
                <w:szCs w:val="20"/>
                <w:color w:val="auto"/>
              </w:rPr>
            </w:pPr>
            <w:r>
              <w:rPr>
                <w:rFonts w:ascii="Arial" w:cs="Arial" w:eastAsia="Arial" w:hAnsi="Arial"/>
                <w:sz w:val="18"/>
                <w:szCs w:val="18"/>
                <w:color w:val="0551D3"/>
              </w:rPr>
              <w:t>Allocation of Purchase Price</w:t>
            </w:r>
          </w:p>
        </w:tc>
        <w:tc>
          <w:tcPr>
            <w:tcW w:w="3540" w:type="dxa"/>
            <w:vAlign w:val="bottom"/>
          </w:tcPr>
          <w:p>
            <w:pPr>
              <w:spacing w:after="0"/>
              <w:rPr>
                <w:sz w:val="24"/>
                <w:szCs w:val="24"/>
                <w:color w:val="auto"/>
              </w:rPr>
            </w:pPr>
          </w:p>
        </w:tc>
      </w:tr>
      <w:tr>
        <w:trPr>
          <w:trHeight w:val="43"/>
        </w:trPr>
        <w:tc>
          <w:tcPr>
            <w:tcW w:w="788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237"/>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540" w:type="dxa"/>
            <w:vAlign w:val="bottom"/>
            <w:tcBorders>
              <w:bottom w:val="single" w:sz="8" w:color="auto"/>
            </w:tcBorders>
          </w:tcPr>
          <w:p>
            <w:pPr>
              <w:spacing w:after="0"/>
              <w:rPr>
                <w:sz w:val="20"/>
                <w:szCs w:val="20"/>
                <w:color w:val="auto"/>
              </w:rPr>
            </w:pP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Property and equipment</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$ 2,422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591</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241</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 acquired</w:t>
            </w:r>
          </w:p>
        </w:tc>
        <w:tc>
          <w:tcPr>
            <w:tcW w:w="3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1,076</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35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982</w:t>
            </w:r>
          </w:p>
        </w:tc>
      </w:tr>
      <w:tr>
        <w:trPr>
          <w:trHeight w:val="196"/>
        </w:trPr>
        <w:tc>
          <w:tcPr>
            <w:tcW w:w="788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color w:val="auto"/>
              </w:rPr>
              <w:t>$ 2,058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Due to the partnership structure of NBCUniversal Holdings, goodwill related to the Universal Orlando transaction is not deductible for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551D3"/>
        </w:rPr>
        <w:t>Unaudited Actual and Pro Forma Information</w:t>
      </w:r>
    </w:p>
    <w:p>
      <w:pPr>
        <w:jc w:val="both"/>
        <w:spacing w:after="0" w:line="239" w:lineRule="auto"/>
        <w:rPr>
          <w:sz w:val="20"/>
          <w:szCs w:val="20"/>
          <w:color w:val="auto"/>
        </w:rPr>
      </w:pPr>
      <w:r>
        <w:rPr>
          <w:rFonts w:ascii="Arial" w:cs="Arial" w:eastAsia="Arial" w:hAnsi="Arial"/>
          <w:sz w:val="18"/>
          <w:szCs w:val="18"/>
          <w:color w:val="auto"/>
        </w:rPr>
        <w:t>Our consolidated revenue and net income (loss) attributable to Comcast Corporation for the year ended December 31, 2011 included $14.5 billion and $493 million, respectively, from the NBCUniversal contributed businesses.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revenue and net income (loss) attributable to Comcast Corporation for the year ended December 31, 2011 included $712 million and $42 million, respectively, from the acquisition of the remaining 50% equity interest in Universal Orlando.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both the NBCUniversal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amounts)</w:t>
            </w:r>
          </w:p>
        </w:tc>
        <w:tc>
          <w:tcPr>
            <w:tcW w:w="1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814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360" w:type="dxa"/>
            <w:vAlign w:val="bottom"/>
            <w:gridSpan w:val="2"/>
          </w:tcPr>
          <w:p>
            <w:pPr>
              <w:jc w:val="right"/>
              <w:ind w:right="115"/>
              <w:spacing w:after="0" w:line="200" w:lineRule="exact"/>
              <w:rPr>
                <w:sz w:val="20"/>
                <w:szCs w:val="20"/>
                <w:color w:val="auto"/>
              </w:rPr>
            </w:pPr>
            <w:r>
              <w:rPr>
                <w:rFonts w:ascii="Arial" w:cs="Arial" w:eastAsia="Arial" w:hAnsi="Arial"/>
                <w:sz w:val="18"/>
                <w:szCs w:val="18"/>
                <w:color w:val="auto"/>
              </w:rPr>
              <w:t>$ 57,661</w:t>
            </w:r>
          </w:p>
        </w:tc>
        <w:tc>
          <w:tcPr>
            <w:tcW w:w="920" w:type="dxa"/>
            <w:vAlign w:val="bottom"/>
            <w:gridSpan w:val="2"/>
          </w:tcPr>
          <w:p>
            <w:pPr>
              <w:jc w:val="right"/>
              <w:ind w:right="15"/>
              <w:spacing w:after="0" w:line="200" w:lineRule="exact"/>
              <w:rPr>
                <w:sz w:val="20"/>
                <w:szCs w:val="20"/>
                <w:color w:val="auto"/>
              </w:rPr>
            </w:pPr>
            <w:r>
              <w:rPr>
                <w:rFonts w:ascii="Arial" w:cs="Arial" w:eastAsia="Arial" w:hAnsi="Arial"/>
                <w:sz w:val="18"/>
                <w:szCs w:val="18"/>
                <w:color w:val="auto"/>
              </w:rPr>
              <w:t>$ 55,054</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5,169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4,149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1.51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9"/>
        </w:trPr>
        <w:tc>
          <w:tcPr>
            <w:tcW w:w="8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1.49</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532"/>
        </w:trPr>
        <w:tc>
          <w:tcPr>
            <w:tcW w:w="8140" w:type="dxa"/>
            <w:vAlign w:val="bottom"/>
          </w:tcPr>
          <w:p>
            <w:pPr>
              <w:spacing w:after="0"/>
              <w:rPr>
                <w:sz w:val="20"/>
                <w:szCs w:val="20"/>
                <w:color w:val="auto"/>
              </w:rPr>
            </w:pPr>
            <w:r>
              <w:rPr>
                <w:rFonts w:ascii="Arial" w:cs="Arial" w:eastAsia="Arial" w:hAnsi="Arial"/>
                <w:sz w:val="18"/>
                <w:szCs w:val="18"/>
                <w:b w:val="1"/>
                <w:bCs w:val="1"/>
                <w:color w:val="0551D3"/>
              </w:rPr>
              <w:t>Note 5: Film and Television Costs</w:t>
            </w: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140" w:type="dxa"/>
            <w:vAlign w:val="bottom"/>
            <w:tcBorders>
              <w:bottom w:val="single" w:sz="8" w:color="0551D3"/>
            </w:tcBorders>
          </w:tcPr>
          <w:p>
            <w:pPr>
              <w:spacing w:after="0"/>
              <w:rPr>
                <w:sz w:val="3"/>
                <w:szCs w:val="3"/>
                <w:color w:val="auto"/>
              </w:rPr>
            </w:pPr>
          </w:p>
        </w:tc>
        <w:tc>
          <w:tcPr>
            <w:tcW w:w="1600" w:type="dxa"/>
            <w:vAlign w:val="bottom"/>
            <w:tcBorders>
              <w:bottom w:val="single" w:sz="8" w:color="0551D3"/>
            </w:tcBorders>
          </w:tcPr>
          <w:p>
            <w:pPr>
              <w:spacing w:after="0"/>
              <w:rPr>
                <w:sz w:val="3"/>
                <w:szCs w:val="3"/>
                <w:color w:val="auto"/>
              </w:rPr>
            </w:pPr>
          </w:p>
        </w:tc>
        <w:tc>
          <w:tcPr>
            <w:tcW w:w="760" w:type="dxa"/>
            <w:vAlign w:val="bottom"/>
            <w:tcBorders>
              <w:bottom w:val="single" w:sz="8" w:color="0551D3"/>
            </w:tcBorders>
          </w:tcPr>
          <w:p>
            <w:pPr>
              <w:spacing w:after="0"/>
              <w:rPr>
                <w:sz w:val="3"/>
                <w:szCs w:val="3"/>
                <w:color w:val="auto"/>
              </w:rPr>
            </w:pPr>
          </w:p>
        </w:tc>
        <w:tc>
          <w:tcPr>
            <w:tcW w:w="280" w:type="dxa"/>
            <w:vAlign w:val="bottom"/>
            <w:tcBorders>
              <w:bottom w:val="single" w:sz="8" w:color="0551D3"/>
            </w:tcBorders>
          </w:tcPr>
          <w:p>
            <w:pPr>
              <w:spacing w:after="0"/>
              <w:rPr>
                <w:sz w:val="3"/>
                <w:szCs w:val="3"/>
                <w:color w:val="auto"/>
              </w:rPr>
            </w:pPr>
          </w:p>
        </w:tc>
        <w:tc>
          <w:tcPr>
            <w:tcW w:w="640" w:type="dxa"/>
            <w:vAlign w:val="bottom"/>
            <w:tcBorders>
              <w:bottom w:val="single" w:sz="8" w:color="0551D3"/>
            </w:tcBorders>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14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1600" w:type="dxa"/>
            <w:vAlign w:val="bottom"/>
          </w:tcPr>
          <w:p>
            <w:pPr>
              <w:spacing w:after="0"/>
              <w:rPr>
                <w:sz w:val="17"/>
                <w:szCs w:val="17"/>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$ 1,472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1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gridSpan w:val="2"/>
          </w:tcPr>
          <w:p>
            <w:pPr>
              <w:jc w:val="right"/>
              <w:ind w:right="15"/>
              <w:spacing w:after="0" w:line="181" w:lineRule="exact"/>
              <w:rPr>
                <w:sz w:val="20"/>
                <w:szCs w:val="20"/>
                <w:color w:val="auto"/>
              </w:rPr>
            </w:pPr>
            <w:r>
              <w:rPr>
                <w:rFonts w:ascii="Arial" w:cs="Arial" w:eastAsia="Arial" w:hAnsi="Arial"/>
                <w:sz w:val="18"/>
                <w:szCs w:val="18"/>
                <w:color w:val="auto"/>
              </w:rPr>
              <w:t>$ 1,428</w:t>
            </w:r>
          </w:p>
        </w:tc>
        <w:tc>
          <w:tcPr>
            <w:tcW w:w="0" w:type="dxa"/>
            <w:vAlign w:val="bottom"/>
          </w:tcPr>
          <w:p>
            <w:pPr>
              <w:spacing w:after="0"/>
              <w:rPr>
                <w:sz w:val="1"/>
                <w:szCs w:val="1"/>
                <w:color w:val="auto"/>
              </w:rPr>
            </w:pPr>
          </w:p>
        </w:tc>
      </w:tr>
      <w:tr>
        <w:trPr>
          <w:trHeight w:val="203"/>
        </w:trPr>
        <w:tc>
          <w:tcPr>
            <w:tcW w:w="814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160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1,048</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6"/>
        </w:trPr>
        <w:tc>
          <w:tcPr>
            <w:tcW w:w="814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16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b w:val="1"/>
                <w:bCs w:val="1"/>
                <w:color w:val="auto"/>
              </w:rPr>
              <w:t>2,619</w:t>
            </w:r>
          </w:p>
        </w:tc>
        <w:tc>
          <w:tcPr>
            <w:tcW w:w="28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1,124</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1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334</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77"/>
        </w:trPr>
        <w:tc>
          <w:tcPr>
            <w:tcW w:w="8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1,458</w:t>
            </w:r>
          </w:p>
        </w:tc>
        <w:tc>
          <w:tcPr>
            <w:tcW w:w="280" w:type="dxa"/>
            <w:vAlign w:val="bottom"/>
          </w:tcPr>
          <w:p>
            <w:pPr>
              <w:spacing w:after="0"/>
              <w:rPr>
                <w:sz w:val="15"/>
                <w:szCs w:val="15"/>
                <w:color w:val="auto"/>
              </w:rPr>
            </w:pPr>
          </w:p>
        </w:tc>
        <w:tc>
          <w:tcPr>
            <w:tcW w:w="6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1,886</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177"/>
        </w:trPr>
        <w:tc>
          <w:tcPr>
            <w:tcW w:w="8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5,963</w:t>
            </w:r>
          </w:p>
        </w:tc>
        <w:tc>
          <w:tcPr>
            <w:tcW w:w="280" w:type="dxa"/>
            <w:vAlign w:val="bottom"/>
          </w:tcPr>
          <w:p>
            <w:pPr>
              <w:spacing w:after="0"/>
              <w:rPr>
                <w:sz w:val="15"/>
                <w:szCs w:val="15"/>
                <w:color w:val="auto"/>
              </w:rPr>
            </w:pPr>
          </w:p>
        </w:tc>
        <w:tc>
          <w:tcPr>
            <w:tcW w:w="6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909</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Film and television costs</w:t>
            </w:r>
          </w:p>
        </w:tc>
        <w:tc>
          <w:tcPr>
            <w:tcW w:w="1600" w:type="dxa"/>
            <w:vAlign w:val="bottom"/>
            <w:tcBorders>
              <w:bottom w:val="single" w:sz="8" w:color="0551D3"/>
            </w:tcBorders>
          </w:tcPr>
          <w:p>
            <w:pPr>
              <w:spacing w:after="0"/>
              <w:rPr>
                <w:sz w:val="17"/>
                <w:szCs w:val="17"/>
                <w:color w:val="auto"/>
              </w:rPr>
            </w:pPr>
          </w:p>
        </w:tc>
        <w:tc>
          <w:tcPr>
            <w:tcW w:w="76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$ 5,054</w:t>
            </w:r>
          </w:p>
        </w:tc>
        <w:tc>
          <w:tcPr>
            <w:tcW w:w="920" w:type="dxa"/>
            <w:vAlign w:val="bottom"/>
            <w:tcBorders>
              <w:bottom w:val="single" w:sz="8" w:color="0551D3"/>
            </w:tcBorders>
            <w:gridSpan w:val="2"/>
          </w:tcPr>
          <w:p>
            <w:pPr>
              <w:jc w:val="right"/>
              <w:ind w:right="15"/>
              <w:spacing w:after="0" w:line="196" w:lineRule="exact"/>
              <w:rPr>
                <w:sz w:val="20"/>
                <w:szCs w:val="20"/>
                <w:color w:val="auto"/>
              </w:rPr>
            </w:pPr>
            <w:r>
              <w:rPr>
                <w:rFonts w:ascii="Arial" w:cs="Arial" w:eastAsia="Arial" w:hAnsi="Arial"/>
                <w:sz w:val="18"/>
                <w:szCs w:val="18"/>
                <w:color w:val="auto"/>
              </w:rPr>
              <w:t>$ 5,227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our estimates of the ratio of the current period’s actual revenue to the estimated total remaining gross revenue from all sources (“ultimate revenue”), as of December 31, 2012, approximately $1.1 billion of film and television costs associated with our original film and television productions that have been released, or completed and not yet released, are expected to be amortized during 2013. Approximately 87% of unamortized film and television costs for our released productions, excluding amounts allocated to acquired libraries, are expected to be amortized through 2015.</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acquired film and television libraries, which are included within the “released, less amortization” captions in the table above, had remaining unamortized costs of $867 million. These costs are generally amortized over a period not to exceed 20 years, and approximately 47% of these costs are expected to be amortized through 2015.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film forecast computation method, which amortizes such costs in the same ratio as the associated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arrangements with third parties to jointly finance and distribute certain of our film productions. These arrangements, which are referred to as cofinancing arrangements, can take various forms. In most cases, the arrangement involves the grant of an economic interest in a film to a third-party investor. The number of investors and the terms of these arrangements can also vary, although in most cases an investor assumes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period’s actual revenue to the estimated total remaining revenue or over the contract term.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 cash flows are insufficient or if there is no plan to broadcast certain programming, we recognize an impairment charge to programming and production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6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390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6640" w:type="dxa"/>
            <w:vAlign w:val="bottom"/>
          </w:tcPr>
          <w:p>
            <w:pPr>
              <w:jc w:val="right"/>
              <w:ind w:right="55"/>
              <w:spacing w:after="0" w:line="200" w:lineRule="exact"/>
              <w:rPr>
                <w:sz w:val="20"/>
                <w:szCs w:val="20"/>
                <w:color w:val="auto"/>
              </w:rPr>
            </w:pPr>
            <w:r>
              <w:rPr>
                <w:rFonts w:ascii="Arial" w:cs="Arial" w:eastAsia="Arial" w:hAnsi="Arial"/>
                <w:sz w:val="18"/>
                <w:szCs w:val="18"/>
                <w:b w:val="1"/>
                <w:bCs w:val="1"/>
                <w:color w:val="auto"/>
              </w:rPr>
              <w:t>$ 4,493</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$ 3,028</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66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20"/>
              <w:spacing w:after="0" w:line="181" w:lineRule="exact"/>
              <w:rPr>
                <w:sz w:val="20"/>
                <w:szCs w:val="20"/>
                <w:color w:val="auto"/>
              </w:rPr>
            </w:pPr>
            <w:r>
              <w:rPr>
                <w:rFonts w:ascii="Arial" w:cs="Arial" w:eastAsia="Arial" w:hAnsi="Arial"/>
                <w:sz w:val="18"/>
                <w:szCs w:val="18"/>
                <w:color w:val="auto"/>
              </w:rPr>
              <w:t>A&amp;E Television Networks</w:t>
            </w:r>
          </w:p>
        </w:tc>
        <w:tc>
          <w:tcPr>
            <w:tcW w:w="66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rPr>
              <w:t>SpectrumCo</w:t>
            </w:r>
          </w:p>
        </w:tc>
        <w:tc>
          <w:tcPr>
            <w:tcW w:w="66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rPr>
              <w:t>The Weather Channel</w:t>
            </w:r>
          </w:p>
        </w:tc>
        <w:tc>
          <w:tcPr>
            <w:tcW w:w="66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471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rPr>
              <w:t>MSNBC.com</w:t>
            </w:r>
          </w:p>
        </w:tc>
        <w:tc>
          <w:tcPr>
            <w:tcW w:w="66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rPr>
              <w:t>Clearwire LLC</w:t>
            </w:r>
          </w:p>
        </w:tc>
        <w:tc>
          <w:tcPr>
            <w:tcW w:w="66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66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683</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6"/>
        </w:trPr>
        <w:tc>
          <w:tcPr>
            <w:tcW w:w="390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6640" w:type="dxa"/>
            <w:vAlign w:val="bottom"/>
          </w:tcPr>
          <w:p>
            <w:pPr>
              <w:jc w:val="right"/>
              <w:ind w:right="55"/>
              <w:spacing w:after="0"/>
              <w:rPr>
                <w:sz w:val="20"/>
                <w:szCs w:val="20"/>
                <w:color w:val="auto"/>
              </w:rPr>
            </w:pPr>
            <w:r>
              <w:rPr>
                <w:rFonts w:ascii="Arial" w:cs="Arial" w:eastAsia="Arial" w:hAnsi="Arial"/>
                <w:sz w:val="18"/>
                <w:szCs w:val="18"/>
                <w:b w:val="1"/>
                <w:bCs w:val="1"/>
                <w:color w:val="auto"/>
              </w:rPr>
              <w:t>1,164</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175"/>
        </w:trPr>
        <w:tc>
          <w:tcPr>
            <w:tcW w:w="3900" w:type="dxa"/>
            <w:vAlign w:val="bottom"/>
            <w:vMerge w:val="continue"/>
          </w:tcPr>
          <w:p>
            <w:pPr>
              <w:spacing w:after="0"/>
              <w:rPr>
                <w:sz w:val="15"/>
                <w:szCs w:val="15"/>
                <w:color w:val="auto"/>
              </w:rPr>
            </w:pPr>
          </w:p>
        </w:tc>
        <w:tc>
          <w:tcPr>
            <w:tcW w:w="66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1,538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66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66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594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66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2,132</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Total investments</w:t>
            </w:r>
          </w:p>
        </w:tc>
        <w:tc>
          <w:tcPr>
            <w:tcW w:w="66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7,789</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66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1,464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6640" w:type="dxa"/>
            <w:vAlign w:val="bottom"/>
            <w:tcBorders>
              <w:bottom w:val="single" w:sz="8" w:color="0551D3"/>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$ 6,325</w:t>
            </w:r>
          </w:p>
        </w:tc>
        <w:tc>
          <w:tcPr>
            <w:tcW w:w="8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$ 9,854</w:t>
            </w:r>
          </w:p>
        </w:tc>
        <w:tc>
          <w:tcPr>
            <w:tcW w:w="0" w:type="dxa"/>
            <w:vAlign w:val="bottom"/>
          </w:tcPr>
          <w:p>
            <w:pPr>
              <w:spacing w:after="0"/>
              <w:rPr>
                <w:sz w:val="1"/>
                <w:szCs w:val="1"/>
                <w:color w:val="auto"/>
              </w:rPr>
            </w:pPr>
          </w:p>
        </w:tc>
      </w:tr>
      <w:tr>
        <w:trPr>
          <w:trHeight w:val="304"/>
        </w:trPr>
        <w:tc>
          <w:tcPr>
            <w:tcW w:w="3900" w:type="dxa"/>
            <w:vAlign w:val="bottom"/>
          </w:tcPr>
          <w:p>
            <w:pPr>
              <w:spacing w:after="0"/>
              <w:rPr>
                <w:sz w:val="24"/>
                <w:szCs w:val="24"/>
                <w:color w:val="auto"/>
              </w:rPr>
            </w:pPr>
          </w:p>
        </w:tc>
        <w:tc>
          <w:tcPr>
            <w:tcW w:w="6640" w:type="dxa"/>
            <w:vAlign w:val="bottom"/>
          </w:tcPr>
          <w:p>
            <w:pPr>
              <w:jc w:val="right"/>
              <w:ind w:right="4675"/>
              <w:spacing w:after="0"/>
              <w:rPr>
                <w:sz w:val="20"/>
                <w:szCs w:val="20"/>
                <w:color w:val="auto"/>
              </w:rPr>
            </w:pPr>
            <w:r>
              <w:rPr>
                <w:rFonts w:ascii="Arial" w:cs="Arial" w:eastAsia="Arial" w:hAnsi="Arial"/>
                <w:sz w:val="14"/>
                <w:szCs w:val="14"/>
                <w:b w:val="1"/>
                <w:bCs w:val="1"/>
                <w:color w:val="auto"/>
              </w:rPr>
              <w:t>19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551D3"/>
        </w:rPr>
        <w:t>Investment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884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55"/>
              <w:spacing w:after="0" w:line="177" w:lineRule="exact"/>
              <w:rPr>
                <w:sz w:val="20"/>
                <w:szCs w:val="20"/>
                <w:color w:val="auto"/>
              </w:rPr>
            </w:pPr>
            <w:r>
              <w:rPr>
                <w:rFonts w:ascii="Arial" w:cs="Arial" w:eastAsia="Arial" w:hAnsi="Arial"/>
                <w:sz w:val="18"/>
                <w:szCs w:val="18"/>
                <w:color w:val="auto"/>
              </w:rPr>
              <w:t>41</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6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840" w:type="dxa"/>
            <w:vAlign w:val="bottom"/>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600" w:type="dxa"/>
            <w:vAlign w:val="bottom"/>
          </w:tcPr>
          <w:p>
            <w:pPr>
              <w:spacing w:after="0"/>
              <w:rPr>
                <w:sz w:val="19"/>
                <w:szCs w:val="19"/>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b w:val="1"/>
                <w:bCs w:val="1"/>
                <w:color w:val="auto"/>
              </w:rPr>
              <w:t>1,159</w:t>
            </w:r>
          </w:p>
        </w:tc>
        <w:tc>
          <w:tcPr>
            <w:tcW w:w="18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 derivative component of prepaid forward sale agreements and indexed debt</w:t>
            </w:r>
          </w:p>
        </w:tc>
        <w:tc>
          <w:tcPr>
            <w:tcW w:w="6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(1,071)</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40" w:type="dxa"/>
            <w:vAlign w:val="bottom"/>
          </w:tcPr>
          <w:p>
            <w:pPr>
              <w:ind w:left="220"/>
              <w:spacing w:after="0" w:line="181" w:lineRule="exact"/>
              <w:rPr>
                <w:sz w:val="20"/>
                <w:szCs w:val="20"/>
                <w:color w:val="auto"/>
              </w:rPr>
            </w:pPr>
            <w:r>
              <w:rPr>
                <w:rFonts w:ascii="Arial" w:cs="Arial" w:eastAsia="Arial" w:hAnsi="Arial"/>
                <w:sz w:val="18"/>
                <w:szCs w:val="18"/>
                <w:color w:val="auto"/>
              </w:rPr>
              <w:t>instruments</w:t>
            </w:r>
          </w:p>
        </w:tc>
        <w:tc>
          <w:tcPr>
            <w:tcW w:w="6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8"/>
                <w:szCs w:val="18"/>
                <w:color w:val="auto"/>
                <w:w w:val="95"/>
              </w:rPr>
              <w:t>(119)</w:t>
            </w:r>
          </w:p>
        </w:tc>
        <w:tc>
          <w:tcPr>
            <w:tcW w:w="18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w w:val="99"/>
              </w:rPr>
              <w:t>(665)</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600" w:type="dxa"/>
            <w:vAlign w:val="bottom"/>
          </w:tcPr>
          <w:p>
            <w:pPr>
              <w:spacing w:after="0"/>
              <w:rPr>
                <w:sz w:val="17"/>
                <w:szCs w:val="17"/>
                <w:color w:val="auto"/>
              </w:rPr>
            </w:pP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17"/>
                <w:szCs w:val="17"/>
                <w:color w:val="auto"/>
              </w:rPr>
            </w:pPr>
          </w:p>
        </w:tc>
        <w:tc>
          <w:tcPr>
            <w:tcW w:w="5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4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1"/>
        </w:trPr>
        <w:tc>
          <w:tcPr>
            <w:tcW w:w="8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6</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6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551D3"/>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219</w:t>
            </w:r>
          </w:p>
        </w:tc>
        <w:tc>
          <w:tcPr>
            <w:tcW w:w="1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0551D3"/>
            </w:tcBorders>
          </w:tcPr>
          <w:p>
            <w:pPr>
              <w:jc w:val="right"/>
              <w:ind w:right="55"/>
              <w:spacing w:after="0" w:line="196" w:lineRule="exact"/>
              <w:rPr>
                <w:sz w:val="20"/>
                <w:szCs w:val="20"/>
                <w:color w:val="auto"/>
              </w:rPr>
            </w:pPr>
            <w:r>
              <w:rPr>
                <w:rFonts w:ascii="Arial" w:cs="Arial" w:eastAsia="Arial" w:hAnsi="Arial"/>
                <w:sz w:val="18"/>
                <w:szCs w:val="18"/>
                <w:color w:val="auto"/>
              </w:rPr>
              <w:t>159</w:t>
            </w:r>
          </w:p>
        </w:tc>
        <w:tc>
          <w:tcPr>
            <w:tcW w:w="1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 Investments in privately held companies are generally stated at cost.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substantially all of our total fair value method investments were equity securities which were held as collateral related to our obligations under prepaid forward sale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551D3"/>
        </w:rPr>
        <w:t>Prepaid Forward Sale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726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328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$ 4,143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Fair value equity securities held</w:t>
            </w:r>
          </w:p>
        </w:tc>
        <w:tc>
          <w:tcPr>
            <w:tcW w:w="32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$ 2,984</w:t>
            </w:r>
          </w:p>
        </w:tc>
        <w:tc>
          <w:tcPr>
            <w:tcW w:w="0" w:type="dxa"/>
            <w:vAlign w:val="bottom"/>
          </w:tcPr>
          <w:p>
            <w:pPr>
              <w:spacing w:after="0"/>
              <w:rPr>
                <w:sz w:val="1"/>
                <w:szCs w:val="1"/>
                <w:color w:val="auto"/>
              </w:rPr>
            </w:pPr>
          </w:p>
        </w:tc>
      </w:tr>
      <w:tr>
        <w:trPr>
          <w:trHeight w:val="199"/>
        </w:trPr>
        <w:tc>
          <w:tcPr>
            <w:tcW w:w="7260" w:type="dxa"/>
            <w:vAlign w:val="bottom"/>
          </w:tcPr>
          <w:p>
            <w:pPr>
              <w:spacing w:after="0" w:line="200" w:lineRule="exact"/>
              <w:rPr>
                <w:sz w:val="20"/>
                <w:szCs w:val="20"/>
                <w:color w:val="auto"/>
              </w:rPr>
            </w:pPr>
            <w:r>
              <w:rPr>
                <w:rFonts w:ascii="Arial" w:cs="Arial" w:eastAsia="Arial" w:hAnsi="Arial"/>
                <w:sz w:val="18"/>
                <w:szCs w:val="18"/>
                <w:color w:val="auto"/>
              </w:rPr>
              <w:t>Liabilities:</w:t>
            </w:r>
          </w:p>
        </w:tc>
        <w:tc>
          <w:tcPr>
            <w:tcW w:w="328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$ 1,248</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60" w:type="dxa"/>
            <w:vAlign w:val="bottom"/>
          </w:tcPr>
          <w:p>
            <w:pPr>
              <w:ind w:left="220"/>
              <w:spacing w:after="0" w:line="181" w:lineRule="exact"/>
              <w:rPr>
                <w:sz w:val="20"/>
                <w:szCs w:val="20"/>
                <w:color w:val="auto"/>
              </w:rPr>
            </w:pPr>
            <w:r>
              <w:rPr>
                <w:rFonts w:ascii="Arial" w:cs="Arial" w:eastAsia="Arial" w:hAnsi="Arial"/>
                <w:sz w:val="18"/>
                <w:szCs w:val="18"/>
                <w:color w:val="auto"/>
              </w:rPr>
              <w:t>Obligations under prepaid forward sale agreements</w:t>
            </w:r>
          </w:p>
        </w:tc>
        <w:tc>
          <w:tcPr>
            <w:tcW w:w="3280" w:type="dxa"/>
            <w:vAlign w:val="bottom"/>
            <w:vMerge w:val="continue"/>
          </w:tcPr>
          <w:p>
            <w:pPr>
              <w:spacing w:after="0"/>
              <w:rPr>
                <w:sz w:val="15"/>
                <w:szCs w:val="15"/>
                <w:color w:val="auto"/>
              </w:rPr>
            </w:pPr>
          </w:p>
        </w:tc>
        <w:tc>
          <w:tcPr>
            <w:tcW w:w="8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$ 1,177</w:t>
            </w:r>
          </w:p>
        </w:tc>
        <w:tc>
          <w:tcPr>
            <w:tcW w:w="0" w:type="dxa"/>
            <w:vAlign w:val="bottom"/>
          </w:tcPr>
          <w:p>
            <w:pPr>
              <w:spacing w:after="0"/>
              <w:rPr>
                <w:sz w:val="1"/>
                <w:szCs w:val="1"/>
                <w:color w:val="auto"/>
              </w:rPr>
            </w:pPr>
          </w:p>
        </w:tc>
      </w:tr>
      <w:tr>
        <w:trPr>
          <w:trHeight w:val="221"/>
        </w:trPr>
        <w:tc>
          <w:tcPr>
            <w:tcW w:w="7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component of prepaid forward sale agreements</w:t>
            </w:r>
          </w:p>
        </w:tc>
        <w:tc>
          <w:tcPr>
            <w:tcW w:w="32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2,302</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3280" w:type="dxa"/>
            <w:vAlign w:val="bottom"/>
            <w:tcBorders>
              <w:bottom w:val="single" w:sz="8" w:color="0551D3"/>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$ 3,550</w:t>
            </w:r>
          </w:p>
        </w:tc>
        <w:tc>
          <w:tcPr>
            <w:tcW w:w="880" w:type="dxa"/>
            <w:vAlign w:val="bottom"/>
            <w:tcBorders>
              <w:bottom w:val="single" w:sz="8" w:color="0551D3"/>
            </w:tcBorders>
          </w:tcPr>
          <w:p>
            <w:pPr>
              <w:jc w:val="right"/>
              <w:ind w:right="16"/>
              <w:spacing w:after="0" w:line="196" w:lineRule="exact"/>
              <w:rPr>
                <w:sz w:val="20"/>
                <w:szCs w:val="20"/>
                <w:color w:val="auto"/>
              </w:rPr>
            </w:pPr>
            <w:r>
              <w:rPr>
                <w:rFonts w:ascii="Arial" w:cs="Arial" w:eastAsia="Arial" w:hAnsi="Arial"/>
                <w:sz w:val="18"/>
                <w:szCs w:val="18"/>
                <w:color w:val="auto"/>
              </w:rPr>
              <w:t>$ 2,405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obligations related to these investments terminate between 2013 and 2015. At termination, the counterparties are entitled to receive some or all of the equity securities, or an equivalent amount of cash at our option, based on the market value of the equity securities at that time. As of December 31, 2012 and 2011, our prepaid forward sale obligations had an estimated fair value of $3.6 billion and $2.5 billion,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derivative component of the prepaid forward sale agreements are equity derivative financial instruments embedded in the related contracts, which we use to manage our exposure to and benefits from price fluctuations in the common stock of the related investments. For these derivative financial instruments we separate the derivative component from the host contract and changes in its value are recorded each period to investment income (loss),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Clearwire LLC</w:t>
      </w:r>
    </w:p>
    <w:p>
      <w:pPr>
        <w:jc w:val="both"/>
        <w:spacing w:after="0" w:line="237" w:lineRule="auto"/>
        <w:rPr>
          <w:sz w:val="20"/>
          <w:szCs w:val="20"/>
          <w:color w:val="auto"/>
        </w:rPr>
      </w:pPr>
      <w:r>
        <w:rPr>
          <w:rFonts w:ascii="Arial" w:cs="Arial" w:eastAsia="Arial" w:hAnsi="Arial"/>
          <w:sz w:val="18"/>
          <w:szCs w:val="18"/>
          <w:color w:val="auto"/>
        </w:rPr>
        <w:t>In September 2012, we exchanged our ownership units in Clearwire Communications LLC (“Clearwire LLC”) and our voting Class B stock of Clearwire Corporation (“Clearwire”) for 89 million Class A shares of Clearwire. Following this exchange, we now account for our investment in Clearwire as an available-for-sale security under the fair value method. As of December 31, 2012, the fair value of our investment in Clearwire was $256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 (iv) impairments resulting from other-than-temporary declines in fair value. For some investments, we record our share of the investee’s net income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A&amp;E Television Networks</w:t>
      </w:r>
    </w:p>
    <w:p>
      <w:pPr>
        <w:jc w:val="both"/>
        <w:spacing w:after="0" w:line="275" w:lineRule="auto"/>
        <w:rPr>
          <w:sz w:val="20"/>
          <w:szCs w:val="20"/>
          <w:color w:val="auto"/>
        </w:rPr>
      </w:pPr>
      <w:r>
        <w:rPr>
          <w:rFonts w:ascii="Arial" w:cs="Arial" w:eastAsia="Arial" w:hAnsi="Arial"/>
          <w:sz w:val="16"/>
          <w:szCs w:val="16"/>
          <w:color w:val="auto"/>
        </w:rPr>
        <w:t>In August 2012, NBCUniversal closed its redemption agreement with A&amp;E Television Networks LLC (“A&amp;E Television Networks”) whereby A&amp;E Television Networks redeemed NBCUniversal’s 15.8% equity interest in A&amp;E Television Networks for $3 billion in cash. NBCUniversal recognized a pretax gain of $1 billion, which is included in other income (expense), net in our consolidated statement of income in 2012. In 2012, we recorded net income attributable to noncontrolling interests of $495 million and consolidated income tax expense of $196 million related to this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551D3"/>
        </w:rPr>
        <w:t>SpectrumCo</w:t>
      </w:r>
    </w:p>
    <w:p>
      <w:pPr>
        <w:jc w:val="both"/>
        <w:spacing w:after="0" w:line="237" w:lineRule="auto"/>
        <w:rPr>
          <w:sz w:val="20"/>
          <w:szCs w:val="20"/>
          <w:color w:val="auto"/>
        </w:rPr>
      </w:pPr>
      <w:r>
        <w:rPr>
          <w:rFonts w:ascii="Arial" w:cs="Arial" w:eastAsia="Arial" w:hAnsi="Arial"/>
          <w:sz w:val="18"/>
          <w:szCs w:val="18"/>
          <w:color w:val="auto"/>
        </w:rPr>
        <w:t>SpectrumCo, LLC (“SpectrumCo”) is a joint venture in which we, along with Time Warner Cable and Bright House Networks, are partners. We account for this joint venture as an equity method investment based on its governance structure, notwithstanding our majority interest. SpectrumCo was the successful bidder for 137 advanced wireless services (“AWS”) spectrum licenses for $2.4 billion in the FCC’s AWS spectrum auction that concluded in September 2006. Our portion of the total cost to purchase the licenses was $1.3 billion.</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August 2012, SpectrumCo closed its agreement to sell its AWS spectrum licenses to Verizon Wireless for $3.6 billion. Our portion of SpectrumCo’s gain on sale of its AWS spectrum licenses was $876 million, which is included in equity in net income (losses) of investees, net in our consolidated statement of income in 2012. Following the close of the transaction, SpectrumCo distributed to us $2.3 billion, which represents our portion of the sale proceeds. These proceeds are reflected as a return of capital from investees in our consolidated statement of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551D3"/>
        </w:rPr>
        <w:t>MSNBC.com</w:t>
      </w:r>
    </w:p>
    <w:p>
      <w:pPr>
        <w:jc w:val="both"/>
        <w:spacing w:after="0" w:line="237" w:lineRule="auto"/>
        <w:rPr>
          <w:sz w:val="20"/>
          <w:szCs w:val="20"/>
          <w:color w:val="auto"/>
        </w:rPr>
      </w:pPr>
      <w:r>
        <w:rPr>
          <w:rFonts w:ascii="Arial" w:cs="Arial" w:eastAsia="Arial" w:hAnsi="Arial"/>
          <w:sz w:val="18"/>
          <w:szCs w:val="18"/>
          <w:color w:val="auto"/>
        </w:rPr>
        <w:t>In July 2012, NBCUniversal acquired the remaining 50% equity interest in MSNBC Interactive News, LLC and other related entities (“MSNBC.com”) that it did not already own. The total purchase price was $195 million, which was net of $100 million of cash and cash equivalents held at MSNBC.com that were acquired in the transaction, which were not previously attributable to NBCUniversal. Following the close of the transaction, MSNBC.com is a wholly owned consolidated subsidiary of NBCUniversal.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the cost method to account for investments not accounted for under the fair value method and in which we do not have the ability to exercise significant influence over the investee’s operating and financial policies.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551D3"/>
        </w:rPr>
        <w:t>AirTouch Communications, Inc.</w:t>
      </w:r>
    </w:p>
    <w:p>
      <w:pPr>
        <w:jc w:val="both"/>
        <w:ind w:right="20"/>
        <w:spacing w:after="0" w:line="239" w:lineRule="auto"/>
        <w:rPr>
          <w:sz w:val="20"/>
          <w:szCs w:val="20"/>
          <w:color w:val="auto"/>
        </w:rPr>
      </w:pPr>
      <w:r>
        <w:rPr>
          <w:rFonts w:ascii="Arial" w:cs="Arial" w:eastAsia="Arial" w:hAnsi="Arial"/>
          <w:sz w:val="18"/>
          <w:szCs w:val="18"/>
          <w:color w:val="auto"/>
        </w:rPr>
        <w:t>We hold two series of preferred stock of AirTouch Communications, Inc. (“AirTouch”), a subsidiary of Vodafone, which are redeemable in April 2020. As of both December 31, 2012 and 2011, the estimated fair value of the AirTouch preferred stock was $1.8 billion.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preferred shares are redeemable in April 2020 at a redemption value of $1.65 billion. As of both December 31, 2012 and 2011, the two redeemable series of subsidiary preferred shares were recorded at $1.5 billion, and those amounts are included in other noncurrent liabilities. As of both December 31, 2012 and 2011, these redeemable subsidiary preferred shares had an estimated fair value of $1.8 billion. The estimated fair values are primarily based on Level 2 inputs using pricing models whose inputs are derived from or corroborated by observable market data through correlation or other means for substantially the full term of the financial instrument. The one nonredeemable series of subsidiary preferred shares was recorded at $100 million as of both December 31, 2012 and 2011, and those amounts are included in noncontrolling interests in our consolidated balance sheet. The carrying amounts of the nonredeemable subsidiary preferred shares approximate their fair value.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920" w:type="dxa"/>
            <w:vAlign w:val="bottom"/>
          </w:tcPr>
          <w:p>
            <w:pPr>
              <w:jc w:val="right"/>
              <w:ind w:right="21"/>
              <w:spacing w:after="0"/>
              <w:rPr>
                <w:sz w:val="20"/>
                <w:szCs w:val="20"/>
                <w:color w:val="auto"/>
              </w:rPr>
            </w:pPr>
            <w:r>
              <w:rPr>
                <w:rFonts w:ascii="Arial" w:cs="Arial" w:eastAsia="Arial" w:hAnsi="Arial"/>
                <w:sz w:val="14"/>
                <w:szCs w:val="14"/>
                <w:color w:val="auto"/>
              </w:rPr>
              <w:t>Weighted-Average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3920" w:type="dxa"/>
            <w:vAlign w:val="bottom"/>
          </w:tcPr>
          <w:p>
            <w:pPr>
              <w:jc w:val="right"/>
              <w:ind w:right="21"/>
              <w:spacing w:after="0" w:line="149" w:lineRule="exact"/>
              <w:rPr>
                <w:sz w:val="20"/>
                <w:szCs w:val="20"/>
                <w:color w:val="auto"/>
              </w:rPr>
            </w:pPr>
            <w:r>
              <w:rPr>
                <w:rFonts w:ascii="Arial" w:cs="Arial" w:eastAsia="Arial" w:hAnsi="Arial"/>
                <w:sz w:val="14"/>
                <w:szCs w:val="14"/>
                <w:color w:val="auto"/>
              </w:rPr>
              <w:t>Original Useful Life</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3920" w:type="dxa"/>
            <w:vAlign w:val="bottom"/>
          </w:tcPr>
          <w:p>
            <w:pPr>
              <w:jc w:val="right"/>
              <w:ind w:right="61"/>
              <w:spacing w:after="0" w:line="149" w:lineRule="exact"/>
              <w:rPr>
                <w:sz w:val="20"/>
                <w:szCs w:val="20"/>
                <w:color w:val="auto"/>
              </w:rPr>
            </w:pPr>
            <w:r>
              <w:rPr>
                <w:rFonts w:ascii="Arial" w:cs="Arial" w:eastAsia="Arial" w:hAnsi="Arial"/>
                <w:sz w:val="14"/>
                <w:szCs w:val="14"/>
                <w:color w:val="auto"/>
              </w:rPr>
              <w:t>as of</w:t>
            </w: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920" w:type="dxa"/>
            <w:vAlign w:val="bottom"/>
            <w:tcBorders>
              <w:bottom w:val="single" w:sz="8" w:color="auto"/>
            </w:tcBorders>
          </w:tcPr>
          <w:p>
            <w:pPr>
              <w:jc w:val="right"/>
              <w:ind w:right="21"/>
              <w:spacing w:after="0" w:line="149" w:lineRule="exact"/>
              <w:rPr>
                <w:sz w:val="20"/>
                <w:szCs w:val="20"/>
                <w:color w:val="auto"/>
              </w:rPr>
            </w:pPr>
            <w:r>
              <w:rPr>
                <w:rFonts w:ascii="Arial" w:cs="Arial" w:eastAsia="Arial" w:hAnsi="Arial"/>
                <w:sz w:val="14"/>
                <w:szCs w:val="14"/>
                <w:color w:val="auto"/>
              </w:rPr>
              <w:t>December 31, 2012</w:t>
            </w:r>
          </w:p>
        </w:tc>
        <w:tc>
          <w:tcPr>
            <w:tcW w:w="9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3920" w:type="dxa"/>
            <w:vAlign w:val="bottom"/>
          </w:tcPr>
          <w:p>
            <w:pPr>
              <w:jc w:val="right"/>
              <w:ind w:right="21"/>
              <w:spacing w:after="0" w:line="177" w:lineRule="exact"/>
              <w:rPr>
                <w:sz w:val="20"/>
                <w:szCs w:val="20"/>
                <w:color w:val="auto"/>
              </w:rPr>
            </w:pPr>
            <w:r>
              <w:rPr>
                <w:rFonts w:ascii="Arial" w:cs="Arial" w:eastAsia="Arial" w:hAnsi="Arial"/>
                <w:sz w:val="18"/>
                <w:szCs w:val="18"/>
                <w:color w:val="auto"/>
              </w:rPr>
              <w:t>11 years</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$ 29,528</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$ 28,781</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Customer premises equipment</w:t>
            </w:r>
          </w:p>
        </w:tc>
        <w:tc>
          <w:tcPr>
            <w:tcW w:w="3920" w:type="dxa"/>
            <w:vAlign w:val="bottom"/>
          </w:tcPr>
          <w:p>
            <w:pPr>
              <w:jc w:val="right"/>
              <w:ind w:right="21"/>
              <w:spacing w:after="0" w:line="202" w:lineRule="exact"/>
              <w:rPr>
                <w:sz w:val="20"/>
                <w:szCs w:val="20"/>
                <w:color w:val="auto"/>
              </w:rPr>
            </w:pPr>
            <w:r>
              <w:rPr>
                <w:rFonts w:ascii="Arial" w:cs="Arial" w:eastAsia="Arial" w:hAnsi="Arial"/>
                <w:sz w:val="18"/>
                <w:szCs w:val="18"/>
                <w:color w:val="auto"/>
              </w:rPr>
              <w:t>6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24,763</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3920" w:type="dxa"/>
            <w:vAlign w:val="bottom"/>
          </w:tcPr>
          <w:p>
            <w:pPr>
              <w:jc w:val="right"/>
              <w:ind w:right="21"/>
              <w:spacing w:after="0" w:line="202" w:lineRule="exact"/>
              <w:rPr>
                <w:sz w:val="20"/>
                <w:szCs w:val="20"/>
                <w:color w:val="auto"/>
              </w:rPr>
            </w:pPr>
            <w:r>
              <w:rPr>
                <w:rFonts w:ascii="Arial" w:cs="Arial" w:eastAsia="Arial" w:hAnsi="Arial"/>
                <w:sz w:val="18"/>
                <w:szCs w:val="18"/>
                <w:color w:val="auto"/>
              </w:rPr>
              <w:t>5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5,909</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392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14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5,468</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39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989</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3920" w:type="dxa"/>
            <w:vAlign w:val="bottom"/>
          </w:tcPr>
          <w:p>
            <w:pPr>
              <w:spacing w:after="0"/>
              <w:rPr>
                <w:sz w:val="15"/>
                <w:szCs w:val="15"/>
                <w:color w:val="auto"/>
              </w:rPr>
            </w:pP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66,657</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3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39,425</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36,528</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3920" w:type="dxa"/>
            <w:vAlign w:val="bottom"/>
            <w:tcBorders>
              <w:bottom w:val="single" w:sz="8" w:color="0551D3"/>
            </w:tcBorders>
          </w:tcPr>
          <w:p>
            <w:pPr>
              <w:spacing w:after="0"/>
              <w:rPr>
                <w:sz w:val="17"/>
                <w:szCs w:val="17"/>
                <w:color w:val="auto"/>
              </w:rPr>
            </w:pPr>
          </w:p>
        </w:tc>
        <w:tc>
          <w:tcPr>
            <w:tcW w:w="9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$ 27,232</w:t>
            </w:r>
          </w:p>
        </w:tc>
        <w:tc>
          <w:tcPr>
            <w:tcW w:w="9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$ 27,559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 We record depreciation using the straight-line method over the asset’s estimated useful life.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8: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color w:val="auto"/>
              </w:rPr>
              <w:t>Cable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NBCUniversal</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color w:val="auto"/>
              </w:rPr>
              <w:t>Corporate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55"/>
              <w:spacing w:after="0" w:line="141" w:lineRule="exact"/>
              <w:rPr>
                <w:sz w:val="20"/>
                <w:szCs w:val="20"/>
                <w:color w:val="auto"/>
              </w:rPr>
            </w:pPr>
            <w:r>
              <w:rPr>
                <w:rFonts w:ascii="Arial" w:cs="Arial" w:eastAsia="Arial" w:hAnsi="Arial"/>
                <w:sz w:val="14"/>
                <w:szCs w:val="14"/>
                <w:color w:val="auto"/>
              </w:rPr>
              <w:t>Cable</w:t>
            </w:r>
          </w:p>
        </w:tc>
        <w:tc>
          <w:tcPr>
            <w:tcW w:w="82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Broadcast</w:t>
            </w:r>
          </w:p>
        </w:tc>
        <w:tc>
          <w:tcPr>
            <w:tcW w:w="480" w:type="dxa"/>
            <w:vAlign w:val="bottom"/>
          </w:tcPr>
          <w:p>
            <w:pPr>
              <w:spacing w:after="0"/>
              <w:rPr>
                <w:sz w:val="12"/>
                <w:szCs w:val="12"/>
                <w:color w:val="auto"/>
              </w:rPr>
            </w:pPr>
          </w:p>
        </w:tc>
        <w:tc>
          <w:tcPr>
            <w:tcW w:w="540" w:type="dxa"/>
            <w:vAlign w:val="bottom"/>
          </w:tcPr>
          <w:p>
            <w:pPr>
              <w:jc w:val="right"/>
              <w:ind w:right="14"/>
              <w:spacing w:after="0" w:line="141" w:lineRule="exact"/>
              <w:rPr>
                <w:sz w:val="20"/>
                <w:szCs w:val="20"/>
                <w:color w:val="auto"/>
              </w:rPr>
            </w:pPr>
            <w:r>
              <w:rPr>
                <w:rFonts w:ascii="Arial" w:cs="Arial" w:eastAsia="Arial" w:hAnsi="Arial"/>
                <w:sz w:val="14"/>
                <w:szCs w:val="14"/>
                <w:color w:val="auto"/>
                <w:w w:val="99"/>
              </w:rPr>
              <w:t>Filmed</w:t>
            </w:r>
          </w:p>
        </w:tc>
        <w:tc>
          <w:tcPr>
            <w:tcW w:w="200" w:type="dxa"/>
            <w:vAlign w:val="bottom"/>
          </w:tcPr>
          <w:p>
            <w:pPr>
              <w:spacing w:after="0"/>
              <w:rPr>
                <w:sz w:val="12"/>
                <w:szCs w:val="12"/>
                <w:color w:val="auto"/>
              </w:rPr>
            </w:pPr>
          </w:p>
        </w:tc>
        <w:tc>
          <w:tcPr>
            <w:tcW w:w="560" w:type="dxa"/>
            <w:vAlign w:val="bottom"/>
          </w:tcPr>
          <w:p>
            <w:pPr>
              <w:jc w:val="right"/>
              <w:ind w:right="15"/>
              <w:spacing w:after="0" w:line="141" w:lineRule="exact"/>
              <w:rPr>
                <w:sz w:val="20"/>
                <w:szCs w:val="20"/>
                <w:color w:val="auto"/>
              </w:rPr>
            </w:pPr>
            <w:r>
              <w:rPr>
                <w:rFonts w:ascii="Arial" w:cs="Arial" w:eastAsia="Arial" w:hAnsi="Arial"/>
                <w:sz w:val="14"/>
                <w:szCs w:val="14"/>
                <w:color w:val="auto"/>
              </w:rPr>
              <w:t>Theme</w:t>
            </w:r>
          </w:p>
        </w:tc>
        <w:tc>
          <w:tcPr>
            <w:tcW w:w="84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460" w:type="dxa"/>
            <w:vAlign w:val="bottom"/>
            <w:tcBorders>
              <w:bottom w:val="single" w:sz="8" w:color="auto"/>
            </w:tcBorders>
            <w:gridSpan w:val="2"/>
          </w:tcPr>
          <w:p>
            <w:pPr>
              <w:ind w:left="1340"/>
              <w:spacing w:after="0" w:line="149" w:lineRule="exact"/>
              <w:rPr>
                <w:sz w:val="20"/>
                <w:szCs w:val="20"/>
                <w:color w:val="auto"/>
              </w:rPr>
            </w:pPr>
            <w:r>
              <w:rPr>
                <w:rFonts w:ascii="Arial" w:cs="Arial" w:eastAsia="Arial" w:hAnsi="Arial"/>
                <w:sz w:val="14"/>
                <w:szCs w:val="14"/>
                <w:color w:val="auto"/>
              </w:rPr>
              <w:t>Communications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5"/>
              <w:spacing w:after="0" w:line="149" w:lineRule="exact"/>
              <w:rPr>
                <w:sz w:val="20"/>
                <w:szCs w:val="20"/>
                <w:color w:val="auto"/>
              </w:rPr>
            </w:pPr>
            <w:r>
              <w:rPr>
                <w:rFonts w:ascii="Arial" w:cs="Arial" w:eastAsia="Arial" w:hAnsi="Arial"/>
                <w:sz w:val="14"/>
                <w:szCs w:val="14"/>
                <w:color w:val="auto"/>
                <w:w w:val="95"/>
              </w:rPr>
              <w:t>Networks</w:t>
            </w:r>
          </w:p>
        </w:tc>
        <w:tc>
          <w:tcPr>
            <w:tcW w:w="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Parks</w:t>
            </w:r>
          </w:p>
        </w:tc>
        <w:tc>
          <w:tcPr>
            <w:tcW w:w="8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and Other</w:t>
            </w:r>
          </w:p>
        </w:tc>
        <w:tc>
          <w:tcPr>
            <w:tcW w:w="880" w:type="dxa"/>
            <w:vAlign w:val="bottom"/>
            <w:tcBorders>
              <w:bottom w:val="single" w:sz="8" w:color="auto"/>
            </w:tcBorders>
          </w:tcPr>
          <w:p>
            <w:pPr>
              <w:jc w:val="right"/>
              <w:ind w:right="23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70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1560" w:type="dxa"/>
            <w:vAlign w:val="bottom"/>
          </w:tcPr>
          <w:p>
            <w:pPr>
              <w:ind w:left="134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12,207</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2,564</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187</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$ 14,958</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NBCUniversal</w:t>
            </w:r>
          </w:p>
        </w:tc>
        <w:tc>
          <w:tcPr>
            <w:tcW w:w="15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10,180</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765</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Universal Orlando</w:t>
            </w:r>
          </w:p>
        </w:tc>
        <w:tc>
          <w:tcPr>
            <w:tcW w:w="15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7"/>
              </w:rPr>
              <w:t>1,140</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Dispositions</w:t>
            </w:r>
          </w:p>
        </w:tc>
        <w:tc>
          <w:tcPr>
            <w:tcW w:w="15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9"/>
        </w:trPr>
        <w:tc>
          <w:tcPr>
            <w:tcW w:w="3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p>
        </w:tc>
        <w:tc>
          <w:tcPr>
            <w:tcW w:w="1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7"/>
        </w:trPr>
        <w:tc>
          <w:tcPr>
            <w:tcW w:w="370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1560" w:type="dxa"/>
            <w:vAlign w:val="bottom"/>
          </w:tcPr>
          <w:p>
            <w:pPr>
              <w:spacing w:after="0"/>
              <w:rPr>
                <w:sz w:val="15"/>
                <w:szCs w:val="15"/>
                <w:color w:val="auto"/>
              </w:rPr>
            </w:pPr>
          </w:p>
        </w:tc>
        <w:tc>
          <w:tcPr>
            <w:tcW w:w="9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12,208</w:t>
            </w:r>
          </w:p>
        </w:tc>
        <w:tc>
          <w:tcPr>
            <w:tcW w:w="220" w:type="dxa"/>
            <w:vAlign w:val="bottom"/>
          </w:tcPr>
          <w:p>
            <w:pPr>
              <w:spacing w:after="0"/>
              <w:rPr>
                <w:sz w:val="15"/>
                <w:szCs w:val="15"/>
                <w:color w:val="auto"/>
              </w:rPr>
            </w:pPr>
          </w:p>
        </w:tc>
        <w:tc>
          <w:tcPr>
            <w:tcW w:w="720" w:type="dxa"/>
            <w:vAlign w:val="bottom"/>
          </w:tcPr>
          <w:p>
            <w:pPr>
              <w:jc w:val="right"/>
              <w:ind w:right="55"/>
              <w:spacing w:after="0" w:line="177" w:lineRule="exact"/>
              <w:rPr>
                <w:sz w:val="20"/>
                <w:szCs w:val="20"/>
                <w:color w:val="auto"/>
              </w:rPr>
            </w:pPr>
            <w:r>
              <w:rPr>
                <w:rFonts w:ascii="Arial" w:cs="Arial" w:eastAsia="Arial" w:hAnsi="Arial"/>
                <w:sz w:val="18"/>
                <w:szCs w:val="18"/>
                <w:color w:val="auto"/>
              </w:rPr>
              <w:t>12,744</w:t>
            </w:r>
          </w:p>
        </w:tc>
        <w:tc>
          <w:tcPr>
            <w:tcW w:w="280" w:type="dxa"/>
            <w:vAlign w:val="bottom"/>
          </w:tcPr>
          <w:p>
            <w:pPr>
              <w:spacing w:after="0"/>
              <w:rPr>
                <w:sz w:val="15"/>
                <w:szCs w:val="15"/>
                <w:color w:val="auto"/>
              </w:rPr>
            </w:pPr>
          </w:p>
        </w:tc>
        <w:tc>
          <w:tcPr>
            <w:tcW w:w="540" w:type="dxa"/>
            <w:vAlign w:val="bottom"/>
          </w:tcPr>
          <w:p>
            <w:pPr>
              <w:jc w:val="right"/>
              <w:ind w:right="54"/>
              <w:spacing w:after="0" w:line="177" w:lineRule="exact"/>
              <w:rPr>
                <w:sz w:val="20"/>
                <w:szCs w:val="20"/>
                <w:color w:val="auto"/>
              </w:rPr>
            </w:pPr>
            <w:r>
              <w:rPr>
                <w:rFonts w:ascii="Arial" w:cs="Arial" w:eastAsia="Arial" w:hAnsi="Arial"/>
                <w:sz w:val="18"/>
                <w:szCs w:val="18"/>
                <w:color w:val="auto"/>
              </w:rPr>
              <w:t>772</w:t>
            </w:r>
          </w:p>
        </w:tc>
        <w:tc>
          <w:tcPr>
            <w:tcW w:w="480" w:type="dxa"/>
            <w:vAlign w:val="bottom"/>
          </w:tcPr>
          <w:p>
            <w:pPr>
              <w:spacing w:after="0"/>
              <w:rPr>
                <w:sz w:val="15"/>
                <w:szCs w:val="15"/>
                <w:color w:val="auto"/>
              </w:rPr>
            </w:pPr>
          </w:p>
        </w:tc>
        <w:tc>
          <w:tcPr>
            <w:tcW w:w="54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560" w:type="dxa"/>
            <w:vAlign w:val="bottom"/>
          </w:tcPr>
          <w:p>
            <w:pPr>
              <w:jc w:val="right"/>
              <w:ind w:right="15"/>
              <w:spacing w:after="0" w:line="177" w:lineRule="exact"/>
              <w:rPr>
                <w:sz w:val="20"/>
                <w:szCs w:val="20"/>
                <w:color w:val="auto"/>
              </w:rPr>
            </w:pPr>
            <w:r>
              <w:rPr>
                <w:rFonts w:ascii="Arial" w:cs="Arial" w:eastAsia="Arial" w:hAnsi="Arial"/>
                <w:sz w:val="18"/>
                <w:szCs w:val="18"/>
                <w:color w:val="auto"/>
                <w:w w:val="97"/>
              </w:rPr>
              <w:t>1,140</w:t>
            </w:r>
          </w:p>
        </w:tc>
        <w:tc>
          <w:tcPr>
            <w:tcW w:w="280" w:type="dxa"/>
            <w:vAlign w:val="bottom"/>
          </w:tcPr>
          <w:p>
            <w:pPr>
              <w:spacing w:after="0"/>
              <w:rPr>
                <w:sz w:val="15"/>
                <w:szCs w:val="15"/>
                <w:color w:val="auto"/>
              </w:rPr>
            </w:pPr>
          </w:p>
        </w:tc>
        <w:tc>
          <w:tcPr>
            <w:tcW w:w="560" w:type="dxa"/>
            <w:vAlign w:val="bottom"/>
          </w:tcPr>
          <w:p>
            <w:pPr>
              <w:jc w:val="right"/>
              <w:ind w:right="52"/>
              <w:spacing w:after="0" w:line="177" w:lineRule="exact"/>
              <w:rPr>
                <w:sz w:val="20"/>
                <w:szCs w:val="20"/>
                <w:color w:val="auto"/>
              </w:rPr>
            </w:pPr>
            <w:r>
              <w:rPr>
                <w:rFonts w:ascii="Arial" w:cs="Arial" w:eastAsia="Arial" w:hAnsi="Arial"/>
                <w:sz w:val="18"/>
                <w:szCs w:val="18"/>
                <w:color w:val="auto"/>
              </w:rPr>
              <w:t>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MSNBC.com</w:t>
            </w:r>
          </w:p>
        </w:tc>
        <w:tc>
          <w:tcPr>
            <w:tcW w:w="15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227</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Other</w:t>
            </w:r>
          </w:p>
        </w:tc>
        <w:tc>
          <w:tcPr>
            <w:tcW w:w="15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79</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b w:val="1"/>
                <w:bCs w:val="1"/>
                <w:color w:val="auto"/>
              </w:rPr>
              <w:t>Dispositions</w:t>
            </w:r>
          </w:p>
        </w:tc>
        <w:tc>
          <w:tcPr>
            <w:tcW w:w="1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Adjustments</w:t>
            </w:r>
          </w:p>
        </w:tc>
        <w:tc>
          <w:tcPr>
            <w:tcW w:w="1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1560" w:type="dxa"/>
            <w:vAlign w:val="bottom"/>
            <w:tcBorders>
              <w:bottom w:val="single" w:sz="8" w:color="0551D3"/>
            </w:tcBorders>
          </w:tcPr>
          <w:p>
            <w:pPr>
              <w:ind w:left="134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12,206</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13,026</w:t>
            </w:r>
          </w:p>
        </w:tc>
        <w:tc>
          <w:tcPr>
            <w:tcW w:w="280" w:type="dxa"/>
            <w:vAlign w:val="bottom"/>
            <w:tcBorders>
              <w:bottom w:val="single" w:sz="8" w:color="0551D3"/>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761</w:t>
            </w:r>
          </w:p>
        </w:tc>
        <w:tc>
          <w:tcPr>
            <w:tcW w:w="480" w:type="dxa"/>
            <w:vAlign w:val="bottom"/>
            <w:tcBorders>
              <w:bottom w:val="single" w:sz="8" w:color="0551D3"/>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982</w:t>
            </w:r>
          </w:p>
        </w:tc>
        <w:tc>
          <w:tcPr>
            <w:tcW w:w="28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551D3"/>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9</w:t>
            </w:r>
          </w:p>
        </w:tc>
        <w:tc>
          <w:tcPr>
            <w:tcW w:w="8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$ 26,985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assess the recoverability of our goodwill annually, or more frequently whenever events or substantive changes in circumstances indicate that an asset might be impaired.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 likely than 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2220" w:type="dxa"/>
            <w:vAlign w:val="bottom"/>
            <w:vMerge w:val="restart"/>
          </w:tcPr>
          <w:p>
            <w:pPr>
              <w:jc w:val="right"/>
              <w:ind w:right="39"/>
              <w:spacing w:after="0"/>
              <w:rPr>
                <w:sz w:val="20"/>
                <w:szCs w:val="20"/>
                <w:color w:val="auto"/>
              </w:rPr>
            </w:pPr>
            <w:r>
              <w:rPr>
                <w:rFonts w:ascii="Arial" w:cs="Arial" w:eastAsia="Arial" w:hAnsi="Arial"/>
                <w:sz w:val="14"/>
                <w:szCs w:val="14"/>
                <w:color w:val="auto"/>
              </w:rPr>
              <w:t>Weighted-Average</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36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jc w:val="right"/>
              <w:ind w:right="18"/>
              <w:spacing w:after="0" w:line="125"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220" w:type="dxa"/>
            <w:vAlign w:val="bottom"/>
          </w:tcPr>
          <w:p>
            <w:pPr>
              <w:jc w:val="right"/>
              <w:ind w:right="39"/>
              <w:spacing w:after="0" w:line="149" w:lineRule="exact"/>
              <w:rPr>
                <w:sz w:val="20"/>
                <w:szCs w:val="20"/>
                <w:color w:val="auto"/>
              </w:rPr>
            </w:pPr>
            <w:r>
              <w:rPr>
                <w:rFonts w:ascii="Arial" w:cs="Arial" w:eastAsia="Arial" w:hAnsi="Arial"/>
                <w:sz w:val="14"/>
                <w:szCs w:val="14"/>
                <w:color w:val="auto"/>
              </w:rPr>
              <w:t>Original Useful Life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2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as of December 31, 2012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5360" w:type="dxa"/>
            <w:vAlign w:val="bottom"/>
          </w:tcPr>
          <w:p>
            <w:pPr>
              <w:spacing w:after="0" w:line="200" w:lineRule="exact"/>
              <w:rPr>
                <w:sz w:val="20"/>
                <w:szCs w:val="20"/>
                <w:color w:val="auto"/>
              </w:rPr>
            </w:pPr>
            <w:r>
              <w:rPr>
                <w:rFonts w:ascii="Arial" w:cs="Arial" w:eastAsia="Arial" w:hAnsi="Arial"/>
                <w:sz w:val="18"/>
                <w:szCs w:val="18"/>
                <w:color w:val="auto"/>
              </w:rPr>
              <w:t>Indefinite-Lived Intangible Assets:</w:t>
            </w:r>
          </w:p>
        </w:tc>
        <w:tc>
          <w:tcPr>
            <w:tcW w:w="2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$ 59,364</w:t>
            </w:r>
          </w:p>
        </w:tc>
        <w:tc>
          <w:tcPr>
            <w:tcW w:w="4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60" w:type="dxa"/>
            <w:vAlign w:val="bottom"/>
          </w:tcPr>
          <w:p>
            <w:pPr>
              <w:ind w:left="220"/>
              <w:spacing w:after="0" w:line="181" w:lineRule="exact"/>
              <w:rPr>
                <w:sz w:val="20"/>
                <w:szCs w:val="20"/>
                <w:color w:val="auto"/>
              </w:rPr>
            </w:pPr>
            <w:r>
              <w:rPr>
                <w:rFonts w:ascii="Arial" w:cs="Arial" w:eastAsia="Arial" w:hAnsi="Arial"/>
                <w:sz w:val="18"/>
                <w:szCs w:val="18"/>
                <w:color w:val="auto"/>
              </w:rPr>
              <w:t>Franchise rights</w:t>
            </w:r>
          </w:p>
        </w:tc>
        <w:tc>
          <w:tcPr>
            <w:tcW w:w="2220" w:type="dxa"/>
            <w:vAlign w:val="bottom"/>
          </w:tcPr>
          <w:p>
            <w:pPr>
              <w:jc w:val="right"/>
              <w:ind w:right="39"/>
              <w:spacing w:after="0" w:line="181" w:lineRule="exact"/>
              <w:rPr>
                <w:sz w:val="20"/>
                <w:szCs w:val="20"/>
                <w:color w:val="auto"/>
              </w:rPr>
            </w:pPr>
            <w:r>
              <w:rPr>
                <w:rFonts w:ascii="Arial" w:cs="Arial" w:eastAsia="Arial" w:hAnsi="Arial"/>
                <w:sz w:val="18"/>
                <w:szCs w:val="18"/>
                <w:color w:val="auto"/>
              </w:rPr>
              <w:t>N/A</w:t>
            </w: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$ 59,376</w:t>
            </w:r>
          </w:p>
        </w:tc>
        <w:tc>
          <w:tcPr>
            <w:tcW w:w="3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2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N/A</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3,080</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3,006</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20"/>
              <w:spacing w:after="0"/>
              <w:rPr>
                <w:sz w:val="20"/>
                <w:szCs w:val="20"/>
                <w:color w:val="auto"/>
              </w:rPr>
            </w:pPr>
            <w:r>
              <w:rPr>
                <w:rFonts w:ascii="Arial" w:cs="Arial" w:eastAsia="Arial" w:hAnsi="Arial"/>
                <w:sz w:val="18"/>
                <w:szCs w:val="18"/>
                <w:color w:val="auto"/>
              </w:rPr>
              <w:t>FCC licenses</w:t>
            </w:r>
          </w:p>
        </w:tc>
        <w:tc>
          <w:tcPr>
            <w:tcW w:w="2220" w:type="dxa"/>
            <w:vAlign w:val="bottom"/>
          </w:tcPr>
          <w:p>
            <w:pPr>
              <w:jc w:val="right"/>
              <w:ind w:right="39"/>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Finite-Lived Intangible Assets:</w:t>
            </w:r>
          </w:p>
        </w:tc>
        <w:tc>
          <w:tcPr>
            <w:tcW w:w="2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14,970</w:t>
            </w:r>
          </w:p>
        </w:tc>
        <w:tc>
          <w:tcPr>
            <w:tcW w:w="4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(3,971)</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6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2220" w:type="dxa"/>
            <w:vAlign w:val="bottom"/>
          </w:tcPr>
          <w:p>
            <w:pPr>
              <w:jc w:val="right"/>
              <w:ind w:right="39"/>
              <w:spacing w:after="0" w:line="181" w:lineRule="exact"/>
              <w:rPr>
                <w:sz w:val="20"/>
                <w:szCs w:val="20"/>
                <w:color w:val="auto"/>
              </w:rPr>
            </w:pPr>
            <w:r>
              <w:rPr>
                <w:rFonts w:ascii="Arial" w:cs="Arial" w:eastAsia="Arial" w:hAnsi="Arial"/>
                <w:sz w:val="18"/>
                <w:szCs w:val="18"/>
                <w:color w:val="auto"/>
              </w:rPr>
              <w:t>18 years</w:t>
            </w: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15,079</w:t>
            </w:r>
          </w:p>
        </w:tc>
        <w:tc>
          <w:tcPr>
            <w:tcW w:w="3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2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10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1,257</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(676)</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1,152</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2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5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3,795</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(2,123)</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3,234</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Patents and other technology rights</w:t>
            </w:r>
          </w:p>
        </w:tc>
        <w:tc>
          <w:tcPr>
            <w:tcW w:w="2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9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350</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344</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1"/>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agreements and rights</w:t>
            </w:r>
          </w:p>
        </w:tc>
        <w:tc>
          <w:tcPr>
            <w:tcW w:w="2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14 years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1,379</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0551D3"/>
            </w:tcBorders>
          </w:tcPr>
          <w:p>
            <w:pPr>
              <w:spacing w:after="0"/>
              <w:rPr>
                <w:sz w:val="17"/>
                <w:szCs w:val="17"/>
                <w:color w:val="auto"/>
              </w:rPr>
            </w:pPr>
          </w:p>
        </w:tc>
        <w:tc>
          <w:tcPr>
            <w:tcW w:w="8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$ 84,866</w:t>
            </w:r>
          </w:p>
        </w:tc>
        <w:tc>
          <w:tcPr>
            <w:tcW w:w="420" w:type="dxa"/>
            <w:vAlign w:val="bottom"/>
            <w:tcBorders>
              <w:bottom w:val="single" w:sz="8" w:color="0551D3"/>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(7,662)</w:t>
            </w:r>
          </w:p>
        </w:tc>
        <w:tc>
          <w:tcPr>
            <w:tcW w:w="860" w:type="dxa"/>
            <w:vAlign w:val="bottom"/>
            <w:tcBorders>
              <w:bottom w:val="single" w:sz="8" w:color="0551D3"/>
            </w:tcBorders>
          </w:tcPr>
          <w:p>
            <w:pPr>
              <w:jc w:val="right"/>
              <w:ind w:right="18"/>
              <w:spacing w:after="0" w:line="196" w:lineRule="exact"/>
              <w:rPr>
                <w:sz w:val="20"/>
                <w:szCs w:val="20"/>
                <w:color w:val="auto"/>
              </w:rPr>
            </w:pPr>
            <w:r>
              <w:rPr>
                <w:rFonts w:ascii="Arial" w:cs="Arial" w:eastAsia="Arial" w:hAnsi="Arial"/>
                <w:sz w:val="18"/>
                <w:szCs w:val="18"/>
                <w:color w:val="auto"/>
              </w:rPr>
              <w:t>$ 84,206</w:t>
            </w:r>
          </w:p>
        </w:tc>
        <w:tc>
          <w:tcPr>
            <w:tcW w:w="30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304"/>
        </w:trPr>
        <w:tc>
          <w:tcPr>
            <w:tcW w:w="5360" w:type="dxa"/>
            <w:vAlign w:val="bottom"/>
          </w:tcPr>
          <w:p>
            <w:pPr>
              <w:spacing w:after="0"/>
              <w:rPr>
                <w:sz w:val="24"/>
                <w:szCs w:val="24"/>
                <w:color w:val="auto"/>
              </w:rPr>
            </w:pPr>
          </w:p>
        </w:tc>
        <w:tc>
          <w:tcPr>
            <w:tcW w:w="2220" w:type="dxa"/>
            <w:vAlign w:val="bottom"/>
          </w:tcPr>
          <w:p>
            <w:pPr>
              <w:jc w:val="right"/>
              <w:ind w:right="1719"/>
              <w:spacing w:after="0"/>
              <w:rPr>
                <w:sz w:val="20"/>
                <w:szCs w:val="20"/>
                <w:color w:val="auto"/>
              </w:rPr>
            </w:pPr>
            <w:r>
              <w:rPr>
                <w:rFonts w:ascii="Arial" w:cs="Arial" w:eastAsia="Arial" w:hAnsi="Arial"/>
                <w:sz w:val="14"/>
                <w:szCs w:val="14"/>
                <w:b w:val="1"/>
                <w:bCs w:val="1"/>
                <w:color w:val="auto"/>
              </w:rPr>
              <w:t>23</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551D3"/>
        </w:rPr>
        <w:t>Indefinite-Lived Intangible Assets</w:t>
      </w:r>
    </w:p>
    <w:p>
      <w:pPr>
        <w:jc w:val="both"/>
        <w:spacing w:after="0" w:line="236" w:lineRule="auto"/>
        <w:rPr>
          <w:sz w:val="20"/>
          <w:szCs w:val="20"/>
          <w:color w:val="auto"/>
        </w:rPr>
      </w:pPr>
      <w:r>
        <w:rPr>
          <w:rFonts w:ascii="Arial" w:cs="Arial" w:eastAsia="Arial" w:hAnsi="Arial"/>
          <w:sz w:val="18"/>
          <w:szCs w:val="18"/>
          <w:color w:val="auto"/>
        </w:rPr>
        <w:t>Indefinite-lived intangible assets consist of our cable franchise rights, as well as trade names and FCC licenses. Our cable franchise rights represent the value we attributed to agreements with state and local authorities that allow access to homes and businesses in cable service areas acquired in business combinations. We do not amortize our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2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franchise rights and other indefinite-lived intangible assets annually, or more frequently whenever events or substantive changes in circumstances indicate that the assets might be impaired. The assessment of recoverability may first consider qualitative factors to determine whether it is more likely than not that an indefinite-lived intangible asset is impaired. A quantitative assessment is performed if the qualitative assessment results in a more likely than not determination or if a qualitative assessment is not performed. When performing a quantitative assessment, we estimate the fair value of our cable franchise rights and other indefinite-lived intangible assets primarily based on a discounted cash flow analysis. In analyzing the fair values indicated under the discounted cash flow models, we also consider multiples of operating income before depreciation and amortization generated by the underlying assets, current market transactions, and profitability information. If the value of our cable franchise rights or other indefinite-lived intangible assets were less than the carrying amount, we would recognize an impairment charge for the difference between the estimated fair value and the carrying value of the assets. We also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Cable Communications divisions represent the unit of account we use to test for impairment for our cable franchise rights. Unless presented separately, the impairment charge is included as a component of amortization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551D3"/>
        </w:rPr>
        <w:t>Finite-Lived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551D3"/>
        </w:rPr>
        <w:t>Estimated Amortization Expense of 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560" w:type="dxa"/>
            <w:vAlign w:val="bottom"/>
            <w:tcBorders>
              <w:top w:val="single" w:sz="8" w:color="auto"/>
            </w:tcBorders>
          </w:tcPr>
          <w:p>
            <w:pPr>
              <w:jc w:val="right"/>
              <w:ind w:right="5072"/>
              <w:spacing w:after="0" w:line="200" w:lineRule="exact"/>
              <w:rPr>
                <w:sz w:val="20"/>
                <w:szCs w:val="20"/>
                <w:color w:val="auto"/>
              </w:rPr>
            </w:pPr>
            <w:r>
              <w:rPr>
                <w:rFonts w:ascii="Arial" w:cs="Arial" w:eastAsia="Arial" w:hAnsi="Arial"/>
                <w:sz w:val="18"/>
                <w:szCs w:val="18"/>
                <w:color w:val="auto"/>
                <w:w w:val="94"/>
              </w:rPr>
              <w:t>2013</w:t>
            </w:r>
          </w:p>
        </w:tc>
        <w:tc>
          <w:tcPr>
            <w:tcW w:w="5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1,463</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2014</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1,285</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2015</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1,139</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2016</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995</w:t>
            </w:r>
          </w:p>
        </w:tc>
      </w:tr>
      <w:tr>
        <w:trPr>
          <w:trHeight w:val="199"/>
        </w:trPr>
        <w:tc>
          <w:tcPr>
            <w:tcW w:w="5560" w:type="dxa"/>
            <w:vAlign w:val="bottom"/>
            <w:tcBorders>
              <w:bottom w:val="single" w:sz="8" w:color="auto"/>
            </w:tcBorders>
          </w:tcPr>
          <w:p>
            <w:pPr>
              <w:jc w:val="right"/>
              <w:ind w:right="5072"/>
              <w:spacing w:after="0" w:line="200" w:lineRule="exact"/>
              <w:rPr>
                <w:sz w:val="20"/>
                <w:szCs w:val="20"/>
                <w:color w:val="auto"/>
              </w:rPr>
            </w:pPr>
            <w:r>
              <w:rPr>
                <w:rFonts w:ascii="Arial" w:cs="Arial" w:eastAsia="Arial" w:hAnsi="Arial"/>
                <w:sz w:val="18"/>
                <w:szCs w:val="18"/>
                <w:color w:val="auto"/>
                <w:w w:val="94"/>
              </w:rPr>
              <w:t>2017</w:t>
            </w:r>
          </w:p>
        </w:tc>
        <w:tc>
          <w:tcPr>
            <w:tcW w:w="5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848</w:t>
            </w:r>
          </w:p>
        </w:tc>
      </w:tr>
    </w:tbl>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subject to amortization consist primarily of customer relationships acquired in business combinations, cable franchise renewal costs, contractual operating rights, intellectual property rights and software. Our finite-lived intangible assets are amortized primarily on a straight-line basis over their estimated useful life or the term of the respective agreement.</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five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exceeds its estimated fair value. Unless presented separately, the impairment charge is included as a component of amortization expense.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9: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0551D3"/>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Borders>
              <w:top w:val="single" w:sz="8" w:color="auto"/>
            </w:tcBorders>
          </w:tcPr>
          <w:p>
            <w:pPr>
              <w:spacing w:after="0"/>
              <w:rPr>
                <w:sz w:val="14"/>
                <w:szCs w:val="14"/>
                <w:color w:val="auto"/>
              </w:rPr>
            </w:pPr>
          </w:p>
        </w:tc>
        <w:tc>
          <w:tcPr>
            <w:tcW w:w="3520" w:type="dxa"/>
            <w:vAlign w:val="bottom"/>
            <w:tcBorders>
              <w:top w:val="single" w:sz="8" w:color="auto"/>
            </w:tcBorders>
          </w:tcPr>
          <w:p>
            <w:pPr>
              <w:jc w:val="right"/>
              <w:ind w:right="301"/>
              <w:spacing w:after="0"/>
              <w:rPr>
                <w:sz w:val="20"/>
                <w:szCs w:val="20"/>
                <w:color w:val="auto"/>
              </w:rPr>
            </w:pPr>
            <w:r>
              <w:rPr>
                <w:rFonts w:ascii="Arial" w:cs="Arial" w:eastAsia="Arial" w:hAnsi="Arial"/>
                <w:sz w:val="14"/>
                <w:szCs w:val="14"/>
                <w:color w:val="auto"/>
              </w:rPr>
              <w:t>Weighted-Average</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3520" w:type="dxa"/>
            <w:vAlign w:val="bottom"/>
          </w:tcPr>
          <w:p>
            <w:pPr>
              <w:jc w:val="right"/>
              <w:ind w:right="301"/>
              <w:spacing w:after="0" w:line="149" w:lineRule="exact"/>
              <w:rPr>
                <w:sz w:val="20"/>
                <w:szCs w:val="20"/>
                <w:color w:val="auto"/>
              </w:rPr>
            </w:pPr>
            <w:r>
              <w:rPr>
                <w:rFonts w:ascii="Arial" w:cs="Arial" w:eastAsia="Arial" w:hAnsi="Arial"/>
                <w:sz w:val="14"/>
                <w:szCs w:val="14"/>
                <w:color w:val="auto"/>
              </w:rPr>
              <w:t>Interest Rate as of</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3520" w:type="dxa"/>
            <w:vAlign w:val="bottom"/>
          </w:tcPr>
          <w:p>
            <w:pPr>
              <w:jc w:val="right"/>
              <w:ind w:right="301"/>
              <w:spacing w:after="0" w:line="149"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2"/>
                <w:szCs w:val="12"/>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5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3520" w:type="dxa"/>
            <w:vAlign w:val="bottom"/>
          </w:tcPr>
          <w:p>
            <w:pPr>
              <w:jc w:val="right"/>
              <w:ind w:right="301"/>
              <w:spacing w:after="0" w:line="177" w:lineRule="exact"/>
              <w:rPr>
                <w:sz w:val="20"/>
                <w:szCs w:val="20"/>
                <w:color w:val="auto"/>
              </w:rPr>
            </w:pPr>
            <w:r>
              <w:rPr>
                <w:rFonts w:ascii="Arial" w:cs="Arial" w:eastAsia="Arial" w:hAnsi="Arial"/>
                <w:sz w:val="18"/>
                <w:szCs w:val="18"/>
                <w:color w:val="auto"/>
              </w:rPr>
              <w:t>N/A</w:t>
            </w:r>
          </w:p>
        </w:tc>
        <w:tc>
          <w:tcPr>
            <w:tcW w:w="2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3520" w:type="dxa"/>
            <w:vAlign w:val="bottom"/>
          </w:tcPr>
          <w:p>
            <w:pPr>
              <w:jc w:val="right"/>
              <w:ind w:right="1"/>
              <w:spacing w:after="0" w:line="203" w:lineRule="exact"/>
              <w:rPr>
                <w:sz w:val="20"/>
                <w:szCs w:val="20"/>
                <w:color w:val="auto"/>
              </w:rPr>
            </w:pPr>
            <w:r>
              <w:rPr>
                <w:rFonts w:ascii="Arial" w:cs="Arial" w:eastAsia="Arial" w:hAnsi="Arial"/>
                <w:sz w:val="18"/>
                <w:szCs w:val="18"/>
                <w:color w:val="auto"/>
              </w:rPr>
              <w:t>5.858%</w:t>
            </w:r>
            <w:r>
              <w:rPr>
                <w:rFonts w:ascii="Arial" w:cs="Arial" w:eastAsia="Arial" w:hAnsi="Arial"/>
                <w:sz w:val="22"/>
                <w:szCs w:val="22"/>
                <w:color w:val="auto"/>
                <w:vertAlign w:val="superscript"/>
              </w:rPr>
              <w:t>(c)</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12,991</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352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5.379%</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10,334</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03"/>
        </w:trPr>
        <w:tc>
          <w:tcPr>
            <w:tcW w:w="610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w:t>
            </w:r>
            <w:r>
              <w:rPr>
                <w:rFonts w:ascii="Arial" w:cs="Arial" w:eastAsia="Arial" w:hAnsi="Arial"/>
                <w:sz w:val="22"/>
                <w:szCs w:val="22"/>
                <w:color w:val="auto"/>
                <w:vertAlign w:val="superscript"/>
              </w:rPr>
              <w:t>(a)</w:t>
            </w:r>
          </w:p>
        </w:tc>
        <w:tc>
          <w:tcPr>
            <w:tcW w:w="352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6.007%</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16,801</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20" w:type="dxa"/>
            <w:vAlign w:val="bottom"/>
            <w:tcBorders>
              <w:bottom w:val="single" w:sz="8" w:color="auto"/>
            </w:tcBorders>
          </w:tcPr>
          <w:p>
            <w:pPr>
              <w:jc w:val="right"/>
              <w:ind w:right="30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332</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520" w:type="dxa"/>
            <w:vAlign w:val="bottom"/>
          </w:tcPr>
          <w:p>
            <w:pPr>
              <w:jc w:val="right"/>
              <w:ind w:right="1"/>
              <w:spacing w:after="0" w:line="177" w:lineRule="exact"/>
              <w:rPr>
                <w:sz w:val="20"/>
                <w:szCs w:val="20"/>
                <w:color w:val="auto"/>
              </w:rPr>
            </w:pPr>
            <w:r>
              <w:rPr>
                <w:rFonts w:ascii="Arial" w:cs="Arial" w:eastAsia="Arial" w:hAnsi="Arial"/>
                <w:sz w:val="16"/>
                <w:szCs w:val="16"/>
                <w:color w:val="auto"/>
              </w:rPr>
              <w:t>5.60%</w:t>
            </w:r>
            <w:r>
              <w:rPr>
                <w:rFonts w:ascii="Arial" w:cs="Arial" w:eastAsia="Arial" w:hAnsi="Arial"/>
                <w:sz w:val="20"/>
                <w:szCs w:val="20"/>
                <w:color w:val="auto"/>
                <w:vertAlign w:val="superscript"/>
              </w:rPr>
              <w:t>(b)</w:t>
            </w:r>
          </w:p>
        </w:tc>
        <w:tc>
          <w:tcPr>
            <w:tcW w:w="20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40,458</w:t>
            </w:r>
          </w:p>
        </w:tc>
        <w:tc>
          <w:tcPr>
            <w:tcW w:w="24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39,309</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2,376</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0551D3"/>
            </w:tcBorders>
          </w:tcPr>
          <w:p>
            <w:pPr>
              <w:spacing w:after="0"/>
              <w:rPr>
                <w:sz w:val="17"/>
                <w:szCs w:val="17"/>
                <w:color w:val="auto"/>
              </w:rPr>
            </w:pP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38,082</w:t>
            </w:r>
          </w:p>
        </w:tc>
        <w:tc>
          <w:tcPr>
            <w:tcW w:w="2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both the December 31, 2012 and 2011 amounts include £625 million of 5.50% notes due 2029 translated at $1 billion, using the exchange rates as of these dates.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senior notes with maturities of five years or less as of December 31, 2012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640" w:type="dxa"/>
            <w:vAlign w:val="bottom"/>
          </w:tcPr>
          <w:p>
            <w:pPr>
              <w:jc w:val="right"/>
              <w:ind w:right="218"/>
              <w:spacing w:after="0"/>
              <w:rPr>
                <w:sz w:val="20"/>
                <w:szCs w:val="20"/>
                <w:color w:val="auto"/>
              </w:rPr>
            </w:pPr>
            <w:r>
              <w:rPr>
                <w:rFonts w:ascii="Arial" w:cs="Arial" w:eastAsia="Arial" w:hAnsi="Arial"/>
                <w:sz w:val="14"/>
                <w:szCs w:val="14"/>
                <w:color w:val="auto"/>
              </w:rPr>
              <w:t>Weighted-Average</w:t>
            </w:r>
          </w:p>
        </w:tc>
        <w:tc>
          <w:tcPr>
            <w:tcW w:w="840" w:type="dxa"/>
            <w:vAlign w:val="bottom"/>
          </w:tcPr>
          <w:p>
            <w:pPr>
              <w:spacing w:after="0"/>
              <w:rPr>
                <w:sz w:val="14"/>
                <w:szCs w:val="14"/>
                <w:color w:val="auto"/>
              </w:rPr>
            </w:pPr>
          </w:p>
        </w:tc>
      </w:tr>
      <w:tr>
        <w:trPr>
          <w:trHeight w:val="163"/>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6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color w:val="auto"/>
              </w:rPr>
              <w:t>Interest Rate</w:t>
            </w:r>
          </w:p>
        </w:tc>
        <w:tc>
          <w:tcPr>
            <w:tcW w:w="840" w:type="dxa"/>
            <w:vAlign w:val="bottom"/>
            <w:tcBorders>
              <w:bottom w:val="single" w:sz="8" w:color="auto"/>
            </w:tcBorders>
          </w:tcPr>
          <w:p>
            <w:pPr>
              <w:spacing w:after="0"/>
              <w:rPr>
                <w:sz w:val="14"/>
                <w:szCs w:val="14"/>
                <w:color w:val="auto"/>
              </w:rPr>
            </w:pPr>
          </w:p>
        </w:tc>
      </w:tr>
      <w:tr>
        <w:trPr>
          <w:trHeight w:val="199"/>
        </w:trPr>
        <w:tc>
          <w:tcPr>
            <w:tcW w:w="4940" w:type="dxa"/>
            <w:vAlign w:val="bottom"/>
          </w:tcPr>
          <w:p>
            <w:pPr>
              <w:spacing w:after="0" w:line="200" w:lineRule="exact"/>
              <w:rPr>
                <w:sz w:val="20"/>
                <w:szCs w:val="20"/>
                <w:color w:val="auto"/>
              </w:rPr>
            </w:pPr>
            <w:r>
              <w:rPr>
                <w:rFonts w:ascii="Arial" w:cs="Arial" w:eastAsia="Arial" w:hAnsi="Arial"/>
                <w:sz w:val="18"/>
                <w:szCs w:val="18"/>
                <w:color w:val="auto"/>
              </w:rPr>
              <w:t>2013</w:t>
            </w:r>
          </w:p>
        </w:tc>
        <w:tc>
          <w:tcPr>
            <w:tcW w:w="5640" w:type="dxa"/>
            <w:vAlign w:val="bottom"/>
          </w:tcPr>
          <w:p>
            <w:pPr>
              <w:jc w:val="right"/>
              <w:ind w:right="58"/>
              <w:spacing w:after="0" w:line="200" w:lineRule="exact"/>
              <w:rPr>
                <w:sz w:val="20"/>
                <w:szCs w:val="20"/>
                <w:color w:val="auto"/>
              </w:rPr>
            </w:pPr>
            <w:r>
              <w:rPr>
                <w:rFonts w:ascii="Arial" w:cs="Arial" w:eastAsia="Arial" w:hAnsi="Arial"/>
                <w:sz w:val="18"/>
                <w:szCs w:val="18"/>
                <w:color w:val="auto"/>
              </w:rPr>
              <w:t>8.081%</w:t>
            </w:r>
          </w:p>
        </w:tc>
        <w:tc>
          <w:tcPr>
            <w:tcW w:w="8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$ 2,346</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56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3.698%</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$ 1,945</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56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5.882%</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$ 3,363</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56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4.474%</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$ 2,791</w:t>
            </w:r>
          </w:p>
        </w:tc>
      </w:tr>
      <w:tr>
        <w:trPr>
          <w:trHeight w:val="199"/>
        </w:trPr>
        <w:tc>
          <w:tcPr>
            <w:tcW w:w="4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2017</w:t>
            </w:r>
          </w:p>
        </w:tc>
        <w:tc>
          <w:tcPr>
            <w:tcW w:w="564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6.944%</w:t>
            </w:r>
          </w:p>
        </w:tc>
        <w:tc>
          <w:tcPr>
            <w:tcW w:w="8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$ 2,546</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and 2011, our debt had an estimated fair value of $47.7 billion and $45.1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our loan agreements require that we maintain certain financial ratios based on our debt and our operating income before depreciation and amortization. We were in compliance with all financial covenants for all periods presented. See Note 22 for additional information on our subsidiary guarantee structures.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551D3"/>
        </w:rPr>
        <w:t>2012 Debt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2012 (in millions)</w:t>
      </w:r>
    </w:p>
    <w:tbl>
      <w:tblPr>
        <w:tblLayout w:type="fixed"/>
        <w:tblInd w:w="0" w:type="dxa"/>
        <w:tblCellMar>
          <w:top w:w="0" w:type="dxa"/>
          <w:left w:w="0" w:type="dxa"/>
          <w:bottom w:w="0" w:type="dxa"/>
          <w:right w:w="0" w:type="dxa"/>
        </w:tblCellMar>
      </w:tblPr>
      <w:tr>
        <w:trPr>
          <w:trHeight w:val="199"/>
        </w:trPr>
        <w:tc>
          <w:tcPr>
            <w:tcW w:w="71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Comcast 4.650% senior notes due 2042</w:t>
            </w:r>
          </w:p>
        </w:tc>
        <w:tc>
          <w:tcPr>
            <w:tcW w:w="430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$ 1,250</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Comcast 3.125% senior notes due 2022</w:t>
            </w:r>
          </w:p>
        </w:tc>
        <w:tc>
          <w:tcPr>
            <w:tcW w:w="4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NBCUniversal 2.875% senior notes due 2023</w:t>
            </w:r>
          </w:p>
        </w:tc>
        <w:tc>
          <w:tcPr>
            <w:tcW w:w="4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NBCUniversal 4.450% senior notes due 2043</w:t>
            </w:r>
          </w:p>
        </w:tc>
        <w:tc>
          <w:tcPr>
            <w:tcW w:w="4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Comcast 5% senior notes due 2061</w:t>
            </w:r>
          </w:p>
        </w:tc>
        <w:tc>
          <w:tcPr>
            <w:tcW w:w="4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288</w:t>
            </w:r>
          </w:p>
        </w:tc>
      </w:tr>
      <w:tr>
        <w:trPr>
          <w:trHeight w:val="199"/>
        </w:trPr>
        <w:tc>
          <w:tcPr>
            <w:tcW w:w="7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43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w:t>
            </w:r>
          </w:p>
        </w:tc>
      </w:tr>
      <w:tr>
        <w:trPr>
          <w:trHeight w:val="196"/>
        </w:trPr>
        <w:tc>
          <w:tcPr>
            <w:tcW w:w="71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430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color w:val="auto"/>
              </w:rPr>
              <w:t>$ 4,544</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2013, we issued $750 million aggregate principal amount of 2.850% senior notes due 2023, $1.7 billion aggregate principal amount of 4.250% senior notes due 2033 and $500 million aggregate principal amount of 4.500% senior notes due 2043.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551D3"/>
        </w:rPr>
        <w:t>2012 Debt Repayments and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2012 (in millions)</w:t>
      </w:r>
    </w:p>
    <w:tbl>
      <w:tblPr>
        <w:tblLayout w:type="fixed"/>
        <w:tblInd w:w="0" w:type="dxa"/>
        <w:tblCellMar>
          <w:top w:w="0" w:type="dxa"/>
          <w:left w:w="0" w:type="dxa"/>
          <w:bottom w:w="0" w:type="dxa"/>
          <w:right w:w="0" w:type="dxa"/>
        </w:tblCellMar>
      </w:tblPr>
      <w:tr>
        <w:trPr>
          <w:trHeight w:val="199"/>
        </w:trPr>
        <w:tc>
          <w:tcPr>
            <w:tcW w:w="78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Comcast 7% senior notes due 2055</w:t>
            </w:r>
          </w:p>
        </w:tc>
        <w:tc>
          <w:tcPr>
            <w:tcW w:w="356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$ 1,125</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Comcast 6.625% senior notes due 2056</w:t>
            </w:r>
          </w:p>
        </w:tc>
        <w:tc>
          <w:tcPr>
            <w:tcW w:w="3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575</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Comcast 9.8% senior notes due 2012</w:t>
            </w:r>
          </w:p>
        </w:tc>
        <w:tc>
          <w:tcPr>
            <w:tcW w:w="3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Universal Orlando 8.875% senior notes due 2015</w:t>
            </w:r>
          </w:p>
        </w:tc>
        <w:tc>
          <w:tcPr>
            <w:tcW w:w="3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Comcast 10.625% senior subordinated debentures due 2012</w:t>
            </w:r>
          </w:p>
        </w:tc>
        <w:tc>
          <w:tcPr>
            <w:tcW w:w="3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Universal Orlando 10.875% senior subordinated notes due 2016</w:t>
            </w:r>
          </w:p>
        </w:tc>
        <w:tc>
          <w:tcPr>
            <w:tcW w:w="3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146</w:t>
            </w:r>
          </w:p>
        </w:tc>
      </w:tr>
      <w:tr>
        <w:trPr>
          <w:trHeight w:val="199"/>
        </w:trPr>
        <w:tc>
          <w:tcPr>
            <w:tcW w:w="78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20</w:t>
            </w:r>
          </w:p>
        </w:tc>
      </w:tr>
      <w:tr>
        <w:trPr>
          <w:trHeight w:val="196"/>
        </w:trPr>
        <w:tc>
          <w:tcPr>
            <w:tcW w:w="786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356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color w:val="auto"/>
              </w:rPr>
              <w:t>$ 2,881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0551D3"/>
        </w:rPr>
        <w:t>Commercial Paper Programs</w:t>
      </w:r>
    </w:p>
    <w:p>
      <w:pPr>
        <w:jc w:val="both"/>
        <w:spacing w:after="0" w:line="238" w:lineRule="auto"/>
        <w:rPr>
          <w:sz w:val="20"/>
          <w:szCs w:val="20"/>
          <w:color w:val="auto"/>
        </w:rPr>
      </w:pPr>
      <w:r>
        <w:rPr>
          <w:rFonts w:ascii="Arial" w:cs="Arial" w:eastAsia="Arial" w:hAnsi="Arial"/>
          <w:sz w:val="18"/>
          <w:szCs w:val="18"/>
          <w:color w:val="auto"/>
        </w:rPr>
        <w:t>Our commercial paper programs provide a lower cost source of borrowing to fund our short-term working capital requirements and are supported by our revolving credit facilities. As of December 31, 2012, the borrowing capacity available under these programs totaled $2.25 billion for Comcast and $1.5 billion for NBCUniversal.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Revolving Credit Facilities</w:t>
      </w:r>
    </w:p>
    <w:p>
      <w:pPr>
        <w:jc w:val="both"/>
        <w:spacing w:after="0" w:line="236" w:lineRule="auto"/>
        <w:rPr>
          <w:sz w:val="20"/>
          <w:szCs w:val="20"/>
          <w:color w:val="auto"/>
        </w:rPr>
      </w:pPr>
      <w:r>
        <w:rPr>
          <w:rFonts w:ascii="Arial" w:cs="Arial" w:eastAsia="Arial" w:hAnsi="Arial"/>
          <w:sz w:val="18"/>
          <w:szCs w:val="18"/>
          <w:color w:val="auto"/>
        </w:rPr>
        <w:t>In June 2012, Comcast and Comcast Cable Communications, LLC entered into a new $6.25 billion revolving credit facility due June 2017 with a syndicate of banks that may be used for general corporate purposes. The new credit facility replaces our prior $6.8 billion credit facility, which was terminated in connection with the execution of the new credit facility. The interest rate on the new facility consists of a base rate plus a borrowing margin that is determined based on Comcast’s credit rating. As of December 31, 2012, the borrowing margin for LIBOR-based borrowings was 1.125%. The terms of the new credit facility’s financial covenants and guarantees are substantially the same as those under the prior credit facility. As of December 31, 2012, amounts available under the new credit facility, net of amounts outstanding under our commercial paper program and undrawn letters of credit, totaled $5.8 billion.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2012, NBCUniversal had a $1.5 billion credit facility due June 2016 with a syndicate of banks. The interest rate on this facility consists of a base rate plus a borrowing margin that is determined based on NBCUniversal’s credit rating. As of December 31, 2012, the borrowing margin for LIBOR-based borrowings was 1.125%. As of December 31, 2012, amounts available under this credit facility, net of amounts outstanding under our commercial paper program and undrawn letters of credit, totaled $1.4 billion.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Letters of Credit</w:t>
      </w:r>
    </w:p>
    <w:p>
      <w:pPr>
        <w:jc w:val="both"/>
        <w:spacing w:after="0" w:line="239" w:lineRule="auto"/>
        <w:rPr>
          <w:sz w:val="20"/>
          <w:szCs w:val="20"/>
          <w:color w:val="auto"/>
        </w:rPr>
      </w:pPr>
      <w:r>
        <w:rPr>
          <w:rFonts w:ascii="Arial" w:cs="Arial" w:eastAsia="Arial" w:hAnsi="Arial"/>
          <w:sz w:val="18"/>
          <w:szCs w:val="18"/>
          <w:color w:val="auto"/>
        </w:rPr>
        <w:t>As of December 31, 2012, we and certain of our subsidiaries had unused irrevocable standby letters of credit totaling $557 million to cover potential fundings under various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10: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59" w:lineRule="exact"/>
        <w:rPr>
          <w:sz w:val="20"/>
          <w:szCs w:val="20"/>
          <w:color w:val="auto"/>
        </w:rPr>
      </w:pPr>
    </w:p>
    <w:p>
      <w:pPr>
        <w:ind w:left="1020" w:right="124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60" w:lineRule="exact"/>
        <w:rPr>
          <w:rFonts w:ascii="Arial" w:cs="Arial" w:eastAsia="Arial" w:hAnsi="Arial"/>
          <w:sz w:val="18"/>
          <w:szCs w:val="18"/>
          <w:color w:val="auto"/>
        </w:rPr>
      </w:pPr>
    </w:p>
    <w:p>
      <w:pPr>
        <w:jc w:val="both"/>
        <w:ind w:left="1020" w:right="1240" w:hanging="215"/>
        <w:spacing w:after="0" w:line="23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020" w:right="1240" w:hanging="215"/>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551D3"/>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14"/>
              <w:spacing w:after="0"/>
              <w:rPr>
                <w:sz w:val="20"/>
                <w:szCs w:val="20"/>
                <w:color w:val="auto"/>
              </w:rPr>
            </w:pPr>
            <w:r>
              <w:rPr>
                <w:rFonts w:ascii="Arial" w:cs="Arial" w:eastAsia="Arial" w:hAnsi="Arial"/>
                <w:sz w:val="14"/>
                <w:szCs w:val="14"/>
                <w:b w:val="1"/>
                <w:bCs w:val="1"/>
                <w:color w:val="auto"/>
              </w:rPr>
              <w:t>Fair Value as of December 31, 2012</w:t>
            </w:r>
          </w:p>
        </w:tc>
        <w:tc>
          <w:tcPr>
            <w:tcW w:w="2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474"/>
              <w:spacing w:after="0"/>
              <w:rPr>
                <w:sz w:val="20"/>
                <w:szCs w:val="20"/>
                <w:color w:val="auto"/>
              </w:rPr>
            </w:pPr>
            <w:r>
              <w:rPr>
                <w:rFonts w:ascii="Arial" w:cs="Arial" w:eastAsia="Arial" w:hAnsi="Arial"/>
                <w:sz w:val="14"/>
                <w:szCs w:val="14"/>
                <w:color w:val="auto"/>
              </w:rPr>
              <w:t>Fair Value as of December 31, 2011</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Level 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Level 3</w:t>
            </w:r>
          </w:p>
        </w:tc>
        <w:tc>
          <w:tcPr>
            <w:tcW w:w="8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Level 1</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3</w:t>
            </w:r>
          </w:p>
        </w:tc>
        <w:tc>
          <w:tcPr>
            <w:tcW w:w="8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492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4,027</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$ 4,027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line="181" w:lineRule="exact"/>
              <w:rPr>
                <w:sz w:val="20"/>
                <w:szCs w:val="20"/>
                <w:color w:val="auto"/>
              </w:rPr>
            </w:pPr>
            <w:r>
              <w:rPr>
                <w:rFonts w:ascii="Arial" w:cs="Arial" w:eastAsia="Arial" w:hAnsi="Arial"/>
                <w:sz w:val="18"/>
                <w:szCs w:val="18"/>
                <w:color w:val="auto"/>
              </w:rPr>
              <w:t>Trading securities</w:t>
            </w:r>
          </w:p>
        </w:tc>
        <w:tc>
          <w:tcPr>
            <w:tcW w:w="2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2,895</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$ 2,895</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367</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21</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464</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246</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Cross-currency swap agreements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warrants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4,394</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322</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23</w:t>
            </w:r>
          </w:p>
        </w:tc>
        <w:tc>
          <w:tcPr>
            <w:tcW w:w="8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$ 4,739</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color w:val="auto"/>
              </w:rPr>
              <w:t>2,985</w:t>
            </w:r>
          </w:p>
        </w:tc>
        <w:tc>
          <w:tcPr>
            <w:tcW w:w="2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276</w:t>
            </w:r>
          </w:p>
        </w:tc>
        <w:tc>
          <w:tcPr>
            <w:tcW w:w="2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23</w:t>
            </w:r>
          </w:p>
        </w:tc>
        <w:tc>
          <w:tcPr>
            <w:tcW w:w="8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$ 3,284</w:t>
            </w:r>
          </w:p>
        </w:tc>
        <w:tc>
          <w:tcPr>
            <w:tcW w:w="0" w:type="dxa"/>
            <w:vAlign w:val="bottom"/>
          </w:tcPr>
          <w:p>
            <w:pPr>
              <w:spacing w:after="0"/>
              <w:rPr>
                <w:sz w:val="1"/>
                <w:szCs w:val="1"/>
                <w:color w:val="auto"/>
              </w:rPr>
            </w:pPr>
          </w:p>
        </w:tc>
      </w:tr>
      <w:tr>
        <w:trPr>
          <w:trHeight w:val="294"/>
        </w:trPr>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w w:val="98"/>
              </w:rPr>
              <w:t>Derivative component of prepaid forward sale agreements and</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2,305</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$ 2,305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20"/>
              <w:spacing w:after="0" w:line="181" w:lineRule="exact"/>
              <w:rPr>
                <w:sz w:val="20"/>
                <w:szCs w:val="20"/>
                <w:color w:val="auto"/>
              </w:rPr>
            </w:pPr>
            <w:r>
              <w:rPr>
                <w:rFonts w:ascii="Arial" w:cs="Arial" w:eastAsia="Arial" w:hAnsi="Arial"/>
                <w:sz w:val="18"/>
                <w:szCs w:val="18"/>
                <w:color w:val="auto"/>
              </w:rPr>
              <w:t>indexed debt instruments</w:t>
            </w:r>
          </w:p>
        </w:tc>
        <w:tc>
          <w:tcPr>
            <w:tcW w:w="2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1,234</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$ 1,234</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1,055</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1,055</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1,004</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587</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587</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583</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Cross-currency swap agreements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2,319</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1,642</w:t>
            </w:r>
          </w:p>
        </w:tc>
        <w:tc>
          <w:tcPr>
            <w:tcW w:w="8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$ 3,961</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1,311</w:t>
            </w:r>
          </w:p>
        </w:tc>
        <w:tc>
          <w:tcPr>
            <w:tcW w:w="2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1,587</w:t>
            </w:r>
          </w:p>
        </w:tc>
        <w:tc>
          <w:tcPr>
            <w:tcW w:w="8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$ 2,898</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 we use are our estimates of the future revenue we expect to generate from certain NBCUniversal entities, which are related to our contractual obligations, and future net tax benefits that will affect payments to GE, which are related to contingent consideration. The discount rates used in the measurements of fair value were between 6% and 14% and are based on the underlying risk associated with our estimate of future revenue, as well as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0551D3"/>
        </w:rPr>
        <w:t>Changes in Contractual Obligations and Contingent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Borders>
              <w:top w:val="single" w:sz="8" w:color="auto"/>
            </w:tcBorders>
          </w:tcPr>
          <w:p>
            <w:pPr>
              <w:spacing w:after="0"/>
              <w:rPr>
                <w:sz w:val="14"/>
                <w:szCs w:val="14"/>
                <w:color w:val="auto"/>
              </w:rPr>
            </w:pPr>
          </w:p>
        </w:tc>
        <w:tc>
          <w:tcPr>
            <w:tcW w:w="6200" w:type="dxa"/>
            <w:vAlign w:val="bottom"/>
            <w:tcBorders>
              <w:top w:val="single" w:sz="8" w:color="auto"/>
            </w:tcBorders>
            <w:gridSpan w:val="2"/>
          </w:tcPr>
          <w:p>
            <w:pPr>
              <w:ind w:left="5360"/>
              <w:spacing w:after="0"/>
              <w:rPr>
                <w:sz w:val="20"/>
                <w:szCs w:val="20"/>
                <w:color w:val="auto"/>
              </w:rPr>
            </w:pPr>
            <w:r>
              <w:rPr>
                <w:rFonts w:ascii="Arial" w:cs="Arial" w:eastAsia="Arial" w:hAnsi="Arial"/>
                <w:sz w:val="14"/>
                <w:szCs w:val="14"/>
                <w:color w:val="auto"/>
              </w:rPr>
              <w:t>Contractual</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Contingent</w:t>
            </w:r>
          </w:p>
        </w:tc>
      </w:tr>
      <w:tr>
        <w:trPr>
          <w:trHeight w:val="149"/>
        </w:trPr>
        <w:tc>
          <w:tcPr>
            <w:tcW w:w="4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6200" w:type="dxa"/>
            <w:vAlign w:val="bottom"/>
            <w:tcBorders>
              <w:bottom w:val="single" w:sz="8" w:color="auto"/>
            </w:tcBorders>
            <w:gridSpan w:val="2"/>
          </w:tcPr>
          <w:p>
            <w:pPr>
              <w:ind w:left="5380"/>
              <w:spacing w:after="0" w:line="149" w:lineRule="exact"/>
              <w:rPr>
                <w:sz w:val="20"/>
                <w:szCs w:val="20"/>
                <w:color w:val="auto"/>
              </w:rPr>
            </w:pPr>
            <w:r>
              <w:rPr>
                <w:rFonts w:ascii="Arial" w:cs="Arial" w:eastAsia="Arial" w:hAnsi="Arial"/>
                <w:sz w:val="14"/>
                <w:szCs w:val="14"/>
                <w:color w:val="auto"/>
              </w:rPr>
              <w:t>Obligations</w:t>
            </w:r>
          </w:p>
        </w:tc>
        <w:tc>
          <w:tcPr>
            <w:tcW w:w="10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Consideration</w:t>
            </w:r>
          </w:p>
        </w:tc>
      </w:tr>
      <w:tr>
        <w:trPr>
          <w:trHeight w:val="199"/>
        </w:trPr>
        <w:tc>
          <w:tcPr>
            <w:tcW w:w="420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5540" w:type="dxa"/>
            <w:vAlign w:val="bottom"/>
          </w:tcPr>
          <w:p>
            <w:pPr>
              <w:ind w:left="536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1,004</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583</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Acquisition accounting adjustments</w:t>
            </w:r>
          </w:p>
        </w:tc>
        <w:tc>
          <w:tcPr>
            <w:tcW w:w="55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5540" w:type="dxa"/>
            <w:vAlign w:val="bottom"/>
          </w:tcPr>
          <w:p>
            <w:pPr>
              <w:spacing w:after="0"/>
              <w:rPr>
                <w:sz w:val="17"/>
                <w:szCs w:val="17"/>
                <w:color w:val="auto"/>
              </w:rPr>
            </w:pPr>
          </w:p>
        </w:tc>
        <w:tc>
          <w:tcPr>
            <w:tcW w:w="6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186</w:t>
            </w:r>
          </w:p>
        </w:tc>
        <w:tc>
          <w:tcPr>
            <w:tcW w:w="22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137</w:t>
            </w:r>
          </w:p>
        </w:tc>
      </w:tr>
      <w:tr>
        <w:trPr>
          <w:trHeight w:val="199"/>
        </w:trPr>
        <w:tc>
          <w:tcPr>
            <w:tcW w:w="4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Payments</w:t>
            </w:r>
          </w:p>
        </w:tc>
        <w:tc>
          <w:tcPr>
            <w:tcW w:w="5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(133)</w:t>
            </w:r>
          </w:p>
        </w:tc>
      </w:tr>
      <w:tr>
        <w:trPr>
          <w:trHeight w:val="196"/>
        </w:trPr>
        <w:tc>
          <w:tcPr>
            <w:tcW w:w="42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5540" w:type="dxa"/>
            <w:vAlign w:val="bottom"/>
            <w:tcBorders>
              <w:bottom w:val="single" w:sz="8" w:color="0551D3"/>
            </w:tcBorders>
          </w:tcPr>
          <w:p>
            <w:pPr>
              <w:ind w:left="53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1,055</w:t>
            </w:r>
          </w:p>
        </w:tc>
        <w:tc>
          <w:tcPr>
            <w:tcW w:w="22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587</w:t>
            </w:r>
          </w:p>
        </w:tc>
      </w:tr>
      <w:tr>
        <w:trPr>
          <w:trHeight w:val="304"/>
        </w:trPr>
        <w:tc>
          <w:tcPr>
            <w:tcW w:w="4200" w:type="dxa"/>
            <w:vAlign w:val="bottom"/>
          </w:tcPr>
          <w:p>
            <w:pPr>
              <w:spacing w:after="0"/>
              <w:rPr>
                <w:sz w:val="24"/>
                <w:szCs w:val="24"/>
                <w:color w:val="auto"/>
              </w:rPr>
            </w:pPr>
          </w:p>
        </w:tc>
        <w:tc>
          <w:tcPr>
            <w:tcW w:w="5540" w:type="dxa"/>
            <w:vAlign w:val="bottom"/>
          </w:tcPr>
          <w:p>
            <w:pPr>
              <w:ind w:left="1440"/>
              <w:spacing w:after="0"/>
              <w:rPr>
                <w:sz w:val="20"/>
                <w:szCs w:val="20"/>
                <w:color w:val="auto"/>
              </w:rPr>
            </w:pPr>
            <w:r>
              <w:rPr>
                <w:rFonts w:ascii="Arial" w:cs="Arial" w:eastAsia="Arial" w:hAnsi="Arial"/>
                <w:sz w:val="14"/>
                <w:szCs w:val="14"/>
                <w:b w:val="1"/>
                <w:bCs w:val="1"/>
                <w:color w:val="auto"/>
              </w:rPr>
              <w:t>27</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and stage play production costs of $161 million and $57 million were recorded in 2012 and 2011,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11: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NBCUniversal transaction in January 2011, we obtained a portion of our interest in NBCUniversal Holdings in exchange for GE receiving a 49% indirect noncontrolling interest in the Comcast Content Business. The difference between the fair value of the interest we received and the historical carrying value of the noncontrolling interest in the Comcast Content Business resulted in an increase of $1.7 billion, net of taxes, to additional paid-in capital in 2011.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GE’s 49% noncontrolling common equity interest in NBCUniversal Holdings is recorded as a redeemable noncontrolling interest in our consolidated financial statements due to the redemption provisions discussed in Note 4. The initial value for the redeemable noncontrolling interest was based on the fair value for the portion attributable to the net assets of the NBCUniversal businesses we acquired and based on our historical cost for the portion attributable to the Comcast Content Business. We adjust GE’s redeemable noncontrolling interest for its 49% interest in NBCUniversal Holdings’ and NBCUniversal’s earnings and changes in other comprehensive income, as well as for other capital transactions attributable to GE. The carrying amount of GE’s redeemable noncontrolling interest was in excess of the estimated redemption value as of December 31, 2012.</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On February 12, 2013, we entered into an agreement to acquire GE’s 49% noncontrolling common equity interest in NBCUniversal Holdings. See Note 21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551D3"/>
        </w:rPr>
        <w:t>Changes in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9560" w:type="dxa"/>
            <w:vAlign w:val="bottom"/>
          </w:tcPr>
          <w:p>
            <w:pPr>
              <w:spacing w:after="0" w:line="200" w:lineRule="exact"/>
              <w:rPr>
                <w:sz w:val="20"/>
                <w:szCs w:val="20"/>
                <w:color w:val="auto"/>
              </w:rPr>
            </w:pPr>
            <w:r>
              <w:rPr>
                <w:rFonts w:ascii="Arial" w:cs="Arial" w:eastAsia="Arial" w:hAnsi="Arial"/>
                <w:sz w:val="18"/>
                <w:szCs w:val="18"/>
                <w:color w:val="auto"/>
              </w:rPr>
              <w:t>Net income attributable to Comcast Corporation</w:t>
            </w:r>
          </w:p>
        </w:tc>
        <w:tc>
          <w:tcPr>
            <w:tcW w:w="980" w:type="dxa"/>
            <w:vAlign w:val="bottom"/>
          </w:tcPr>
          <w:p>
            <w:pPr>
              <w:jc w:val="right"/>
              <w:ind w:right="56"/>
              <w:spacing w:after="0" w:line="200" w:lineRule="exact"/>
              <w:rPr>
                <w:sz w:val="20"/>
                <w:szCs w:val="20"/>
                <w:color w:val="auto"/>
              </w:rPr>
            </w:pPr>
            <w:r>
              <w:rPr>
                <w:rFonts w:ascii="Arial" w:cs="Arial" w:eastAsia="Arial" w:hAnsi="Arial"/>
                <w:sz w:val="18"/>
                <w:szCs w:val="18"/>
                <w:b w:val="1"/>
                <w:bCs w:val="1"/>
                <w:color w:val="auto"/>
              </w:rPr>
              <w:t>$ 6,203</w:t>
            </w:r>
          </w:p>
        </w:tc>
        <w:tc>
          <w:tcPr>
            <w:tcW w:w="8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$ 4,160</w:t>
            </w:r>
          </w:p>
        </w:tc>
        <w:tc>
          <w:tcPr>
            <w:tcW w:w="0" w:type="dxa"/>
            <w:vAlign w:val="bottom"/>
          </w:tcPr>
          <w:p>
            <w:pPr>
              <w:spacing w:after="0"/>
              <w:rPr>
                <w:sz w:val="1"/>
                <w:szCs w:val="1"/>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98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560" w:type="dxa"/>
            <w:vAlign w:val="bottom"/>
          </w:tcPr>
          <w:p>
            <w:pPr>
              <w:ind w:left="220"/>
              <w:spacing w:after="0" w:line="181" w:lineRule="exact"/>
              <w:rPr>
                <w:sz w:val="20"/>
                <w:szCs w:val="20"/>
                <w:color w:val="auto"/>
              </w:rPr>
            </w:pPr>
            <w:r>
              <w:rPr>
                <w:rFonts w:ascii="Arial" w:cs="Arial" w:eastAsia="Arial" w:hAnsi="Arial"/>
                <w:sz w:val="18"/>
                <w:szCs w:val="18"/>
                <w:color w:val="auto"/>
                <w:w w:val="99"/>
              </w:rPr>
              <w:t>Increase in Comcast Corporation additional paid-in capital resulting from the issuance of noncontrolling equity interest</w:t>
            </w:r>
          </w:p>
        </w:tc>
        <w:tc>
          <w:tcPr>
            <w:tcW w:w="980" w:type="dxa"/>
            <w:vAlign w:val="bottom"/>
            <w:vMerge w:val="continue"/>
          </w:tcPr>
          <w:p>
            <w:pPr>
              <w:spacing w:after="0"/>
              <w:rPr>
                <w:sz w:val="15"/>
                <w:szCs w:val="15"/>
                <w:color w:val="auto"/>
              </w:rPr>
            </w:pPr>
          </w:p>
        </w:tc>
        <w:tc>
          <w:tcPr>
            <w:tcW w:w="8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1"/>
        </w:trPr>
        <w:tc>
          <w:tcPr>
            <w:tcW w:w="9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9560" w:type="dxa"/>
            <w:vAlign w:val="bottom"/>
          </w:tcPr>
          <w:p>
            <w:pPr>
              <w:spacing w:after="0" w:line="200" w:lineRule="exact"/>
              <w:rPr>
                <w:sz w:val="20"/>
                <w:szCs w:val="20"/>
                <w:color w:val="auto"/>
              </w:rPr>
            </w:pPr>
            <w:r>
              <w:rPr>
                <w:rFonts w:ascii="Arial" w:cs="Arial" w:eastAsia="Arial" w:hAnsi="Arial"/>
                <w:sz w:val="18"/>
                <w:szCs w:val="18"/>
                <w:color w:val="auto"/>
              </w:rPr>
              <w:t>Changes in equity resulting from net income attributable to Comcast Corporation and transfers from (to) noncontrolling</w:t>
            </w:r>
          </w:p>
        </w:tc>
        <w:tc>
          <w:tcPr>
            <w:tcW w:w="98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$ 6,205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560" w:type="dxa"/>
            <w:vAlign w:val="bottom"/>
            <w:tcBorders>
              <w:bottom w:val="single" w:sz="8" w:color="0551D3"/>
            </w:tcBorders>
          </w:tcPr>
          <w:p>
            <w:pPr>
              <w:ind w:left="220"/>
              <w:spacing w:after="0" w:line="200" w:lineRule="exact"/>
              <w:rPr>
                <w:sz w:val="20"/>
                <w:szCs w:val="20"/>
                <w:color w:val="auto"/>
              </w:rPr>
            </w:pPr>
            <w:r>
              <w:rPr>
                <w:rFonts w:ascii="Arial" w:cs="Arial" w:eastAsia="Arial" w:hAnsi="Arial"/>
                <w:sz w:val="18"/>
                <w:szCs w:val="18"/>
                <w:color w:val="auto"/>
              </w:rPr>
              <w:t>interests</w:t>
            </w:r>
          </w:p>
        </w:tc>
        <w:tc>
          <w:tcPr>
            <w:tcW w:w="980" w:type="dxa"/>
            <w:vAlign w:val="bottom"/>
            <w:tcBorders>
              <w:bottom w:val="single" w:sz="8" w:color="0551D3"/>
            </w:tcBorders>
            <w:vMerge w:val="continue"/>
          </w:tcPr>
          <w:p>
            <w:pPr>
              <w:spacing w:after="0"/>
              <w:rPr>
                <w:sz w:val="17"/>
                <w:szCs w:val="17"/>
                <w:color w:val="auto"/>
              </w:rPr>
            </w:pPr>
          </w:p>
        </w:tc>
        <w:tc>
          <w:tcPr>
            <w:tcW w:w="880" w:type="dxa"/>
            <w:vAlign w:val="bottom"/>
            <w:tcBorders>
              <w:bottom w:val="single" w:sz="8" w:color="0551D3"/>
            </w:tcBorders>
          </w:tcPr>
          <w:p>
            <w:pPr>
              <w:jc w:val="right"/>
              <w:ind w:right="16"/>
              <w:spacing w:after="0" w:line="200" w:lineRule="exact"/>
              <w:rPr>
                <w:sz w:val="20"/>
                <w:szCs w:val="20"/>
                <w:color w:val="auto"/>
              </w:rPr>
            </w:pPr>
            <w:r>
              <w:rPr>
                <w:rFonts w:ascii="Arial" w:cs="Arial" w:eastAsia="Arial" w:hAnsi="Arial"/>
                <w:sz w:val="18"/>
                <w:szCs w:val="18"/>
                <w:color w:val="auto"/>
              </w:rPr>
              <w:t>$ 5,810</w:t>
            </w:r>
          </w:p>
        </w:tc>
        <w:tc>
          <w:tcPr>
            <w:tcW w:w="0" w:type="dxa"/>
            <w:vAlign w:val="bottom"/>
          </w:tcPr>
          <w:p>
            <w:pPr>
              <w:spacing w:after="0"/>
              <w:rPr>
                <w:sz w:val="1"/>
                <w:szCs w:val="1"/>
                <w:color w:val="auto"/>
              </w:rPr>
            </w:pPr>
          </w:p>
        </w:tc>
      </w:tr>
      <w:tr>
        <w:trPr>
          <w:trHeight w:val="304"/>
        </w:trPr>
        <w:tc>
          <w:tcPr>
            <w:tcW w:w="9560" w:type="dxa"/>
            <w:vAlign w:val="bottom"/>
          </w:tcPr>
          <w:p>
            <w:pPr>
              <w:ind w:left="5640"/>
              <w:spacing w:after="0"/>
              <w:rPr>
                <w:sz w:val="20"/>
                <w:szCs w:val="20"/>
                <w:color w:val="auto"/>
              </w:rPr>
            </w:pPr>
            <w:r>
              <w:rPr>
                <w:rFonts w:ascii="Arial" w:cs="Arial" w:eastAsia="Arial" w:hAnsi="Arial"/>
                <w:sz w:val="14"/>
                <w:szCs w:val="14"/>
                <w:b w:val="1"/>
                <w:bCs w:val="1"/>
                <w:color w:val="auto"/>
              </w:rPr>
              <w:t>28</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1300" w:type="dxa"/>
            <w:vAlign w:val="bottom"/>
            <w:gridSpan w:val="2"/>
          </w:tcPr>
          <w:p>
            <w:pPr>
              <w:jc w:val="right"/>
              <w:ind w:right="177"/>
              <w:spacing w:after="0" w:line="125" w:lineRule="exact"/>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0"/>
                <w:szCs w:val="10"/>
                <w:color w:val="auto"/>
              </w:rPr>
            </w:pPr>
          </w:p>
        </w:tc>
        <w:tc>
          <w:tcPr>
            <w:tcW w:w="96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260" w:type="dxa"/>
            <w:vAlign w:val="bottom"/>
            <w:gridSpan w:val="2"/>
          </w:tcPr>
          <w:p>
            <w:pPr>
              <w:jc w:val="right"/>
              <w:ind w:right="197"/>
              <w:spacing w:after="0" w:line="125" w:lineRule="exact"/>
              <w:rPr>
                <w:sz w:val="20"/>
                <w:szCs w:val="20"/>
                <w:color w:val="auto"/>
              </w:rPr>
            </w:pPr>
            <w:r>
              <w:rPr>
                <w:rFonts w:ascii="Arial" w:cs="Arial" w:eastAsia="Arial" w:hAnsi="Arial"/>
                <w:sz w:val="14"/>
                <w:szCs w:val="14"/>
                <w:color w:val="auto"/>
              </w:rPr>
              <w:t>Postretirement</w:t>
            </w:r>
          </w:p>
        </w:tc>
        <w:tc>
          <w:tcPr>
            <w:tcW w:w="120" w:type="dxa"/>
            <w:vAlign w:val="bottom"/>
          </w:tcPr>
          <w:p>
            <w:pPr>
              <w:spacing w:after="0"/>
              <w:rPr>
                <w:sz w:val="10"/>
                <w:szCs w:val="10"/>
                <w:color w:val="auto"/>
              </w:rPr>
            </w:pPr>
          </w:p>
        </w:tc>
        <w:tc>
          <w:tcPr>
            <w:tcW w:w="96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1200" w:type="dxa"/>
            <w:vAlign w:val="bottom"/>
            <w:gridSpan w:val="2"/>
          </w:tcPr>
          <w:p>
            <w:pPr>
              <w:jc w:val="right"/>
              <w:ind w:right="157"/>
              <w:spacing w:after="0" w:line="125" w:lineRule="exact"/>
              <w:rPr>
                <w:sz w:val="20"/>
                <w:szCs w:val="20"/>
                <w:color w:val="auto"/>
              </w:rPr>
            </w:pPr>
            <w:r>
              <w:rPr>
                <w:rFonts w:ascii="Arial" w:cs="Arial" w:eastAsia="Arial" w:hAnsi="Arial"/>
                <w:sz w:val="14"/>
                <w:szCs w:val="14"/>
                <w:color w:val="auto"/>
              </w:rPr>
              <w:t>Postretirement</w:t>
            </w:r>
          </w:p>
        </w:tc>
        <w:tc>
          <w:tcPr>
            <w:tcW w:w="78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65"/>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Benefits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Benefits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Benefits</w:t>
            </w: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7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40" w:type="dxa"/>
            <w:vAlign w:val="bottom"/>
          </w:tcPr>
          <w:p>
            <w:pPr>
              <w:jc w:val="right"/>
              <w:ind w:right="82"/>
              <w:spacing w:after="0" w:line="177"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7"/>
              <w:spacing w:after="0" w:line="177" w:lineRule="exact"/>
              <w:rPr>
                <w:sz w:val="20"/>
                <w:szCs w:val="20"/>
                <w:color w:val="auto"/>
              </w:rPr>
            </w:pPr>
            <w:r>
              <w:rPr>
                <w:rFonts w:ascii="Arial" w:cs="Arial" w:eastAsia="Arial" w:hAnsi="Arial"/>
                <w:sz w:val="18"/>
                <w:szCs w:val="18"/>
                <w:b w:val="1"/>
                <w:bCs w:val="1"/>
                <w:color w:val="auto"/>
              </w:rPr>
              <w:t>703</w:t>
            </w:r>
          </w:p>
        </w:tc>
        <w:tc>
          <w:tcPr>
            <w:tcW w:w="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805</w:t>
            </w:r>
          </w:p>
        </w:tc>
        <w:tc>
          <w:tcPr>
            <w:tcW w:w="320" w:type="dxa"/>
            <w:vAlign w:val="bottom"/>
          </w:tcPr>
          <w:p>
            <w:pPr>
              <w:jc w:val="right"/>
              <w:ind w:right="62"/>
              <w:spacing w:after="0" w:line="177"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7"/>
              <w:spacing w:after="0" w:line="177" w:lineRule="exact"/>
              <w:rPr>
                <w:sz w:val="20"/>
                <w:szCs w:val="20"/>
                <w:color w:val="auto"/>
              </w:rPr>
            </w:pPr>
            <w:r>
              <w:rPr>
                <w:rFonts w:ascii="Arial" w:cs="Arial" w:eastAsia="Arial" w:hAnsi="Arial"/>
                <w:sz w:val="18"/>
                <w:szCs w:val="18"/>
                <w:color w:val="auto"/>
              </w:rPr>
              <w:t>618</w:t>
            </w:r>
          </w:p>
        </w:tc>
        <w:tc>
          <w:tcPr>
            <w:tcW w:w="120" w:type="dxa"/>
            <w:vAlign w:val="bottom"/>
          </w:tcPr>
          <w:p>
            <w:pPr>
              <w:jc w:val="right"/>
              <w:spacing w:after="0" w:line="177"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638</w:t>
            </w:r>
          </w:p>
        </w:tc>
        <w:tc>
          <w:tcPr>
            <w:tcW w:w="320" w:type="dxa"/>
            <w:vAlign w:val="bottom"/>
          </w:tcPr>
          <w:p>
            <w:pPr>
              <w:jc w:val="right"/>
              <w:ind w:right="62"/>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424</w:t>
            </w:r>
          </w:p>
        </w:tc>
        <w:tc>
          <w:tcPr>
            <w:tcW w:w="78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$ 197</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340" w:type="dxa"/>
            <w:vAlign w:val="bottom"/>
          </w:tcPr>
          <w:p>
            <w:pPr>
              <w:spacing w:after="0"/>
              <w:rPr>
                <w:sz w:val="17"/>
                <w:szCs w:val="17"/>
                <w:color w:val="auto"/>
              </w:rPr>
            </w:pPr>
          </w:p>
        </w:tc>
        <w:tc>
          <w:tcPr>
            <w:tcW w:w="96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96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403</w:t>
            </w:r>
          </w:p>
        </w:tc>
        <w:tc>
          <w:tcPr>
            <w:tcW w:w="320" w:type="dxa"/>
            <w:vAlign w:val="bottom"/>
          </w:tcPr>
          <w:p>
            <w:pPr>
              <w:spacing w:after="0"/>
              <w:rPr>
                <w:sz w:val="17"/>
                <w:szCs w:val="17"/>
                <w:color w:val="auto"/>
              </w:rPr>
            </w:pPr>
          </w:p>
        </w:tc>
        <w:tc>
          <w:tcPr>
            <w:tcW w:w="94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176</w:t>
            </w:r>
          </w:p>
        </w:tc>
        <w:tc>
          <w:tcPr>
            <w:tcW w:w="320" w:type="dxa"/>
            <w:vAlign w:val="bottom"/>
          </w:tcPr>
          <w:p>
            <w:pPr>
              <w:spacing w:after="0"/>
              <w:rPr>
                <w:sz w:val="17"/>
                <w:szCs w:val="17"/>
                <w:color w:val="auto"/>
              </w:rPr>
            </w:pPr>
          </w:p>
        </w:tc>
        <w:tc>
          <w:tcPr>
            <w:tcW w:w="88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470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340" w:type="dxa"/>
            <w:vAlign w:val="bottom"/>
          </w:tcPr>
          <w:p>
            <w:pPr>
              <w:spacing w:after="0"/>
              <w:rPr>
                <w:sz w:val="19"/>
                <w:szCs w:val="19"/>
                <w:color w:val="auto"/>
              </w:rPr>
            </w:pPr>
          </w:p>
        </w:tc>
        <w:tc>
          <w:tcPr>
            <w:tcW w:w="960" w:type="dxa"/>
            <w:vAlign w:val="bottom"/>
          </w:tcPr>
          <w:p>
            <w:pPr>
              <w:jc w:val="right"/>
              <w:ind w:right="117"/>
              <w:spacing w:after="0"/>
              <w:rPr>
                <w:sz w:val="20"/>
                <w:szCs w:val="20"/>
                <w:color w:val="auto"/>
              </w:rPr>
            </w:pPr>
            <w:r>
              <w:rPr>
                <w:rFonts w:ascii="Arial" w:cs="Arial" w:eastAsia="Arial" w:hAnsi="Arial"/>
                <w:sz w:val="18"/>
                <w:szCs w:val="18"/>
                <w:b w:val="1"/>
                <w:bCs w:val="1"/>
                <w:color w:val="auto"/>
              </w:rPr>
              <w:t>(703)</w:t>
            </w:r>
          </w:p>
        </w:tc>
        <w:tc>
          <w:tcPr>
            <w:tcW w:w="14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b w:val="1"/>
                <w:bCs w:val="1"/>
                <w:color w:val="auto"/>
              </w:rPr>
              <w:t>(402)</w:t>
            </w:r>
          </w:p>
        </w:tc>
        <w:tc>
          <w:tcPr>
            <w:tcW w:w="320" w:type="dxa"/>
            <w:vAlign w:val="bottom"/>
          </w:tcPr>
          <w:p>
            <w:pPr>
              <w:spacing w:after="0"/>
              <w:rPr>
                <w:sz w:val="19"/>
                <w:szCs w:val="19"/>
                <w:color w:val="auto"/>
              </w:rPr>
            </w:pP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9"/>
                <w:szCs w:val="19"/>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(424)</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 benefit</w:t>
            </w:r>
          </w:p>
        </w:tc>
        <w:tc>
          <w:tcPr>
            <w:tcW w:w="340" w:type="dxa"/>
            <w:vAlign w:val="bottom"/>
          </w:tcPr>
          <w:p>
            <w:pPr>
              <w:spacing w:after="0"/>
              <w:rPr>
                <w:sz w:val="17"/>
                <w:szCs w:val="17"/>
                <w:color w:val="auto"/>
              </w:rPr>
            </w:pPr>
          </w:p>
        </w:tc>
        <w:tc>
          <w:tcPr>
            <w:tcW w:w="960" w:type="dxa"/>
            <w:vAlign w:val="bottom"/>
            <w:vMerge w:val="restart"/>
          </w:tcPr>
          <w:p>
            <w:pPr>
              <w:jc w:val="right"/>
              <w:ind w:right="177"/>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7"/>
                <w:szCs w:val="17"/>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151</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220"/>
              <w:spacing w:after="0" w:line="181" w:lineRule="exact"/>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157"/>
              <w:spacing w:after="0" w:line="181"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96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137</w:t>
            </w:r>
          </w:p>
        </w:tc>
        <w:tc>
          <w:tcPr>
            <w:tcW w:w="320" w:type="dxa"/>
            <w:vAlign w:val="bottom"/>
          </w:tcPr>
          <w:p>
            <w:pPr>
              <w:spacing w:after="0"/>
              <w:rPr>
                <w:sz w:val="15"/>
                <w:szCs w:val="15"/>
                <w:color w:val="auto"/>
              </w:rPr>
            </w:pPr>
          </w:p>
        </w:tc>
        <w:tc>
          <w:tcPr>
            <w:tcW w:w="880" w:type="dxa"/>
            <w:vAlign w:val="bottom"/>
          </w:tcPr>
          <w:p>
            <w:pPr>
              <w:jc w:val="right"/>
              <w:ind w:right="97"/>
              <w:spacing w:after="0" w:line="181" w:lineRule="exact"/>
              <w:rPr>
                <w:sz w:val="20"/>
                <w:szCs w:val="20"/>
                <w:color w:val="auto"/>
              </w:rPr>
            </w:pPr>
            <w:r>
              <w:rPr>
                <w:rFonts w:ascii="Arial" w:cs="Arial" w:eastAsia="Arial" w:hAnsi="Arial"/>
                <w:sz w:val="18"/>
                <w:szCs w:val="18"/>
                <w:color w:val="auto"/>
              </w:rPr>
              <w:t>(18)</w:t>
            </w:r>
          </w:p>
        </w:tc>
        <w:tc>
          <w:tcPr>
            <w:tcW w:w="78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163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7"/>
        </w:trPr>
        <w:tc>
          <w:tcPr>
            <w:tcW w:w="470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5"/>
                <w:szCs w:val="15"/>
                <w:color w:val="auto"/>
              </w:rPr>
            </w:pPr>
          </w:p>
        </w:tc>
        <w:tc>
          <w:tcPr>
            <w:tcW w:w="960" w:type="dxa"/>
            <w:vAlign w:val="bottom"/>
          </w:tcPr>
          <w:p>
            <w:pPr>
              <w:jc w:val="right"/>
              <w:ind w:right="17"/>
              <w:spacing w:after="0" w:line="177" w:lineRule="exact"/>
              <w:rPr>
                <w:sz w:val="20"/>
                <w:szCs w:val="20"/>
                <w:color w:val="auto"/>
              </w:rPr>
            </w:pPr>
            <w:r>
              <w:rPr>
                <w:rFonts w:ascii="Arial" w:cs="Arial" w:eastAsia="Arial" w:hAnsi="Arial"/>
                <w:sz w:val="18"/>
                <w:szCs w:val="18"/>
                <w:b w:val="1"/>
                <w:bCs w:val="1"/>
                <w:color w:val="auto"/>
              </w:rPr>
              <w:t>4.25%</w:t>
            </w:r>
          </w:p>
        </w:tc>
        <w:tc>
          <w:tcPr>
            <w:tcW w:w="14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5"/>
              </w:rPr>
              <w:t>3.25-4.25%</w:t>
            </w:r>
          </w:p>
        </w:tc>
        <w:tc>
          <w:tcPr>
            <w:tcW w:w="320" w:type="dxa"/>
            <w:vAlign w:val="bottom"/>
          </w:tcPr>
          <w:p>
            <w:pPr>
              <w:spacing w:after="0"/>
              <w:rPr>
                <w:sz w:val="15"/>
                <w:szCs w:val="15"/>
                <w:color w:val="auto"/>
              </w:rPr>
            </w:pPr>
          </w:p>
        </w:tc>
        <w:tc>
          <w:tcPr>
            <w:tcW w:w="940" w:type="dxa"/>
            <w:vAlign w:val="bottom"/>
          </w:tcPr>
          <w:p>
            <w:pPr>
              <w:jc w:val="right"/>
              <w:ind w:right="57"/>
              <w:spacing w:after="0" w:line="177" w:lineRule="exact"/>
              <w:rPr>
                <w:sz w:val="20"/>
                <w:szCs w:val="20"/>
                <w:color w:val="auto"/>
              </w:rPr>
            </w:pPr>
            <w:r>
              <w:rPr>
                <w:rFonts w:ascii="Arial" w:cs="Arial" w:eastAsia="Arial" w:hAnsi="Arial"/>
                <w:sz w:val="18"/>
                <w:szCs w:val="18"/>
                <w:color w:val="auto"/>
              </w:rPr>
              <w:t>4.75%</w:t>
            </w:r>
          </w:p>
        </w:tc>
        <w:tc>
          <w:tcPr>
            <w:tcW w:w="12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8"/>
                <w:szCs w:val="18"/>
                <w:color w:val="auto"/>
                <w:w w:val="95"/>
              </w:rPr>
              <w:t>4.75-5.25%</w:t>
            </w:r>
          </w:p>
        </w:tc>
        <w:tc>
          <w:tcPr>
            <w:tcW w:w="32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5.50%</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N/A</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N/A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using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2012 and 2011 amounts included service costs related to our pension benefits of $139 million and $99 million, respectively. Service cost was not material in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Comcast Postretirement Healthcare Stipend Program (the “stipend plan”) covers substantially all of our employees, other than those of NBCUniversal, who meet certain age and service requirements. The stipend plan provides an annual stipend for reimbursement of healthcare costs to each eligible employee based on years of service. Under the stipend plan, we are not exposed to the increasing costs of healthcare because the benefits are fixed at a predetermined amount. A small number of eligible employees participate in legacy plans of acquired companies.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postretirement medical and life insurance plans that provide continuous coverage to employees eligible to receive such benefits and give credit for length of service provided before the close of the NBCUniversal transaction. Certain covered employees also retain the right, following retirement, to elect to participate in corresponding plans sponsored by GE. To the extent that NBCUniversal’s employees make such elections, NBCUniversal will reimburse GE for any amounts due.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related to our postretirement benefit plans is determined using certain assumptions, including the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and NBCUniversal sponsor various defined benefit plans for which future benefits have been frozen. The expense we recognize related to our defined benefit plans is determined using certain assumptions, including the discount rate and the expected long-term rate of return on plan assets. We cease to recognize service costs associated with our defined benefit plans following the date on which future benefits are frozen. We recognize the funded or unfunded status of our defined benefit plans as an asset or liability in our consolidated balance sheet and recognize changes in the funded status in the year in which the changes occur through accumulated other comprehensive income (loss). In the event of a defined benefit plan termination, we expect to fully fund and settle the plan within 180 days of approval by the Internal Revenue Service (“IRS”) and the Pension Benefit Guaranty Corporation (“PBGC”).</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has a qualified and a nonqualified defined benefit plan that each provide a lifetime income benefit based on an individual’s length of service and related compensation. In October 2012, NBCUniversal provided notice to its plan participants of an amendment to both the qualified and nonqualified NBCUniversal defined benefit plans that froze future benefits effective December 31, 2012. In 2012, NBCUniversal has funded its qualified plan with sufficient contributions to meet its funding requirements through 2013. The nonqualified NBCUniversal plan is unfunded. NBCUniversal is also obligated to reimburse GE for future benefit payments to those participants who were vested in the supplemental pension plan sponsored by GE at the time of the close of the NBCUniversal transaction.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sponsor a qualified pension plan and a nonqualified pension plan that together provide benefits to former AT&amp;T Broadband employees. On December 30, 2011 we provided notice to plan participants of our intent to terminate the qualified pension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effective February 29, 2012. On August 27, 2012, we filed a Standard Termination Notice with the PBGC and on October 26, 2012 the related PBGC review concluded with no objections. We expect to receive approval from the IRS and subsequently fully fund and settle the plan in 2013. We currently anticipate the contributions required from us to fully fund and settle the plan will be less than $100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0551D3"/>
        </w:rPr>
        <w:t>Deferred Compensation Plans</w:t>
      </w:r>
    </w:p>
    <w:p>
      <w:pPr>
        <w:jc w:val="both"/>
        <w:spacing w:after="0" w:line="236"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earnings to be credited or debited to the participant’s account. Participants are eligible to receive distributions of the amounts credited to their account based on elected deferral periods that are consistent with the plans and applicable tax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r>
      <w:tr>
        <w:trPr>
          <w:trHeight w:val="177"/>
        </w:trPr>
        <w:tc>
          <w:tcPr>
            <w:tcW w:w="57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rPr>
              <w:t>1,247</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1,059</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935</w:t>
            </w:r>
          </w:p>
        </w:tc>
      </w:tr>
      <w:tr>
        <w:trPr>
          <w:trHeight w:val="221"/>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purchased life insurance policies to recover a portion of the future payments related to our deferred compensation plans. As of December 31, 2012 and 2011, the cash surrender value of these policies, which is recorded to other noncurrent assets, was $478 million and $409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Retirement Investment Plans</w:t>
      </w:r>
    </w:p>
    <w:p>
      <w:pPr>
        <w:jc w:val="both"/>
        <w:spacing w:after="0" w:line="238"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match a percentage of the employees’ contributions up to certain limits. In 2012, 2011 and 2010, expenses related to all of these plans were $246 million, $226 million and $152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551D3"/>
        </w:rPr>
        <w:t>Split-Dollar Life Insurance Agreements</w:t>
      </w:r>
    </w:p>
    <w:p>
      <w:pPr>
        <w:jc w:val="both"/>
        <w:spacing w:after="0" w:line="239" w:lineRule="auto"/>
        <w:rPr>
          <w:sz w:val="20"/>
          <w:szCs w:val="20"/>
          <w:color w:val="auto"/>
        </w:rPr>
      </w:pPr>
      <w:r>
        <w:rPr>
          <w:rFonts w:ascii="Arial" w:cs="Arial" w:eastAsia="Arial" w:hAnsi="Arial"/>
          <w:sz w:val="18"/>
          <w:szCs w:val="18"/>
          <w:color w:val="auto"/>
        </w:rPr>
        <w:t>We have collateral assignment split-dollar life insurance agreements with select key employees that require us to incur certain insurance-related costs. Under some of these agreements, our obligation to provide benefits to the employees extends beyond retirement.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related to our split-dollar life insurance agreements.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r>
      <w:tr>
        <w:trPr>
          <w:trHeight w:val="177"/>
        </w:trPr>
        <w:tc>
          <w:tcPr>
            <w:tcW w:w="65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w w:val="99"/>
              </w:rPr>
              <w:t>202</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169</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164</w:t>
            </w:r>
          </w:p>
        </w:tc>
      </w:tr>
      <w:tr>
        <w:trPr>
          <w:trHeight w:val="221"/>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and administrative expenses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551D3"/>
        </w:rPr>
        <w:t>Multiemployer Benefit Plans</w:t>
      </w:r>
    </w:p>
    <w:p>
      <w:pPr>
        <w:jc w:val="both"/>
        <w:spacing w:after="0" w:line="236" w:lineRule="auto"/>
        <w:rPr>
          <w:sz w:val="20"/>
          <w:szCs w:val="20"/>
          <w:color w:val="auto"/>
        </w:rPr>
      </w:pPr>
      <w:r>
        <w:rPr>
          <w:rFonts w:ascii="Arial" w:cs="Arial" w:eastAsia="Arial" w:hAnsi="Arial"/>
          <w:sz w:val="18"/>
          <w:szCs w:val="18"/>
          <w:color w:val="auto"/>
        </w:rPr>
        <w:t>We also participate in various multiemployer pension and other benefit plans through the activities of NBCUniversal that cover some of our employees who are represented by labor unions. We make periodic contributions to these plans in accordance with the terms of applicable collective bargaining agreements and laws but do not sponsor or administer these plans. We do not participate in any multiemployer benefit plans where we consider our contributions to be individually significant, and the largest plans in which we participate are funded at a level of 80% or greater. In 2012 and 2011, the total contributions we made to multiemployer pension and other benefit plans were $53 million and $42 million, respectively.</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cease to be obligated to make contributions or otherwise withdraw from participation in any of these plans, applicable law requires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551D3"/>
        </w:rPr>
        <w:t>Severance Benefits</w:t>
      </w:r>
    </w:p>
    <w:p>
      <w:pPr>
        <w:jc w:val="both"/>
        <w:spacing w:after="0" w:line="239"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During 2012, 2011 and 2010,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we recorded $155 million, $128 million and $67 million, respectively, of severance costs.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 xml:space="preserve">In the aggregate, holders of our Class A common stock have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voting power of our common stock. Our Class A Special common stock is generally nonvoting.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0551D3"/>
        </w:rPr>
        <w:t>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A</w:t>
            </w:r>
          </w:p>
        </w:tc>
        <w:tc>
          <w:tcPr>
            <w:tcW w:w="8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color w:val="auto"/>
              </w:rPr>
              <w:t>A Special</w:t>
            </w:r>
          </w:p>
        </w:tc>
        <w:tc>
          <w:tcPr>
            <w:tcW w:w="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B</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January 1, 2010</w:t>
            </w:r>
          </w:p>
        </w:tc>
        <w:tc>
          <w:tcPr>
            <w:tcW w:w="33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2,063</w:t>
            </w:r>
          </w:p>
        </w:tc>
        <w:tc>
          <w:tcPr>
            <w:tcW w:w="840" w:type="dxa"/>
            <w:vAlign w:val="bottom"/>
          </w:tcPr>
          <w:p>
            <w:pPr>
              <w:jc w:val="right"/>
              <w:ind w:right="94"/>
              <w:spacing w:after="0" w:line="200" w:lineRule="exact"/>
              <w:rPr>
                <w:sz w:val="20"/>
                <w:szCs w:val="20"/>
                <w:color w:val="auto"/>
              </w:rPr>
            </w:pPr>
            <w:r>
              <w:rPr>
                <w:rFonts w:ascii="Arial" w:cs="Arial" w:eastAsia="Arial" w:hAnsi="Arial"/>
                <w:sz w:val="18"/>
                <w:szCs w:val="18"/>
                <w:color w:val="auto"/>
              </w:rPr>
              <w:t>765</w:t>
            </w:r>
          </w:p>
        </w:tc>
        <w:tc>
          <w:tcPr>
            <w:tcW w:w="3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3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3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(70)</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3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w:t>
            </w:r>
          </w:p>
        </w:tc>
        <w:tc>
          <w:tcPr>
            <w:tcW w:w="84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33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2,072</w:t>
            </w:r>
          </w:p>
        </w:tc>
        <w:tc>
          <w:tcPr>
            <w:tcW w:w="840" w:type="dxa"/>
            <w:vAlign w:val="bottom"/>
          </w:tcPr>
          <w:p>
            <w:pPr>
              <w:jc w:val="right"/>
              <w:ind w:right="94"/>
              <w:spacing w:after="0" w:line="200" w:lineRule="exact"/>
              <w:rPr>
                <w:sz w:val="20"/>
                <w:szCs w:val="20"/>
                <w:color w:val="auto"/>
              </w:rPr>
            </w:pPr>
            <w:r>
              <w:rPr>
                <w:rFonts w:ascii="Arial" w:cs="Arial" w:eastAsia="Arial" w:hAnsi="Arial"/>
                <w:sz w:val="18"/>
                <w:szCs w:val="18"/>
                <w:color w:val="auto"/>
              </w:rPr>
              <w:t>695</w:t>
            </w:r>
          </w:p>
        </w:tc>
        <w:tc>
          <w:tcPr>
            <w:tcW w:w="3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3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3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(95)</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3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w:t>
            </w:r>
          </w:p>
        </w:tc>
        <w:tc>
          <w:tcPr>
            <w:tcW w:w="84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33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2,095</w:t>
            </w:r>
          </w:p>
        </w:tc>
        <w:tc>
          <w:tcPr>
            <w:tcW w:w="840" w:type="dxa"/>
            <w:vAlign w:val="bottom"/>
          </w:tcPr>
          <w:p>
            <w:pPr>
              <w:jc w:val="right"/>
              <w:ind w:right="94"/>
              <w:spacing w:after="0" w:line="177" w:lineRule="exact"/>
              <w:rPr>
                <w:sz w:val="20"/>
                <w:szCs w:val="20"/>
                <w:color w:val="auto"/>
              </w:rPr>
            </w:pPr>
            <w:r>
              <w:rPr>
                <w:rFonts w:ascii="Arial" w:cs="Arial" w:eastAsia="Arial" w:hAnsi="Arial"/>
                <w:sz w:val="18"/>
                <w:szCs w:val="18"/>
                <w:color w:val="auto"/>
              </w:rPr>
              <w:t>601</w:t>
            </w:r>
          </w:p>
        </w:tc>
        <w:tc>
          <w:tcPr>
            <w:tcW w:w="3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33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24</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3</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 common stock</w:t>
            </w:r>
          </w:p>
        </w:tc>
        <w:tc>
          <w:tcPr>
            <w:tcW w:w="33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(96)</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Employee stock purchase plans</w:t>
            </w:r>
          </w:p>
        </w:tc>
        <w:tc>
          <w:tcPr>
            <w:tcW w:w="3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196"/>
        </w:trPr>
        <w:tc>
          <w:tcPr>
            <w:tcW w:w="68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3380" w:type="dxa"/>
            <w:vAlign w:val="bottom"/>
            <w:tcBorders>
              <w:bottom w:val="single" w:sz="8" w:color="0551D3"/>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2,122</w:t>
            </w:r>
          </w:p>
        </w:tc>
        <w:tc>
          <w:tcPr>
            <w:tcW w:w="840" w:type="dxa"/>
            <w:vAlign w:val="bottom"/>
            <w:tcBorders>
              <w:bottom w:val="single" w:sz="8" w:color="0551D3"/>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508</w:t>
            </w:r>
          </w:p>
        </w:tc>
        <w:tc>
          <w:tcPr>
            <w:tcW w:w="3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551D3"/>
        </w:rPr>
        <w:t>Share Repurchases</w:t>
      </w:r>
    </w:p>
    <w:p>
      <w:pPr>
        <w:jc w:val="both"/>
        <w:spacing w:after="0" w:line="239" w:lineRule="auto"/>
        <w:rPr>
          <w:sz w:val="20"/>
          <w:szCs w:val="20"/>
          <w:color w:val="auto"/>
        </w:rPr>
      </w:pPr>
      <w:r>
        <w:rPr>
          <w:rFonts w:ascii="Arial" w:cs="Arial" w:eastAsia="Arial" w:hAnsi="Arial"/>
          <w:sz w:val="18"/>
          <w:szCs w:val="18"/>
          <w:color w:val="auto"/>
        </w:rPr>
        <w:t>In February 2012, our Board of Directors approved a $6.5 billion share repurchase authorization, which does not have an expiration date. Under this authorization, we may repurchase shares in the open market or in private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551D3"/>
        </w:rPr>
        <w:t>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color w:val="auto"/>
              </w:rPr>
              <w:t>2011</w:t>
            </w:r>
          </w:p>
        </w:tc>
        <w:tc>
          <w:tcPr>
            <w:tcW w:w="7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2010</w:t>
            </w: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Consideration</w:t>
            </w:r>
          </w:p>
        </w:tc>
        <w:tc>
          <w:tcPr>
            <w:tcW w:w="4200" w:type="dxa"/>
            <w:vAlign w:val="bottom"/>
          </w:tcPr>
          <w:p>
            <w:pPr>
              <w:jc w:val="right"/>
              <w:ind w:right="42"/>
              <w:spacing w:after="0" w:line="177" w:lineRule="exact"/>
              <w:rPr>
                <w:sz w:val="20"/>
                <w:szCs w:val="20"/>
                <w:color w:val="auto"/>
              </w:rPr>
            </w:pPr>
            <w:r>
              <w:rPr>
                <w:rFonts w:ascii="Arial" w:cs="Arial" w:eastAsia="Arial" w:hAnsi="Arial"/>
                <w:sz w:val="18"/>
                <w:szCs w:val="18"/>
                <w:b w:val="1"/>
                <w:bCs w:val="1"/>
                <w:color w:val="auto"/>
              </w:rPr>
              <w:t>$ 3,000</w:t>
            </w:r>
          </w:p>
        </w:tc>
        <w:tc>
          <w:tcPr>
            <w:tcW w:w="900" w:type="dxa"/>
            <w:vAlign w:val="bottom"/>
          </w:tcPr>
          <w:p>
            <w:pPr>
              <w:jc w:val="right"/>
              <w:ind w:right="117"/>
              <w:spacing w:after="0" w:line="177" w:lineRule="exact"/>
              <w:rPr>
                <w:sz w:val="20"/>
                <w:szCs w:val="20"/>
                <w:color w:val="auto"/>
              </w:rPr>
            </w:pPr>
            <w:r>
              <w:rPr>
                <w:rFonts w:ascii="Arial" w:cs="Arial" w:eastAsia="Arial" w:hAnsi="Arial"/>
                <w:sz w:val="18"/>
                <w:szCs w:val="18"/>
                <w:color w:val="auto"/>
              </w:rPr>
              <w:t>$ 2,141</w:t>
            </w:r>
          </w:p>
        </w:tc>
        <w:tc>
          <w:tcPr>
            <w:tcW w:w="740" w:type="dxa"/>
            <w:vAlign w:val="bottom"/>
          </w:tcPr>
          <w:p>
            <w:pPr>
              <w:jc w:val="right"/>
              <w:ind w:right="17"/>
              <w:spacing w:after="0" w:line="177" w:lineRule="exact"/>
              <w:rPr>
                <w:sz w:val="20"/>
                <w:szCs w:val="20"/>
                <w:color w:val="auto"/>
              </w:rPr>
            </w:pPr>
            <w:r>
              <w:rPr>
                <w:rFonts w:ascii="Arial" w:cs="Arial" w:eastAsia="Arial" w:hAnsi="Arial"/>
                <w:sz w:val="18"/>
                <w:szCs w:val="18"/>
                <w:color w:val="auto"/>
              </w:rPr>
              <w:t>$ 1,200</w:t>
            </w:r>
          </w:p>
        </w:tc>
      </w:tr>
      <w:tr>
        <w:trPr>
          <w:trHeight w:val="221"/>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42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96</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95</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70</w:t>
            </w:r>
          </w:p>
        </w:tc>
      </w:tr>
      <w:tr>
        <w:trPr>
          <w:trHeight w:val="370"/>
        </w:trPr>
        <w:tc>
          <w:tcPr>
            <w:tcW w:w="5580" w:type="dxa"/>
            <w:vAlign w:val="bottom"/>
          </w:tcPr>
          <w:p>
            <w:pPr>
              <w:spacing w:after="0"/>
              <w:rPr>
                <w:sz w:val="20"/>
                <w:szCs w:val="20"/>
                <w:color w:val="auto"/>
              </w:rPr>
            </w:pPr>
            <w:r>
              <w:rPr>
                <w:rFonts w:ascii="Arial" w:cs="Arial" w:eastAsia="Arial" w:hAnsi="Arial"/>
                <w:sz w:val="18"/>
                <w:szCs w:val="18"/>
                <w:color w:val="0551D3"/>
              </w:rPr>
              <w:t>Accumulated Other Comprehensive Income (Loss)</w:t>
            </w:r>
          </w:p>
        </w:tc>
        <w:tc>
          <w:tcPr>
            <w:tcW w:w="4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
        </w:trPr>
        <w:tc>
          <w:tcPr>
            <w:tcW w:w="55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42"/>
        </w:trPr>
        <w:tc>
          <w:tcPr>
            <w:tcW w:w="5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December 31 (in millions)</w:t>
            </w:r>
          </w:p>
        </w:tc>
        <w:tc>
          <w:tcPr>
            <w:tcW w:w="4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2011</w:t>
            </w: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Unrealized gains (losses) on marketable securities</w:t>
            </w:r>
          </w:p>
        </w:tc>
        <w:tc>
          <w:tcPr>
            <w:tcW w:w="4200" w:type="dxa"/>
            <w:vAlign w:val="bottom"/>
          </w:tcPr>
          <w:p>
            <w:pPr>
              <w:spacing w:after="0"/>
              <w:rPr>
                <w:sz w:val="15"/>
                <w:szCs w:val="15"/>
                <w:color w:val="auto"/>
              </w:rPr>
            </w:pPr>
          </w:p>
        </w:tc>
        <w:tc>
          <w:tcPr>
            <w:tcW w:w="900" w:type="dxa"/>
            <w:vAlign w:val="bottom"/>
          </w:tcPr>
          <w:p>
            <w:pPr>
              <w:jc w:val="right"/>
              <w:ind w:right="17"/>
              <w:spacing w:after="0" w:line="177" w:lineRule="exact"/>
              <w:rPr>
                <w:sz w:val="20"/>
                <w:szCs w:val="20"/>
                <w:color w:val="auto"/>
              </w:rPr>
            </w:pPr>
            <w:r>
              <w:rPr>
                <w:rFonts w:ascii="Arial" w:cs="Arial" w:eastAsia="Arial" w:hAnsi="Arial"/>
                <w:sz w:val="18"/>
                <w:szCs w:val="18"/>
                <w:b w:val="1"/>
                <w:bCs w:val="1"/>
                <w:color w:val="auto"/>
              </w:rPr>
              <w:t>$ 182</w:t>
            </w:r>
          </w:p>
        </w:tc>
        <w:tc>
          <w:tcPr>
            <w:tcW w:w="740" w:type="dxa"/>
            <w:vAlign w:val="bottom"/>
          </w:tcPr>
          <w:p>
            <w:pPr>
              <w:jc w:val="right"/>
              <w:ind w:right="17"/>
              <w:spacing w:after="0" w:line="177" w:lineRule="exact"/>
              <w:rPr>
                <w:sz w:val="20"/>
                <w:szCs w:val="20"/>
                <w:color w:val="auto"/>
              </w:rPr>
            </w:pPr>
            <w:r>
              <w:rPr>
                <w:rFonts w:ascii="Arial" w:cs="Arial" w:eastAsia="Arial" w:hAnsi="Arial"/>
                <w:sz w:val="18"/>
                <w:szCs w:val="18"/>
                <w:color w:val="auto"/>
              </w:rPr>
              <w:t>$   22</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4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4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21"/>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4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558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w w:val="98"/>
              </w:rPr>
              <w:t>Accumulated other comprehensive income (loss), net of deferred taxes</w:t>
            </w:r>
          </w:p>
        </w:tc>
        <w:tc>
          <w:tcPr>
            <w:tcW w:w="4200" w:type="dxa"/>
            <w:vAlign w:val="bottom"/>
            <w:tcBorders>
              <w:bottom w:val="single" w:sz="8" w:color="0551D3"/>
            </w:tcBorders>
          </w:tcPr>
          <w:p>
            <w:pPr>
              <w:spacing w:after="0"/>
              <w:rPr>
                <w:sz w:val="17"/>
                <w:szCs w:val="17"/>
                <w:color w:val="auto"/>
              </w:rPr>
            </w:pPr>
          </w:p>
        </w:tc>
        <w:tc>
          <w:tcPr>
            <w:tcW w:w="900" w:type="dxa"/>
            <w:vAlign w:val="bottom"/>
            <w:tcBorders>
              <w:bottom w:val="single" w:sz="8" w:color="0551D3"/>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  15</w:t>
            </w:r>
          </w:p>
        </w:tc>
        <w:tc>
          <w:tcPr>
            <w:tcW w:w="7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 (152)</w:t>
            </w:r>
          </w:p>
        </w:tc>
      </w:tr>
      <w:tr>
        <w:trPr>
          <w:trHeight w:val="304"/>
        </w:trPr>
        <w:tc>
          <w:tcPr>
            <w:tcW w:w="5580" w:type="dxa"/>
            <w:vAlign w:val="bottom"/>
          </w:tcPr>
          <w:p>
            <w:pPr>
              <w:spacing w:after="0"/>
              <w:rPr>
                <w:sz w:val="24"/>
                <w:szCs w:val="24"/>
                <w:color w:val="auto"/>
              </w:rPr>
            </w:pPr>
          </w:p>
        </w:tc>
        <w:tc>
          <w:tcPr>
            <w:tcW w:w="4200" w:type="dxa"/>
            <w:vAlign w:val="bottom"/>
          </w:tcPr>
          <w:p>
            <w:pPr>
              <w:jc w:val="right"/>
              <w:ind w:right="3922"/>
              <w:spacing w:after="0"/>
              <w:rPr>
                <w:sz w:val="20"/>
                <w:szCs w:val="20"/>
                <w:color w:val="auto"/>
              </w:rPr>
            </w:pPr>
            <w:r>
              <w:rPr>
                <w:rFonts w:ascii="Arial" w:cs="Arial" w:eastAsia="Arial" w:hAnsi="Arial"/>
                <w:sz w:val="14"/>
                <w:szCs w:val="14"/>
                <w:b w:val="1"/>
                <w:bCs w:val="1"/>
                <w:color w:val="auto"/>
              </w:rPr>
              <w:t>31</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14: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551D3"/>
        </w:rPr>
        <w:t>Recognized Share-Based Compensation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77"/>
        </w:trPr>
        <w:tc>
          <w:tcPr>
            <w:tcW w:w="604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4140" w:type="dxa"/>
            <w:vAlign w:val="bottom"/>
          </w:tcPr>
          <w:p>
            <w:pPr>
              <w:jc w:val="right"/>
              <w:ind w:right="36"/>
              <w:spacing w:after="0" w:line="177" w:lineRule="exact"/>
              <w:rPr>
                <w:sz w:val="20"/>
                <w:szCs w:val="20"/>
                <w:color w:val="auto"/>
              </w:rPr>
            </w:pPr>
            <w:r>
              <w:rPr>
                <w:rFonts w:ascii="Arial" w:cs="Arial" w:eastAsia="Arial" w:hAnsi="Arial"/>
                <w:sz w:val="18"/>
                <w:szCs w:val="18"/>
                <w:b w:val="1"/>
                <w:bCs w:val="1"/>
                <w:color w:val="auto"/>
              </w:rPr>
              <w:t>$ 131</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$ 116</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$ 103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414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154</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21"/>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60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Total</w:t>
            </w:r>
          </w:p>
        </w:tc>
        <w:tc>
          <w:tcPr>
            <w:tcW w:w="4140" w:type="dxa"/>
            <w:vAlign w:val="bottom"/>
            <w:tcBorders>
              <w:bottom w:val="single" w:sz="8" w:color="0551D3"/>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$ 301</w:t>
            </w:r>
          </w:p>
        </w:tc>
        <w:tc>
          <w:tcPr>
            <w:tcW w:w="6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$ 278</w:t>
            </w:r>
          </w:p>
        </w:tc>
        <w:tc>
          <w:tcPr>
            <w:tcW w:w="6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$ 251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we had unrecognized pretax compensation expense of $320 million related to nonvested stock options and unrecognized pretax compensation expense of $353 million related to nonvested RSUs that will be recognized over a weighted-average period of approximately 1.9 years and 1.7 years,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551D3"/>
        </w:rPr>
        <w:t>2012 Stock Options and Restricted Share 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color w:val="auto"/>
              </w:rPr>
              <w:t>Stock</w:t>
            </w:r>
          </w:p>
        </w:tc>
        <w:tc>
          <w:tcPr>
            <w:tcW w:w="880" w:type="dxa"/>
            <w:vAlign w:val="bottom"/>
            <w:tcBorders>
              <w:top w:val="single" w:sz="8" w:color="auto"/>
            </w:tcBorders>
          </w:tcPr>
          <w:p>
            <w:pPr>
              <w:spacing w:after="0"/>
              <w:rPr>
                <w:sz w:val="14"/>
                <w:szCs w:val="14"/>
                <w:color w:val="auto"/>
              </w:rPr>
            </w:pPr>
          </w:p>
        </w:tc>
      </w:tr>
      <w:tr>
        <w:trPr>
          <w:trHeight w:val="163"/>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2012, unless otherwise stated (in millions, except per share data)</w:t>
            </w:r>
          </w:p>
        </w:tc>
        <w:tc>
          <w:tcPr>
            <w:tcW w:w="3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Options</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RSUs</w:t>
            </w: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Awards granted during 2012</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22</w:t>
            </w:r>
          </w:p>
        </w:tc>
        <w:tc>
          <w:tcPr>
            <w:tcW w:w="8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8</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w:t>
            </w:r>
          </w:p>
        </w:tc>
        <w:tc>
          <w:tcPr>
            <w:tcW w:w="30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$ 30.00</w:t>
            </w:r>
          </w:p>
        </w:tc>
        <w:tc>
          <w:tcPr>
            <w:tcW w:w="880" w:type="dxa"/>
            <w:vAlign w:val="bottom"/>
          </w:tcPr>
          <w:p>
            <w:pPr>
              <w:spacing w:after="0"/>
              <w:rPr>
                <w:sz w:val="17"/>
                <w:szCs w:val="17"/>
                <w:color w:val="auto"/>
              </w:rPr>
            </w:pP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$ 27.80</w:t>
            </w:r>
          </w:p>
        </w:tc>
      </w:tr>
      <w:tr>
        <w:trPr>
          <w:trHeight w:val="294"/>
        </w:trPr>
        <w:tc>
          <w:tcPr>
            <w:tcW w:w="7460" w:type="dxa"/>
            <w:vAlign w:val="bottom"/>
          </w:tcPr>
          <w:p>
            <w:pPr>
              <w:spacing w:after="0"/>
              <w:rPr>
                <w:sz w:val="20"/>
                <w:szCs w:val="20"/>
                <w:color w:val="auto"/>
              </w:rPr>
            </w:pPr>
            <w:r>
              <w:rPr>
                <w:rFonts w:ascii="Arial" w:cs="Arial" w:eastAsia="Arial" w:hAnsi="Arial"/>
                <w:sz w:val="18"/>
                <w:szCs w:val="18"/>
                <w:color w:val="auto"/>
              </w:rPr>
              <w:t>Stock options outstanding and nonvested RSUs</w:t>
            </w:r>
            <w:r>
              <w:rPr>
                <w:rFonts w:ascii="Arial" w:cs="Arial" w:eastAsia="Arial" w:hAnsi="Arial"/>
                <w:sz w:val="22"/>
                <w:szCs w:val="22"/>
                <w:color w:val="auto"/>
                <w:vertAlign w:val="superscript"/>
              </w:rPr>
              <w:t>(a)</w:t>
            </w:r>
          </w:p>
        </w:tc>
        <w:tc>
          <w:tcPr>
            <w:tcW w:w="3080" w:type="dxa"/>
            <w:vAlign w:val="bottom"/>
          </w:tcPr>
          <w:p>
            <w:pPr>
              <w:jc w:val="right"/>
              <w:ind w:right="59"/>
              <w:spacing w:after="0"/>
              <w:rPr>
                <w:sz w:val="20"/>
                <w:szCs w:val="20"/>
                <w:color w:val="auto"/>
              </w:rPr>
            </w:pPr>
            <w:r>
              <w:rPr>
                <w:rFonts w:ascii="Arial" w:cs="Arial" w:eastAsia="Arial" w:hAnsi="Arial"/>
                <w:sz w:val="18"/>
                <w:szCs w:val="18"/>
                <w:color w:val="auto"/>
              </w:rPr>
              <w:t>113</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29</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stock options outstanding</w:t>
            </w:r>
          </w:p>
        </w:tc>
        <w:tc>
          <w:tcPr>
            <w:tcW w:w="30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$ 21.86</w:t>
            </w:r>
          </w:p>
        </w:tc>
        <w:tc>
          <w:tcPr>
            <w:tcW w:w="880" w:type="dxa"/>
            <w:vAlign w:val="bottom"/>
          </w:tcPr>
          <w:p>
            <w:pPr>
              <w:spacing w:after="0"/>
              <w:rPr>
                <w:sz w:val="17"/>
                <w:szCs w:val="17"/>
                <w:color w:val="auto"/>
              </w:rPr>
            </w:pP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 of nonvested RSUs</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$ 20.90</w:t>
            </w:r>
          </w:p>
        </w:tc>
      </w:tr>
    </w:tbl>
    <w:p>
      <w:pPr>
        <w:spacing w:after="0" w:line="67" w:lineRule="exact"/>
        <w:rPr>
          <w:sz w:val="20"/>
          <w:szCs w:val="20"/>
          <w:color w:val="auto"/>
        </w:rPr>
      </w:pPr>
    </w:p>
    <w:p>
      <w:pPr>
        <w:ind w:left="300" w:hanging="292"/>
        <w:spacing w:after="0" w:line="231"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2012, 109 million of stock options outstanding were net settled stock options. Net settled stock options, as opposed to stock options exercised with a cash payment (“cash settled stock options”), result in fewer shares being issued and no cash proceeds being received by us when they are exercised.</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Awards generally vest over a period of five years and in the case of stock options, have a ten year term. Additionally, through our employee stock purchase plans, employees are able to purchase shares of Comcast Class A common stock at a discount through payroll deductions.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We use the Black-Scholes option pricing model to estimate the fair value of stock option awards. RSUs are valued based on the closing price of our Class A common stock on the date of grant and are discounted for the lack of dividends, if any, during the vesting period. The table below presents the weighted-average fair value on the date of grant of RSUs and Class A common stock options awarded under our various plans and the related weighted-average valuation assumptions.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4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27.80</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22.78</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7.38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6.96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46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6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4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46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29.0%</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46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4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260" w:type="dxa"/>
            <w:vAlign w:val="bottom"/>
          </w:tcPr>
          <w:p>
            <w:pPr>
              <w:spacing w:after="0"/>
              <w:rPr>
                <w:sz w:val="24"/>
                <w:szCs w:val="24"/>
                <w:color w:val="auto"/>
              </w:rPr>
            </w:pPr>
          </w:p>
        </w:tc>
        <w:tc>
          <w:tcPr>
            <w:tcW w:w="4600" w:type="dxa"/>
            <w:vAlign w:val="bottom"/>
          </w:tcPr>
          <w:p>
            <w:pPr>
              <w:jc w:val="right"/>
              <w:ind w:right="2999"/>
              <w:spacing w:after="0"/>
              <w:rPr>
                <w:sz w:val="20"/>
                <w:szCs w:val="20"/>
                <w:color w:val="auto"/>
              </w:rPr>
            </w:pPr>
            <w:r>
              <w:rPr>
                <w:rFonts w:ascii="Arial" w:cs="Arial" w:eastAsia="Arial" w:hAnsi="Arial"/>
                <w:sz w:val="14"/>
                <w:szCs w:val="14"/>
                <w:b w:val="1"/>
                <w:bCs w:val="1"/>
                <w:color w:val="auto"/>
              </w:rPr>
              <w:t>32</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551D3"/>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1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$ 3,004</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40" w:type="dxa"/>
            <w:vAlign w:val="bottom"/>
            <w:vMerge w:val="continue"/>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$ 1,480</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$ 1,502</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432</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359</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169</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153</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3,605</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1,992</w:t>
            </w: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41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160</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40" w:type="dxa"/>
            <w:vAlign w:val="bottom"/>
            <w:vMerge w:val="continue"/>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658</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371</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19</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139</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1,058</w:t>
            </w: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14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$ 3,744</w:t>
            </w:r>
          </w:p>
        </w:tc>
        <w:tc>
          <w:tcPr>
            <w:tcW w:w="800" w:type="dxa"/>
            <w:vAlign w:val="bottom"/>
            <w:tcBorders>
              <w:bottom w:val="single" w:sz="8" w:color="0551D3"/>
            </w:tcBorders>
          </w:tcPr>
          <w:p>
            <w:pPr>
              <w:jc w:val="right"/>
              <w:ind w:right="34"/>
              <w:spacing w:after="0" w:line="196" w:lineRule="exact"/>
              <w:rPr>
                <w:sz w:val="20"/>
                <w:szCs w:val="20"/>
                <w:color w:val="auto"/>
              </w:rPr>
            </w:pPr>
            <w:r>
              <w:rPr>
                <w:rFonts w:ascii="Arial" w:cs="Arial" w:eastAsia="Arial" w:hAnsi="Arial"/>
                <w:sz w:val="18"/>
                <w:szCs w:val="18"/>
                <w:color w:val="auto"/>
              </w:rPr>
              <w:t>$ 3,050</w:t>
            </w:r>
          </w:p>
        </w:tc>
        <w:tc>
          <w:tcPr>
            <w:tcW w:w="82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$ 2,436</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r>
      <w:tr>
        <w:trPr>
          <w:trHeight w:val="177"/>
        </w:trPr>
        <w:tc>
          <w:tcPr>
            <w:tcW w:w="7220" w:type="dxa"/>
            <w:vAlign w:val="bottom"/>
          </w:tcPr>
          <w:p>
            <w:pPr>
              <w:spacing w:after="0" w:line="177" w:lineRule="exact"/>
              <w:rPr>
                <w:sz w:val="20"/>
                <w:szCs w:val="20"/>
                <w:color w:val="auto"/>
              </w:rPr>
            </w:pPr>
            <w:r>
              <w:rPr>
                <w:rFonts w:ascii="Arial" w:cs="Arial" w:eastAsia="Arial" w:hAnsi="Arial"/>
                <w:sz w:val="18"/>
                <w:szCs w:val="18"/>
                <w:color w:val="auto"/>
              </w:rPr>
              <w:t>Federal tax at statutory rate</w:t>
            </w:r>
          </w:p>
        </w:tc>
        <w:tc>
          <w:tcPr>
            <w:tcW w:w="25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$ 4,063</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$ 2,872</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$ 2,136</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178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354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204</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credit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92</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Nontaxable income attributable to noncontrolling interests</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Adjustments to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Accrued interest on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66</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21"/>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72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58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$ 3,744</w:t>
            </w:r>
          </w:p>
        </w:tc>
        <w:tc>
          <w:tcPr>
            <w:tcW w:w="82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color w:val="auto"/>
              </w:rPr>
              <w:t>$ 3,050</w:t>
            </w:r>
          </w:p>
        </w:tc>
        <w:tc>
          <w:tcPr>
            <w:tcW w:w="8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$ 2,436</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 consequences that arise in connection with a business combination include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taxing authorities. The effects of these adjustments are recorded to income tax expense.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disposals,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financial statements. We classify interest and penalties, if any, associated with our uncertain tax positions as a component of income tax expense.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551D3"/>
        </w:rPr>
        <w:t>NBCUniversal</w:t>
      </w:r>
    </w:p>
    <w:p>
      <w:pPr>
        <w:jc w:val="both"/>
        <w:spacing w:after="0" w:line="238" w:lineRule="auto"/>
        <w:rPr>
          <w:sz w:val="20"/>
          <w:szCs w:val="20"/>
          <w:color w:val="auto"/>
        </w:rPr>
      </w:pPr>
      <w:r>
        <w:rPr>
          <w:rFonts w:ascii="Arial" w:cs="Arial" w:eastAsia="Arial" w:hAnsi="Arial"/>
          <w:sz w:val="18"/>
          <w:szCs w:val="18"/>
          <w:color w:val="auto"/>
        </w:rPr>
        <w:t>For U.S. federal income tax purposes, NBCUniversal Holdings is treated as a partnership and NBCUniversal is disregarded as an entity separate from NBCUniversal Holdings. Accordingly, neither NBCUniversal Holdings nor NBCUniversal and its subsidiaries incur any material current or deferred domestic income taxes. Current and deferred foreign income taxes are incurred by NBCUniversal’s foreign subsidiaries.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and 2011, NBCUniversal had foreign income before taxes of $434 million and $476 million, respectively, on which foreign income tax expense was recorded. We recorded U.S. income tax expense on our allocable share of NBCUniversal’s income before domestic and foreign taxes reduced by a U.S. tax credit equal to our allocable share of NBCUniversal’s foreign income tax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551D3"/>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3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36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491</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220"/>
              <w:spacing w:after="0" w:line="181" w:lineRule="exact"/>
              <w:rPr>
                <w:sz w:val="20"/>
                <w:szCs w:val="20"/>
                <w:color w:val="auto"/>
              </w:rPr>
            </w:pPr>
            <w:r>
              <w:rPr>
                <w:rFonts w:ascii="Arial" w:cs="Arial" w:eastAsia="Arial" w:hAnsi="Arial"/>
                <w:sz w:val="18"/>
                <w:szCs w:val="18"/>
                <w:color w:val="auto"/>
              </w:rPr>
              <w:t>Net operating loss carryforwards</w:t>
            </w:r>
          </w:p>
        </w:tc>
        <w:tc>
          <w:tcPr>
            <w:tcW w:w="13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836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long-term debt</w:t>
            </w:r>
          </w:p>
        </w:tc>
        <w:tc>
          <w:tcPr>
            <w:tcW w:w="13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109</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8360" w:type="dxa"/>
            <w:vAlign w:val="bottom"/>
          </w:tcPr>
          <w:p>
            <w:pPr>
              <w:ind w:left="220"/>
              <w:spacing w:after="0" w:line="202" w:lineRule="exact"/>
              <w:rPr>
                <w:sz w:val="20"/>
                <w:szCs w:val="20"/>
                <w:color w:val="auto"/>
              </w:rPr>
            </w:pPr>
            <w:r>
              <w:rPr>
                <w:rFonts w:ascii="Arial" w:cs="Arial" w:eastAsia="Arial" w:hAnsi="Arial"/>
                <w:sz w:val="18"/>
                <w:szCs w:val="18"/>
                <w:color w:val="auto"/>
              </w:rPr>
              <w:t>Nondeductible accruals and other</w:t>
            </w:r>
          </w:p>
        </w:tc>
        <w:tc>
          <w:tcPr>
            <w:tcW w:w="13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1,771</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1"/>
        </w:trPr>
        <w:tc>
          <w:tcPr>
            <w:tcW w:w="8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Valuation allowance</w:t>
            </w: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355</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199"/>
        </w:trPr>
        <w:tc>
          <w:tcPr>
            <w:tcW w:w="836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1360" w:type="dxa"/>
            <w:vAlign w:val="bottom"/>
          </w:tcPr>
          <w:p>
            <w:pPr>
              <w:spacing w:after="0"/>
              <w:rPr>
                <w:sz w:val="17"/>
                <w:szCs w:val="17"/>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29,185</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220"/>
              <w:spacing w:after="0" w:line="181"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29,185</w:t>
            </w:r>
          </w:p>
        </w:tc>
        <w:tc>
          <w:tcPr>
            <w:tcW w:w="0" w:type="dxa"/>
            <w:vAlign w:val="bottom"/>
          </w:tcPr>
          <w:p>
            <w:pPr>
              <w:spacing w:after="0"/>
              <w:rPr>
                <w:sz w:val="1"/>
                <w:szCs w:val="1"/>
                <w:color w:val="auto"/>
              </w:rPr>
            </w:pPr>
          </w:p>
        </w:tc>
      </w:tr>
      <w:tr>
        <w:trPr>
          <w:trHeight w:val="203"/>
        </w:trPr>
        <w:tc>
          <w:tcPr>
            <w:tcW w:w="836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13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848</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836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indexed debt securities</w:t>
            </w:r>
          </w:p>
        </w:tc>
        <w:tc>
          <w:tcPr>
            <w:tcW w:w="13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587</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1"/>
        </w:trPr>
        <w:tc>
          <w:tcPr>
            <w:tcW w:w="8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Differences between book and tax outside basis of NBCUniversal</w:t>
            </w: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1,413</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32,033</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31,575</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13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551D3"/>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30,017</w:t>
            </w:r>
          </w:p>
        </w:tc>
        <w:tc>
          <w:tcPr>
            <w:tcW w:w="2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29,707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net deferred income tax liabilities in 2012 that were not recorded as deferred income tax expense are primarily related to increases of $99 million associated with items included in other comprehensive income (loss) and $66 million of increases related to acquisitions made in 2012. We accrued deferred tax expense of $77 million for our allocable share of NBCUniversal’s undistributed foreign income. Our net deferred tax liability includes $23 billion related to cable franchise rights that will remain unchanged unless we recognize an impairment or dispose of a cable franchise.</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deferred tax assets included in current assets are primarily related to our current investments and current liabilities. As of December 31, 2012, we had federal net operating loss carryforwards of $158 million and various state net operating loss carryforwards that expire in periods through 2032. As of December 31, 2012, we also had foreign net operating loss carryforwards of $311 million that are related to the foreign operations of NBCUniversal, the majority of which expire in periods through 2021. The determination of the realization of the state and foreign net operating loss carryforwards is dependent on our subsidiaries’ taxable income or loss, apportionment percentages, and state and foreign laws that can change from year to year and impact the amount of such carryforwards. We recognize a valuation allowance if we determine it is more likely than not that some portion, or all, of a deferred tax asset will not be realized. As of December 31, 2012 and 2011, our valuation allowance was related primarily to state and foreign net operating loss carryforwards. In 2012, 2011 and 2010, income tax expense attributable to share-based compensation of $164 million, $38 million and $3 million, respectively, was allocated to shareholders’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2012 totaled $1.6 billion, which excludes the federal benefits on state tax positions that were recorded as deferred income taxes, including $32 million related to tax positions of NBCUniversal for which we have been indemnified by GE. If we were to recognize the tax benefit for our uncertain tax positions in the future, $1.2 billion would impact our effective tax rate and the remaining amount would increase our deferred income tax liability. The amount and timing of the recognition of any such tax benefit is dependent on the completion of our tax examinations and the expiration of statutes of limitation. A majority of the amount of our uncertain tax positions relates to positions taken in years before 2007.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551D3"/>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January 1</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$ 1,435</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$ 1,251</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$ 1,185</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79</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from acquired subsidiaries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 of limitations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taxing authorities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68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298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$ 1,573</w:t>
            </w:r>
          </w:p>
        </w:tc>
        <w:tc>
          <w:tcPr>
            <w:tcW w:w="82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color w:val="auto"/>
              </w:rPr>
              <w:t>$ 1,435</w:t>
            </w:r>
          </w:p>
        </w:tc>
        <w:tc>
          <w:tcPr>
            <w:tcW w:w="8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$ 1,251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and 2011, our accrued interest associated with tax positions was $721 million and $698 million, respectively. As of December 31, 2012 and 2011, $11 million and $10 million, respectively, of these amounts were related to tax positions of NBCUniversal for which we have been indemnified by GE.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IRS is examining our 2009 through 2012 tax returns. The IRS completed its examination of our income tax returns for the years 2000 through 2008 and proposed adjustments that relate primarily to certain financing transactions, which we disputed. We effectively settled the dispute related to these transactions in February 2013. This settlement will not have a material impact on our effective tax rate.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Various states are examining our tax returns through 2010. The tax years of our state tax returns currently under examination vary by state. The majority of the periods under examination relate to tax years 2000 and forward, with a select few dating back to 1993.</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is reasonably possible that certain statutes of limitation for the years 2000-2006 will expire within the next 12 months that could result in a decrease to our uncertain tax positions related to those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551D3"/>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r>
      <w:tr>
        <w:trPr>
          <w:trHeight w:val="177"/>
        </w:trPr>
        <w:tc>
          <w:tcPr>
            <w:tcW w:w="692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2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$ 6,026</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$ 5,279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307</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425</w:t>
            </w: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198</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202</w:t>
            </w:r>
          </w:p>
        </w:tc>
      </w:tr>
      <w:tr>
        <w:trPr>
          <w:trHeight w:val="196"/>
        </w:trPr>
        <w:tc>
          <w:tcPr>
            <w:tcW w:w="69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20" w:type="dxa"/>
            <w:vAlign w:val="bottom"/>
            <w:tcBorders>
              <w:bottom w:val="single" w:sz="8" w:color="0551D3"/>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$ 5,521</w:t>
            </w:r>
          </w:p>
        </w:tc>
        <w:tc>
          <w:tcPr>
            <w:tcW w:w="880" w:type="dxa"/>
            <w:vAlign w:val="bottom"/>
            <w:tcBorders>
              <w:bottom w:val="single" w:sz="8" w:color="0551D3"/>
            </w:tcBorders>
          </w:tcPr>
          <w:p>
            <w:pPr>
              <w:jc w:val="right"/>
              <w:ind w:right="16"/>
              <w:spacing w:after="0" w:line="196" w:lineRule="exact"/>
              <w:rPr>
                <w:sz w:val="20"/>
                <w:szCs w:val="20"/>
                <w:color w:val="auto"/>
              </w:rPr>
            </w:pPr>
            <w:r>
              <w:rPr>
                <w:rFonts w:ascii="Arial" w:cs="Arial" w:eastAsia="Arial" w:hAnsi="Arial"/>
                <w:sz w:val="18"/>
                <w:szCs w:val="18"/>
                <w:color w:val="auto"/>
              </w:rPr>
              <w:t>$ 4,652</w:t>
            </w:r>
          </w:p>
        </w:tc>
      </w:tr>
    </w:tbl>
    <w:p>
      <w:pPr>
        <w:spacing w:after="0" w:line="16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In addition to the amounts in the table above, noncurrent receivables, net of $641 million and $684 million, as of December 31, 2012 and 2011, respectively, are included in other noncurrent assets, net that primarily related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551D3"/>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2011</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2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$ 2,314</w:t>
            </w:r>
          </w:p>
        </w:tc>
        <w:tc>
          <w:tcPr>
            <w:tcW w:w="820" w:type="dxa"/>
            <w:vAlign w:val="bottom"/>
          </w:tcPr>
          <w:p>
            <w:pPr>
              <w:jc w:val="right"/>
              <w:ind w:right="39"/>
              <w:spacing w:after="0" w:line="177" w:lineRule="exact"/>
              <w:rPr>
                <w:sz w:val="20"/>
                <w:szCs w:val="20"/>
                <w:color w:val="auto"/>
              </w:rPr>
            </w:pPr>
            <w:r>
              <w:rPr>
                <w:rFonts w:ascii="Arial" w:cs="Arial" w:eastAsia="Arial" w:hAnsi="Arial"/>
                <w:sz w:val="18"/>
                <w:szCs w:val="18"/>
                <w:color w:val="auto"/>
              </w:rPr>
              <w:t>$ 2,441</w:t>
            </w:r>
          </w:p>
        </w:tc>
        <w:tc>
          <w:tcPr>
            <w:tcW w:w="8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$ 1,983</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$ 2,841</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$ 1,626</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$ 1,864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17" w:lineRule="exact"/>
        <w:rPr>
          <w:sz w:val="20"/>
          <w:szCs w:val="20"/>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acquired $757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NBCUniversal acquired control of MSNBC.com, in which the fair value of its previously held equity interest in MSNBC.com was accounted for as noncash consideration in the application of acquisition accounting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020" w:right="1240" w:hanging="215"/>
        <w:spacing w:after="0" w:line="23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NBCUniversal contributed certain assets to acquire control of a previously held equity method investment in Brazil, and the fair value of its previously held equity interest was accounted for as noncash consideration in the application of acquisition accounting</w:t>
      </w:r>
    </w:p>
    <w:p>
      <w:pPr>
        <w:spacing w:after="0" w:line="72"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a liability of $430 million for a quarterly cash dividend of $0.1625 per common share paid in January 2013</w:t>
      </w:r>
    </w:p>
    <w:p>
      <w:pPr>
        <w:spacing w:after="0" w:line="7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NBCUniversal entered into a capital lease transaction that resulted in an increase in property and equipment and debt of $85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2011:</w:t>
      </w:r>
    </w:p>
    <w:p>
      <w:pPr>
        <w:spacing w:after="0" w:line="77" w:lineRule="exact"/>
        <w:rPr>
          <w:sz w:val="20"/>
          <w:szCs w:val="20"/>
          <w:color w:val="auto"/>
        </w:rPr>
      </w:pPr>
    </w:p>
    <w:p>
      <w:pPr>
        <w:ind w:left="1020" w:right="1240" w:hanging="21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51% of NBCUniversal Holdings on January 28, 2011, for cash and a 49% interest in the Comcast Content Business (see Note 4 for additional information on the NBCUniversal transaction)</w:t>
      </w:r>
    </w:p>
    <w:p>
      <w:pPr>
        <w:spacing w:after="0" w:line="73"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NBCUniversal’s previously held equity interest in Universal Orlando was accounted for as noncash consideration in the application of acquisition accounting for the Universal Orlando transaction (see Note 4 for additional information on the Universal Orlando transaction)</w:t>
      </w:r>
    </w:p>
    <w:p>
      <w:pPr>
        <w:spacing w:after="0" w:line="72" w:lineRule="exact"/>
        <w:rPr>
          <w:rFonts w:ascii="Arial" w:cs="Arial" w:eastAsia="Arial" w:hAnsi="Arial"/>
          <w:sz w:val="18"/>
          <w:szCs w:val="18"/>
          <w:color w:val="auto"/>
        </w:rPr>
      </w:pPr>
    </w:p>
    <w:p>
      <w:pPr>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$1 billion of property and equipment and intangible assets that were accrued but unpaid</w:t>
      </w:r>
    </w:p>
    <w:p>
      <w:pPr>
        <w:spacing w:after="0" w:line="76"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recorded a liability of $305 million for a quarterly cash dividend of $0.1125 per common share paid in January 2012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2010:</w:t>
      </w:r>
    </w:p>
    <w:p>
      <w:pPr>
        <w:spacing w:after="0" w:line="77" w:lineRule="exact"/>
        <w:rPr>
          <w:sz w:val="20"/>
          <w:szCs w:val="20"/>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acquired $611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recorded a liability of $263 million for a quarterly cash dividend of $0.0945 per common share paid in January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17: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December 31, 2012.</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is responsible for servicing the receivables and remitting collections to the purchasers under the monetization programs. NBCUniversal performs this service for a fee that is equal to the prevailing market rate for such services. As a result, no servicing asset or liability has been recorded on our consolidated balance sheet as of December 31, 2012 and 2011. These servicing fees are a component of net (loss) gain on sale, which is presented in the table below.</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0551D3"/>
        </w:rPr>
        <w:t>Effect on Income from Receivables Monetization and Cash Flows on Transfers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2011</w:t>
            </w:r>
          </w:p>
        </w:tc>
      </w:tr>
      <w:tr>
        <w:trPr>
          <w:trHeight w:val="177"/>
        </w:trPr>
        <w:tc>
          <w:tcPr>
            <w:tcW w:w="68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7"/>
              <w:spacing w:after="0" w:line="177" w:lineRule="exact"/>
              <w:rPr>
                <w:sz w:val="20"/>
                <w:szCs w:val="20"/>
                <w:color w:val="auto"/>
              </w:rPr>
            </w:pPr>
            <w:r>
              <w:rPr>
                <w:rFonts w:ascii="Arial" w:cs="Arial" w:eastAsia="Arial" w:hAnsi="Arial"/>
                <w:sz w:val="18"/>
                <w:szCs w:val="18"/>
                <w:color w:val="auto"/>
              </w:rPr>
              <w:t>—</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Net (loss) gain on sale</w:t>
            </w:r>
            <w:r>
              <w:rPr>
                <w:rFonts w:ascii="Arial" w:cs="Arial" w:eastAsia="Arial" w:hAnsi="Arial"/>
                <w:sz w:val="22"/>
                <w:szCs w:val="22"/>
                <w:color w:val="auto"/>
                <w:vertAlign w:val="superscript"/>
              </w:rPr>
              <w:t>(a)</w:t>
            </w:r>
          </w:p>
        </w:tc>
        <w:tc>
          <w:tcPr>
            <w:tcW w:w="3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21"/>
        </w:trPr>
        <w:tc>
          <w:tcPr>
            <w:tcW w:w="684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22"/>
                <w:szCs w:val="22"/>
                <w:color w:val="auto"/>
                <w:vertAlign w:val="superscript"/>
              </w:rPr>
              <w:t>(b)</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bl>
    <w:p>
      <w:pPr>
        <w:spacing w:after="0" w:line="54"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consolidated statement of income.</w:t>
      </w: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consolidated statement of cash flows.</w:t>
      </w:r>
    </w:p>
    <w:p>
      <w:pPr>
        <w:sectPr>
          <w:pgSz w:w="11900" w:h="16838" w:orient="portrait"/>
          <w:cols w:equalWidth="0" w:num="1">
            <w:col w:w="11420"/>
          </w:cols>
          <w:pgMar w:left="240" w:top="45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551D3"/>
        </w:rPr>
        <w:t>Receivables Monetized and Deferred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2011</w:t>
            </w: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Monetized receivables sold</w:t>
            </w:r>
          </w:p>
        </w:tc>
        <w:tc>
          <w:tcPr>
            <w:tcW w:w="4600" w:type="dxa"/>
            <w:vAlign w:val="bottom"/>
          </w:tcPr>
          <w:p>
            <w:pPr>
              <w:jc w:val="right"/>
              <w:ind w:right="99"/>
              <w:spacing w:after="0" w:line="177" w:lineRule="exact"/>
              <w:rPr>
                <w:sz w:val="20"/>
                <w:szCs w:val="20"/>
                <w:color w:val="auto"/>
              </w:rPr>
            </w:pPr>
            <w:r>
              <w:rPr>
                <w:rFonts w:ascii="Arial" w:cs="Arial" w:eastAsia="Arial" w:hAnsi="Arial"/>
                <w:sz w:val="18"/>
                <w:szCs w:val="18"/>
                <w:b w:val="1"/>
                <w:bCs w:val="1"/>
                <w:color w:val="auto"/>
              </w:rPr>
              <w:t>$ 791</w:t>
            </w:r>
          </w:p>
        </w:tc>
        <w:tc>
          <w:tcPr>
            <w:tcW w:w="7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$ 961</w:t>
            </w:r>
          </w:p>
        </w:tc>
      </w:tr>
      <w:tr>
        <w:trPr>
          <w:trHeight w:val="22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46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$ 274</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$ 268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amounts presented above, we had $882 million and $781 million payable to our monetization programs as of December 31, 2012 and 2011, respectively. These amounts represent cash receipts that were not yet remitted to the monetization programs as of the balance sheet date and are recorded to accounts payable and accrued expenses related to trade creditors.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take-or-pay creative talent and employment agreements, and various other television-related commitments. Many of NBCUniversal’s employees, including writers, directors, actors, technical and production personnel, and others, as well as some of its on-air and creative talent, are covered by collective bargaining agreements or works councils. As of December 31, 2012, the total number of NBCUniversal full-time, part-time and hourly employees on its payroll covered by collective bargaining agreements was 6,700 full-time equivalent employees. Of this total, approximately 18% of these full-time equivalent employees were covered by collective bargaining agreements that have expired or are scheduled to expire during 2013.</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through Comcast-Spectacor,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television rights to the future Olympic Games through 2020,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and other programming commitments, as well as our various contracts with creative talent and employment agreements under take-or-pay contracts.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right"/>
              <w:ind w:right="76"/>
              <w:spacing w:after="0"/>
              <w:rPr>
                <w:sz w:val="20"/>
                <w:szCs w:val="20"/>
                <w:color w:val="auto"/>
              </w:rPr>
            </w:pPr>
            <w:r>
              <w:rPr>
                <w:rFonts w:ascii="Arial" w:cs="Arial" w:eastAsia="Arial" w:hAnsi="Arial"/>
                <w:sz w:val="14"/>
                <w:szCs w:val="14"/>
                <w:color w:val="auto"/>
                <w:w w:val="97"/>
              </w:rPr>
              <w:t>Programming and</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Operating</w:t>
            </w:r>
          </w:p>
        </w:tc>
      </w:tr>
      <w:tr>
        <w:trPr>
          <w:trHeight w:val="163"/>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2012 (in millions)</w:t>
            </w:r>
          </w:p>
        </w:tc>
        <w:tc>
          <w:tcPr>
            <w:tcW w:w="4840" w:type="dxa"/>
            <w:vAlign w:val="bottom"/>
            <w:tcBorders>
              <w:bottom w:val="single" w:sz="8" w:color="auto"/>
            </w:tcBorders>
            <w:gridSpan w:val="2"/>
          </w:tcPr>
          <w:p>
            <w:pPr>
              <w:ind w:left="3460"/>
              <w:spacing w:after="0"/>
              <w:rPr>
                <w:sz w:val="20"/>
                <w:szCs w:val="20"/>
                <w:color w:val="auto"/>
              </w:rPr>
            </w:pPr>
            <w:r>
              <w:rPr>
                <w:rFonts w:ascii="Arial" w:cs="Arial" w:eastAsia="Arial" w:hAnsi="Arial"/>
                <w:sz w:val="14"/>
                <w:szCs w:val="14"/>
                <w:color w:val="auto"/>
              </w:rPr>
              <w:t>Talent Commitments</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Leases</w:t>
            </w: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color w:val="auto"/>
              </w:rPr>
              <w:t>2013</w:t>
            </w:r>
          </w:p>
        </w:tc>
        <w:tc>
          <w:tcPr>
            <w:tcW w:w="3580" w:type="dxa"/>
            <w:vAlign w:val="bottom"/>
          </w:tcPr>
          <w:p>
            <w:pPr>
              <w:ind w:left="344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0" w:lineRule="exact"/>
              <w:rPr>
                <w:sz w:val="20"/>
                <w:szCs w:val="20"/>
                <w:color w:val="auto"/>
              </w:rPr>
            </w:pPr>
            <w:r>
              <w:rPr>
                <w:rFonts w:ascii="Arial" w:cs="Arial" w:eastAsia="Arial" w:hAnsi="Arial"/>
                <w:sz w:val="18"/>
                <w:szCs w:val="18"/>
                <w:color w:val="auto"/>
              </w:rPr>
              <w:t>3,789</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497</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3,495</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439</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2,301</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380</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3,291</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354</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2,078</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329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21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202"/>
              <w:spacing w:after="0" w:line="200" w:lineRule="exact"/>
              <w:rPr>
                <w:sz w:val="20"/>
                <w:szCs w:val="20"/>
                <w:color w:val="auto"/>
              </w:rPr>
            </w:pPr>
            <w:r>
              <w:rPr>
                <w:rFonts w:ascii="Arial" w:cs="Arial" w:eastAsia="Arial" w:hAnsi="Arial"/>
                <w:sz w:val="18"/>
                <w:szCs w:val="18"/>
                <w:color w:val="auto"/>
              </w:rPr>
              <w:t>15,478</w:t>
            </w:r>
          </w:p>
        </w:tc>
        <w:tc>
          <w:tcPr>
            <w:tcW w:w="74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$ 1,218</w:t>
            </w:r>
          </w:p>
        </w:tc>
      </w:tr>
      <w:tr>
        <w:trPr>
          <w:trHeight w:val="370"/>
        </w:trPr>
        <w:tc>
          <w:tcPr>
            <w:tcW w:w="7220" w:type="dxa"/>
            <w:vAlign w:val="bottom"/>
          </w:tcPr>
          <w:p>
            <w:pPr>
              <w:spacing w:after="0"/>
              <w:rPr>
                <w:sz w:val="20"/>
                <w:szCs w:val="20"/>
                <w:color w:val="auto"/>
              </w:rPr>
            </w:pPr>
            <w:r>
              <w:rPr>
                <w:rFonts w:ascii="Arial" w:cs="Arial" w:eastAsia="Arial" w:hAnsi="Arial"/>
                <w:sz w:val="18"/>
                <w:szCs w:val="18"/>
                <w:color w:val="auto"/>
              </w:rPr>
              <w:t>The table below presents our rental expense charged to operations.</w:t>
            </w: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0"/>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r>
      <w:tr>
        <w:trPr>
          <w:trHeight w:val="196"/>
        </w:trPr>
        <w:tc>
          <w:tcPr>
            <w:tcW w:w="7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$ 688</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$ 570</w:t>
            </w:r>
          </w:p>
        </w:tc>
        <w:tc>
          <w:tcPr>
            <w:tcW w:w="74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$ 424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551D3"/>
        </w:rPr>
        <w:t>Station Venture</w:t>
      </w:r>
    </w:p>
    <w:p>
      <w:pPr>
        <w:jc w:val="both"/>
        <w:spacing w:after="0" w:line="266" w:lineRule="auto"/>
        <w:rPr>
          <w:sz w:val="20"/>
          <w:szCs w:val="20"/>
          <w:color w:val="auto"/>
        </w:rPr>
      </w:pPr>
      <w:r>
        <w:rPr>
          <w:rFonts w:ascii="Arial" w:cs="Arial" w:eastAsia="Arial" w:hAnsi="Arial"/>
          <w:sz w:val="16"/>
          <w:szCs w:val="16"/>
          <w:color w:val="auto"/>
        </w:rPr>
        <w:t>NBCUniversal owns a 79.62% equity interest and a 50% voting interest in Station Venture Holdings, LLC (“Station Venture”), a VIE. The remaining equity interests in Station Venture are held by LIN TV, Corp. (“LIN TV”). Station Venture holds an indirect interest in the NBC owned local broadcast television stations in Dallas, Texas and San Diego, California through its ownership interests in Station Venture Operations, LP (“Station LP”), a less than wholly owned consolidated subsidiary of NBCUniversal. Station Venture is the obligor on an $816 million senior secured note that is due in 2023 to General Electric Capital Corporation (“GECC”), as servicer. The note is nonrecourse to NBCUniversal, guaranteed by LIN TV and collateralized by substantially all of the assets of Station Venture and Station LP. In connection with the NBCUniversal transaction, GE indemnified NBCUniversal for all liabilities NBCUniversal may incur as a result of any credit support, risk of loss or similar arrangement related to the senior secured note in existence prior to the closing of that transaction. We are not the primary beneficiary of, and accordingly do not consolidate, Station Venture. The carrying value of our equity method investment in Station Venture was zero as of December 31, 2012. Because the assets of Station LP serve as collateral for Station Venture’s $816 million senior secured note, we recorded a liability in other noncurrent liabilities in our allocation of purchase price in the NBCUniversal transaction, which represented the fair value of the net assets that collateralize the note. As of December 31, 2012, the liability recorded on our consolidated balance sheet was $482 million. In February 2013, we closed our agreement with GE, GECC and LIN TV under which NBCUniversal purchased the Station Venture senior secured note from GECC for $602 million, representing the agreed upon fair value of the assets of Station LP. As of the closing date of the transaction, the $482 million liability was effectively settled, Station Venture and Station LP became wholly owned subsidiaries of NBCUniversal, we now consolidate Station Venture and the Station Venture senior secured note was eliminated in consolidation. Due to the related party nature of this transaction, the excess of the purchase price of the note over the recorded amount of the liability is treated as a capital transaction.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551D3"/>
        </w:rPr>
        <w:t>Antitrust Cases</w:t>
      </w:r>
    </w:p>
    <w:p>
      <w:pPr>
        <w:jc w:val="both"/>
        <w:spacing w:after="0" w:line="236"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In March 2010, we moved for summary judgment dismissing all of the plaintiffs’ claims in the Philadelphia Cluster. In April 2012, the District Court issued a decision dismissing some of the plaintiffs’ claims, but allowing two claims to proceed to trial. The plaintiffs’ claims concerning the other two clusters are stayed pending determination of the Philadelphia Cluster claims. In June 2012, the U.S. Supreme Court granted our petition to review the Third Circuit Court of Appeals’ ruling, and oral arguments were held in November 2012. In September 2012, the trial court stayed all trial and pretrial proceedings pending resolution of the Supreme Court appeal.</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March 2012, a panel of the Ninth Circuit Court of Appeals affirmed the District Court’s order. In April 2012, the plaintiffs filed a petition for a rehearing, which the Ninth Circuit denied in May 2012. In August 2012, the plaintiffs filed a petition for writ of certiorari with the U.S. Supreme Court, which was denied in November 2012.</w:t>
      </w:r>
    </w:p>
    <w:p>
      <w:pPr>
        <w:spacing w:after="0" w:line="33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w:t>
      </w:r>
    </w:p>
    <w:p>
      <w:pPr>
        <w:spacing w:after="0" w:line="3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June 2010, the Attorney General moved to sever and remand the portion of the claims seeking civil penalties and injunctive relief back to West Virginia state court. We filed a brief in opposition to the motion in July 2010.</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551D3"/>
        </w:rPr>
        <w:t>Other</w:t>
      </w: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19: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in five reportable business segments: Cable Communications, Cable Networks, Broadcast Television, Filmed Entertainment and Theme Parks. Our financial data by reportable business segment is presented in the tables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(Loss)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w w:val="96"/>
              </w:rPr>
              <w:t>Depreciation</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2"/>
                <w:szCs w:val="12"/>
                <w:color w:val="auto"/>
              </w:rPr>
            </w:pP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color w:val="auto"/>
                <w:w w:val="94"/>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940" w:type="dxa"/>
            <w:vAlign w:val="bottom"/>
          </w:tcPr>
          <w:p>
            <w:pPr>
              <w:spacing w:after="0"/>
              <w:rPr>
                <w:sz w:val="11"/>
                <w:szCs w:val="11"/>
                <w:color w:val="auto"/>
              </w:rPr>
            </w:pPr>
          </w:p>
        </w:tc>
        <w:tc>
          <w:tcPr>
            <w:tcW w:w="2540" w:type="dxa"/>
            <w:vAlign w:val="bottom"/>
            <w:vMerge w:val="restart"/>
          </w:tcPr>
          <w:p>
            <w:pPr>
              <w:jc w:val="right"/>
              <w:ind w:right="5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180" w:type="dxa"/>
            <w:vAlign w:val="bottom"/>
          </w:tcPr>
          <w:p>
            <w:pPr>
              <w:spacing w:after="0"/>
              <w:rPr>
                <w:sz w:val="11"/>
                <w:szCs w:val="11"/>
                <w:color w:val="auto"/>
              </w:rPr>
            </w:pPr>
          </w:p>
        </w:tc>
        <w:tc>
          <w:tcPr>
            <w:tcW w:w="900" w:type="dxa"/>
            <w:vAlign w:val="bottom"/>
          </w:tcPr>
          <w:p>
            <w:pPr>
              <w:jc w:val="right"/>
              <w:ind w:right="39"/>
              <w:spacing w:after="0" w:line="136"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1"/>
                <w:szCs w:val="11"/>
                <w:color w:val="auto"/>
              </w:rPr>
            </w:pPr>
          </w:p>
        </w:tc>
        <w:tc>
          <w:tcPr>
            <w:tcW w:w="640" w:type="dxa"/>
            <w:vAlign w:val="bottom"/>
          </w:tcPr>
          <w:p>
            <w:pPr>
              <w:jc w:val="right"/>
              <w:ind w:right="14"/>
              <w:spacing w:after="0" w:line="136" w:lineRule="exact"/>
              <w:rPr>
                <w:sz w:val="20"/>
                <w:szCs w:val="20"/>
                <w:color w:val="auto"/>
              </w:rPr>
            </w:pPr>
            <w:r>
              <w:rPr>
                <w:rFonts w:ascii="Arial" w:cs="Arial" w:eastAsia="Arial" w:hAnsi="Arial"/>
                <w:sz w:val="14"/>
                <w:szCs w:val="14"/>
                <w:color w:val="auto"/>
              </w:rPr>
              <w:t>and</w:t>
            </w:r>
          </w:p>
        </w:tc>
        <w:tc>
          <w:tcPr>
            <w:tcW w:w="220" w:type="dxa"/>
            <w:vAlign w:val="bottom"/>
          </w:tcPr>
          <w:p>
            <w:pPr>
              <w:spacing w:after="0"/>
              <w:rPr>
                <w:sz w:val="11"/>
                <w:szCs w:val="11"/>
                <w:color w:val="auto"/>
              </w:rPr>
            </w:pPr>
          </w:p>
        </w:tc>
        <w:tc>
          <w:tcPr>
            <w:tcW w:w="720" w:type="dxa"/>
            <w:vAlign w:val="bottom"/>
          </w:tcPr>
          <w:p>
            <w:pPr>
              <w:jc w:val="right"/>
              <w:ind w:right="37"/>
              <w:spacing w:after="0" w:line="136"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1"/>
                <w:szCs w:val="11"/>
                <w:color w:val="auto"/>
              </w:rPr>
            </w:pPr>
          </w:p>
        </w:tc>
        <w:tc>
          <w:tcPr>
            <w:tcW w:w="680" w:type="dxa"/>
            <w:vAlign w:val="bottom"/>
          </w:tcPr>
          <w:p>
            <w:pPr>
              <w:jc w:val="right"/>
              <w:ind w:right="14"/>
              <w:spacing w:after="0" w:line="136" w:lineRule="exact"/>
              <w:rPr>
                <w:sz w:val="20"/>
                <w:szCs w:val="20"/>
                <w:color w:val="auto"/>
              </w:rPr>
            </w:pPr>
            <w:r>
              <w:rPr>
                <w:rFonts w:ascii="Arial" w:cs="Arial" w:eastAsia="Arial" w:hAnsi="Arial"/>
                <w:sz w:val="14"/>
                <w:szCs w:val="14"/>
                <w:color w:val="auto"/>
              </w:rPr>
              <w:t>Capital</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39"/>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2012</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$ 39,604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16,255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6,405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9,850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4,921</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$ 127,044</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(b)</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8,773</w:t>
            </w:r>
          </w:p>
        </w:tc>
        <w:tc>
          <w:tcPr>
            <w:tcW w:w="180" w:type="dxa"/>
            <w:vAlign w:val="bottom"/>
          </w:tcPr>
          <w:p>
            <w:pPr>
              <w:spacing w:after="0"/>
              <w:rPr>
                <w:sz w:val="17"/>
                <w:szCs w:val="17"/>
                <w:color w:val="auto"/>
              </w:rPr>
            </w:pP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3,292</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741</w:t>
            </w:r>
          </w:p>
        </w:tc>
        <w:tc>
          <w:tcPr>
            <w:tcW w:w="22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2,551</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150</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29,674</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(c)</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8,154</w:t>
            </w:r>
          </w:p>
        </w:tc>
        <w:tc>
          <w:tcPr>
            <w:tcW w:w="180" w:type="dxa"/>
            <w:vAlign w:val="bottom"/>
          </w:tcPr>
          <w:p>
            <w:pPr>
              <w:spacing w:after="0"/>
              <w:rPr>
                <w:sz w:val="17"/>
                <w:szCs w:val="17"/>
                <w:color w:val="auto"/>
              </w:rPr>
            </w:pP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369</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91</w:t>
            </w:r>
          </w:p>
        </w:tc>
        <w:tc>
          <w:tcPr>
            <w:tcW w:w="22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278</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5,159</w:t>
            </w:r>
          </w:p>
        </w:tc>
        <w:tc>
          <w:tcPr>
            <w:tcW w:w="180" w:type="dxa"/>
            <w:vAlign w:val="bottom"/>
          </w:tcPr>
          <w:p>
            <w:pPr>
              <w:spacing w:after="0"/>
              <w:rPr>
                <w:sz w:val="17"/>
                <w:szCs w:val="17"/>
                <w:color w:val="auto"/>
              </w:rPr>
            </w:pP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2,085</w:t>
            </w:r>
          </w:p>
        </w:tc>
        <w:tc>
          <w:tcPr>
            <w:tcW w:w="180" w:type="dxa"/>
            <w:vAlign w:val="bottom"/>
          </w:tcPr>
          <w:p>
            <w:pPr>
              <w:spacing w:after="0"/>
              <w:rPr>
                <w:sz w:val="17"/>
                <w:szCs w:val="17"/>
                <w:color w:val="auto"/>
              </w:rPr>
            </w:pP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953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268</w:t>
            </w:r>
          </w:p>
        </w:tc>
        <w:tc>
          <w:tcPr>
            <w:tcW w:w="22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685</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272</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(e)</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269</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199"/>
        </w:trPr>
        <w:tc>
          <w:tcPr>
            <w:tcW w:w="39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(402)</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5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23,812</w:t>
            </w:r>
          </w:p>
        </w:tc>
        <w:tc>
          <w:tcPr>
            <w:tcW w:w="180" w:type="dxa"/>
            <w:vAlign w:val="bottom"/>
          </w:tcPr>
          <w:p>
            <w:pPr>
              <w:spacing w:after="0"/>
              <w:rPr>
                <w:sz w:val="17"/>
                <w:szCs w:val="17"/>
                <w:color w:val="auto"/>
              </w:rPr>
            </w:pPr>
          </w:p>
        </w:tc>
        <w:tc>
          <w:tcPr>
            <w:tcW w:w="900" w:type="dxa"/>
            <w:vAlign w:val="bottom"/>
          </w:tcPr>
          <w:p>
            <w:pPr>
              <w:jc w:val="right"/>
              <w:ind w:right="39"/>
              <w:spacing w:after="0" w:line="200" w:lineRule="exact"/>
              <w:rPr>
                <w:sz w:val="20"/>
                <w:szCs w:val="20"/>
                <w:color w:val="auto"/>
              </w:rPr>
            </w:pPr>
            <w:r>
              <w:rPr>
                <w:rFonts w:ascii="Arial" w:cs="Arial" w:eastAsia="Arial" w:hAnsi="Arial"/>
                <w:sz w:val="18"/>
                <w:szCs w:val="18"/>
                <w:color w:val="auto"/>
              </w:rPr>
              <w:t>4,107</w:t>
            </w:r>
          </w:p>
        </w:tc>
        <w:tc>
          <w:tcPr>
            <w:tcW w:w="30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1,326</w:t>
            </w:r>
          </w:p>
        </w:tc>
        <w:tc>
          <w:tcPr>
            <w:tcW w:w="220" w:type="dxa"/>
            <w:vAlign w:val="bottom"/>
          </w:tcPr>
          <w:p>
            <w:pPr>
              <w:spacing w:after="0"/>
              <w:rPr>
                <w:sz w:val="17"/>
                <w:szCs w:val="17"/>
                <w:color w:val="auto"/>
              </w:rPr>
            </w:pPr>
          </w:p>
        </w:tc>
        <w:tc>
          <w:tcPr>
            <w:tcW w:w="7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2,781</w:t>
            </w:r>
          </w:p>
        </w:tc>
        <w:tc>
          <w:tcPr>
            <w:tcW w:w="300" w:type="dxa"/>
            <w:vAlign w:val="bottom"/>
          </w:tcPr>
          <w:p>
            <w:pPr>
              <w:spacing w:after="0"/>
              <w:rPr>
                <w:sz w:val="17"/>
                <w:szCs w:val="17"/>
                <w:color w:val="auto"/>
              </w:rPr>
            </w:pPr>
          </w:p>
        </w:tc>
        <w:tc>
          <w:tcPr>
            <w:tcW w:w="6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763</w:t>
            </w:r>
          </w:p>
        </w:tc>
        <w:tc>
          <w:tcPr>
            <w:tcW w:w="10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54,462</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498</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99"/>
        </w:trPr>
        <w:tc>
          <w:tcPr>
            <w:tcW w:w="3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(1,344)</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(22,535)</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540" w:type="dxa"/>
            <w:vAlign w:val="bottom"/>
            <w:tcBorders>
              <w:bottom w:val="single" w:sz="8" w:color="0551D3"/>
            </w:tcBorders>
          </w:tcPr>
          <w:p>
            <w:pPr>
              <w:jc w:val="right"/>
              <w:ind w:right="55"/>
              <w:spacing w:after="0" w:line="196" w:lineRule="exact"/>
              <w:rPr>
                <w:sz w:val="20"/>
                <w:szCs w:val="20"/>
                <w:color w:val="auto"/>
              </w:rPr>
            </w:pPr>
            <w:r>
              <w:rPr>
                <w:rFonts w:ascii="Arial" w:cs="Arial" w:eastAsia="Arial" w:hAnsi="Arial"/>
                <w:sz w:val="18"/>
                <w:szCs w:val="18"/>
                <w:color w:val="auto"/>
              </w:rPr>
              <w:t>$ 62,570</w:t>
            </w:r>
          </w:p>
        </w:tc>
        <w:tc>
          <w:tcPr>
            <w:tcW w:w="1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551D3"/>
            </w:tcBorders>
          </w:tcPr>
          <w:p>
            <w:pPr>
              <w:jc w:val="right"/>
              <w:ind w:right="39"/>
              <w:spacing w:after="0" w:line="196" w:lineRule="exact"/>
              <w:rPr>
                <w:sz w:val="20"/>
                <w:szCs w:val="20"/>
                <w:color w:val="auto"/>
              </w:rPr>
            </w:pPr>
            <w:r>
              <w:rPr>
                <w:rFonts w:ascii="Arial" w:cs="Arial" w:eastAsia="Arial" w:hAnsi="Arial"/>
                <w:sz w:val="18"/>
                <w:szCs w:val="18"/>
                <w:color w:val="auto"/>
              </w:rPr>
              <w:t>19,977</w:t>
            </w:r>
          </w:p>
        </w:tc>
        <w:tc>
          <w:tcPr>
            <w:tcW w:w="30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7,798</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551D3"/>
            </w:tcBorders>
          </w:tcPr>
          <w:p>
            <w:pPr>
              <w:jc w:val="right"/>
              <w:ind w:right="37"/>
              <w:spacing w:after="0" w:line="196" w:lineRule="exact"/>
              <w:rPr>
                <w:sz w:val="20"/>
                <w:szCs w:val="20"/>
                <w:color w:val="auto"/>
              </w:rPr>
            </w:pPr>
            <w:r>
              <w:rPr>
                <w:rFonts w:ascii="Arial" w:cs="Arial" w:eastAsia="Arial" w:hAnsi="Arial"/>
                <w:sz w:val="18"/>
                <w:szCs w:val="18"/>
                <w:color w:val="auto"/>
              </w:rPr>
              <w:t>12,179</w:t>
            </w:r>
          </w:p>
        </w:tc>
        <w:tc>
          <w:tcPr>
            <w:tcW w:w="30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5,714</w:t>
            </w:r>
          </w:p>
        </w:tc>
        <w:tc>
          <w:tcPr>
            <w:tcW w:w="100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color w:val="auto"/>
              </w:rPr>
              <w:t>$ 164,971</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2540" w:type="dxa"/>
            <w:vAlign w:val="bottom"/>
          </w:tcPr>
          <w:p>
            <w:pPr>
              <w:jc w:val="right"/>
              <w:ind w:right="615"/>
              <w:spacing w:after="0"/>
              <w:rPr>
                <w:sz w:val="20"/>
                <w:szCs w:val="20"/>
                <w:color w:val="auto"/>
              </w:rPr>
            </w:pPr>
            <w:r>
              <w:rPr>
                <w:rFonts w:ascii="Arial" w:cs="Arial" w:eastAsia="Arial" w:hAnsi="Arial"/>
                <w:sz w:val="14"/>
                <w:szCs w:val="14"/>
                <w:b w:val="1"/>
                <w:bCs w:val="1"/>
                <w:color w:val="auto"/>
              </w:rPr>
              <w:t>39</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Operating</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(Loss)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Before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6"/>
              </w:rPr>
              <w:t>Depreciation</w:t>
            </w: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Operating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6"/>
        </w:trPr>
        <w:tc>
          <w:tcPr>
            <w:tcW w:w="39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113"/>
              <w:spacing w:after="0" w:line="136" w:lineRule="exact"/>
              <w:rPr>
                <w:sz w:val="20"/>
                <w:szCs w:val="20"/>
                <w:color w:val="auto"/>
              </w:rPr>
            </w:pPr>
            <w:r>
              <w:rPr>
                <w:rFonts w:ascii="Arial" w:cs="Arial" w:eastAsia="Arial" w:hAnsi="Arial"/>
                <w:sz w:val="14"/>
                <w:szCs w:val="14"/>
                <w:color w:val="auto"/>
              </w:rPr>
              <w:t>and</w:t>
            </w:r>
          </w:p>
        </w:tc>
        <w:tc>
          <w:tcPr>
            <w:tcW w:w="260" w:type="dxa"/>
            <w:vAlign w:val="bottom"/>
          </w:tcPr>
          <w:p>
            <w:pPr>
              <w:spacing w:after="0"/>
              <w:rPr>
                <w:sz w:val="11"/>
                <w:szCs w:val="11"/>
                <w:color w:val="auto"/>
              </w:rPr>
            </w:pPr>
          </w:p>
        </w:tc>
        <w:tc>
          <w:tcPr>
            <w:tcW w:w="640" w:type="dxa"/>
            <w:vAlign w:val="bottom"/>
          </w:tcPr>
          <w:p>
            <w:pPr>
              <w:jc w:val="right"/>
              <w:ind w:right="96"/>
              <w:spacing w:after="0" w:line="136" w:lineRule="exact"/>
              <w:rPr>
                <w:sz w:val="20"/>
                <w:szCs w:val="20"/>
                <w:color w:val="auto"/>
              </w:rPr>
            </w:pPr>
            <w:r>
              <w:rPr>
                <w:rFonts w:ascii="Arial" w:cs="Arial" w:eastAsia="Arial" w:hAnsi="Arial"/>
                <w:sz w:val="14"/>
                <w:szCs w:val="14"/>
                <w:color w:val="auto"/>
                <w:w w:val="95"/>
              </w:rPr>
              <w:t>Income</w:t>
            </w:r>
          </w:p>
        </w:tc>
        <w:tc>
          <w:tcPr>
            <w:tcW w:w="160" w:type="dxa"/>
            <w:vAlign w:val="bottom"/>
          </w:tcPr>
          <w:p>
            <w:pPr>
              <w:spacing w:after="0"/>
              <w:rPr>
                <w:sz w:val="11"/>
                <w:szCs w:val="11"/>
                <w:color w:val="auto"/>
              </w:rPr>
            </w:pPr>
          </w:p>
        </w:tc>
        <w:tc>
          <w:tcPr>
            <w:tcW w:w="780" w:type="dxa"/>
            <w:vAlign w:val="bottom"/>
          </w:tcPr>
          <w:p>
            <w:pPr>
              <w:jc w:val="right"/>
              <w:ind w:right="36"/>
              <w:spacing w:after="0" w:line="136" w:lineRule="exact"/>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6"/>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tcPr>
          <w:p>
            <w:pPr>
              <w:jc w:val="right"/>
              <w:ind w:right="54"/>
              <w:spacing w:after="0" w:line="176" w:lineRule="exact"/>
              <w:rPr>
                <w:sz w:val="20"/>
                <w:szCs w:val="20"/>
                <w:color w:val="auto"/>
              </w:rPr>
            </w:pPr>
            <w:r>
              <w:rPr>
                <w:rFonts w:ascii="Arial" w:cs="Arial" w:eastAsia="Arial" w:hAnsi="Arial"/>
                <w:sz w:val="13"/>
                <w:szCs w:val="13"/>
                <w:color w:val="auto"/>
              </w:rPr>
              <w:t>Revenue</w:t>
            </w:r>
            <w:r>
              <w:rPr>
                <w:rFonts w:ascii="Arial" w:cs="Arial" w:eastAsia="Arial" w:hAnsi="Arial"/>
                <w:sz w:val="20"/>
                <w:szCs w:val="20"/>
                <w:color w:val="auto"/>
                <w:vertAlign w:val="superscript"/>
              </w:rPr>
              <w:t>(g)</w:t>
            </w:r>
          </w:p>
        </w:tc>
        <w:tc>
          <w:tcPr>
            <w:tcW w:w="96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color w:val="auto"/>
                <w:w w:val="99"/>
              </w:rPr>
              <w:t>Amortization</w:t>
            </w:r>
            <w:r>
              <w:rPr>
                <w:rFonts w:ascii="Arial" w:cs="Arial" w:eastAsia="Arial" w:hAnsi="Arial"/>
                <w:sz w:val="20"/>
                <w:szCs w:val="20"/>
                <w:color w:val="auto"/>
                <w:w w:val="99"/>
                <w:vertAlign w:val="superscript"/>
              </w:rPr>
              <w:t>(h)</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(Loss)</w:t>
            </w:r>
          </w:p>
        </w:tc>
        <w:tc>
          <w:tcPr>
            <w:tcW w:w="9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w w:val="97"/>
              </w:rPr>
              <w:t>Expenditures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2011</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$ 37,226</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15,288</w:t>
            </w:r>
          </w:p>
        </w:tc>
        <w:tc>
          <w:tcPr>
            <w:tcW w:w="160" w:type="dxa"/>
            <w:vAlign w:val="bottom"/>
          </w:tcPr>
          <w:p>
            <w:pPr>
              <w:spacing w:after="0"/>
              <w:rPr>
                <w:sz w:val="17"/>
                <w:szCs w:val="17"/>
                <w:color w:val="auto"/>
              </w:rPr>
            </w:pP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6,395</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w w:val="97"/>
              </w:rPr>
              <w:t>8,893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4,806</w:t>
            </w:r>
          </w:p>
        </w:tc>
        <w:tc>
          <w:tcPr>
            <w:tcW w:w="98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$ 120,729</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8,108</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3,185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718</w:t>
            </w:r>
          </w:p>
        </w:tc>
        <w:tc>
          <w:tcPr>
            <w:tcW w:w="26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w w:val="97"/>
              </w:rPr>
              <w:t>2,467</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29,578</w:t>
            </w: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5,935</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79</w:t>
            </w:r>
          </w:p>
        </w:tc>
        <w:tc>
          <w:tcPr>
            <w:tcW w:w="26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59</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6,213</w:t>
            </w: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4,239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w:t>
            </w:r>
          </w:p>
        </w:tc>
        <w:tc>
          <w:tcPr>
            <w:tcW w:w="26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3,891</w:t>
            </w: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1,874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201</w:t>
            </w:r>
          </w:p>
        </w:tc>
        <w:tc>
          <w:tcPr>
            <w:tcW w:w="260" w:type="dxa"/>
            <w:vAlign w:val="bottom"/>
          </w:tcPr>
          <w:p>
            <w:pPr>
              <w:spacing w:after="0"/>
              <w:rPr>
                <w:sz w:val="17"/>
                <w:szCs w:val="17"/>
                <w:color w:val="auto"/>
              </w:rPr>
            </w:pP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629</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6,197</w:t>
            </w: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940" w:type="dxa"/>
            <w:vAlign w:val="bottom"/>
            <w:gridSpan w:val="2"/>
          </w:tcPr>
          <w:p>
            <w:pPr>
              <w:jc w:val="right"/>
              <w:ind w:right="22"/>
              <w:spacing w:after="0" w:line="202" w:lineRule="exact"/>
              <w:rPr>
                <w:sz w:val="20"/>
                <w:szCs w:val="20"/>
                <w:color w:val="auto"/>
              </w:rPr>
            </w:pPr>
            <w:r>
              <w:rPr>
                <w:rFonts w:ascii="Arial" w:cs="Arial" w:eastAsia="Arial" w:hAnsi="Arial"/>
                <w:sz w:val="18"/>
                <w:szCs w:val="18"/>
                <w:color w:val="auto"/>
              </w:rPr>
              <w:t>(484)</w:t>
            </w:r>
          </w:p>
        </w:tc>
        <w:tc>
          <w:tcPr>
            <w:tcW w:w="260" w:type="dxa"/>
            <w:vAlign w:val="bottom"/>
          </w:tcPr>
          <w:p>
            <w:pPr>
              <w:spacing w:after="0"/>
              <w:rPr>
                <w:sz w:val="17"/>
                <w:szCs w:val="17"/>
                <w:color w:val="auto"/>
              </w:rPr>
            </w:pP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168</w:t>
            </w:r>
          </w:p>
        </w:tc>
        <w:tc>
          <w:tcPr>
            <w:tcW w:w="260" w:type="dxa"/>
            <w:vAlign w:val="bottom"/>
          </w:tcPr>
          <w:p>
            <w:pPr>
              <w:spacing w:after="0"/>
              <w:rPr>
                <w:sz w:val="17"/>
                <w:szCs w:val="17"/>
                <w:color w:val="auto"/>
              </w:rPr>
            </w:pPr>
          </w:p>
        </w:tc>
        <w:tc>
          <w:tcPr>
            <w:tcW w:w="6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(652)</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165</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5,443</w:t>
            </w:r>
          </w:p>
        </w:tc>
      </w:tr>
      <w:tr>
        <w:trPr>
          <w:trHeight w:val="199"/>
        </w:trPr>
        <w:tc>
          <w:tcPr>
            <w:tcW w:w="39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2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2"/>
              <w:spacing w:after="0" w:line="200" w:lineRule="exact"/>
              <w:rPr>
                <w:sz w:val="20"/>
                <w:szCs w:val="20"/>
                <w:color w:val="auto"/>
              </w:rPr>
            </w:pPr>
            <w:r>
              <w:rPr>
                <w:rFonts w:ascii="Arial" w:cs="Arial" w:eastAsia="Arial" w:hAnsi="Arial"/>
                <w:sz w:val="18"/>
                <w:szCs w:val="18"/>
                <w:color w:val="auto"/>
              </w:rPr>
              <w:t>(234)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(53)</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(181)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(538)</w:t>
            </w: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5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19,260</w:t>
            </w:r>
          </w:p>
        </w:tc>
        <w:tc>
          <w:tcPr>
            <w:tcW w:w="18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3,462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13"/>
              <w:spacing w:after="0" w:line="200" w:lineRule="exact"/>
              <w:rPr>
                <w:sz w:val="20"/>
                <w:szCs w:val="20"/>
                <w:color w:val="auto"/>
              </w:rPr>
            </w:pPr>
            <w:r>
              <w:rPr>
                <w:rFonts w:ascii="Arial" w:cs="Arial" w:eastAsia="Arial" w:hAnsi="Arial"/>
                <w:sz w:val="18"/>
                <w:szCs w:val="18"/>
                <w:color w:val="auto"/>
              </w:rPr>
              <w:t>1,132</w:t>
            </w:r>
          </w:p>
        </w:tc>
        <w:tc>
          <w:tcPr>
            <w:tcW w:w="260" w:type="dxa"/>
            <w:vAlign w:val="bottom"/>
          </w:tcPr>
          <w:p>
            <w:pPr>
              <w:spacing w:after="0"/>
              <w:rPr>
                <w:sz w:val="17"/>
                <w:szCs w:val="17"/>
                <w:color w:val="auto"/>
              </w:rPr>
            </w:pPr>
          </w:p>
        </w:tc>
        <w:tc>
          <w:tcPr>
            <w:tcW w:w="640" w:type="dxa"/>
            <w:vAlign w:val="bottom"/>
          </w:tcPr>
          <w:p>
            <w:pPr>
              <w:jc w:val="right"/>
              <w:ind w:right="96"/>
              <w:spacing w:after="0" w:line="200" w:lineRule="exact"/>
              <w:rPr>
                <w:sz w:val="20"/>
                <w:szCs w:val="20"/>
                <w:color w:val="auto"/>
              </w:rPr>
            </w:pPr>
            <w:r>
              <w:rPr>
                <w:rFonts w:ascii="Arial" w:cs="Arial" w:eastAsia="Arial" w:hAnsi="Arial"/>
                <w:sz w:val="18"/>
                <w:szCs w:val="18"/>
                <w:color w:val="auto"/>
                <w:w w:val="97"/>
              </w:rPr>
              <w:t>2,330</w:t>
            </w:r>
          </w:p>
        </w:tc>
        <w:tc>
          <w:tcPr>
            <w:tcW w:w="160" w:type="dxa"/>
            <w:vAlign w:val="bottom"/>
          </w:tcPr>
          <w:p>
            <w:pPr>
              <w:spacing w:after="0"/>
              <w:rPr>
                <w:sz w:val="17"/>
                <w:szCs w:val="17"/>
                <w:color w:val="auto"/>
              </w:rPr>
            </w:pPr>
          </w:p>
        </w:tc>
        <w:tc>
          <w:tcPr>
            <w:tcW w:w="780" w:type="dxa"/>
            <w:vAlign w:val="bottom"/>
          </w:tcPr>
          <w:p>
            <w:pPr>
              <w:jc w:val="right"/>
              <w:ind w:right="36"/>
              <w:spacing w:after="0" w:line="200" w:lineRule="exact"/>
              <w:rPr>
                <w:sz w:val="20"/>
                <w:szCs w:val="20"/>
                <w:color w:val="auto"/>
              </w:rPr>
            </w:pPr>
            <w:r>
              <w:rPr>
                <w:rFonts w:ascii="Arial" w:cs="Arial" w:eastAsia="Arial" w:hAnsi="Arial"/>
                <w:sz w:val="18"/>
                <w:szCs w:val="18"/>
                <w:color w:val="auto"/>
              </w:rPr>
              <w:t>434</w:t>
            </w:r>
          </w:p>
        </w:tc>
        <w:tc>
          <w:tcPr>
            <w:tcW w:w="220" w:type="dxa"/>
            <w:vAlign w:val="bottom"/>
          </w:tcPr>
          <w:p>
            <w:pPr>
              <w:spacing w:after="0"/>
              <w:rPr>
                <w:sz w:val="17"/>
                <w:szCs w:val="17"/>
                <w:color w:val="auto"/>
              </w:rPr>
            </w:pPr>
          </w:p>
        </w:tc>
        <w:tc>
          <w:tcPr>
            <w:tcW w:w="7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50,784</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558</w:t>
            </w:r>
          </w:p>
        </w:tc>
        <w:tc>
          <w:tcPr>
            <w:tcW w:w="180" w:type="dxa"/>
            <w:vAlign w:val="bottom"/>
          </w:tcPr>
          <w:p>
            <w:pPr>
              <w:spacing w:after="0"/>
              <w:rPr>
                <w:sz w:val="17"/>
                <w:szCs w:val="17"/>
                <w:color w:val="auto"/>
              </w:rPr>
            </w:pPr>
          </w:p>
        </w:tc>
        <w:tc>
          <w:tcPr>
            <w:tcW w:w="940" w:type="dxa"/>
            <w:vAlign w:val="bottom"/>
            <w:gridSpan w:val="2"/>
          </w:tcPr>
          <w:p>
            <w:pPr>
              <w:jc w:val="right"/>
              <w:ind w:right="22"/>
              <w:spacing w:after="0" w:line="202" w:lineRule="exact"/>
              <w:rPr>
                <w:sz w:val="20"/>
                <w:szCs w:val="20"/>
                <w:color w:val="auto"/>
              </w:rPr>
            </w:pPr>
            <w:r>
              <w:rPr>
                <w:rFonts w:ascii="Arial" w:cs="Arial" w:eastAsia="Arial" w:hAnsi="Arial"/>
                <w:sz w:val="18"/>
                <w:szCs w:val="18"/>
                <w:color w:val="auto"/>
              </w:rPr>
              <w:t>(416)</w:t>
            </w:r>
          </w:p>
        </w:tc>
        <w:tc>
          <w:tcPr>
            <w:tcW w:w="260" w:type="dxa"/>
            <w:vAlign w:val="bottom"/>
          </w:tcPr>
          <w:p>
            <w:pPr>
              <w:spacing w:after="0"/>
              <w:rPr>
                <w:sz w:val="17"/>
                <w:szCs w:val="17"/>
                <w:color w:val="auto"/>
              </w:rPr>
            </w:pPr>
          </w:p>
        </w:tc>
        <w:tc>
          <w:tcPr>
            <w:tcW w:w="7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93</w:t>
            </w:r>
          </w:p>
        </w:tc>
        <w:tc>
          <w:tcPr>
            <w:tcW w:w="260" w:type="dxa"/>
            <w:vAlign w:val="bottom"/>
          </w:tcPr>
          <w:p>
            <w:pPr>
              <w:spacing w:after="0"/>
              <w:rPr>
                <w:sz w:val="17"/>
                <w:szCs w:val="17"/>
                <w:color w:val="auto"/>
              </w:rPr>
            </w:pPr>
          </w:p>
        </w:tc>
        <w:tc>
          <w:tcPr>
            <w:tcW w:w="6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(509)</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6,224</w:t>
            </w:r>
          </w:p>
        </w:tc>
      </w:tr>
      <w:tr>
        <w:trPr>
          <w:trHeight w:val="199"/>
        </w:trPr>
        <w:tc>
          <w:tcPr>
            <w:tcW w:w="3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2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(1,202)</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3"/>
              <w:spacing w:after="0" w:line="200" w:lineRule="exact"/>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(19,919)</w:t>
            </w:r>
          </w:p>
        </w:tc>
      </w:tr>
      <w:tr>
        <w:trPr>
          <w:trHeight w:val="196"/>
        </w:trPr>
        <w:tc>
          <w:tcPr>
            <w:tcW w:w="39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540" w:type="dxa"/>
            <w:vAlign w:val="bottom"/>
            <w:tcBorders>
              <w:bottom w:val="single" w:sz="8" w:color="0551D3"/>
            </w:tcBorders>
          </w:tcPr>
          <w:p>
            <w:pPr>
              <w:jc w:val="right"/>
              <w:ind w:right="54"/>
              <w:spacing w:after="0" w:line="196" w:lineRule="exact"/>
              <w:rPr>
                <w:sz w:val="20"/>
                <w:szCs w:val="20"/>
                <w:color w:val="auto"/>
              </w:rPr>
            </w:pPr>
            <w:r>
              <w:rPr>
                <w:rFonts w:ascii="Arial" w:cs="Arial" w:eastAsia="Arial" w:hAnsi="Arial"/>
                <w:sz w:val="18"/>
                <w:szCs w:val="18"/>
                <w:color w:val="auto"/>
              </w:rPr>
              <w:t>$ 55,842</w:t>
            </w:r>
          </w:p>
        </w:tc>
        <w:tc>
          <w:tcPr>
            <w:tcW w:w="180" w:type="dxa"/>
            <w:vAlign w:val="bottom"/>
            <w:tcBorders>
              <w:bottom w:val="single" w:sz="8" w:color="0551D3"/>
            </w:tcBorders>
          </w:tcPr>
          <w:p>
            <w:pPr>
              <w:ind w:left="6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18,357</w:t>
            </w:r>
          </w:p>
        </w:tc>
        <w:tc>
          <w:tcPr>
            <w:tcW w:w="160" w:type="dxa"/>
            <w:vAlign w:val="bottom"/>
            <w:tcBorders>
              <w:bottom w:val="single" w:sz="8" w:color="0551D3"/>
            </w:tcBorders>
          </w:tcPr>
          <w:p>
            <w:pPr>
              <w:spacing w:after="0"/>
              <w:rPr>
                <w:sz w:val="17"/>
                <w:szCs w:val="17"/>
                <w:color w:val="auto"/>
              </w:rPr>
            </w:pPr>
          </w:p>
        </w:tc>
        <w:tc>
          <w:tcPr>
            <w:tcW w:w="260" w:type="dxa"/>
            <w:vAlign w:val="bottom"/>
            <w:tcBorders>
              <w:bottom w:val="single" w:sz="8" w:color="0551D3"/>
            </w:tcBorders>
          </w:tcPr>
          <w:p>
            <w:pPr>
              <w:ind w:left="4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0551D3"/>
            </w:tcBorders>
          </w:tcPr>
          <w:p>
            <w:pPr>
              <w:jc w:val="right"/>
              <w:ind w:right="113"/>
              <w:spacing w:after="0" w:line="196" w:lineRule="exact"/>
              <w:rPr>
                <w:sz w:val="20"/>
                <w:szCs w:val="20"/>
                <w:color w:val="auto"/>
              </w:rPr>
            </w:pPr>
            <w:r>
              <w:rPr>
                <w:rFonts w:ascii="Arial" w:cs="Arial" w:eastAsia="Arial" w:hAnsi="Arial"/>
                <w:sz w:val="18"/>
                <w:szCs w:val="18"/>
                <w:color w:val="auto"/>
              </w:rPr>
              <w:t>7,636</w:t>
            </w:r>
          </w:p>
        </w:tc>
        <w:tc>
          <w:tcPr>
            <w:tcW w:w="900" w:type="dxa"/>
            <w:vAlign w:val="bottom"/>
            <w:tcBorders>
              <w:bottom w:val="single" w:sz="8" w:color="0551D3"/>
            </w:tcBorders>
            <w:gridSpan w:val="2"/>
          </w:tcPr>
          <w:p>
            <w:pPr>
              <w:jc w:val="right"/>
              <w:ind w:right="96"/>
              <w:spacing w:after="0" w:line="196" w:lineRule="exact"/>
              <w:rPr>
                <w:sz w:val="20"/>
                <w:szCs w:val="20"/>
                <w:color w:val="auto"/>
              </w:rPr>
            </w:pPr>
            <w:r>
              <w:rPr>
                <w:rFonts w:ascii="Arial" w:cs="Arial" w:eastAsia="Arial" w:hAnsi="Arial"/>
                <w:sz w:val="18"/>
                <w:szCs w:val="18"/>
                <w:color w:val="auto"/>
                <w:w w:val="99"/>
              </w:rPr>
              <w:t>$ 10,721</w:t>
            </w:r>
          </w:p>
        </w:tc>
        <w:tc>
          <w:tcPr>
            <w:tcW w:w="1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551D3"/>
            </w:tcBorders>
          </w:tcPr>
          <w:p>
            <w:pPr>
              <w:jc w:val="right"/>
              <w:ind w:right="36"/>
              <w:spacing w:after="0" w:line="196" w:lineRule="exact"/>
              <w:rPr>
                <w:sz w:val="20"/>
                <w:szCs w:val="20"/>
                <w:color w:val="auto"/>
              </w:rPr>
            </w:pPr>
            <w:r>
              <w:rPr>
                <w:rFonts w:ascii="Arial" w:cs="Arial" w:eastAsia="Arial" w:hAnsi="Arial"/>
                <w:sz w:val="18"/>
                <w:szCs w:val="18"/>
                <w:color w:val="auto"/>
              </w:rPr>
              <w:t>5,307</w:t>
            </w:r>
          </w:p>
        </w:tc>
        <w:tc>
          <w:tcPr>
            <w:tcW w:w="980" w:type="dxa"/>
            <w:vAlign w:val="bottom"/>
            <w:tcBorders>
              <w:bottom w:val="single" w:sz="8" w:color="0551D3"/>
            </w:tcBorders>
            <w:gridSpan w:val="2"/>
          </w:tcPr>
          <w:p>
            <w:pPr>
              <w:jc w:val="right"/>
              <w:ind w:right="15"/>
              <w:spacing w:after="0" w:line="196" w:lineRule="exact"/>
              <w:rPr>
                <w:sz w:val="20"/>
                <w:szCs w:val="20"/>
                <w:color w:val="auto"/>
              </w:rPr>
            </w:pPr>
            <w:r>
              <w:rPr>
                <w:rFonts w:ascii="Arial" w:cs="Arial" w:eastAsia="Arial" w:hAnsi="Arial"/>
                <w:sz w:val="18"/>
                <w:szCs w:val="18"/>
                <w:color w:val="auto"/>
              </w:rPr>
              <w:t>$ 157,818</w:t>
            </w:r>
          </w:p>
        </w:tc>
      </w:tr>
      <w:tr>
        <w:trPr>
          <w:trHeight w:val="344"/>
        </w:trPr>
        <w:tc>
          <w:tcPr>
            <w:tcW w:w="3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w w:val="95"/>
              </w:rPr>
              <w:t>Operating Income</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9"/>
        </w:trPr>
        <w:tc>
          <w:tcPr>
            <w:tcW w:w="3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(Loss) Before</w:t>
            </w: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Depreciation</w:t>
            </w:r>
          </w:p>
        </w:tc>
        <w:tc>
          <w:tcPr>
            <w:tcW w:w="160" w:type="dxa"/>
            <w:vAlign w:val="bottom"/>
          </w:tcPr>
          <w:p>
            <w:pPr>
              <w:spacing w:after="0"/>
              <w:rPr>
                <w:sz w:val="12"/>
                <w:szCs w:val="12"/>
                <w:color w:val="auto"/>
              </w:rPr>
            </w:pPr>
          </w:p>
        </w:tc>
        <w:tc>
          <w:tcPr>
            <w:tcW w:w="780" w:type="dxa"/>
            <w:vAlign w:val="bottom"/>
          </w:tcPr>
          <w:p>
            <w:pPr>
              <w:jc w:val="right"/>
              <w:ind w:right="36"/>
              <w:spacing w:after="0" w:line="149" w:lineRule="exact"/>
              <w:rPr>
                <w:sz w:val="20"/>
                <w:szCs w:val="20"/>
                <w:color w:val="auto"/>
              </w:rPr>
            </w:pPr>
            <w:r>
              <w:rPr>
                <w:rFonts w:ascii="Arial" w:cs="Arial" w:eastAsia="Arial" w:hAnsi="Arial"/>
                <w:sz w:val="14"/>
                <w:szCs w:val="14"/>
                <w:color w:val="auto"/>
              </w:rPr>
              <w:t>Operating</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8"/>
        </w:trPr>
        <w:tc>
          <w:tcPr>
            <w:tcW w:w="39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1"/>
                <w:szCs w:val="11"/>
                <w:color w:val="auto"/>
              </w:rPr>
            </w:pPr>
          </w:p>
        </w:tc>
        <w:tc>
          <w:tcPr>
            <w:tcW w:w="780" w:type="dxa"/>
            <w:vAlign w:val="bottom"/>
          </w:tcPr>
          <w:p>
            <w:pPr>
              <w:jc w:val="right"/>
              <w:ind w:right="36"/>
              <w:spacing w:after="0" w:line="129" w:lineRule="exact"/>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1"/>
                <w:szCs w:val="11"/>
                <w:color w:val="auto"/>
              </w:rPr>
            </w:pPr>
          </w:p>
        </w:tc>
        <w:tc>
          <w:tcPr>
            <w:tcW w:w="760" w:type="dxa"/>
            <w:vAlign w:val="bottom"/>
          </w:tcPr>
          <w:p>
            <w:pPr>
              <w:jc w:val="right"/>
              <w:ind w:right="15"/>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80"/>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(g)</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40"/>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(h)</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Expenditures</w:t>
            </w: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2010</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2540" w:type="dxa"/>
            <w:vAlign w:val="bottom"/>
          </w:tcPr>
          <w:p>
            <w:pPr>
              <w:spacing w:after="0"/>
              <w:rPr>
                <w:sz w:val="17"/>
                <w:szCs w:val="17"/>
                <w:color w:val="auto"/>
              </w:rPr>
            </w:pPr>
          </w:p>
        </w:tc>
        <w:tc>
          <w:tcPr>
            <w:tcW w:w="960" w:type="dxa"/>
            <w:vAlign w:val="bottom"/>
            <w:gridSpan w:val="2"/>
          </w:tcPr>
          <w:p>
            <w:pPr>
              <w:jc w:val="right"/>
              <w:ind w:right="118"/>
              <w:spacing w:after="0" w:line="202" w:lineRule="exact"/>
              <w:rPr>
                <w:sz w:val="20"/>
                <w:szCs w:val="20"/>
                <w:color w:val="auto"/>
              </w:rPr>
            </w:pPr>
            <w:r>
              <w:rPr>
                <w:rFonts w:ascii="Arial" w:cs="Arial" w:eastAsia="Arial" w:hAnsi="Arial"/>
                <w:sz w:val="18"/>
                <w:szCs w:val="18"/>
                <w:color w:val="auto"/>
              </w:rPr>
              <w:t>$ 35,363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14,302</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6,232</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$ 8,070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4,853</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2,719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160" w:type="dxa"/>
            <w:vAlign w:val="bottom"/>
          </w:tcPr>
          <w:p>
            <w:pPr>
              <w:spacing w:after="0"/>
              <w:rPr>
                <w:sz w:val="17"/>
                <w:szCs w:val="17"/>
                <w:color w:val="auto"/>
              </w:rPr>
            </w:pPr>
          </w:p>
        </w:tc>
        <w:tc>
          <w:tcPr>
            <w:tcW w:w="7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409</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52</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22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56</w:t>
            </w:r>
          </w:p>
        </w:tc>
      </w:tr>
      <w:tr>
        <w:trPr>
          <w:trHeight w:val="199"/>
        </w:trPr>
        <w:tc>
          <w:tcPr>
            <w:tcW w:w="3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2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(313)</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r>
      <w:tr>
        <w:trPr>
          <w:trHeight w:val="196"/>
        </w:trPr>
        <w:tc>
          <w:tcPr>
            <w:tcW w:w="394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540" w:type="dxa"/>
            <w:vAlign w:val="bottom"/>
            <w:tcBorders>
              <w:bottom w:val="single" w:sz="8" w:color="0551D3"/>
            </w:tcBorders>
          </w:tcPr>
          <w:p>
            <w:pPr>
              <w:spacing w:after="0"/>
              <w:rPr>
                <w:sz w:val="17"/>
                <w:szCs w:val="17"/>
                <w:color w:val="auto"/>
              </w:rPr>
            </w:pPr>
          </w:p>
        </w:tc>
        <w:tc>
          <w:tcPr>
            <w:tcW w:w="960" w:type="dxa"/>
            <w:vAlign w:val="bottom"/>
            <w:tcBorders>
              <w:bottom w:val="single" w:sz="8" w:color="0551D3"/>
            </w:tcBorders>
            <w:gridSpan w:val="2"/>
          </w:tcPr>
          <w:p>
            <w:pPr>
              <w:jc w:val="right"/>
              <w:ind w:right="118"/>
              <w:spacing w:after="0" w:line="196" w:lineRule="exact"/>
              <w:rPr>
                <w:sz w:val="20"/>
                <w:szCs w:val="20"/>
                <w:color w:val="auto"/>
              </w:rPr>
            </w:pPr>
            <w:r>
              <w:rPr>
                <w:rFonts w:ascii="Arial" w:cs="Arial" w:eastAsia="Arial" w:hAnsi="Arial"/>
                <w:sz w:val="18"/>
                <w:szCs w:val="18"/>
                <w:color w:val="auto"/>
              </w:rPr>
              <w:t>$ 37,937</w:t>
            </w:r>
          </w:p>
        </w:tc>
        <w:tc>
          <w:tcPr>
            <w:tcW w:w="1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0551D3"/>
            </w:tcBorders>
          </w:tcPr>
          <w:p>
            <w:pPr>
              <w:spacing w:after="0"/>
              <w:rPr>
                <w:sz w:val="17"/>
                <w:szCs w:val="17"/>
                <w:color w:val="auto"/>
              </w:rPr>
            </w:pPr>
          </w:p>
        </w:tc>
        <w:tc>
          <w:tcPr>
            <w:tcW w:w="7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14,596</w:t>
            </w:r>
          </w:p>
        </w:tc>
        <w:tc>
          <w:tcPr>
            <w:tcW w:w="260" w:type="dxa"/>
            <w:vAlign w:val="bottom"/>
            <w:tcBorders>
              <w:bottom w:val="single" w:sz="8" w:color="0551D3"/>
            </w:tcBorders>
          </w:tcPr>
          <w:p>
            <w:pPr>
              <w:ind w:left="14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6,616</w:t>
            </w:r>
          </w:p>
        </w:tc>
        <w:tc>
          <w:tcPr>
            <w:tcW w:w="160" w:type="dxa"/>
            <w:vAlign w:val="bottom"/>
            <w:tcBorders>
              <w:bottom w:val="single" w:sz="8" w:color="0551D3"/>
            </w:tcBorders>
          </w:tcPr>
          <w:p>
            <w:pPr>
              <w:spacing w:after="0"/>
              <w:rPr>
                <w:sz w:val="17"/>
                <w:szCs w:val="17"/>
                <w:color w:val="auto"/>
              </w:rPr>
            </w:pPr>
          </w:p>
        </w:tc>
        <w:tc>
          <w:tcPr>
            <w:tcW w:w="780" w:type="dxa"/>
            <w:vAlign w:val="bottom"/>
            <w:tcBorders>
              <w:bottom w:val="single" w:sz="8" w:color="0551D3"/>
            </w:tcBorders>
          </w:tcPr>
          <w:p>
            <w:pPr>
              <w:jc w:val="right"/>
              <w:ind w:right="36"/>
              <w:spacing w:after="0" w:line="196" w:lineRule="exact"/>
              <w:rPr>
                <w:sz w:val="20"/>
                <w:szCs w:val="20"/>
                <w:color w:val="auto"/>
              </w:rPr>
            </w:pPr>
            <w:r>
              <w:rPr>
                <w:rFonts w:ascii="Arial" w:cs="Arial" w:eastAsia="Arial" w:hAnsi="Arial"/>
                <w:sz w:val="18"/>
                <w:szCs w:val="18"/>
                <w:color w:val="auto"/>
              </w:rPr>
              <w:t>$ 7,980</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0551D3"/>
            </w:tcBorders>
          </w:tcPr>
          <w:p>
            <w:pPr>
              <w:jc w:val="right"/>
              <w:ind w:right="15"/>
              <w:spacing w:after="0" w:line="196" w:lineRule="exact"/>
              <w:rPr>
                <w:sz w:val="20"/>
                <w:szCs w:val="20"/>
                <w:color w:val="auto"/>
              </w:rPr>
            </w:pPr>
            <w:r>
              <w:rPr>
                <w:rFonts w:ascii="Arial" w:cs="Arial" w:eastAsia="Arial" w:hAnsi="Arial"/>
                <w:sz w:val="18"/>
                <w:szCs w:val="18"/>
                <w:color w:val="auto"/>
              </w:rPr>
              <w:t>4,961</w:t>
            </w:r>
          </w:p>
        </w:tc>
      </w:tr>
    </w:tbl>
    <w:p>
      <w:pPr>
        <w:spacing w:after="0" w:line="67" w:lineRule="exact"/>
        <w:rPr>
          <w:sz w:val="20"/>
          <w:szCs w:val="20"/>
          <w:color w:val="auto"/>
        </w:rPr>
      </w:pPr>
    </w:p>
    <w:p>
      <w:pPr>
        <w:ind w:left="280" w:right="420" w:hanging="272"/>
        <w:spacing w:after="0" w:line="323" w:lineRule="auto"/>
        <w:tabs>
          <w:tab w:leader="none" w:pos="293"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Cable Communications segment consists primarily of our cable services business and the businesses of Comcast Interactive Media that were not contributed to NBCUniversal. For the years ended December 31, 2012, 2011 and 2010, Cable Communications segment revenue was derived from the following sources: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2010</w:t>
            </w:r>
          </w:p>
        </w:tc>
      </w:tr>
      <w:tr>
        <w:trPr>
          <w:trHeight w:val="141"/>
        </w:trPr>
        <w:tc>
          <w:tcPr>
            <w:tcW w:w="20" w:type="dxa"/>
            <w:vAlign w:val="bottom"/>
          </w:tcPr>
          <w:p>
            <w:pPr>
              <w:spacing w:after="0"/>
              <w:rPr>
                <w:sz w:val="12"/>
                <w:szCs w:val="12"/>
                <w:color w:val="auto"/>
              </w:rPr>
            </w:pPr>
          </w:p>
        </w:tc>
        <w:tc>
          <w:tcPr>
            <w:tcW w:w="5540" w:type="dxa"/>
            <w:vAlign w:val="bottom"/>
          </w:tcPr>
          <w:p>
            <w:pPr>
              <w:spacing w:after="0" w:line="141" w:lineRule="exact"/>
              <w:rPr>
                <w:sz w:val="20"/>
                <w:szCs w:val="20"/>
                <w:color w:val="auto"/>
              </w:rPr>
            </w:pPr>
            <w:r>
              <w:rPr>
                <w:rFonts w:ascii="Arial" w:cs="Arial" w:eastAsia="Arial" w:hAnsi="Arial"/>
                <w:sz w:val="14"/>
                <w:szCs w:val="14"/>
                <w:color w:val="auto"/>
              </w:rPr>
              <w:t>Residential:</w:t>
            </w:r>
          </w:p>
        </w:tc>
        <w:tc>
          <w:tcPr>
            <w:tcW w:w="4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40" w:type="dxa"/>
            <w:vAlign w:val="bottom"/>
          </w:tcPr>
          <w:p>
            <w:pPr>
              <w:ind w:left="200"/>
              <w:spacing w:after="0" w:line="149" w:lineRule="exact"/>
              <w:rPr>
                <w:sz w:val="20"/>
                <w:szCs w:val="20"/>
                <w:color w:val="auto"/>
              </w:rPr>
            </w:pPr>
            <w:r>
              <w:rPr>
                <w:rFonts w:ascii="Arial" w:cs="Arial" w:eastAsia="Arial" w:hAnsi="Arial"/>
                <w:sz w:val="14"/>
                <w:szCs w:val="14"/>
                <w:color w:val="auto"/>
              </w:rPr>
              <w:t>Video</w:t>
            </w:r>
          </w:p>
        </w:tc>
        <w:tc>
          <w:tcPr>
            <w:tcW w:w="4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50.8%</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52.7%</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54.8%</w:t>
            </w:r>
          </w:p>
        </w:tc>
      </w:tr>
      <w:tr>
        <w:trPr>
          <w:trHeight w:val="149"/>
        </w:trPr>
        <w:tc>
          <w:tcPr>
            <w:tcW w:w="20" w:type="dxa"/>
            <w:vAlign w:val="bottom"/>
          </w:tcPr>
          <w:p>
            <w:pPr>
              <w:spacing w:after="0"/>
              <w:rPr>
                <w:sz w:val="12"/>
                <w:szCs w:val="12"/>
                <w:color w:val="auto"/>
              </w:rPr>
            </w:pPr>
          </w:p>
        </w:tc>
        <w:tc>
          <w:tcPr>
            <w:tcW w:w="5540" w:type="dxa"/>
            <w:vAlign w:val="bottom"/>
          </w:tcPr>
          <w:p>
            <w:pPr>
              <w:ind w:left="200"/>
              <w:spacing w:after="0" w:line="149" w:lineRule="exact"/>
              <w:rPr>
                <w:sz w:val="20"/>
                <w:szCs w:val="20"/>
                <w:color w:val="auto"/>
              </w:rPr>
            </w:pPr>
            <w:r>
              <w:rPr>
                <w:rFonts w:ascii="Arial" w:cs="Arial" w:eastAsia="Arial" w:hAnsi="Arial"/>
                <w:sz w:val="14"/>
                <w:szCs w:val="14"/>
                <w:color w:val="auto"/>
              </w:rPr>
              <w:t>High-speed Internet</w:t>
            </w:r>
          </w:p>
        </w:tc>
        <w:tc>
          <w:tcPr>
            <w:tcW w:w="4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24.1%</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23.5%</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22.5%</w:t>
            </w:r>
          </w:p>
        </w:tc>
      </w:tr>
      <w:tr>
        <w:trPr>
          <w:trHeight w:val="149"/>
        </w:trPr>
        <w:tc>
          <w:tcPr>
            <w:tcW w:w="20" w:type="dxa"/>
            <w:vAlign w:val="bottom"/>
          </w:tcPr>
          <w:p>
            <w:pPr>
              <w:spacing w:after="0"/>
              <w:rPr>
                <w:sz w:val="12"/>
                <w:szCs w:val="12"/>
                <w:color w:val="auto"/>
              </w:rPr>
            </w:pPr>
          </w:p>
        </w:tc>
        <w:tc>
          <w:tcPr>
            <w:tcW w:w="5540" w:type="dxa"/>
            <w:vAlign w:val="bottom"/>
          </w:tcPr>
          <w:p>
            <w:pPr>
              <w:ind w:left="200"/>
              <w:spacing w:after="0" w:line="149" w:lineRule="exact"/>
              <w:rPr>
                <w:sz w:val="20"/>
                <w:szCs w:val="20"/>
                <w:color w:val="auto"/>
              </w:rPr>
            </w:pPr>
            <w:r>
              <w:rPr>
                <w:rFonts w:ascii="Arial" w:cs="Arial" w:eastAsia="Arial" w:hAnsi="Arial"/>
                <w:sz w:val="14"/>
                <w:szCs w:val="14"/>
                <w:color w:val="auto"/>
              </w:rPr>
              <w:t>Voice</w:t>
            </w:r>
          </w:p>
        </w:tc>
        <w:tc>
          <w:tcPr>
            <w:tcW w:w="4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9.0%</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9.4%</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w:t>
            </w:r>
          </w:p>
        </w:tc>
      </w:tr>
      <w:tr>
        <w:trPr>
          <w:trHeight w:val="149"/>
        </w:trPr>
        <w:tc>
          <w:tcPr>
            <w:tcW w:w="55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4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6.1%</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w:t>
            </w:r>
          </w:p>
        </w:tc>
      </w:tr>
      <w:tr>
        <w:trPr>
          <w:trHeight w:val="149"/>
        </w:trPr>
        <w:tc>
          <w:tcPr>
            <w:tcW w:w="556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4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w:t>
            </w:r>
          </w:p>
        </w:tc>
      </w:tr>
      <w:tr>
        <w:trPr>
          <w:trHeight w:val="149"/>
        </w:trPr>
        <w:tc>
          <w:tcPr>
            <w:tcW w:w="55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w:t>
            </w:r>
          </w:p>
        </w:tc>
        <w:tc>
          <w:tcPr>
            <w:tcW w:w="46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6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4.1%</w:t>
            </w:r>
          </w:p>
        </w:tc>
      </w:tr>
      <w:tr>
        <w:trPr>
          <w:trHeight w:val="142"/>
        </w:trPr>
        <w:tc>
          <w:tcPr>
            <w:tcW w:w="5560" w:type="dxa"/>
            <w:vAlign w:val="bottom"/>
            <w:tcBorders>
              <w:bottom w:val="single" w:sz="8" w:color="0551D3"/>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4660" w:type="dxa"/>
            <w:vAlign w:val="bottom"/>
            <w:tcBorders>
              <w:bottom w:val="single" w:sz="8" w:color="0551D3"/>
            </w:tcBorders>
          </w:tcPr>
          <w:p>
            <w:pPr>
              <w:jc w:val="right"/>
              <w:ind w:right="52"/>
              <w:spacing w:after="0" w:line="142" w:lineRule="exact"/>
              <w:rPr>
                <w:sz w:val="20"/>
                <w:szCs w:val="20"/>
                <w:color w:val="auto"/>
              </w:rPr>
            </w:pPr>
            <w:r>
              <w:rPr>
                <w:rFonts w:ascii="Arial" w:cs="Arial" w:eastAsia="Arial" w:hAnsi="Arial"/>
                <w:sz w:val="14"/>
                <w:szCs w:val="14"/>
                <w:color w:val="auto"/>
              </w:rPr>
              <w:t>100%</w:t>
            </w:r>
          </w:p>
        </w:tc>
        <w:tc>
          <w:tcPr>
            <w:tcW w:w="620" w:type="dxa"/>
            <w:vAlign w:val="bottom"/>
            <w:tcBorders>
              <w:bottom w:val="single" w:sz="8" w:color="0551D3"/>
            </w:tcBorders>
          </w:tcPr>
          <w:p>
            <w:pPr>
              <w:jc w:val="right"/>
              <w:ind w:right="52"/>
              <w:spacing w:after="0" w:line="142"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0551D3"/>
            </w:tcBorders>
          </w:tcPr>
          <w:p>
            <w:pPr>
              <w:jc w:val="right"/>
              <w:ind w:right="12"/>
              <w:spacing w:after="0" w:line="142" w:lineRule="exact"/>
              <w:rPr>
                <w:sz w:val="20"/>
                <w:szCs w:val="20"/>
                <w:color w:val="auto"/>
              </w:rPr>
            </w:pPr>
            <w:r>
              <w:rPr>
                <w:rFonts w:ascii="Arial" w:cs="Arial" w:eastAsia="Arial" w:hAnsi="Arial"/>
                <w:sz w:val="14"/>
                <w:szCs w:val="14"/>
                <w:color w:val="auto"/>
              </w:rPr>
              <w:t>100%</w:t>
            </w:r>
          </w:p>
        </w:tc>
      </w:tr>
    </w:tbl>
    <w:p>
      <w:pPr>
        <w:spacing w:after="0" w:line="67"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 For each of 2012, 2011 and 2010, 2.8% of Cable Communications revenue was derived from franchise and other regulatory fees.</w:t>
      </w:r>
    </w:p>
    <w:p>
      <w:pPr>
        <w:spacing w:after="0" w:line="55" w:lineRule="exact"/>
        <w:rPr>
          <w:sz w:val="20"/>
          <w:szCs w:val="20"/>
          <w:color w:val="auto"/>
        </w:rPr>
      </w:pPr>
    </w:p>
    <w:p>
      <w:pPr>
        <w:ind w:left="300" w:hanging="292"/>
        <w:spacing w:after="0" w:line="300" w:lineRule="auto"/>
        <w:tabs>
          <w:tab w:leader="none" w:pos="3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Cable Networks segment included the results of operations of the businesses we contributed to NBCUniversal, as well as the results of operations of the NBCUniversal contributed cable networks for 2012 and for the period January 29, 2011 through December 31, 2011. For 2010, our Cable Networks segment consisted of the Comcast Content Business.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80" w:hanging="272"/>
        <w:spacing w:after="0" w:line="228" w:lineRule="auto"/>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2012, our Broadcast Television segment included all revenue and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54"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the period January 29, 2011 through June 30, 2011, we recorded Universal Orlando as an equity method investment in our consolidated results of operations. However, our Theme Parks segment included the results of operations for Universal Orlando for the period January 29, 2011 through June 30, 2011 to reflect our measure of operating performance for our Theme Parks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included costs associated with overhead, allocations, personnel costs and headquarter initiatives.</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4" w:lineRule="exact"/>
        <w:rPr>
          <w:rFonts w:ascii="Arial" w:cs="Arial" w:eastAsia="Arial" w:hAnsi="Arial"/>
          <w:sz w:val="14"/>
          <w:szCs w:val="14"/>
          <w:color w:val="auto"/>
        </w:rPr>
      </w:pPr>
    </w:p>
    <w:p>
      <w:pPr>
        <w:ind w:left="1020" w:hanging="215"/>
        <w:spacing w:after="0"/>
        <w:tabs>
          <w:tab w:leader="none" w:pos="10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60" w:hanging="215"/>
        <w:spacing w:after="0" w:line="231" w:lineRule="auto"/>
        <w:tabs>
          <w:tab w:leader="none" w:pos="10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55" w:lineRule="exact"/>
        <w:rPr>
          <w:sz w:val="20"/>
          <w:szCs w:val="20"/>
          <w:color w:val="auto"/>
        </w:rPr>
      </w:pPr>
    </w:p>
    <w:p>
      <w:pPr>
        <w:jc w:val="both"/>
        <w:ind w:left="280"/>
        <w:spacing w:after="0" w:line="228" w:lineRule="auto"/>
        <w:rPr>
          <w:sz w:val="20"/>
          <w:szCs w:val="20"/>
          <w:color w:val="auto"/>
        </w:rPr>
      </w:pPr>
      <w:r>
        <w:rPr>
          <w:rFonts w:ascii="Arial" w:cs="Arial" w:eastAsia="Arial" w:hAnsi="Arial"/>
          <w:sz w:val="14"/>
          <w:szCs w:val="14"/>
          <w:color w:val="auto"/>
        </w:rPr>
        <w:t>NBCUniversal eliminations for 2011 included the eliminations of the results of operations for Universal Orlando for the period January 29, 2011 through June 30, 2011. These amounts were not included in NBCUniversal’s total and our consolidated results of operations for the period January 29, 2011 through June 30, 2011 because we recorded Universal Orlando as an equity method investment during this period.</w:t>
      </w:r>
    </w:p>
    <w:p>
      <w:pPr>
        <w:spacing w:after="0" w:line="54" w:lineRule="exact"/>
        <w:rPr>
          <w:sz w:val="20"/>
          <w:szCs w:val="20"/>
          <w:color w:val="auto"/>
        </w:rPr>
      </w:pPr>
    </w:p>
    <w:p>
      <w:pPr>
        <w:jc w:val="both"/>
        <w:ind w:left="300" w:hanging="292"/>
        <w:spacing w:after="0" w:line="228"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Revenue from customers located outside of the U.S., primarily in Europe and Asia, for the years ended December 31, 2012, and 2011 was $4.5 billion and $4.1 billion, respectively. Revenue from customers located outside of the U.S. was not significant for the year ended December 31, 2010. No single customer accounted for a significant amount of our revenue in any period.</w:t>
      </w:r>
    </w:p>
    <w:p>
      <w:pPr>
        <w:spacing w:after="0" w:line="54"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20: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Second</w:t>
            </w:r>
          </w:p>
        </w:tc>
        <w:tc>
          <w:tcPr>
            <w:tcW w:w="24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color w:val="auto"/>
              </w:rPr>
              <w:t>Fourth</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Total</w:t>
            </w:r>
          </w:p>
        </w:tc>
      </w:tr>
      <w:tr>
        <w:trPr>
          <w:trHeight w:val="163"/>
        </w:trPr>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Year</w:t>
            </w:r>
          </w:p>
        </w:tc>
      </w:tr>
      <w:tr>
        <w:trPr>
          <w:trHeight w:val="177"/>
        </w:trPr>
        <w:tc>
          <w:tcPr>
            <w:tcW w:w="6840" w:type="dxa"/>
            <w:vAlign w:val="bottom"/>
          </w:tcPr>
          <w:p>
            <w:pPr>
              <w:spacing w:after="0" w:line="177"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14,878</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15,211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16,544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15,937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62,570</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2,758</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3,079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3,048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3,294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12,179</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 Comcast Corporation</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1,224</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1,348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2,113</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1,518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6,203</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Basic earnings per common share attributable to Comcast Corporation</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0.45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0.50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0.57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2.32</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0.45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0.50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0.56</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2.28</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 per common share attributable to Comcast Corporation</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0.1625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0.1625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0.1625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0.1625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0.65</w:t>
            </w:r>
          </w:p>
        </w:tc>
      </w:tr>
      <w:tr>
        <w:trPr>
          <w:trHeight w:val="225"/>
        </w:trPr>
        <w:tc>
          <w:tcPr>
            <w:tcW w:w="68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12,128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14,333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8"/>
              </w:rPr>
              <w:t>14,339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8"/>
              </w:rPr>
              <w:t>15,042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55,842</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2,224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2,938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2,641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2,918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10,721</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1,022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908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1,287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4,160</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0.34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0.37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0.33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0.47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1.51</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w w:val="99"/>
              </w:rPr>
              <w:t>Diluted earnings per common share attributable to Comcast Corporation shareholders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0.34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0.37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0.33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0.47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1.50</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Dividends declared per common share attributable to Comcast Corporation</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68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0.1125</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0.1125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w w:val="98"/>
              </w:rPr>
              <w:t>0.1125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w w:val="98"/>
              </w:rPr>
              <w:t>0.1125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0.45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21: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12, 2013, we entered into an agreement to acquire GE’s 49% noncontrolling common equity interest in NBCUniversal Holdings for approximately $16.7 billion. In addition, NBCUniversal agreed to acquire from GE the portion of 30 Rockefeller Plaza in New York City that NBCUniversal occupies and CNBC’s headquarters in Englewood Cliffs, New Jersey for approximately $1.4 billion. The transactions, which are subject to customary closing conditions, are expected to close by the end of March 2013.</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consideration will consist of $11.4 billion of cash on hand; $4 billion of senior unsecured debt securities issued by a holding company (“HoldCo”), whose sole asset is its interests in NBCUniversal Holdings; $2 billion of cash funded through a combination of Comcast’s existing credit facility and NBCUniversal’s credit facility, which is expected to be amended, among other things, to substitute HoldCo as the sole borrower; and $725 million of Holdco preferred stock. After closing, we will control and consolidate HoldCo and own all of its capital stock other than the preferred stock. HoldCo’s debt securities and credit facility will be guaranteed by us and the cable holding company subsidiaries that guarantee our senior indebtedness. The preferred stock will pay dividends at a fixed rate and can be put to HoldCo for redemption at par on the later of seven years following the issuance of the preferred stock and three years following the sale by GE of shares to unaffiliated third parties, and thereafter, every third anniversary of such date (a “Put Date”). Shares of preferred stock can be called for redemption by HoldCo at par one year following each Put Date applicable to such shares.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551D3"/>
        </w:rPr>
        <w:t>Note 22: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(“Comcast Parent”) and four of our 100% owned cable holding company subsidiaries, Comcast Cable Communications, LLC (“CCCL Parent”), Comcast MO Group, Inc. (“Comcast MO Group”), Comcast Cable Holdings, LLC (“CCH”) and Comcast MO of Delaware, LLC (“Comcast MO of Delaware”) (collectively, the “cable guarantors”), have fully and unconditionally guaranteed each other’s debt securities. Comcast MO Group, CCH and Comcast MO of Delaware are collectively referred to as the “Combined CCHMO Parents.”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March 19, 2013, we closed our agreement to acquire GE’s 49% common equity interest in NBCUniversal Holdings. On March 27, 2013, Comcast Parent, the cable guarantors and NBCUniversal Media, LLC (referred to as “NBCUniversal Media Parent” in the tables below) entered into a series of agreements and supplemental indentures to include NBCUniversal Media, LLC as part of our existing cross-guarantee structure. As members of the cross-guarantee structure, Comcast Parent and the cable guarantors fully and unconditionally guarantee NBCUniversal Media, LLC’s public debt securities, and NBCUniversal Media, LLC fully and unconditionally guarantees all of Comcast Parent’s and the cable guarantors’ public debt securities, as well as the $6.25 billion revolving credit facility of Comcast Parent and Comcast Cable Communications, LLC.</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 Inc.’s $4 billion of senior notes and its $1.35 billion credit facility due March 2018. NBCUniversal Media, LLC does not guarantee the NBCUniversal Enterprise, Inc. senior notes or credit facility.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LLC guarantee the Comcast Holdings ZONES due October 2029. None of Comcast Parent, the cable guarantors nor NBCUniversal Media, LLC guarantee the $62 million principal amount currently outstanding of Comcast Holdings’ ZONES due November 2029.</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Elimination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88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8"/>
              </w:rPr>
              <w:t>Comcast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4"/>
              </w:rPr>
              <w:t>Comcast</w:t>
            </w:r>
          </w:p>
        </w:tc>
        <w:tc>
          <w:tcPr>
            <w:tcW w:w="220" w:type="dxa"/>
            <w:vAlign w:val="bottom"/>
          </w:tcPr>
          <w:p>
            <w:pPr>
              <w:spacing w:after="0"/>
              <w:rPr>
                <w:sz w:val="12"/>
                <w:szCs w:val="12"/>
                <w:color w:val="auto"/>
              </w:rPr>
            </w:pPr>
          </w:p>
        </w:tc>
        <w:tc>
          <w:tcPr>
            <w:tcW w:w="6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CCCL</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CCHMO</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3"/>
              </w:rPr>
              <w:t>Holdings</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Parents</w:t>
            </w:r>
          </w:p>
        </w:tc>
        <w:tc>
          <w:tcPr>
            <w:tcW w:w="11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Media Parent</w:t>
            </w: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5,129</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5,822</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10,951</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1,464</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5,518</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5,521</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w:t>
            </w: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844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1,146</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7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5,183</w:t>
            </w:r>
          </w:p>
        </w:tc>
        <w:tc>
          <w:tcPr>
            <w:tcW w:w="22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14,557</w:t>
            </w:r>
          </w:p>
        </w:tc>
        <w:tc>
          <w:tcPr>
            <w:tcW w:w="240" w:type="dxa"/>
            <w:vAlign w:val="bottom"/>
          </w:tcPr>
          <w:p>
            <w:pPr>
              <w:spacing w:after="0"/>
              <w:rPr>
                <w:sz w:val="17"/>
                <w:szCs w:val="17"/>
                <w:color w:val="auto"/>
              </w:rPr>
            </w:pPr>
          </w:p>
        </w:tc>
        <w:tc>
          <w:tcPr>
            <w:tcW w:w="8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19,991</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5,054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5,054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529</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5,796</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6,325</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w w:val="99"/>
              </w:rPr>
              <w:t>subsidiaries eliminated upon consolidation</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74,227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87,630</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96,853</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50,242</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38,464</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73,298</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(420,714)</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242</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26,990</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27,232</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26,985</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26,985</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17,828</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17,840</w:t>
            </w:r>
          </w:p>
        </w:tc>
      </w:tr>
      <w:tr>
        <w:trPr>
          <w:trHeight w:val="199"/>
        </w:trPr>
        <w:tc>
          <w:tcPr>
            <w:tcW w:w="3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1,130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147</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152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1,650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2,180</w:t>
            </w:r>
          </w:p>
        </w:tc>
      </w:tr>
      <w:tr>
        <w:trPr>
          <w:trHeight w:val="196"/>
        </w:trPr>
        <w:tc>
          <w:tcPr>
            <w:tcW w:w="36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75,844</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87,777</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96,868</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50,246</w:t>
            </w:r>
          </w:p>
        </w:tc>
        <w:tc>
          <w:tcPr>
            <w:tcW w:w="34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44,328</w:t>
            </w:r>
          </w:p>
        </w:tc>
        <w:tc>
          <w:tcPr>
            <w:tcW w:w="22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231,522</w:t>
            </w:r>
          </w:p>
        </w:tc>
        <w:tc>
          <w:tcPr>
            <w:tcW w:w="24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(421,614)</w:t>
            </w:r>
          </w:p>
        </w:tc>
        <w:tc>
          <w:tcPr>
            <w:tcW w:w="240" w:type="dxa"/>
            <w:vAlign w:val="bottom"/>
            <w:tcBorders>
              <w:bottom w:val="single" w:sz="8" w:color="0551D3"/>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164,971</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440"/>
              <w:spacing w:after="0" w:line="202" w:lineRule="exact"/>
              <w:rPr>
                <w:sz w:val="20"/>
                <w:szCs w:val="20"/>
                <w:color w:val="auto"/>
              </w:rPr>
            </w:pPr>
            <w:r>
              <w:rPr>
                <w:rFonts w:ascii="Arial" w:cs="Arial" w:eastAsia="Arial" w:hAnsi="Arial"/>
                <w:sz w:val="18"/>
                <w:szCs w:val="18"/>
                <w:color w:val="auto"/>
              </w:rPr>
              <w:t>related to trade creditors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6,198</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6,206</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1,350</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1,350</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440"/>
              <w:spacing w:after="0" w:line="202"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1,290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275</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263</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4,690</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6,782</w:t>
            </w: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2,105</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241</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2,376</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7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1,298</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275</w:t>
            </w:r>
          </w:p>
        </w:tc>
        <w:tc>
          <w:tcPr>
            <w:tcW w:w="220" w:type="dxa"/>
            <w:vAlign w:val="bottom"/>
          </w:tcPr>
          <w:p>
            <w:pPr>
              <w:spacing w:after="0"/>
              <w:rPr>
                <w:sz w:val="17"/>
                <w:szCs w:val="17"/>
                <w:color w:val="auto"/>
              </w:rPr>
            </w:pPr>
          </w:p>
        </w:tc>
        <w:tc>
          <w:tcPr>
            <w:tcW w:w="6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2,315</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295</w:t>
            </w:r>
          </w:p>
        </w:tc>
        <w:tc>
          <w:tcPr>
            <w:tcW w:w="34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270</w:t>
            </w:r>
          </w:p>
        </w:tc>
        <w:tc>
          <w:tcPr>
            <w:tcW w:w="22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12,261</w:t>
            </w:r>
          </w:p>
        </w:tc>
        <w:tc>
          <w:tcPr>
            <w:tcW w:w="240" w:type="dxa"/>
            <w:vAlign w:val="bottom"/>
          </w:tcPr>
          <w:p>
            <w:pPr>
              <w:spacing w:after="0"/>
              <w:rPr>
                <w:sz w:val="17"/>
                <w:szCs w:val="17"/>
                <w:color w:val="auto"/>
              </w:rPr>
            </w:pPr>
          </w:p>
        </w:tc>
        <w:tc>
          <w:tcPr>
            <w:tcW w:w="8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16,714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23,306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1,827</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11,219</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38,082</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754</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30,035</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30,110</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1,884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926</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10,604</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13,271</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16,998</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16,998</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w:t>
            </w: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49,325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86,635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92,726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48,439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31,835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161,079</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(420,714)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49,325</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49,356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86,635</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92,726</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48,439</w:t>
            </w:r>
          </w:p>
        </w:tc>
        <w:tc>
          <w:tcPr>
            <w:tcW w:w="3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31,835</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161,079</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(420,714)</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49,356</w:t>
            </w:r>
          </w:p>
        </w:tc>
      </w:tr>
      <w:tr>
        <w:trPr>
          <w:trHeight w:val="199"/>
        </w:trPr>
        <w:tc>
          <w:tcPr>
            <w:tcW w:w="3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440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440</w:t>
            </w:r>
          </w:p>
        </w:tc>
      </w:tr>
      <w:tr>
        <w:trPr>
          <w:trHeight w:val="196"/>
        </w:trPr>
        <w:tc>
          <w:tcPr>
            <w:tcW w:w="3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49,356</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86,635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92,726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48,439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31,835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161,519</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(420,714)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49,796</w:t>
            </w:r>
          </w:p>
        </w:tc>
      </w:tr>
      <w:tr>
        <w:trPr>
          <w:trHeight w:val="196"/>
        </w:trPr>
        <w:tc>
          <w:tcPr>
            <w:tcW w:w="360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75,844</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87,777</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96,868</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50,246</w:t>
            </w:r>
          </w:p>
        </w:tc>
        <w:tc>
          <w:tcPr>
            <w:tcW w:w="34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44,328</w:t>
            </w:r>
          </w:p>
        </w:tc>
        <w:tc>
          <w:tcPr>
            <w:tcW w:w="22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231,522</w:t>
            </w:r>
          </w:p>
        </w:tc>
        <w:tc>
          <w:tcPr>
            <w:tcW w:w="240" w:type="dxa"/>
            <w:vAlign w:val="bottom"/>
            <w:tcBorders>
              <w:bottom w:val="single" w:sz="8" w:color="0551D3"/>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(421,614)</w:t>
            </w:r>
          </w:p>
        </w:tc>
        <w:tc>
          <w:tcPr>
            <w:tcW w:w="240" w:type="dxa"/>
            <w:vAlign w:val="bottom"/>
            <w:tcBorders>
              <w:bottom w:val="single" w:sz="8" w:color="0551D3"/>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164,971</w:t>
            </w:r>
          </w:p>
        </w:tc>
      </w:tr>
      <w:tr>
        <w:trPr>
          <w:trHeight w:val="304"/>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4"/>
                <w:szCs w:val="14"/>
                <w:b w:val="1"/>
                <w:bCs w:val="1"/>
                <w:color w:val="auto"/>
              </w:rPr>
              <w:t>44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7"/>
              </w:rPr>
              <w:t>Comcast</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CCHMO</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3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Holdings</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Parents</w:t>
            </w:r>
          </w:p>
        </w:tc>
        <w:tc>
          <w:tcPr>
            <w:tcW w:w="1040" w:type="dxa"/>
            <w:vAlign w:val="bottom"/>
            <w:tcBorders>
              <w:bottom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color w:val="auto"/>
              </w:rPr>
              <w:t>Media Parent</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w w:val="93"/>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1,382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1,620</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4,637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4,652</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r>
      <w:tr>
        <w:trPr>
          <w:trHeight w:val="199"/>
        </w:trPr>
        <w:tc>
          <w:tcPr>
            <w:tcW w:w="38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235</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988</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1,260</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235</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279</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8,048</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8,573</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505</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9,349</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9,854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subsidiaries eliminated upon consolidation</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71,222</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88,336</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89,568</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45,725</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39,714</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66,214</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(400,779)</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262</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27,297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27,559</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59,376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59,376</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26,874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26,874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18,156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18,165</w:t>
            </w:r>
          </w:p>
        </w:tc>
      </w:tr>
      <w:tr>
        <w:trPr>
          <w:trHeight w:val="199"/>
        </w:trPr>
        <w:tc>
          <w:tcPr>
            <w:tcW w:w="3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912</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1,622</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(666)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2,190</w:t>
            </w:r>
          </w:p>
        </w:tc>
      </w:tr>
      <w:tr>
        <w:trPr>
          <w:trHeight w:val="196"/>
        </w:trPr>
        <w:tc>
          <w:tcPr>
            <w:tcW w:w="38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72,640</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88,484</w:t>
            </w:r>
          </w:p>
        </w:tc>
        <w:tc>
          <w:tcPr>
            <w:tcW w:w="260" w:type="dxa"/>
            <w:vAlign w:val="bottom"/>
            <w:tcBorders>
              <w:bottom w:val="single" w:sz="8" w:color="0551D3"/>
            </w:tcBorders>
          </w:tcPr>
          <w:p>
            <w:pPr>
              <w:jc w:val="center"/>
              <w:spacing w:after="0" w:line="196"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4"/>
              </w:rPr>
              <w:t>89,606</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45,733</w:t>
            </w:r>
          </w:p>
        </w:tc>
        <w:tc>
          <w:tcPr>
            <w:tcW w:w="30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40,637</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222,163</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(401,445)</w:t>
            </w:r>
          </w:p>
        </w:tc>
        <w:tc>
          <w:tcPr>
            <w:tcW w:w="20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157,818</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440"/>
              <w:spacing w:after="0" w:line="202" w:lineRule="exact"/>
              <w:rPr>
                <w:sz w:val="20"/>
                <w:szCs w:val="20"/>
                <w:color w:val="auto"/>
              </w:rPr>
            </w:pPr>
            <w:r>
              <w:rPr>
                <w:rFonts w:ascii="Arial" w:cs="Arial" w:eastAsia="Arial" w:hAnsi="Arial"/>
                <w:sz w:val="18"/>
                <w:szCs w:val="18"/>
                <w:color w:val="auto"/>
              </w:rPr>
              <w:t>related to trade creditors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5,695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5,705</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w w:val="98"/>
              </w:rPr>
              <w:t>Accrued expenses and other current liabilities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1,030</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189</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193</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3,153</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4,914</w:t>
            </w:r>
          </w:p>
        </w:tc>
      </w:tr>
      <w:tr>
        <w:trPr>
          <w:trHeight w:val="199"/>
        </w:trPr>
        <w:tc>
          <w:tcPr>
            <w:tcW w:w="38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554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550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1,367</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1,066</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474</w:t>
            </w:r>
          </w:p>
        </w:tc>
        <w:tc>
          <w:tcPr>
            <w:tcW w:w="260" w:type="dxa"/>
            <w:vAlign w:val="bottom"/>
          </w:tcPr>
          <w:p>
            <w:pPr>
              <w:spacing w:after="0"/>
              <w:rPr>
                <w:sz w:val="17"/>
                <w:szCs w:val="17"/>
                <w:color w:val="auto"/>
              </w:rPr>
            </w:pPr>
          </w:p>
        </w:tc>
        <w:tc>
          <w:tcPr>
            <w:tcW w:w="6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189</w:t>
            </w:r>
          </w:p>
        </w:tc>
        <w:tc>
          <w:tcPr>
            <w:tcW w:w="22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631</w:t>
            </w:r>
          </w:p>
        </w:tc>
        <w:tc>
          <w:tcPr>
            <w:tcW w:w="30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743</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10,138</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13,241</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22,451</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3,953</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1,764</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9,142</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37,942</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29,650</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(523)</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29,932</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1,849</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954</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10,374</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13,034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16,014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16,014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w:t>
            </w:r>
          </w:p>
        </w:tc>
      </w:tr>
      <w:tr>
        <w:trPr>
          <w:trHeight w:val="199"/>
        </w:trPr>
        <w:tc>
          <w:tcPr>
            <w:tcW w:w="38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47,242</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87,172</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4"/>
              </w:rPr>
              <w:t>85,464</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43,338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29,720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155,085</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(400,779)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47,242</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color w:val="auto"/>
                <w:w w:val="99"/>
              </w:rPr>
              <w:t>Total Comcast Corporation shareholders’ equity</w:t>
            </w:r>
          </w:p>
        </w:tc>
        <w:tc>
          <w:tcPr>
            <w:tcW w:w="20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47,274</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87,172</w:t>
            </w:r>
          </w:p>
        </w:tc>
        <w:tc>
          <w:tcPr>
            <w:tcW w:w="260" w:type="dxa"/>
            <w:vAlign w:val="bottom"/>
          </w:tcPr>
          <w:p>
            <w:pPr>
              <w:spacing w:after="0"/>
              <w:rPr>
                <w:sz w:val="17"/>
                <w:szCs w:val="17"/>
                <w:color w:val="auto"/>
              </w:rPr>
            </w:pPr>
          </w:p>
        </w:tc>
        <w:tc>
          <w:tcPr>
            <w:tcW w:w="64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4"/>
              </w:rPr>
              <w:t>85,464</w:t>
            </w:r>
          </w:p>
        </w:tc>
        <w:tc>
          <w:tcPr>
            <w:tcW w:w="22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43,338</w:t>
            </w:r>
          </w:p>
        </w:tc>
        <w:tc>
          <w:tcPr>
            <w:tcW w:w="30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29,720</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155,085</w:t>
            </w: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(400,779)</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47,274</w:t>
            </w:r>
          </w:p>
        </w:tc>
      </w:tr>
      <w:tr>
        <w:trPr>
          <w:trHeight w:val="199"/>
        </w:trPr>
        <w:tc>
          <w:tcPr>
            <w:tcW w:w="3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381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381</w:t>
            </w:r>
          </w:p>
        </w:tc>
      </w:tr>
      <w:tr>
        <w:trPr>
          <w:trHeight w:val="196"/>
        </w:trPr>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47,274</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87,172</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4"/>
              </w:rPr>
              <w:t>85,464</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43,338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29,720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155,466</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(400,779)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47,655</w:t>
            </w:r>
          </w:p>
        </w:tc>
      </w:tr>
      <w:tr>
        <w:trPr>
          <w:trHeight w:val="196"/>
        </w:trPr>
        <w:tc>
          <w:tcPr>
            <w:tcW w:w="3820" w:type="dxa"/>
            <w:vAlign w:val="bottom"/>
            <w:tcBorders>
              <w:bottom w:val="single" w:sz="8" w:color="0551D3"/>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72,640</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88,484</w:t>
            </w:r>
          </w:p>
        </w:tc>
        <w:tc>
          <w:tcPr>
            <w:tcW w:w="260" w:type="dxa"/>
            <w:vAlign w:val="bottom"/>
            <w:tcBorders>
              <w:bottom w:val="single" w:sz="8" w:color="0551D3"/>
            </w:tcBorders>
          </w:tcPr>
          <w:p>
            <w:pPr>
              <w:jc w:val="center"/>
              <w:spacing w:after="0" w:line="196"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4"/>
              </w:rPr>
              <w:t>89,606</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45,733</w:t>
            </w:r>
          </w:p>
        </w:tc>
        <w:tc>
          <w:tcPr>
            <w:tcW w:w="30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551D3"/>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40,637</w:t>
            </w:r>
          </w:p>
        </w:tc>
        <w:tc>
          <w:tcPr>
            <w:tcW w:w="22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222,163</w:t>
            </w:r>
          </w:p>
        </w:tc>
        <w:tc>
          <w:tcPr>
            <w:tcW w:w="20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551D3"/>
            </w:tcBorders>
          </w:tcPr>
          <w:p>
            <w:pPr>
              <w:jc w:val="right"/>
              <w:spacing w:after="0" w:line="196" w:lineRule="exact"/>
              <w:rPr>
                <w:sz w:val="20"/>
                <w:szCs w:val="20"/>
                <w:color w:val="auto"/>
              </w:rPr>
            </w:pPr>
            <w:r>
              <w:rPr>
                <w:rFonts w:ascii="Arial" w:cs="Arial" w:eastAsia="Arial" w:hAnsi="Arial"/>
                <w:sz w:val="18"/>
                <w:szCs w:val="18"/>
                <w:b w:val="1"/>
                <w:bCs w:val="1"/>
                <w:color w:val="auto"/>
              </w:rPr>
              <w:t>(401,445)</w:t>
            </w:r>
          </w:p>
        </w:tc>
        <w:tc>
          <w:tcPr>
            <w:tcW w:w="200" w:type="dxa"/>
            <w:vAlign w:val="bottom"/>
            <w:tcBorders>
              <w:bottom w:val="single" w:sz="8" w:color="0551D3"/>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551D3"/>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157,818</w:t>
            </w:r>
          </w:p>
        </w:tc>
      </w:tr>
      <w:tr>
        <w:trPr>
          <w:trHeight w:val="304"/>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9"/>
              </w:rPr>
              <w:t>45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Elimination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6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6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8"/>
              </w:rPr>
              <w:t>CCHMO</w:t>
            </w: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7"/>
              </w:rPr>
              <w:t>Guarantor</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Parent</w:t>
            </w: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Holdings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Parents</w:t>
            </w:r>
          </w:p>
        </w:tc>
        <w:tc>
          <w:tcPr>
            <w:tcW w:w="10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Media Parent</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39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62,570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38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848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516</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848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516</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62,570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388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19,929</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19,929</w:t>
            </w: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401</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827</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516</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17,405</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(2,191)</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17,857</w:t>
            </w: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4,807</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4,807</w:t>
            </w: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6,120</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6,150</w:t>
            </w:r>
          </w:p>
        </w:tc>
      </w:tr>
      <w:tr>
        <w:trPr>
          <w:trHeight w:val="199"/>
        </w:trPr>
        <w:tc>
          <w:tcPr>
            <w:tcW w:w="20" w:type="dxa"/>
            <w:vAlign w:val="bottom"/>
          </w:tcPr>
          <w:p>
            <w:pPr>
              <w:spacing w:after="0"/>
              <w:rPr>
                <w:sz w:val="17"/>
                <w:szCs w:val="17"/>
                <w:color w:val="auto"/>
              </w:rPr>
            </w:pPr>
          </w:p>
        </w:tc>
        <w:tc>
          <w:tcPr>
            <w:tcW w:w="38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1,644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1,648</w:t>
            </w:r>
          </w:p>
        </w:tc>
      </w:tr>
      <w:tr>
        <w:trPr>
          <w:trHeight w:val="196"/>
        </w:trPr>
        <w:tc>
          <w:tcPr>
            <w:tcW w:w="2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435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516</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899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49,905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50,391</w:t>
            </w:r>
          </w:p>
        </w:tc>
      </w:tr>
      <w:tr>
        <w:trPr>
          <w:trHeight w:val="177"/>
        </w:trPr>
        <w:tc>
          <w:tcPr>
            <w:tcW w:w="390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5"/>
                <w:szCs w:val="15"/>
                <w:color w:val="auto"/>
              </w:rPr>
            </w:pPr>
          </w:p>
        </w:tc>
        <w:tc>
          <w:tcPr>
            <w:tcW w:w="640" w:type="dxa"/>
            <w:vAlign w:val="bottom"/>
          </w:tcPr>
          <w:p>
            <w:pPr>
              <w:jc w:val="right"/>
              <w:ind w:right="53"/>
              <w:spacing w:after="0" w:line="177" w:lineRule="exact"/>
              <w:rPr>
                <w:sz w:val="20"/>
                <w:szCs w:val="20"/>
                <w:color w:val="auto"/>
              </w:rPr>
            </w:pPr>
            <w:r>
              <w:rPr>
                <w:rFonts w:ascii="Arial" w:cs="Arial" w:eastAsia="Arial" w:hAnsi="Arial"/>
                <w:sz w:val="18"/>
                <w:szCs w:val="18"/>
                <w:color w:val="auto"/>
              </w:rPr>
              <w:t>413</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(899)</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12,665</w:t>
            </w: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12,179</w:t>
            </w:r>
          </w:p>
        </w:tc>
      </w:tr>
      <w:tr>
        <w:trPr>
          <w:trHeight w:val="225"/>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(1,430)</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(2,521)</w:t>
            </w: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208</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219</w:t>
            </w:r>
          </w:p>
        </w:tc>
      </w:tr>
      <w:tr>
        <w:trPr>
          <w:trHeight w:val="203"/>
        </w:trPr>
        <w:tc>
          <w:tcPr>
            <w:tcW w:w="2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w w:val="99"/>
              </w:rPr>
              <w:t>Equity in net income (losses) of investees, net</w:t>
            </w:r>
          </w:p>
        </w:tc>
        <w:tc>
          <w:tcPr>
            <w:tcW w:w="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6,858</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6,536</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4,909</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4,402</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4,014</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959</w:t>
            </w:r>
          </w:p>
        </w:tc>
      </w:tr>
      <w:tr>
        <w:trPr>
          <w:trHeight w:val="199"/>
        </w:trPr>
        <w:tc>
          <w:tcPr>
            <w:tcW w:w="20" w:type="dxa"/>
            <w:vAlign w:val="bottom"/>
          </w:tcPr>
          <w:p>
            <w:pPr>
              <w:spacing w:after="0"/>
              <w:rPr>
                <w:sz w:val="17"/>
                <w:szCs w:val="17"/>
                <w:color w:val="auto"/>
              </w:rPr>
            </w:pPr>
          </w:p>
        </w:tc>
        <w:tc>
          <w:tcPr>
            <w:tcW w:w="38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785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773</w:t>
            </w:r>
          </w:p>
        </w:tc>
      </w:tr>
      <w:tr>
        <w:trPr>
          <w:trHeight w:val="196"/>
        </w:trPr>
        <w:tc>
          <w:tcPr>
            <w:tcW w:w="2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5,438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6,516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6,336</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4,774</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3,963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4,828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(32,425)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r>
      <w:tr>
        <w:trPr>
          <w:trHeight w:val="199"/>
        </w:trPr>
        <w:tc>
          <w:tcPr>
            <w:tcW w:w="390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7"/>
                <w:szCs w:val="17"/>
                <w:color w:val="auto"/>
              </w:rPr>
            </w:pPr>
          </w:p>
        </w:tc>
        <w:tc>
          <w:tcPr>
            <w:tcW w:w="6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5,851</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6,516</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6,336</w:t>
            </w:r>
          </w:p>
        </w:tc>
        <w:tc>
          <w:tcPr>
            <w:tcW w:w="200" w:type="dxa"/>
            <w:vAlign w:val="bottom"/>
          </w:tcPr>
          <w:p>
            <w:pPr>
              <w:spacing w:after="0"/>
              <w:rPr>
                <w:sz w:val="17"/>
                <w:szCs w:val="17"/>
                <w:color w:val="auto"/>
              </w:rPr>
            </w:pP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4,774</w:t>
            </w:r>
          </w:p>
        </w:tc>
        <w:tc>
          <w:tcPr>
            <w:tcW w:w="340" w:type="dxa"/>
            <w:vAlign w:val="bottom"/>
          </w:tcPr>
          <w:p>
            <w:pPr>
              <w:spacing w:after="0"/>
              <w:rPr>
                <w:sz w:val="17"/>
                <w:szCs w:val="17"/>
                <w:color w:val="auto"/>
              </w:rPr>
            </w:pPr>
          </w:p>
        </w:tc>
        <w:tc>
          <w:tcPr>
            <w:tcW w:w="7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3,064</w:t>
            </w:r>
          </w:p>
        </w:tc>
        <w:tc>
          <w:tcPr>
            <w:tcW w:w="200" w:type="dxa"/>
            <w:vAlign w:val="bottom"/>
          </w:tcPr>
          <w:p>
            <w:pPr>
              <w:spacing w:after="0"/>
              <w:rPr>
                <w:sz w:val="17"/>
                <w:szCs w:val="17"/>
                <w:color w:val="auto"/>
              </w:rPr>
            </w:pPr>
          </w:p>
        </w:tc>
        <w:tc>
          <w:tcPr>
            <w:tcW w:w="8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17,493</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11,609</w:t>
            </w:r>
          </w:p>
        </w:tc>
      </w:tr>
      <w:tr>
        <w:trPr>
          <w:trHeight w:val="199"/>
        </w:trPr>
        <w:tc>
          <w:tcPr>
            <w:tcW w:w="39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352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(4,256)</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(3,744)</w:t>
            </w:r>
          </w:p>
        </w:tc>
      </w:tr>
      <w:tr>
        <w:trPr>
          <w:trHeight w:val="199"/>
        </w:trPr>
        <w:tc>
          <w:tcPr>
            <w:tcW w:w="390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7"/>
                <w:szCs w:val="17"/>
                <w:color w:val="auto"/>
              </w:rPr>
            </w:pPr>
          </w:p>
        </w:tc>
        <w:tc>
          <w:tcPr>
            <w:tcW w:w="6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6,203</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6,523</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6,451</w:t>
            </w:r>
          </w:p>
        </w:tc>
        <w:tc>
          <w:tcPr>
            <w:tcW w:w="200" w:type="dxa"/>
            <w:vAlign w:val="bottom"/>
          </w:tcPr>
          <w:p>
            <w:pPr>
              <w:spacing w:after="0"/>
              <w:rPr>
                <w:sz w:val="17"/>
                <w:szCs w:val="17"/>
                <w:color w:val="auto"/>
              </w:rPr>
            </w:pP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4,821</w:t>
            </w:r>
          </w:p>
        </w:tc>
        <w:tc>
          <w:tcPr>
            <w:tcW w:w="340" w:type="dxa"/>
            <w:vAlign w:val="bottom"/>
          </w:tcPr>
          <w:p>
            <w:pPr>
              <w:spacing w:after="0"/>
              <w:rPr>
                <w:sz w:val="17"/>
                <w:szCs w:val="17"/>
                <w:color w:val="auto"/>
              </w:rPr>
            </w:pPr>
          </w:p>
        </w:tc>
        <w:tc>
          <w:tcPr>
            <w:tcW w:w="7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3,055</w:t>
            </w:r>
          </w:p>
        </w:tc>
        <w:tc>
          <w:tcPr>
            <w:tcW w:w="200" w:type="dxa"/>
            <w:vAlign w:val="bottom"/>
          </w:tcPr>
          <w:p>
            <w:pPr>
              <w:spacing w:after="0"/>
              <w:rPr>
                <w:sz w:val="17"/>
                <w:szCs w:val="17"/>
                <w:color w:val="auto"/>
              </w:rPr>
            </w:pPr>
          </w:p>
        </w:tc>
        <w:tc>
          <w:tcPr>
            <w:tcW w:w="8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13,237</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7,865</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r>
      <w:tr>
        <w:trPr>
          <w:trHeight w:val="177"/>
        </w:trPr>
        <w:tc>
          <w:tcPr>
            <w:tcW w:w="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0551D3"/>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2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551D3"/>
            </w:tcBorders>
          </w:tcPr>
          <w:p>
            <w:pPr>
              <w:jc w:val="right"/>
              <w:ind w:right="53"/>
              <w:spacing w:after="0"/>
              <w:rPr>
                <w:sz w:val="20"/>
                <w:szCs w:val="20"/>
                <w:color w:val="auto"/>
              </w:rPr>
            </w:pPr>
            <w:r>
              <w:rPr>
                <w:rFonts w:ascii="Arial" w:cs="Arial" w:eastAsia="Arial" w:hAnsi="Arial"/>
                <w:sz w:val="18"/>
                <w:szCs w:val="18"/>
                <w:b w:val="1"/>
                <w:bCs w:val="1"/>
                <w:color w:val="auto"/>
              </w:rPr>
              <w:t>6,203</w:t>
            </w:r>
          </w:p>
        </w:tc>
        <w:tc>
          <w:tcPr>
            <w:tcW w:w="1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2"/>
              <w:spacing w:after="0"/>
              <w:rPr>
                <w:sz w:val="20"/>
                <w:szCs w:val="20"/>
                <w:color w:val="auto"/>
              </w:rPr>
            </w:pPr>
            <w:r>
              <w:rPr>
                <w:rFonts w:ascii="Arial" w:cs="Arial" w:eastAsia="Arial" w:hAnsi="Arial"/>
                <w:sz w:val="18"/>
                <w:szCs w:val="18"/>
                <w:b w:val="1"/>
                <w:bCs w:val="1"/>
                <w:color w:val="auto"/>
              </w:rPr>
              <w:t>6,523</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6,451</w:t>
            </w:r>
          </w:p>
        </w:tc>
        <w:tc>
          <w:tcPr>
            <w:tcW w:w="20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4,821</w:t>
            </w:r>
          </w:p>
        </w:tc>
        <w:tc>
          <w:tcPr>
            <w:tcW w:w="34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551D3"/>
            </w:tcBorders>
          </w:tcPr>
          <w:p>
            <w:pPr>
              <w:jc w:val="right"/>
              <w:ind w:right="32"/>
              <w:spacing w:after="0"/>
              <w:rPr>
                <w:sz w:val="20"/>
                <w:szCs w:val="20"/>
                <w:color w:val="auto"/>
              </w:rPr>
            </w:pPr>
            <w:r>
              <w:rPr>
                <w:rFonts w:ascii="Arial" w:cs="Arial" w:eastAsia="Arial" w:hAnsi="Arial"/>
                <w:sz w:val="18"/>
                <w:szCs w:val="18"/>
                <w:b w:val="1"/>
                <w:bCs w:val="1"/>
                <w:color w:val="auto"/>
              </w:rPr>
              <w:t>3,055</w:t>
            </w:r>
          </w:p>
        </w:tc>
        <w:tc>
          <w:tcPr>
            <w:tcW w:w="20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11,575</w:t>
            </w:r>
          </w:p>
        </w:tc>
        <w:tc>
          <w:tcPr>
            <w:tcW w:w="22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(32,425)</w:t>
            </w:r>
          </w:p>
        </w:tc>
        <w:tc>
          <w:tcPr>
            <w:tcW w:w="26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b w:val="1"/>
                <w:bCs w:val="1"/>
                <w:color w:val="auto"/>
              </w:rPr>
              <w:t>6,203</w:t>
            </w:r>
          </w:p>
        </w:tc>
      </w:tr>
      <w:tr>
        <w:trPr>
          <w:trHeight w:val="177"/>
        </w:trPr>
        <w:tc>
          <w:tcPr>
            <w:tcW w:w="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0551D3"/>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2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551D3"/>
            </w:tcBorders>
          </w:tcPr>
          <w:p>
            <w:pPr>
              <w:jc w:val="right"/>
              <w:ind w:right="53"/>
              <w:spacing w:after="0"/>
              <w:rPr>
                <w:sz w:val="20"/>
                <w:szCs w:val="20"/>
                <w:color w:val="auto"/>
              </w:rPr>
            </w:pPr>
            <w:r>
              <w:rPr>
                <w:rFonts w:ascii="Arial" w:cs="Arial" w:eastAsia="Arial" w:hAnsi="Arial"/>
                <w:sz w:val="18"/>
                <w:szCs w:val="18"/>
                <w:b w:val="1"/>
                <w:bCs w:val="1"/>
                <w:color w:val="auto"/>
              </w:rPr>
              <w:t>6,370</w:t>
            </w:r>
          </w:p>
        </w:tc>
        <w:tc>
          <w:tcPr>
            <w:tcW w:w="1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2"/>
              <w:spacing w:after="0"/>
              <w:rPr>
                <w:sz w:val="20"/>
                <w:szCs w:val="20"/>
                <w:color w:val="auto"/>
              </w:rPr>
            </w:pPr>
            <w:r>
              <w:rPr>
                <w:rFonts w:ascii="Arial" w:cs="Arial" w:eastAsia="Arial" w:hAnsi="Arial"/>
                <w:sz w:val="18"/>
                <w:szCs w:val="18"/>
                <w:b w:val="1"/>
                <w:bCs w:val="1"/>
                <w:color w:val="auto"/>
              </w:rPr>
              <w:t>6,523</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6,460</w:t>
            </w:r>
          </w:p>
        </w:tc>
        <w:tc>
          <w:tcPr>
            <w:tcW w:w="20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4,821</w:t>
            </w:r>
          </w:p>
        </w:tc>
        <w:tc>
          <w:tcPr>
            <w:tcW w:w="34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551D3"/>
            </w:tcBorders>
          </w:tcPr>
          <w:p>
            <w:pPr>
              <w:jc w:val="right"/>
              <w:ind w:right="32"/>
              <w:spacing w:after="0"/>
              <w:rPr>
                <w:sz w:val="20"/>
                <w:szCs w:val="20"/>
                <w:color w:val="auto"/>
              </w:rPr>
            </w:pPr>
            <w:r>
              <w:rPr>
                <w:rFonts w:ascii="Arial" w:cs="Arial" w:eastAsia="Arial" w:hAnsi="Arial"/>
                <w:sz w:val="18"/>
                <w:szCs w:val="18"/>
                <w:b w:val="1"/>
                <w:bCs w:val="1"/>
                <w:color w:val="auto"/>
              </w:rPr>
              <w:t>3,068</w:t>
            </w:r>
          </w:p>
        </w:tc>
        <w:tc>
          <w:tcPr>
            <w:tcW w:w="20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11,703</w:t>
            </w:r>
          </w:p>
        </w:tc>
        <w:tc>
          <w:tcPr>
            <w:tcW w:w="22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(32,575)</w:t>
            </w:r>
          </w:p>
        </w:tc>
        <w:tc>
          <w:tcPr>
            <w:tcW w:w="26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b w:val="1"/>
                <w:bCs w:val="1"/>
                <w:color w:val="auto"/>
              </w:rPr>
              <w:t>6,370</w:t>
            </w:r>
          </w:p>
        </w:tc>
      </w:tr>
      <w:tr>
        <w:trPr>
          <w:trHeight w:val="30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Parents</w:t>
            </w:r>
          </w:p>
        </w:tc>
        <w:tc>
          <w:tcPr>
            <w:tcW w:w="10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55,842</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55,842</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55,842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55,842</w:t>
            </w:r>
          </w:p>
        </w:tc>
      </w:tr>
      <w:tr>
        <w:trPr>
          <w:trHeight w:val="199"/>
        </w:trPr>
        <w:tc>
          <w:tcPr>
            <w:tcW w:w="20" w:type="dxa"/>
            <w:vAlign w:val="bottom"/>
          </w:tcPr>
          <w:p>
            <w:pPr>
              <w:spacing w:after="0"/>
              <w:rPr>
                <w:sz w:val="17"/>
                <w:szCs w:val="17"/>
                <w:color w:val="auto"/>
              </w:rPr>
            </w:pPr>
          </w:p>
        </w:tc>
        <w:tc>
          <w:tcPr>
            <w:tcW w:w="40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16,598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16,598</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420</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784</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488</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678</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16,353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(2,072)</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16,656</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4,231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4,231</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6,011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6,040</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1,593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1,596</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678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44,786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45,121</w:t>
            </w:r>
          </w:p>
        </w:tc>
      </w:tr>
      <w:tr>
        <w:trPr>
          <w:trHeight w:val="177"/>
        </w:trPr>
        <w:tc>
          <w:tcPr>
            <w:tcW w:w="40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5"/>
                <w:szCs w:val="15"/>
                <w:color w:val="auto"/>
              </w:rPr>
            </w:pPr>
          </w:p>
        </w:tc>
        <w:tc>
          <w:tcPr>
            <w:tcW w:w="620" w:type="dxa"/>
            <w:vAlign w:val="bottom"/>
          </w:tcPr>
          <w:p>
            <w:pPr>
              <w:jc w:val="right"/>
              <w:ind w:right="33"/>
              <w:spacing w:after="0" w:line="177" w:lineRule="exact"/>
              <w:rPr>
                <w:sz w:val="20"/>
                <w:szCs w:val="20"/>
                <w:color w:val="auto"/>
              </w:rPr>
            </w:pPr>
            <w:r>
              <w:rPr>
                <w:rFonts w:ascii="Arial" w:cs="Arial" w:eastAsia="Arial" w:hAnsi="Arial"/>
                <w:sz w:val="18"/>
                <w:szCs w:val="18"/>
                <w:color w:val="auto"/>
              </w:rPr>
              <w:t>348</w:t>
            </w:r>
          </w:p>
        </w:tc>
        <w:tc>
          <w:tcPr>
            <w:tcW w:w="2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(678)</w:t>
            </w:r>
          </w:p>
        </w:tc>
        <w:tc>
          <w:tcPr>
            <w:tcW w:w="180" w:type="dxa"/>
            <w:vAlign w:val="bottom"/>
          </w:tcPr>
          <w:p>
            <w:pPr>
              <w:spacing w:after="0"/>
              <w:rPr>
                <w:sz w:val="15"/>
                <w:szCs w:val="15"/>
                <w:color w:val="auto"/>
              </w:rPr>
            </w:pPr>
          </w:p>
        </w:tc>
        <w:tc>
          <w:tcPr>
            <w:tcW w:w="7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11,056</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10,721</w:t>
            </w:r>
          </w:p>
        </w:tc>
      </w:tr>
      <w:tr>
        <w:trPr>
          <w:trHeight w:val="2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(1,439)</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4,879</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5,734</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5,598</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3,361</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2,793</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1,648</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(24,048)</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3,424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5,705</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5,260</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3,189</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2,364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1,592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(24,048)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3,772</w:t>
            </w:r>
          </w:p>
        </w:tc>
        <w:tc>
          <w:tcPr>
            <w:tcW w:w="200" w:type="dxa"/>
            <w:vAlign w:val="bottom"/>
          </w:tcPr>
          <w:p>
            <w:pPr>
              <w:spacing w:after="0"/>
              <w:rPr>
                <w:sz w:val="17"/>
                <w:szCs w:val="17"/>
                <w:color w:val="auto"/>
              </w:rPr>
            </w:pPr>
          </w:p>
        </w:tc>
        <w:tc>
          <w:tcPr>
            <w:tcW w:w="6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5,700</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5,260</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3,189</w:t>
            </w:r>
          </w:p>
        </w:tc>
        <w:tc>
          <w:tcPr>
            <w:tcW w:w="3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1,686</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12,648</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(24,048)</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8,207</w:t>
            </w:r>
          </w:p>
        </w:tc>
      </w:tr>
      <w:tr>
        <w:trPr>
          <w:trHeight w:val="199"/>
        </w:trPr>
        <w:tc>
          <w:tcPr>
            <w:tcW w:w="4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388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118</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(3,625)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(3,050)</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4,160</w:t>
            </w:r>
          </w:p>
        </w:tc>
        <w:tc>
          <w:tcPr>
            <w:tcW w:w="200" w:type="dxa"/>
            <w:vAlign w:val="bottom"/>
          </w:tcPr>
          <w:p>
            <w:pPr>
              <w:spacing w:after="0"/>
              <w:rPr>
                <w:sz w:val="17"/>
                <w:szCs w:val="17"/>
                <w:color w:val="auto"/>
              </w:rPr>
            </w:pPr>
          </w:p>
        </w:tc>
        <w:tc>
          <w:tcPr>
            <w:tcW w:w="6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5,712</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5,378</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3,249</w:t>
            </w:r>
          </w:p>
        </w:tc>
        <w:tc>
          <w:tcPr>
            <w:tcW w:w="3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1,683</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9,023</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(24,048)</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5,157</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interests</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551D3"/>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4,160</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5,712</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5,378</w:t>
            </w:r>
          </w:p>
        </w:tc>
        <w:tc>
          <w:tcPr>
            <w:tcW w:w="16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3,249</w:t>
            </w:r>
          </w:p>
        </w:tc>
        <w:tc>
          <w:tcPr>
            <w:tcW w:w="32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32"/>
              <w:spacing w:after="0"/>
              <w:rPr>
                <w:sz w:val="20"/>
                <w:szCs w:val="20"/>
                <w:color w:val="auto"/>
              </w:rPr>
            </w:pPr>
            <w:r>
              <w:rPr>
                <w:rFonts w:ascii="Arial" w:cs="Arial" w:eastAsia="Arial" w:hAnsi="Arial"/>
                <w:sz w:val="18"/>
                <w:szCs w:val="18"/>
                <w:b w:val="1"/>
                <w:bCs w:val="1"/>
                <w:color w:val="auto"/>
              </w:rPr>
              <w:t>1,683</w:t>
            </w:r>
          </w:p>
        </w:tc>
        <w:tc>
          <w:tcPr>
            <w:tcW w:w="18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8,026</w:t>
            </w:r>
          </w:p>
        </w:tc>
        <w:tc>
          <w:tcPr>
            <w:tcW w:w="20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(24,048)</w:t>
            </w:r>
          </w:p>
        </w:tc>
        <w:tc>
          <w:tcPr>
            <w:tcW w:w="26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b w:val="1"/>
                <w:bCs w:val="1"/>
                <w:color w:val="auto"/>
              </w:rPr>
              <w:t>4,160</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551D3"/>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4,107</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5,712</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5,387</w:t>
            </w:r>
          </w:p>
        </w:tc>
        <w:tc>
          <w:tcPr>
            <w:tcW w:w="16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3,249</w:t>
            </w:r>
          </w:p>
        </w:tc>
        <w:tc>
          <w:tcPr>
            <w:tcW w:w="32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32"/>
              <w:spacing w:after="0"/>
              <w:rPr>
                <w:sz w:val="20"/>
                <w:szCs w:val="20"/>
                <w:color w:val="auto"/>
              </w:rPr>
            </w:pPr>
            <w:r>
              <w:rPr>
                <w:rFonts w:ascii="Arial" w:cs="Arial" w:eastAsia="Arial" w:hAnsi="Arial"/>
                <w:sz w:val="18"/>
                <w:szCs w:val="18"/>
                <w:b w:val="1"/>
                <w:bCs w:val="1"/>
                <w:color w:val="auto"/>
              </w:rPr>
              <w:t>1,605</w:t>
            </w:r>
          </w:p>
        </w:tc>
        <w:tc>
          <w:tcPr>
            <w:tcW w:w="18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8,064</w:t>
            </w:r>
          </w:p>
        </w:tc>
        <w:tc>
          <w:tcPr>
            <w:tcW w:w="20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(24,017)</w:t>
            </w:r>
          </w:p>
        </w:tc>
        <w:tc>
          <w:tcPr>
            <w:tcW w:w="26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b w:val="1"/>
                <w:bCs w:val="1"/>
                <w:color w:val="auto"/>
              </w:rPr>
              <w:t>4,107</w:t>
            </w:r>
          </w:p>
        </w:tc>
      </w:tr>
      <w:tr>
        <w:trPr>
          <w:trHeight w:val="30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Combined</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Parents</w:t>
            </w:r>
          </w:p>
        </w:tc>
        <w:tc>
          <w:tcPr>
            <w:tcW w:w="1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Media Parent</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37,937</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37,937</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808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726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452</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(1,986)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808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726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452</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37,937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37,937</w:t>
            </w:r>
          </w:p>
        </w:tc>
      </w:tr>
      <w:tr>
        <w:trPr>
          <w:trHeight w:val="199"/>
        </w:trPr>
        <w:tc>
          <w:tcPr>
            <w:tcW w:w="20" w:type="dxa"/>
            <w:vAlign w:val="bottom"/>
          </w:tcPr>
          <w:p>
            <w:pPr>
              <w:spacing w:after="0"/>
              <w:rPr>
                <w:sz w:val="17"/>
                <w:szCs w:val="17"/>
                <w:color w:val="auto"/>
              </w:rPr>
            </w:pPr>
          </w:p>
        </w:tc>
        <w:tc>
          <w:tcPr>
            <w:tcW w:w="40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8,537</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8,537</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444</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726</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452</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12,700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(1,986)</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12,395</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2,409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2,409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5,510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5,539</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1,074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1,077</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476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726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452</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30,230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29,957</w:t>
            </w:r>
          </w:p>
        </w:tc>
      </w:tr>
      <w:tr>
        <w:trPr>
          <w:trHeight w:val="177"/>
        </w:trPr>
        <w:tc>
          <w:tcPr>
            <w:tcW w:w="40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5"/>
                <w:szCs w:val="15"/>
                <w:color w:val="auto"/>
              </w:rPr>
            </w:pPr>
          </w:p>
        </w:tc>
        <w:tc>
          <w:tcPr>
            <w:tcW w:w="620" w:type="dxa"/>
            <w:vAlign w:val="bottom"/>
          </w:tcPr>
          <w:p>
            <w:pPr>
              <w:jc w:val="right"/>
              <w:ind w:right="33"/>
              <w:spacing w:after="0" w:line="177" w:lineRule="exact"/>
              <w:rPr>
                <w:sz w:val="20"/>
                <w:szCs w:val="20"/>
                <w:color w:val="auto"/>
              </w:rPr>
            </w:pPr>
            <w:r>
              <w:rPr>
                <w:rFonts w:ascii="Arial" w:cs="Arial" w:eastAsia="Arial" w:hAnsi="Arial"/>
                <w:sz w:val="18"/>
                <w:szCs w:val="18"/>
                <w:color w:val="auto"/>
              </w:rPr>
              <w:t>332</w:t>
            </w:r>
          </w:p>
        </w:tc>
        <w:tc>
          <w:tcPr>
            <w:tcW w:w="2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560" w:type="dxa"/>
            <w:vAlign w:val="bottom"/>
          </w:tcPr>
          <w:p>
            <w:pPr>
              <w:jc w:val="right"/>
              <w:ind w:right="1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7,707</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7,980</w:t>
            </w:r>
          </w:p>
        </w:tc>
      </w:tr>
      <w:tr>
        <w:trPr>
          <w:trHeight w:val="2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(1,402)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(2,156)</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288</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4,329</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4,675</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4,741</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3,015</w:t>
            </w:r>
          </w:p>
        </w:tc>
        <w:tc>
          <w:tcPr>
            <w:tcW w:w="460" w:type="dxa"/>
            <w:vAlign w:val="bottom"/>
          </w:tcPr>
          <w:p>
            <w:pPr>
              <w:spacing w:after="0"/>
              <w:rPr>
                <w:sz w:val="17"/>
                <w:szCs w:val="17"/>
                <w:color w:val="auto"/>
              </w:rPr>
            </w:pP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(16,760)</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2,930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4,649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4,339</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2,842</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124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(16,760)</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3,262</w:t>
            </w:r>
          </w:p>
        </w:tc>
        <w:tc>
          <w:tcPr>
            <w:tcW w:w="200" w:type="dxa"/>
            <w:vAlign w:val="bottom"/>
          </w:tcPr>
          <w:p>
            <w:pPr>
              <w:spacing w:after="0"/>
              <w:rPr>
                <w:sz w:val="17"/>
                <w:szCs w:val="17"/>
                <w:color w:val="auto"/>
              </w:rPr>
            </w:pPr>
          </w:p>
        </w:tc>
        <w:tc>
          <w:tcPr>
            <w:tcW w:w="6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4,590</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4,339</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2,842</w:t>
            </w:r>
          </w:p>
        </w:tc>
        <w:tc>
          <w:tcPr>
            <w:tcW w:w="460" w:type="dxa"/>
            <w:vAlign w:val="bottom"/>
          </w:tcPr>
          <w:p>
            <w:pPr>
              <w:spacing w:after="0"/>
              <w:rPr>
                <w:sz w:val="17"/>
                <w:szCs w:val="17"/>
                <w:color w:val="auto"/>
              </w:rPr>
            </w:pPr>
          </w:p>
        </w:tc>
        <w:tc>
          <w:tcPr>
            <w:tcW w:w="5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7,831</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(16,760)</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6,104</w:t>
            </w:r>
          </w:p>
        </w:tc>
      </w:tr>
      <w:tr>
        <w:trPr>
          <w:trHeight w:val="199"/>
        </w:trPr>
        <w:tc>
          <w:tcPr>
            <w:tcW w:w="4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373</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141</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61</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(3,041)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(2,436)</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3,635</w:t>
            </w:r>
          </w:p>
        </w:tc>
        <w:tc>
          <w:tcPr>
            <w:tcW w:w="200" w:type="dxa"/>
            <w:vAlign w:val="bottom"/>
          </w:tcPr>
          <w:p>
            <w:pPr>
              <w:spacing w:after="0"/>
              <w:rPr>
                <w:sz w:val="17"/>
                <w:szCs w:val="17"/>
                <w:color w:val="auto"/>
              </w:rPr>
            </w:pPr>
          </w:p>
        </w:tc>
        <w:tc>
          <w:tcPr>
            <w:tcW w:w="6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4,620</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4,480</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2,903</w:t>
            </w:r>
          </w:p>
        </w:tc>
        <w:tc>
          <w:tcPr>
            <w:tcW w:w="460" w:type="dxa"/>
            <w:vAlign w:val="bottom"/>
          </w:tcPr>
          <w:p>
            <w:pPr>
              <w:spacing w:after="0"/>
              <w:rPr>
                <w:sz w:val="17"/>
                <w:szCs w:val="17"/>
                <w:color w:val="auto"/>
              </w:rPr>
            </w:pPr>
          </w:p>
        </w:tc>
        <w:tc>
          <w:tcPr>
            <w:tcW w:w="5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4,790</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(16,760)</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3,668</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interests</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551D3"/>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3,635</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4,620</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4,480</w:t>
            </w:r>
          </w:p>
        </w:tc>
        <w:tc>
          <w:tcPr>
            <w:tcW w:w="16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2,903</w:t>
            </w:r>
          </w:p>
        </w:tc>
        <w:tc>
          <w:tcPr>
            <w:tcW w:w="46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551D3"/>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551D3"/>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4,757</w:t>
            </w:r>
          </w:p>
        </w:tc>
        <w:tc>
          <w:tcPr>
            <w:tcW w:w="20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(16,760)</w:t>
            </w:r>
          </w:p>
        </w:tc>
        <w:tc>
          <w:tcPr>
            <w:tcW w:w="26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b w:val="1"/>
                <w:bCs w:val="1"/>
                <w:color w:val="auto"/>
              </w:rPr>
              <w:t>3,635</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551D3"/>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8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3,582</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3"/>
              <w:spacing w:after="0"/>
              <w:rPr>
                <w:sz w:val="20"/>
                <w:szCs w:val="20"/>
                <w:color w:val="auto"/>
              </w:rPr>
            </w:pPr>
            <w:r>
              <w:rPr>
                <w:rFonts w:ascii="Arial" w:cs="Arial" w:eastAsia="Arial" w:hAnsi="Arial"/>
                <w:sz w:val="18"/>
                <w:szCs w:val="18"/>
                <w:b w:val="1"/>
                <w:bCs w:val="1"/>
                <w:color w:val="auto"/>
              </w:rPr>
              <w:t>4,620</w:t>
            </w:r>
          </w:p>
        </w:tc>
        <w:tc>
          <w:tcPr>
            <w:tcW w:w="2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4,489</w:t>
            </w:r>
          </w:p>
        </w:tc>
        <w:tc>
          <w:tcPr>
            <w:tcW w:w="16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2,903</w:t>
            </w:r>
          </w:p>
        </w:tc>
        <w:tc>
          <w:tcPr>
            <w:tcW w:w="46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551D3"/>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551D3"/>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551D3"/>
            </w:tcBorders>
          </w:tcPr>
          <w:p>
            <w:pPr>
              <w:jc w:val="right"/>
              <w:ind w:right="34"/>
              <w:spacing w:after="0"/>
              <w:rPr>
                <w:sz w:val="20"/>
                <w:szCs w:val="20"/>
                <w:color w:val="auto"/>
              </w:rPr>
            </w:pPr>
            <w:r>
              <w:rPr>
                <w:rFonts w:ascii="Arial" w:cs="Arial" w:eastAsia="Arial" w:hAnsi="Arial"/>
                <w:sz w:val="18"/>
                <w:szCs w:val="18"/>
                <w:b w:val="1"/>
                <w:bCs w:val="1"/>
                <w:color w:val="auto"/>
              </w:rPr>
              <w:t>4,761</w:t>
            </w:r>
          </w:p>
        </w:tc>
        <w:tc>
          <w:tcPr>
            <w:tcW w:w="200" w:type="dxa"/>
            <w:vAlign w:val="bottom"/>
            <w:tcBorders>
              <w:bottom w:val="single" w:sz="8" w:color="0551D3"/>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551D3"/>
            </w:tcBorders>
          </w:tcPr>
          <w:p>
            <w:pPr>
              <w:jc w:val="right"/>
              <w:spacing w:after="0"/>
              <w:rPr>
                <w:sz w:val="20"/>
                <w:szCs w:val="20"/>
                <w:color w:val="auto"/>
              </w:rPr>
            </w:pPr>
            <w:r>
              <w:rPr>
                <w:rFonts w:ascii="Arial" w:cs="Arial" w:eastAsia="Arial" w:hAnsi="Arial"/>
                <w:sz w:val="18"/>
                <w:szCs w:val="18"/>
                <w:b w:val="1"/>
                <w:bCs w:val="1"/>
                <w:color w:val="auto"/>
              </w:rPr>
              <w:t>(16,773)</w:t>
            </w:r>
          </w:p>
        </w:tc>
        <w:tc>
          <w:tcPr>
            <w:tcW w:w="260" w:type="dxa"/>
            <w:vAlign w:val="bottom"/>
            <w:tcBorders>
              <w:bottom w:val="single" w:sz="8" w:color="0551D3"/>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551D3"/>
            </w:tcBorders>
          </w:tcPr>
          <w:p>
            <w:pPr>
              <w:jc w:val="right"/>
              <w:ind w:right="13"/>
              <w:spacing w:after="0"/>
              <w:rPr>
                <w:sz w:val="20"/>
                <w:szCs w:val="20"/>
                <w:color w:val="auto"/>
              </w:rPr>
            </w:pPr>
            <w:r>
              <w:rPr>
                <w:rFonts w:ascii="Arial" w:cs="Arial" w:eastAsia="Arial" w:hAnsi="Arial"/>
                <w:sz w:val="18"/>
                <w:szCs w:val="18"/>
                <w:b w:val="1"/>
                <w:bCs w:val="1"/>
                <w:color w:val="auto"/>
              </w:rPr>
              <w:t>3,582</w:t>
            </w:r>
          </w:p>
        </w:tc>
      </w:tr>
      <w:tr>
        <w:trPr>
          <w:trHeight w:val="30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tcPr>
          <w:p>
            <w:pPr>
              <w:jc w:val="right"/>
              <w:ind w:right="74"/>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8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52"/>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00" w:type="dxa"/>
            <w:vAlign w:val="bottom"/>
            <w:gridSpan w:val="2"/>
          </w:tcPr>
          <w:p>
            <w:pPr>
              <w:jc w:val="right"/>
              <w:ind w:right="53"/>
              <w:spacing w:after="0" w:line="152" w:lineRule="exact"/>
              <w:rPr>
                <w:sz w:val="20"/>
                <w:szCs w:val="20"/>
                <w:color w:val="auto"/>
              </w:rPr>
            </w:pPr>
            <w:r>
              <w:rPr>
                <w:rFonts w:ascii="Arial" w:cs="Arial" w:eastAsia="Arial" w:hAnsi="Arial"/>
                <w:sz w:val="14"/>
                <w:szCs w:val="14"/>
                <w:b w:val="1"/>
                <w:bCs w:val="1"/>
                <w:color w:val="auto"/>
              </w:rPr>
              <w:t>Comcast</w:t>
            </w:r>
          </w:p>
        </w:tc>
        <w:tc>
          <w:tcPr>
            <w:tcW w:w="820" w:type="dxa"/>
            <w:vAlign w:val="bottom"/>
            <w:gridSpan w:val="2"/>
          </w:tcPr>
          <w:p>
            <w:pPr>
              <w:ind w:left="100"/>
              <w:spacing w:after="0" w:line="152"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3"/>
                <w:szCs w:val="13"/>
                <w:color w:val="auto"/>
              </w:rPr>
            </w:pPr>
          </w:p>
        </w:tc>
        <w:tc>
          <w:tcPr>
            <w:tcW w:w="540" w:type="dxa"/>
            <w:vAlign w:val="bottom"/>
          </w:tcPr>
          <w:p>
            <w:pPr>
              <w:jc w:val="right"/>
              <w:ind w:right="54"/>
              <w:spacing w:after="0" w:line="152" w:lineRule="exact"/>
              <w:rPr>
                <w:sz w:val="20"/>
                <w:szCs w:val="20"/>
                <w:color w:val="auto"/>
              </w:rPr>
            </w:pPr>
            <w:r>
              <w:rPr>
                <w:rFonts w:ascii="Arial" w:cs="Arial" w:eastAsia="Arial" w:hAnsi="Arial"/>
                <w:sz w:val="14"/>
                <w:szCs w:val="14"/>
                <w:b w:val="1"/>
                <w:bCs w:val="1"/>
                <w:color w:val="auto"/>
                <w:w w:val="97"/>
              </w:rPr>
              <w:t>CCCL</w:t>
            </w:r>
          </w:p>
        </w:tc>
        <w:tc>
          <w:tcPr>
            <w:tcW w:w="220" w:type="dxa"/>
            <w:vAlign w:val="bottom"/>
          </w:tcPr>
          <w:p>
            <w:pPr>
              <w:spacing w:after="0"/>
              <w:rPr>
                <w:sz w:val="13"/>
                <w:szCs w:val="13"/>
                <w:color w:val="auto"/>
              </w:rPr>
            </w:pPr>
          </w:p>
        </w:tc>
        <w:tc>
          <w:tcPr>
            <w:tcW w:w="680" w:type="dxa"/>
            <w:vAlign w:val="bottom"/>
          </w:tcPr>
          <w:p>
            <w:pPr>
              <w:jc w:val="right"/>
              <w:ind w:right="74"/>
              <w:spacing w:after="0" w:line="152" w:lineRule="exact"/>
              <w:rPr>
                <w:sz w:val="20"/>
                <w:szCs w:val="20"/>
                <w:color w:val="auto"/>
              </w:rPr>
            </w:pPr>
            <w:r>
              <w:rPr>
                <w:rFonts w:ascii="Arial" w:cs="Arial" w:eastAsia="Arial" w:hAnsi="Arial"/>
                <w:sz w:val="14"/>
                <w:szCs w:val="14"/>
                <w:b w:val="1"/>
                <w:bCs w:val="1"/>
                <w:color w:val="auto"/>
                <w:w w:val="94"/>
              </w:rPr>
              <w:t>CCHMO</w:t>
            </w:r>
          </w:p>
        </w:tc>
        <w:tc>
          <w:tcPr>
            <w:tcW w:w="112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3"/>
                <w:szCs w:val="13"/>
                <w:color w:val="auto"/>
              </w:rPr>
            </w:pPr>
          </w:p>
        </w:tc>
        <w:tc>
          <w:tcPr>
            <w:tcW w:w="820" w:type="dxa"/>
            <w:vAlign w:val="bottom"/>
          </w:tcPr>
          <w:p>
            <w:pPr>
              <w:jc w:val="right"/>
              <w:ind w:right="54"/>
              <w:spacing w:after="0" w:line="152"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2"/>
          </w:tcPr>
          <w:p>
            <w:pPr>
              <w:jc w:val="right"/>
              <w:ind w:right="34"/>
              <w:spacing w:after="0" w:line="152" w:lineRule="exact"/>
              <w:rPr>
                <w:sz w:val="20"/>
                <w:szCs w:val="20"/>
                <w:color w:val="auto"/>
              </w:rPr>
            </w:pPr>
            <w:r>
              <w:rPr>
                <w:rFonts w:ascii="Arial" w:cs="Arial" w:eastAsia="Arial" w:hAnsi="Arial"/>
                <w:sz w:val="14"/>
                <w:szCs w:val="14"/>
                <w:b w:val="1"/>
                <w:bCs w:val="1"/>
                <w:color w:val="auto"/>
              </w:rPr>
              <w:t>Consolidation</w:t>
            </w:r>
          </w:p>
        </w:tc>
        <w:tc>
          <w:tcPr>
            <w:tcW w:w="300" w:type="dxa"/>
            <w:vAlign w:val="bottom"/>
          </w:tcPr>
          <w:p>
            <w:pPr>
              <w:spacing w:after="0"/>
              <w:rPr>
                <w:sz w:val="13"/>
                <w:szCs w:val="13"/>
                <w:color w:val="auto"/>
              </w:rPr>
            </w:pPr>
          </w:p>
        </w:tc>
        <w:tc>
          <w:tcPr>
            <w:tcW w:w="780" w:type="dxa"/>
            <w:vAlign w:val="bottom"/>
          </w:tcPr>
          <w:p>
            <w:pPr>
              <w:jc w:val="right"/>
              <w:ind w:right="13"/>
              <w:spacing w:after="0" w:line="152" w:lineRule="exact"/>
              <w:rPr>
                <w:sz w:val="20"/>
                <w:szCs w:val="20"/>
                <w:color w:val="auto"/>
              </w:rPr>
            </w:pPr>
            <w:r>
              <w:rPr>
                <w:rFonts w:ascii="Arial" w:cs="Arial" w:eastAsia="Arial" w:hAnsi="Arial"/>
                <w:sz w:val="14"/>
                <w:szCs w:val="14"/>
                <w:b w:val="1"/>
                <w:bCs w:val="1"/>
                <w:color w:val="auto"/>
              </w:rPr>
              <w:t>Comcast</w:t>
            </w:r>
          </w:p>
        </w:tc>
      </w:tr>
      <w:tr>
        <w:trPr>
          <w:trHeight w:val="176"/>
        </w:trPr>
        <w:tc>
          <w:tcPr>
            <w:tcW w:w="3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rPr>
              <w:t>Parent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7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5"/>
                <w:szCs w:val="15"/>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Parents</w:t>
            </w:r>
          </w:p>
        </w:tc>
        <w:tc>
          <w:tcPr>
            <w:tcW w:w="1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Media Parent</w:t>
            </w:r>
          </w:p>
        </w:tc>
        <w:tc>
          <w:tcPr>
            <w:tcW w:w="10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Adjustments</w:t>
            </w:r>
          </w:p>
        </w:tc>
        <w:tc>
          <w:tcPr>
            <w:tcW w:w="10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20" w:type="dxa"/>
            <w:vAlign w:val="bottom"/>
          </w:tcPr>
          <w:p>
            <w:pPr>
              <w:spacing w:after="0"/>
              <w:rPr>
                <w:sz w:val="17"/>
                <w:szCs w:val="17"/>
                <w:color w:val="auto"/>
              </w:rPr>
            </w:pPr>
          </w:p>
        </w:tc>
        <w:tc>
          <w:tcPr>
            <w:tcW w:w="3680" w:type="dxa"/>
            <w:vAlign w:val="bottom"/>
            <w:tcBorders>
              <w:top w:val="single" w:sz="8" w:color="auto"/>
            </w:tcBorders>
          </w:tcPr>
          <w:p>
            <w:pPr>
              <w:ind w:left="200"/>
              <w:spacing w:after="0" w:line="200" w:lineRule="exact"/>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8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(362)</w:t>
            </w:r>
          </w:p>
        </w:tc>
        <w:tc>
          <w:tcPr>
            <w:tcW w:w="26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(177)</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(114)</w:t>
            </w:r>
          </w:p>
        </w:tc>
        <w:tc>
          <w:tcPr>
            <w:tcW w:w="34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(1,347)</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16,861</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22"/>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14,854</w:t>
            </w:r>
          </w:p>
        </w:tc>
      </w:tr>
      <w:tr>
        <w:trPr>
          <w:trHeight w:val="199"/>
        </w:trPr>
        <w:tc>
          <w:tcPr>
            <w:tcW w:w="20" w:type="dxa"/>
            <w:vAlign w:val="bottom"/>
          </w:tcPr>
          <w:p>
            <w:pPr>
              <w:spacing w:after="0"/>
              <w:rPr>
                <w:sz w:val="17"/>
                <w:szCs w:val="17"/>
                <w:color w:val="auto"/>
              </w:rPr>
            </w:pPr>
          </w:p>
        </w:tc>
        <w:tc>
          <w:tcPr>
            <w:tcW w:w="368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3,845</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177</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667</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4,850</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(9,745)</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(5,704)</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3,102</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3,102</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2,362</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2,362</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199"/>
        </w:trPr>
        <w:tc>
          <w:tcPr>
            <w:tcW w:w="20" w:type="dxa"/>
            <w:vAlign w:val="bottom"/>
          </w:tcPr>
          <w:p>
            <w:pPr>
              <w:spacing w:after="0"/>
              <w:rPr>
                <w:sz w:val="17"/>
                <w:szCs w:val="17"/>
                <w:color w:val="auto"/>
              </w:rPr>
            </w:pPr>
          </w:p>
        </w:tc>
        <w:tc>
          <w:tcPr>
            <w:tcW w:w="36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93</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74</w:t>
            </w:r>
          </w:p>
        </w:tc>
      </w:tr>
      <w:tr>
        <w:trPr>
          <w:trHeight w:val="199"/>
        </w:trPr>
        <w:tc>
          <w:tcPr>
            <w:tcW w:w="20" w:type="dxa"/>
            <w:vAlign w:val="bottom"/>
          </w:tcPr>
          <w:p>
            <w:pPr>
              <w:spacing w:after="0"/>
              <w:rPr>
                <w:sz w:val="17"/>
                <w:szCs w:val="17"/>
                <w:color w:val="auto"/>
              </w:rPr>
            </w:pPr>
          </w:p>
        </w:tc>
        <w:tc>
          <w:tcPr>
            <w:tcW w:w="368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investing</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8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3,829</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209</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177</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667</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4,809</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(11,177)</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(1,486)</w:t>
            </w:r>
          </w:p>
        </w:tc>
      </w:tr>
      <w:tr>
        <w:trPr>
          <w:trHeight w:val="199"/>
        </w:trPr>
        <w:tc>
          <w:tcPr>
            <w:tcW w:w="20" w:type="dxa"/>
            <w:vAlign w:val="bottom"/>
          </w:tcPr>
          <w:p>
            <w:pPr>
              <w:spacing w:after="0"/>
              <w:rPr>
                <w:sz w:val="17"/>
                <w:szCs w:val="17"/>
                <w:color w:val="auto"/>
              </w:rPr>
            </w:pPr>
          </w:p>
        </w:tc>
        <w:tc>
          <w:tcPr>
            <w:tcW w:w="368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borrowings, net</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2,536</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1,995</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4,544</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(1,726)</w:t>
            </w: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(553)</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(2,881)</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stock</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(3,000)</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(1,608)</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233</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w:t>
            </w: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from noncontrolling</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r>
      <w:tr>
        <w:trPr>
          <w:trHeight w:val="199"/>
        </w:trPr>
        <w:tc>
          <w:tcPr>
            <w:tcW w:w="20" w:type="dxa"/>
            <w:vAlign w:val="bottom"/>
          </w:tcPr>
          <w:p>
            <w:pPr>
              <w:spacing w:after="0"/>
              <w:rPr>
                <w:sz w:val="17"/>
                <w:szCs w:val="17"/>
                <w:color w:val="auto"/>
              </w:rPr>
            </w:pPr>
          </w:p>
        </w:tc>
        <w:tc>
          <w:tcPr>
            <w:tcW w:w="36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99</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(175)</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w:t>
            </w:r>
          </w:p>
        </w:tc>
      </w:tr>
      <w:tr>
        <w:trPr>
          <w:trHeight w:val="199"/>
        </w:trPr>
        <w:tc>
          <w:tcPr>
            <w:tcW w:w="20" w:type="dxa"/>
            <w:vAlign w:val="bottom"/>
          </w:tcPr>
          <w:p>
            <w:pPr>
              <w:spacing w:after="0"/>
              <w:rPr>
                <w:sz w:val="17"/>
                <w:szCs w:val="17"/>
                <w:color w:val="auto"/>
              </w:rPr>
            </w:pPr>
          </w:p>
        </w:tc>
        <w:tc>
          <w:tcPr>
            <w:tcW w:w="368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financing</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8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4"/>
              </w:rPr>
              <w:t>(3,467)</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(553)</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1,429</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(1,244)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(4,037)</w:t>
            </w:r>
          </w:p>
        </w:tc>
      </w:tr>
      <w:tr>
        <w:trPr>
          <w:trHeight w:val="199"/>
        </w:trPr>
        <w:tc>
          <w:tcPr>
            <w:tcW w:w="370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equivalents</w:t>
            </w:r>
          </w:p>
        </w:tc>
        <w:tc>
          <w:tcPr>
            <w:tcW w:w="2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4,891</w:t>
            </w:r>
          </w:p>
        </w:tc>
        <w:tc>
          <w:tcPr>
            <w:tcW w:w="22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4,440</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9,331</w:t>
            </w:r>
          </w:p>
        </w:tc>
      </w:tr>
      <w:tr>
        <w:trPr>
          <w:trHeight w:val="199"/>
        </w:trPr>
        <w:tc>
          <w:tcPr>
            <w:tcW w:w="37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238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1,382</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1,620</w:t>
            </w: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5,129</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5,822</w:t>
            </w: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22"/>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10,951</w:t>
            </w:r>
          </w:p>
        </w:tc>
      </w:tr>
      <w:tr>
        <w:trPr>
          <w:trHeight w:val="304"/>
        </w:trPr>
        <w:tc>
          <w:tcPr>
            <w:tcW w:w="20" w:type="dxa"/>
            <w:vAlign w:val="bottom"/>
          </w:tcPr>
          <w:p>
            <w:pPr>
              <w:spacing w:after="0"/>
              <w:rPr>
                <w:sz w:val="24"/>
                <w:szCs w:val="24"/>
                <w:color w:val="auto"/>
              </w:rPr>
            </w:pPr>
          </w:p>
        </w:tc>
        <w:tc>
          <w:tcPr>
            <w:tcW w:w="3680" w:type="dxa"/>
            <w:vAlign w:val="bottom"/>
            <w:tcBorders>
              <w:top w:val="single" w:sz="8" w:color="0551D3"/>
            </w:tcBorders>
          </w:tcPr>
          <w:p>
            <w:pPr>
              <w:spacing w:after="0"/>
              <w:rPr>
                <w:sz w:val="24"/>
                <w:szCs w:val="24"/>
                <w:color w:val="auto"/>
              </w:rPr>
            </w:pPr>
          </w:p>
        </w:tc>
        <w:tc>
          <w:tcPr>
            <w:tcW w:w="260" w:type="dxa"/>
            <w:vAlign w:val="bottom"/>
            <w:tcBorders>
              <w:top w:val="single" w:sz="8" w:color="0551D3"/>
            </w:tcBorders>
          </w:tcPr>
          <w:p>
            <w:pPr>
              <w:spacing w:after="0"/>
              <w:rPr>
                <w:sz w:val="24"/>
                <w:szCs w:val="24"/>
                <w:color w:val="auto"/>
              </w:rPr>
            </w:pPr>
          </w:p>
        </w:tc>
        <w:tc>
          <w:tcPr>
            <w:tcW w:w="640" w:type="dxa"/>
            <w:vAlign w:val="bottom"/>
            <w:tcBorders>
              <w:top w:val="single" w:sz="8" w:color="0551D3"/>
            </w:tcBorders>
          </w:tcPr>
          <w:p>
            <w:pPr>
              <w:spacing w:after="0"/>
              <w:rPr>
                <w:sz w:val="24"/>
                <w:szCs w:val="24"/>
                <w:color w:val="auto"/>
              </w:rPr>
            </w:pPr>
          </w:p>
        </w:tc>
        <w:tc>
          <w:tcPr>
            <w:tcW w:w="260" w:type="dxa"/>
            <w:vAlign w:val="bottom"/>
            <w:tcBorders>
              <w:top w:val="single" w:sz="8" w:color="0551D3"/>
            </w:tcBorders>
          </w:tcPr>
          <w:p>
            <w:pPr>
              <w:spacing w:after="0"/>
              <w:rPr>
                <w:sz w:val="24"/>
                <w:szCs w:val="24"/>
                <w:color w:val="auto"/>
              </w:rPr>
            </w:pPr>
          </w:p>
        </w:tc>
        <w:tc>
          <w:tcPr>
            <w:tcW w:w="560" w:type="dxa"/>
            <w:vAlign w:val="bottom"/>
            <w:tcBorders>
              <w:top w:val="single" w:sz="8" w:color="0551D3"/>
            </w:tcBorders>
          </w:tcPr>
          <w:p>
            <w:pPr>
              <w:spacing w:after="0"/>
              <w:rPr>
                <w:sz w:val="24"/>
                <w:szCs w:val="24"/>
                <w:color w:val="auto"/>
              </w:rPr>
            </w:pPr>
          </w:p>
        </w:tc>
        <w:tc>
          <w:tcPr>
            <w:tcW w:w="200" w:type="dxa"/>
            <w:vAlign w:val="bottom"/>
            <w:tcBorders>
              <w:top w:val="single" w:sz="8" w:color="0551D3"/>
            </w:tcBorders>
          </w:tcPr>
          <w:p>
            <w:pPr>
              <w:spacing w:after="0"/>
              <w:rPr>
                <w:sz w:val="24"/>
                <w:szCs w:val="24"/>
                <w:color w:val="auto"/>
              </w:rPr>
            </w:pPr>
          </w:p>
        </w:tc>
        <w:tc>
          <w:tcPr>
            <w:tcW w:w="540" w:type="dxa"/>
            <w:vAlign w:val="bottom"/>
            <w:tcBorders>
              <w:top w:val="single" w:sz="8" w:color="0551D3"/>
            </w:tcBorders>
          </w:tcPr>
          <w:p>
            <w:pPr>
              <w:jc w:val="right"/>
              <w:ind w:right="294"/>
              <w:spacing w:after="0"/>
              <w:rPr>
                <w:sz w:val="20"/>
                <w:szCs w:val="20"/>
                <w:color w:val="auto"/>
              </w:rPr>
            </w:pPr>
            <w:r>
              <w:rPr>
                <w:rFonts w:ascii="Arial" w:cs="Arial" w:eastAsia="Arial" w:hAnsi="Arial"/>
                <w:sz w:val="14"/>
                <w:szCs w:val="14"/>
                <w:b w:val="1"/>
                <w:bCs w:val="1"/>
                <w:color w:val="auto"/>
                <w:w w:val="89"/>
              </w:rPr>
              <w:t>49</w:t>
            </w:r>
          </w:p>
        </w:tc>
        <w:tc>
          <w:tcPr>
            <w:tcW w:w="220" w:type="dxa"/>
            <w:vAlign w:val="bottom"/>
            <w:tcBorders>
              <w:top w:val="single" w:sz="8" w:color="0551D3"/>
            </w:tcBorders>
          </w:tcPr>
          <w:p>
            <w:pPr>
              <w:spacing w:after="0"/>
              <w:rPr>
                <w:sz w:val="24"/>
                <w:szCs w:val="24"/>
                <w:color w:val="auto"/>
              </w:rPr>
            </w:pPr>
          </w:p>
        </w:tc>
        <w:tc>
          <w:tcPr>
            <w:tcW w:w="680" w:type="dxa"/>
            <w:vAlign w:val="bottom"/>
            <w:tcBorders>
              <w:top w:val="single" w:sz="8" w:color="0551D3"/>
            </w:tcBorders>
          </w:tcPr>
          <w:p>
            <w:pPr>
              <w:spacing w:after="0"/>
              <w:rPr>
                <w:sz w:val="24"/>
                <w:szCs w:val="24"/>
                <w:color w:val="auto"/>
              </w:rPr>
            </w:pPr>
          </w:p>
        </w:tc>
        <w:tc>
          <w:tcPr>
            <w:tcW w:w="340" w:type="dxa"/>
            <w:vAlign w:val="bottom"/>
            <w:tcBorders>
              <w:top w:val="single" w:sz="8" w:color="0551D3"/>
            </w:tcBorders>
          </w:tcPr>
          <w:p>
            <w:pPr>
              <w:spacing w:after="0"/>
              <w:rPr>
                <w:sz w:val="24"/>
                <w:szCs w:val="24"/>
                <w:color w:val="auto"/>
              </w:rPr>
            </w:pPr>
          </w:p>
        </w:tc>
        <w:tc>
          <w:tcPr>
            <w:tcW w:w="780" w:type="dxa"/>
            <w:vAlign w:val="bottom"/>
            <w:tcBorders>
              <w:top w:val="single" w:sz="8" w:color="0551D3"/>
            </w:tcBorders>
          </w:tcPr>
          <w:p>
            <w:pPr>
              <w:spacing w:after="0"/>
              <w:rPr>
                <w:sz w:val="24"/>
                <w:szCs w:val="24"/>
                <w:color w:val="auto"/>
              </w:rPr>
            </w:pPr>
          </w:p>
        </w:tc>
        <w:tc>
          <w:tcPr>
            <w:tcW w:w="220" w:type="dxa"/>
            <w:vAlign w:val="bottom"/>
            <w:tcBorders>
              <w:top w:val="single" w:sz="8" w:color="0551D3"/>
            </w:tcBorders>
          </w:tcPr>
          <w:p>
            <w:pPr>
              <w:spacing w:after="0"/>
              <w:rPr>
                <w:sz w:val="24"/>
                <w:szCs w:val="24"/>
                <w:color w:val="auto"/>
              </w:rPr>
            </w:pPr>
          </w:p>
        </w:tc>
        <w:tc>
          <w:tcPr>
            <w:tcW w:w="820" w:type="dxa"/>
            <w:vAlign w:val="bottom"/>
            <w:tcBorders>
              <w:top w:val="single" w:sz="8" w:color="0551D3"/>
            </w:tcBorders>
          </w:tcPr>
          <w:p>
            <w:pPr>
              <w:spacing w:after="0"/>
              <w:rPr>
                <w:sz w:val="24"/>
                <w:szCs w:val="24"/>
                <w:color w:val="auto"/>
              </w:rPr>
            </w:pPr>
          </w:p>
        </w:tc>
        <w:tc>
          <w:tcPr>
            <w:tcW w:w="240" w:type="dxa"/>
            <w:vAlign w:val="bottom"/>
            <w:tcBorders>
              <w:top w:val="single" w:sz="8" w:color="0551D3"/>
            </w:tcBorders>
          </w:tcPr>
          <w:p>
            <w:pPr>
              <w:spacing w:after="0"/>
              <w:rPr>
                <w:sz w:val="24"/>
                <w:szCs w:val="24"/>
                <w:color w:val="auto"/>
              </w:rPr>
            </w:pPr>
          </w:p>
        </w:tc>
        <w:tc>
          <w:tcPr>
            <w:tcW w:w="880" w:type="dxa"/>
            <w:vAlign w:val="bottom"/>
            <w:tcBorders>
              <w:top w:val="single" w:sz="8" w:color="0551D3"/>
            </w:tcBorders>
          </w:tcPr>
          <w:p>
            <w:pPr>
              <w:spacing w:after="0"/>
              <w:rPr>
                <w:sz w:val="24"/>
                <w:szCs w:val="24"/>
                <w:color w:val="auto"/>
              </w:rPr>
            </w:pPr>
          </w:p>
        </w:tc>
        <w:tc>
          <w:tcPr>
            <w:tcW w:w="300" w:type="dxa"/>
            <w:vAlign w:val="bottom"/>
            <w:tcBorders>
              <w:top w:val="single" w:sz="8" w:color="0551D3"/>
            </w:tcBorders>
          </w:tcPr>
          <w:p>
            <w:pPr>
              <w:spacing w:after="0"/>
              <w:rPr>
                <w:sz w:val="24"/>
                <w:szCs w:val="24"/>
                <w:color w:val="auto"/>
              </w:rPr>
            </w:pPr>
          </w:p>
        </w:tc>
        <w:tc>
          <w:tcPr>
            <w:tcW w:w="780" w:type="dxa"/>
            <w:vAlign w:val="bottom"/>
            <w:tcBorders>
              <w:top w:val="single" w:sz="8" w:color="0551D3"/>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right"/>
              <w:ind w:right="74"/>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4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680" w:type="dxa"/>
            <w:vAlign w:val="bottom"/>
          </w:tcPr>
          <w:p>
            <w:pPr>
              <w:jc w:val="right"/>
              <w:ind w:right="74"/>
              <w:spacing w:after="0" w:line="149" w:lineRule="exact"/>
              <w:rPr>
                <w:sz w:val="20"/>
                <w:szCs w:val="20"/>
                <w:color w:val="auto"/>
              </w:rPr>
            </w:pPr>
            <w:r>
              <w:rPr>
                <w:rFonts w:ascii="Arial" w:cs="Arial" w:eastAsia="Arial" w:hAnsi="Arial"/>
                <w:sz w:val="14"/>
                <w:szCs w:val="14"/>
                <w:color w:val="auto"/>
                <w:w w:val="94"/>
              </w:rPr>
              <w:t>CCHMO</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Arial" w:cs="Arial" w:eastAsia="Arial" w:hAnsi="Arial"/>
                <w:sz w:val="14"/>
                <w:szCs w:val="14"/>
                <w:color w:val="auto"/>
                <w:w w:val="95"/>
              </w:rPr>
              <w:t>Guarantor</w:t>
            </w:r>
          </w:p>
        </w:tc>
        <w:tc>
          <w:tcPr>
            <w:tcW w:w="10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3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color w:val="auto"/>
              </w:rPr>
              <w:t>Parent</w:t>
            </w: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Holdings</w:t>
            </w:r>
          </w:p>
        </w:tc>
        <w:tc>
          <w:tcPr>
            <w:tcW w:w="20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Parents</w:t>
            </w:r>
          </w:p>
        </w:tc>
        <w:tc>
          <w:tcPr>
            <w:tcW w:w="1100" w:type="dxa"/>
            <w:vAlign w:val="bottom"/>
            <w:gridSpan w:val="2"/>
          </w:tcPr>
          <w:p>
            <w:pPr>
              <w:jc w:val="right"/>
              <w:ind w:right="72"/>
              <w:spacing w:after="0"/>
              <w:rPr>
                <w:sz w:val="20"/>
                <w:szCs w:val="20"/>
                <w:color w:val="auto"/>
              </w:rPr>
            </w:pPr>
            <w:r>
              <w:rPr>
                <w:rFonts w:ascii="Arial" w:cs="Arial" w:eastAsia="Arial" w:hAnsi="Arial"/>
                <w:sz w:val="14"/>
                <w:szCs w:val="14"/>
                <w:color w:val="auto"/>
              </w:rPr>
              <w:t>Media Parent</w:t>
            </w:r>
          </w:p>
        </w:tc>
        <w:tc>
          <w:tcPr>
            <w:tcW w:w="980" w:type="dxa"/>
            <w:vAlign w:val="bottom"/>
            <w:gridSpan w:val="2"/>
          </w:tcPr>
          <w:p>
            <w:pPr>
              <w:jc w:val="right"/>
              <w:ind w:right="74"/>
              <w:spacing w:after="0"/>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2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20" w:type="dxa"/>
            <w:vAlign w:val="bottom"/>
          </w:tcPr>
          <w:p>
            <w:pPr>
              <w:spacing w:after="0"/>
              <w:rPr>
                <w:sz w:val="17"/>
                <w:szCs w:val="17"/>
                <w:color w:val="auto"/>
              </w:rPr>
            </w:pPr>
          </w:p>
        </w:tc>
        <w:tc>
          <w:tcPr>
            <w:tcW w:w="3920" w:type="dxa"/>
            <w:vAlign w:val="bottom"/>
            <w:tcBorders>
              <w:top w:val="single" w:sz="8" w:color="auto"/>
            </w:tcBorders>
          </w:tcPr>
          <w:p>
            <w:pPr>
              <w:ind w:left="200"/>
              <w:spacing w:after="0" w:line="200"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(513)</w:t>
            </w:r>
          </w:p>
        </w:tc>
        <w:tc>
          <w:tcPr>
            <w:tcW w:w="28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(209)</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(131)</w:t>
            </w:r>
          </w:p>
        </w:tc>
        <w:tc>
          <w:tcPr>
            <w:tcW w:w="38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(638)</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15,855</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14,345</w:t>
            </w:r>
          </w:p>
        </w:tc>
      </w:tr>
      <w:tr>
        <w:trPr>
          <w:trHeight w:val="199"/>
        </w:trPr>
        <w:tc>
          <w:tcPr>
            <w:tcW w:w="20" w:type="dxa"/>
            <w:vAlign w:val="bottom"/>
          </w:tcPr>
          <w:p>
            <w:pPr>
              <w:spacing w:after="0"/>
              <w:rPr>
                <w:sz w:val="17"/>
                <w:szCs w:val="17"/>
                <w:color w:val="auto"/>
              </w:rPr>
            </w:pPr>
          </w:p>
        </w:tc>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4,615</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1,209</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131</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(6,221)</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(5,300)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(5,307)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(952)</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295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(6,702)</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274</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(131)</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r>
      <w:tr>
        <w:trPr>
          <w:trHeight w:val="199"/>
        </w:trPr>
        <w:tc>
          <w:tcPr>
            <w:tcW w:w="20" w:type="dxa"/>
            <w:vAlign w:val="bottom"/>
          </w:tcPr>
          <w:p>
            <w:pPr>
              <w:spacing w:after="0"/>
              <w:rPr>
                <w:sz w:val="17"/>
                <w:szCs w:val="17"/>
                <w:color w:val="auto"/>
              </w:rPr>
            </w:pPr>
          </w:p>
        </w:tc>
        <w:tc>
          <w:tcPr>
            <w:tcW w:w="392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investing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4,606</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1,209</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131</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541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w w:val="98"/>
              </w:rPr>
              <w:t>(19,014)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(12,508)</w:t>
            </w:r>
          </w:p>
        </w:tc>
      </w:tr>
      <w:tr>
        <w:trPr>
          <w:trHeight w:val="199"/>
        </w:trPr>
        <w:tc>
          <w:tcPr>
            <w:tcW w:w="20" w:type="dxa"/>
            <w:vAlign w:val="bottom"/>
          </w:tcPr>
          <w:p>
            <w:pPr>
              <w:spacing w:after="0"/>
              <w:rPr>
                <w:sz w:val="17"/>
                <w:szCs w:val="17"/>
                <w:color w:val="auto"/>
              </w:rPr>
            </w:pPr>
          </w:p>
        </w:tc>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(repayments of) short-term</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borrowings, net</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550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544</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Repurchases and repayments of debt</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(1,095)</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4"/>
              </w:rPr>
              <w:t>(1,000)</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(1,121)</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(2,141)</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(1,187)</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Issuances of common stock</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283</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283</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Distributions (to) from noncontrolling interests</w:t>
            </w:r>
          </w:p>
        </w:tc>
        <w:tc>
          <w:tcPr>
            <w:tcW w:w="1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(325)</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(215)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(159)</w:t>
            </w:r>
          </w:p>
        </w:tc>
      </w:tr>
      <w:tr>
        <w:trPr>
          <w:trHeight w:val="199"/>
        </w:trPr>
        <w:tc>
          <w:tcPr>
            <w:tcW w:w="20" w:type="dxa"/>
            <w:vAlign w:val="bottom"/>
          </w:tcPr>
          <w:p>
            <w:pPr>
              <w:spacing w:after="0"/>
              <w:rPr>
                <w:sz w:val="17"/>
                <w:szCs w:val="17"/>
                <w:color w:val="auto"/>
              </w:rPr>
            </w:pPr>
          </w:p>
        </w:tc>
        <w:tc>
          <w:tcPr>
            <w:tcW w:w="392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financing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4"/>
              </w:rPr>
              <w:t>(4,093)</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w w:val="94"/>
              </w:rPr>
              <w:t>(1,000)</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335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(1,443)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(6,201)</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color w:val="auto"/>
                <w:w w:val="98"/>
              </w:rPr>
              <w:t>Increase (decrease) in cash and cash equivalents</w:t>
            </w:r>
          </w:p>
        </w:tc>
        <w:tc>
          <w:tcPr>
            <w:tcW w:w="180" w:type="dxa"/>
            <w:vAlign w:val="bottom"/>
          </w:tcPr>
          <w:p>
            <w:pPr>
              <w:spacing w:after="0"/>
              <w:rPr>
                <w:sz w:val="17"/>
                <w:szCs w:val="17"/>
                <w:color w:val="auto"/>
              </w:rPr>
            </w:pPr>
          </w:p>
        </w:tc>
        <w:tc>
          <w:tcPr>
            <w:tcW w:w="66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line="200" w:lineRule="exact"/>
              <w:rPr>
                <w:sz w:val="20"/>
                <w:szCs w:val="20"/>
                <w:color w:val="auto"/>
              </w:rPr>
            </w:pPr>
            <w:r>
              <w:rPr>
                <w:rFonts w:ascii="Arial" w:cs="Arial" w:eastAsia="Arial" w:hAnsi="Arial"/>
                <w:sz w:val="18"/>
                <w:szCs w:val="18"/>
                <w:color w:val="auto"/>
              </w:rPr>
              <w:t>238</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(4,602)</w:t>
            </w:r>
          </w:p>
        </w:tc>
        <w:tc>
          <w:tcPr>
            <w:tcW w:w="22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(4,364)</w:t>
            </w:r>
          </w:p>
        </w:tc>
      </w:tr>
      <w:tr>
        <w:trPr>
          <w:trHeight w:val="199"/>
        </w:trPr>
        <w:tc>
          <w:tcPr>
            <w:tcW w:w="39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5,984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5,984</w:t>
            </w:r>
          </w:p>
        </w:tc>
      </w:tr>
      <w:tr>
        <w:trPr>
          <w:trHeight w:val="196"/>
        </w:trPr>
        <w:tc>
          <w:tcPr>
            <w:tcW w:w="3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3"/>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ind w:left="10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line="196" w:lineRule="exact"/>
              <w:rPr>
                <w:sz w:val="20"/>
                <w:szCs w:val="20"/>
                <w:color w:val="auto"/>
              </w:rPr>
            </w:pPr>
            <w:r>
              <w:rPr>
                <w:rFonts w:ascii="Arial" w:cs="Arial" w:eastAsia="Arial" w:hAnsi="Arial"/>
                <w:sz w:val="18"/>
                <w:szCs w:val="18"/>
                <w:b w:val="1"/>
                <w:bCs w:val="1"/>
                <w:color w:val="auto"/>
              </w:rPr>
              <w:t>238</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1,382</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1,620</w:t>
            </w:r>
          </w:p>
        </w:tc>
      </w:tr>
      <w:tr>
        <w:trPr>
          <w:trHeight w:val="304"/>
        </w:trPr>
        <w:tc>
          <w:tcPr>
            <w:tcW w:w="20" w:type="dxa"/>
            <w:vAlign w:val="bottom"/>
          </w:tcPr>
          <w:p>
            <w:pPr>
              <w:spacing w:after="0"/>
              <w:rPr>
                <w:sz w:val="24"/>
                <w:szCs w:val="24"/>
                <w:color w:val="auto"/>
              </w:rPr>
            </w:pPr>
          </w:p>
        </w:tc>
        <w:tc>
          <w:tcPr>
            <w:tcW w:w="3920" w:type="dxa"/>
            <w:vAlign w:val="bottom"/>
            <w:tcBorders>
              <w:top w:val="single" w:sz="8" w:color="0551D3"/>
            </w:tcBorders>
          </w:tcPr>
          <w:p>
            <w:pPr>
              <w:spacing w:after="0"/>
              <w:rPr>
                <w:sz w:val="24"/>
                <w:szCs w:val="24"/>
                <w:color w:val="auto"/>
              </w:rPr>
            </w:pPr>
          </w:p>
        </w:tc>
        <w:tc>
          <w:tcPr>
            <w:tcW w:w="180" w:type="dxa"/>
            <w:vAlign w:val="bottom"/>
            <w:tcBorders>
              <w:top w:val="single" w:sz="8" w:color="0551D3"/>
            </w:tcBorders>
          </w:tcPr>
          <w:p>
            <w:pPr>
              <w:spacing w:after="0"/>
              <w:rPr>
                <w:sz w:val="24"/>
                <w:szCs w:val="24"/>
                <w:color w:val="auto"/>
              </w:rPr>
            </w:pPr>
          </w:p>
        </w:tc>
        <w:tc>
          <w:tcPr>
            <w:tcW w:w="660" w:type="dxa"/>
            <w:vAlign w:val="bottom"/>
            <w:tcBorders>
              <w:top w:val="single" w:sz="8" w:color="0551D3"/>
            </w:tcBorders>
          </w:tcPr>
          <w:p>
            <w:pPr>
              <w:spacing w:after="0"/>
              <w:rPr>
                <w:sz w:val="24"/>
                <w:szCs w:val="24"/>
                <w:color w:val="auto"/>
              </w:rPr>
            </w:pPr>
          </w:p>
        </w:tc>
        <w:tc>
          <w:tcPr>
            <w:tcW w:w="280" w:type="dxa"/>
            <w:vAlign w:val="bottom"/>
            <w:tcBorders>
              <w:top w:val="single" w:sz="8" w:color="0551D3"/>
            </w:tcBorders>
          </w:tcPr>
          <w:p>
            <w:pPr>
              <w:spacing w:after="0"/>
              <w:rPr>
                <w:sz w:val="24"/>
                <w:szCs w:val="24"/>
                <w:color w:val="auto"/>
              </w:rPr>
            </w:pPr>
          </w:p>
        </w:tc>
        <w:tc>
          <w:tcPr>
            <w:tcW w:w="500" w:type="dxa"/>
            <w:vAlign w:val="bottom"/>
            <w:tcBorders>
              <w:top w:val="single" w:sz="8" w:color="0551D3"/>
            </w:tcBorders>
          </w:tcPr>
          <w:p>
            <w:pPr>
              <w:spacing w:after="0"/>
              <w:rPr>
                <w:sz w:val="24"/>
                <w:szCs w:val="24"/>
                <w:color w:val="auto"/>
              </w:rPr>
            </w:pPr>
          </w:p>
        </w:tc>
        <w:tc>
          <w:tcPr>
            <w:tcW w:w="860" w:type="dxa"/>
            <w:vAlign w:val="bottom"/>
            <w:tcBorders>
              <w:top w:val="single" w:sz="8" w:color="0551D3"/>
            </w:tcBorders>
            <w:gridSpan w:val="2"/>
          </w:tcPr>
          <w:p>
            <w:pPr>
              <w:ind w:left="80"/>
              <w:spacing w:after="0"/>
              <w:rPr>
                <w:sz w:val="20"/>
                <w:szCs w:val="20"/>
                <w:color w:val="auto"/>
              </w:rPr>
            </w:pPr>
            <w:r>
              <w:rPr>
                <w:rFonts w:ascii="Arial" w:cs="Arial" w:eastAsia="Arial" w:hAnsi="Arial"/>
                <w:sz w:val="14"/>
                <w:szCs w:val="14"/>
                <w:b w:val="1"/>
                <w:bCs w:val="1"/>
                <w:color w:val="auto"/>
              </w:rPr>
              <w:t>50</w:t>
            </w:r>
          </w:p>
        </w:tc>
        <w:tc>
          <w:tcPr>
            <w:tcW w:w="180" w:type="dxa"/>
            <w:vAlign w:val="bottom"/>
            <w:tcBorders>
              <w:top w:val="single" w:sz="8" w:color="0551D3"/>
            </w:tcBorders>
          </w:tcPr>
          <w:p>
            <w:pPr>
              <w:spacing w:after="0"/>
              <w:rPr>
                <w:sz w:val="24"/>
                <w:szCs w:val="24"/>
                <w:color w:val="auto"/>
              </w:rPr>
            </w:pPr>
          </w:p>
        </w:tc>
        <w:tc>
          <w:tcPr>
            <w:tcW w:w="680" w:type="dxa"/>
            <w:vAlign w:val="bottom"/>
            <w:tcBorders>
              <w:top w:val="single" w:sz="8" w:color="0551D3"/>
            </w:tcBorders>
          </w:tcPr>
          <w:p>
            <w:pPr>
              <w:spacing w:after="0"/>
              <w:rPr>
                <w:sz w:val="24"/>
                <w:szCs w:val="24"/>
                <w:color w:val="auto"/>
              </w:rPr>
            </w:pPr>
          </w:p>
        </w:tc>
        <w:tc>
          <w:tcPr>
            <w:tcW w:w="380" w:type="dxa"/>
            <w:vAlign w:val="bottom"/>
            <w:tcBorders>
              <w:top w:val="single" w:sz="8" w:color="0551D3"/>
            </w:tcBorders>
          </w:tcPr>
          <w:p>
            <w:pPr>
              <w:spacing w:after="0"/>
              <w:rPr>
                <w:sz w:val="24"/>
                <w:szCs w:val="24"/>
                <w:color w:val="auto"/>
              </w:rPr>
            </w:pPr>
          </w:p>
        </w:tc>
        <w:tc>
          <w:tcPr>
            <w:tcW w:w="720" w:type="dxa"/>
            <w:vAlign w:val="bottom"/>
            <w:tcBorders>
              <w:top w:val="single" w:sz="8" w:color="0551D3"/>
            </w:tcBorders>
          </w:tcPr>
          <w:p>
            <w:pPr>
              <w:spacing w:after="0"/>
              <w:rPr>
                <w:sz w:val="24"/>
                <w:szCs w:val="24"/>
                <w:color w:val="auto"/>
              </w:rPr>
            </w:pPr>
          </w:p>
        </w:tc>
        <w:tc>
          <w:tcPr>
            <w:tcW w:w="200" w:type="dxa"/>
            <w:vAlign w:val="bottom"/>
            <w:tcBorders>
              <w:top w:val="single" w:sz="8" w:color="0551D3"/>
            </w:tcBorders>
          </w:tcPr>
          <w:p>
            <w:pPr>
              <w:spacing w:after="0"/>
              <w:rPr>
                <w:sz w:val="24"/>
                <w:szCs w:val="24"/>
                <w:color w:val="auto"/>
              </w:rPr>
            </w:pPr>
          </w:p>
        </w:tc>
        <w:tc>
          <w:tcPr>
            <w:tcW w:w="780" w:type="dxa"/>
            <w:vAlign w:val="bottom"/>
            <w:tcBorders>
              <w:top w:val="single" w:sz="8" w:color="0551D3"/>
            </w:tcBorders>
          </w:tcPr>
          <w:p>
            <w:pPr>
              <w:spacing w:after="0"/>
              <w:rPr>
                <w:sz w:val="24"/>
                <w:szCs w:val="24"/>
                <w:color w:val="auto"/>
              </w:rPr>
            </w:pPr>
          </w:p>
        </w:tc>
        <w:tc>
          <w:tcPr>
            <w:tcW w:w="220" w:type="dxa"/>
            <w:vAlign w:val="bottom"/>
            <w:tcBorders>
              <w:top w:val="single" w:sz="8" w:color="0551D3"/>
            </w:tcBorders>
          </w:tcPr>
          <w:p>
            <w:pPr>
              <w:spacing w:after="0"/>
              <w:rPr>
                <w:sz w:val="24"/>
                <w:szCs w:val="24"/>
                <w:color w:val="auto"/>
              </w:rPr>
            </w:pPr>
          </w:p>
        </w:tc>
        <w:tc>
          <w:tcPr>
            <w:tcW w:w="820" w:type="dxa"/>
            <w:vAlign w:val="bottom"/>
            <w:tcBorders>
              <w:top w:val="single" w:sz="8" w:color="0551D3"/>
            </w:tcBorders>
          </w:tcPr>
          <w:p>
            <w:pPr>
              <w:spacing w:after="0"/>
              <w:rPr>
                <w:sz w:val="24"/>
                <w:szCs w:val="24"/>
                <w:color w:val="auto"/>
              </w:rPr>
            </w:pPr>
          </w:p>
        </w:tc>
        <w:tc>
          <w:tcPr>
            <w:tcW w:w="260" w:type="dxa"/>
            <w:vAlign w:val="bottom"/>
            <w:tcBorders>
              <w:top w:val="single" w:sz="8" w:color="0551D3"/>
            </w:tcBorders>
          </w:tcPr>
          <w:p>
            <w:pPr>
              <w:spacing w:after="0"/>
              <w:rPr>
                <w:sz w:val="24"/>
                <w:szCs w:val="24"/>
                <w:color w:val="auto"/>
              </w:rPr>
            </w:pPr>
          </w:p>
        </w:tc>
        <w:tc>
          <w:tcPr>
            <w:tcW w:w="760" w:type="dxa"/>
            <w:vAlign w:val="bottom"/>
            <w:tcBorders>
              <w:top w:val="single" w:sz="8" w:color="0551D3"/>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jc w:val="right"/>
              <w:ind w:right="74"/>
              <w:spacing w:after="0" w:line="149" w:lineRule="exact"/>
              <w:rPr>
                <w:sz w:val="20"/>
                <w:szCs w:val="20"/>
                <w:color w:val="auto"/>
              </w:rPr>
            </w:pPr>
            <w:r>
              <w:rPr>
                <w:rFonts w:ascii="Arial" w:cs="Arial" w:eastAsia="Arial" w:hAnsi="Arial"/>
                <w:sz w:val="14"/>
                <w:szCs w:val="14"/>
                <w:color w:val="auto"/>
              </w:rPr>
              <w:t>Combined</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102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560" w:type="dxa"/>
            <w:vAlign w:val="bottom"/>
          </w:tcPr>
          <w:p>
            <w:pPr>
              <w:jc w:val="right"/>
              <w:ind w:right="74"/>
              <w:spacing w:after="0" w:line="149" w:lineRule="exact"/>
              <w:rPr>
                <w:sz w:val="20"/>
                <w:szCs w:val="20"/>
                <w:color w:val="auto"/>
              </w:rPr>
            </w:pPr>
            <w:r>
              <w:rPr>
                <w:rFonts w:ascii="Arial" w:cs="Arial" w:eastAsia="Arial" w:hAnsi="Arial"/>
                <w:sz w:val="14"/>
                <w:szCs w:val="14"/>
                <w:color w:val="auto"/>
                <w:w w:val="99"/>
              </w:rPr>
              <w:t>CCCL</w:t>
            </w:r>
          </w:p>
        </w:tc>
        <w:tc>
          <w:tcPr>
            <w:tcW w:w="180" w:type="dxa"/>
            <w:vAlign w:val="bottom"/>
          </w:tcPr>
          <w:p>
            <w:pPr>
              <w:spacing w:after="0"/>
              <w:rPr>
                <w:sz w:val="12"/>
                <w:szCs w:val="12"/>
                <w:color w:val="auto"/>
              </w:rPr>
            </w:pPr>
          </w:p>
        </w:tc>
        <w:tc>
          <w:tcPr>
            <w:tcW w:w="680" w:type="dxa"/>
            <w:vAlign w:val="bottom"/>
          </w:tcPr>
          <w:p>
            <w:pPr>
              <w:jc w:val="right"/>
              <w:ind w:right="74"/>
              <w:spacing w:after="0" w:line="149" w:lineRule="exact"/>
              <w:rPr>
                <w:sz w:val="20"/>
                <w:szCs w:val="20"/>
                <w:color w:val="auto"/>
              </w:rPr>
            </w:pPr>
            <w:r>
              <w:rPr>
                <w:rFonts w:ascii="Arial" w:cs="Arial" w:eastAsia="Arial" w:hAnsi="Arial"/>
                <w:sz w:val="14"/>
                <w:szCs w:val="14"/>
                <w:color w:val="auto"/>
                <w:w w:val="94"/>
              </w:rPr>
              <w:t>CCHMO</w:t>
            </w:r>
          </w:p>
        </w:tc>
        <w:tc>
          <w:tcPr>
            <w:tcW w:w="10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Arial" w:cs="Arial" w:eastAsia="Arial" w:hAnsi="Arial"/>
                <w:sz w:val="14"/>
                <w:szCs w:val="14"/>
                <w:color w:val="auto"/>
                <w:w w:val="95"/>
              </w:rPr>
              <w:t>Guarantor</w:t>
            </w:r>
          </w:p>
        </w:tc>
        <w:tc>
          <w:tcPr>
            <w:tcW w:w="10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color w:val="auto"/>
              </w:rPr>
              <w:t>Parent</w:t>
            </w: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color w:val="auto"/>
                <w:w w:val="92"/>
              </w:rPr>
              <w:t>Parent</w:t>
            </w:r>
          </w:p>
        </w:tc>
        <w:tc>
          <w:tcPr>
            <w:tcW w:w="18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Parents</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Media Parent</w:t>
            </w:r>
          </w:p>
        </w:tc>
        <w:tc>
          <w:tcPr>
            <w:tcW w:w="1020" w:type="dxa"/>
            <w:vAlign w:val="bottom"/>
            <w:gridSpan w:val="2"/>
          </w:tcPr>
          <w:p>
            <w:pPr>
              <w:jc w:val="right"/>
              <w:ind w:right="74"/>
              <w:spacing w:after="0"/>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2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20" w:type="dxa"/>
            <w:vAlign w:val="bottom"/>
          </w:tcPr>
          <w:p>
            <w:pPr>
              <w:spacing w:after="0"/>
              <w:rPr>
                <w:sz w:val="17"/>
                <w:szCs w:val="17"/>
                <w:color w:val="auto"/>
              </w:rPr>
            </w:pPr>
          </w:p>
        </w:tc>
        <w:tc>
          <w:tcPr>
            <w:tcW w:w="3980" w:type="dxa"/>
            <w:vAlign w:val="bottom"/>
            <w:tcBorders>
              <w:top w:val="single" w:sz="8" w:color="auto"/>
            </w:tcBorders>
          </w:tcPr>
          <w:p>
            <w:pPr>
              <w:ind w:left="200"/>
              <w:spacing w:after="0" w:line="200" w:lineRule="exact"/>
              <w:rPr>
                <w:sz w:val="20"/>
                <w:szCs w:val="20"/>
                <w:color w:val="auto"/>
              </w:rPr>
            </w:pPr>
            <w:r>
              <w:rPr>
                <w:rFonts w:ascii="Arial" w:cs="Arial" w:eastAsia="Arial" w:hAnsi="Arial"/>
                <w:sz w:val="18"/>
                <w:szCs w:val="18"/>
                <w:color w:val="auto"/>
              </w:rPr>
              <w:t>Net cash provided by (used in) operating</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(391)</w:t>
            </w:r>
          </w:p>
        </w:tc>
        <w:tc>
          <w:tcPr>
            <w:tcW w:w="22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(257)</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(132)</w:t>
            </w:r>
          </w:p>
        </w:tc>
        <w:tc>
          <w:tcPr>
            <w:tcW w:w="480" w:type="dxa"/>
            <w:vAlign w:val="bottom"/>
            <w:tcBorders>
              <w:bottom w:val="single" w:sz="8" w:color="auto"/>
            </w:tcBorders>
          </w:tcPr>
          <w:p>
            <w:pPr>
              <w:jc w:val="right"/>
              <w:ind w:right="222"/>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12,194</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2"/>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11,179</w:t>
            </w:r>
          </w:p>
        </w:tc>
      </w:tr>
      <w:tr>
        <w:trPr>
          <w:trHeight w:val="199"/>
        </w:trPr>
        <w:tc>
          <w:tcPr>
            <w:tcW w:w="20" w:type="dxa"/>
            <w:vAlign w:val="bottom"/>
          </w:tcPr>
          <w:p>
            <w:pPr>
              <w:spacing w:after="0"/>
              <w:rPr>
                <w:sz w:val="17"/>
                <w:szCs w:val="17"/>
                <w:color w:val="auto"/>
              </w:rPr>
            </w:pPr>
          </w:p>
        </w:tc>
        <w:tc>
          <w:tcPr>
            <w:tcW w:w="398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488</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248</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257</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132</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(1,125)</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(4,954)</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(4,961)</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(534)</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(183)</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99</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190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190</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w:t>
            </w:r>
          </w:p>
        </w:tc>
      </w:tr>
      <w:tr>
        <w:trPr>
          <w:trHeight w:val="199"/>
        </w:trPr>
        <w:tc>
          <w:tcPr>
            <w:tcW w:w="20" w:type="dxa"/>
            <w:vAlign w:val="bottom"/>
          </w:tcPr>
          <w:p>
            <w:pPr>
              <w:spacing w:after="0"/>
              <w:rPr>
                <w:sz w:val="17"/>
                <w:szCs w:val="17"/>
                <w:color w:val="auto"/>
              </w:rPr>
            </w:pPr>
          </w:p>
        </w:tc>
        <w:tc>
          <w:tcPr>
            <w:tcW w:w="398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investing</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479</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248</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257</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132</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(6,827)</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(5,711)</w:t>
            </w:r>
          </w:p>
        </w:tc>
      </w:tr>
      <w:tr>
        <w:trPr>
          <w:trHeight w:val="199"/>
        </w:trPr>
        <w:tc>
          <w:tcPr>
            <w:tcW w:w="20" w:type="dxa"/>
            <w:vAlign w:val="bottom"/>
          </w:tcPr>
          <w:p>
            <w:pPr>
              <w:spacing w:after="0"/>
              <w:rPr>
                <w:sz w:val="17"/>
                <w:szCs w:val="17"/>
                <w:color w:val="auto"/>
              </w:rPr>
            </w:pPr>
          </w:p>
        </w:tc>
        <w:tc>
          <w:tcPr>
            <w:tcW w:w="398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3,390</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3,420</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(1,100)</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(1,153)</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w w:val="99"/>
              </w:rPr>
              <w:t>Repurchases and retirements of common stock</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(1,200)</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4"/>
              </w:rPr>
              <w:t>(1,064)</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(1,064)</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w:t>
            </w: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from noncontrolling interests</w:t>
            </w:r>
          </w:p>
        </w:tc>
        <w:tc>
          <w:tcPr>
            <w:tcW w:w="22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(148)</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(125)</w:t>
            </w:r>
          </w:p>
        </w:tc>
      </w:tr>
      <w:tr>
        <w:trPr>
          <w:trHeight w:val="199"/>
        </w:trPr>
        <w:tc>
          <w:tcPr>
            <w:tcW w:w="20" w:type="dxa"/>
            <w:vAlign w:val="bottom"/>
          </w:tcPr>
          <w:p>
            <w:pPr>
              <w:spacing w:after="0"/>
              <w:rPr>
                <w:sz w:val="17"/>
                <w:szCs w:val="17"/>
                <w:color w:val="auto"/>
              </w:rPr>
            </w:pPr>
          </w:p>
        </w:tc>
        <w:tc>
          <w:tcPr>
            <w:tcW w:w="398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financing</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(88)</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(155)</w:t>
            </w: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7"/>
                <w:szCs w:val="17"/>
                <w:color w:val="auto"/>
              </w:rPr>
            </w:pPr>
          </w:p>
        </w:tc>
        <w:tc>
          <w:tcPr>
            <w:tcW w:w="660" w:type="dxa"/>
            <w:vAlign w:val="bottom"/>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8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74"/>
              <w:spacing w:after="0" w:line="200" w:lineRule="exact"/>
              <w:rPr>
                <w:sz w:val="20"/>
                <w:szCs w:val="20"/>
                <w:color w:val="auto"/>
              </w:rPr>
            </w:pPr>
            <w:r>
              <w:rPr>
                <w:rFonts w:ascii="Arial" w:cs="Arial" w:eastAsia="Arial" w:hAnsi="Arial"/>
                <w:sz w:val="18"/>
                <w:szCs w:val="18"/>
                <w:color w:val="auto"/>
              </w:rPr>
              <w:t>5,313</w:t>
            </w:r>
          </w:p>
        </w:tc>
        <w:tc>
          <w:tcPr>
            <w:tcW w:w="22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5,313</w:t>
            </w:r>
          </w:p>
        </w:tc>
      </w:tr>
      <w:tr>
        <w:trPr>
          <w:trHeight w:val="199"/>
        </w:trPr>
        <w:tc>
          <w:tcPr>
            <w:tcW w:w="40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671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671</w:t>
            </w: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22"/>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74"/>
              <w:spacing w:after="0" w:line="196" w:lineRule="exact"/>
              <w:rPr>
                <w:sz w:val="20"/>
                <w:szCs w:val="20"/>
                <w:color w:val="auto"/>
              </w:rPr>
            </w:pPr>
            <w:r>
              <w:rPr>
                <w:rFonts w:ascii="Arial" w:cs="Arial" w:eastAsia="Arial" w:hAnsi="Arial"/>
                <w:sz w:val="18"/>
                <w:szCs w:val="18"/>
                <w:b w:val="1"/>
                <w:bCs w:val="1"/>
                <w:color w:val="auto"/>
              </w:rPr>
              <w:t>5,984</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2"/>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5,984</w:t>
            </w:r>
          </w:p>
        </w:tc>
      </w:tr>
      <w:tr>
        <w:trPr>
          <w:trHeight w:val="304"/>
        </w:trPr>
        <w:tc>
          <w:tcPr>
            <w:tcW w:w="20" w:type="dxa"/>
            <w:vAlign w:val="bottom"/>
          </w:tcPr>
          <w:p>
            <w:pPr>
              <w:spacing w:after="0"/>
              <w:rPr>
                <w:sz w:val="24"/>
                <w:szCs w:val="24"/>
                <w:color w:val="auto"/>
              </w:rPr>
            </w:pPr>
          </w:p>
        </w:tc>
        <w:tc>
          <w:tcPr>
            <w:tcW w:w="3980" w:type="dxa"/>
            <w:vAlign w:val="bottom"/>
            <w:tcBorders>
              <w:top w:val="single" w:sz="8" w:color="0551D3"/>
            </w:tcBorders>
          </w:tcPr>
          <w:p>
            <w:pPr>
              <w:spacing w:after="0"/>
              <w:rPr>
                <w:sz w:val="24"/>
                <w:szCs w:val="24"/>
                <w:color w:val="auto"/>
              </w:rPr>
            </w:pPr>
          </w:p>
        </w:tc>
        <w:tc>
          <w:tcPr>
            <w:tcW w:w="220" w:type="dxa"/>
            <w:vAlign w:val="bottom"/>
            <w:tcBorders>
              <w:top w:val="single" w:sz="8" w:color="0551D3"/>
            </w:tcBorders>
          </w:tcPr>
          <w:p>
            <w:pPr>
              <w:spacing w:after="0"/>
              <w:rPr>
                <w:sz w:val="24"/>
                <w:szCs w:val="24"/>
                <w:color w:val="auto"/>
              </w:rPr>
            </w:pPr>
          </w:p>
        </w:tc>
        <w:tc>
          <w:tcPr>
            <w:tcW w:w="660" w:type="dxa"/>
            <w:vAlign w:val="bottom"/>
            <w:tcBorders>
              <w:top w:val="single" w:sz="8" w:color="0551D3"/>
            </w:tcBorders>
          </w:tcPr>
          <w:p>
            <w:pPr>
              <w:spacing w:after="0"/>
              <w:rPr>
                <w:sz w:val="24"/>
                <w:szCs w:val="24"/>
                <w:color w:val="auto"/>
              </w:rPr>
            </w:pPr>
          </w:p>
        </w:tc>
        <w:tc>
          <w:tcPr>
            <w:tcW w:w="220" w:type="dxa"/>
            <w:vAlign w:val="bottom"/>
            <w:tcBorders>
              <w:top w:val="single" w:sz="8" w:color="0551D3"/>
            </w:tcBorders>
          </w:tcPr>
          <w:p>
            <w:pPr>
              <w:spacing w:after="0"/>
              <w:rPr>
                <w:sz w:val="24"/>
                <w:szCs w:val="24"/>
                <w:color w:val="auto"/>
              </w:rPr>
            </w:pPr>
          </w:p>
        </w:tc>
        <w:tc>
          <w:tcPr>
            <w:tcW w:w="500" w:type="dxa"/>
            <w:vAlign w:val="bottom"/>
            <w:tcBorders>
              <w:top w:val="single" w:sz="8" w:color="0551D3"/>
            </w:tcBorders>
          </w:tcPr>
          <w:p>
            <w:pPr>
              <w:spacing w:after="0"/>
              <w:rPr>
                <w:sz w:val="24"/>
                <w:szCs w:val="24"/>
                <w:color w:val="auto"/>
              </w:rPr>
            </w:pPr>
          </w:p>
        </w:tc>
        <w:tc>
          <w:tcPr>
            <w:tcW w:w="260" w:type="dxa"/>
            <w:vAlign w:val="bottom"/>
            <w:tcBorders>
              <w:top w:val="single" w:sz="8" w:color="0551D3"/>
            </w:tcBorders>
          </w:tcPr>
          <w:p>
            <w:pPr>
              <w:jc w:val="right"/>
              <w:spacing w:after="0"/>
              <w:rPr>
                <w:sz w:val="20"/>
                <w:szCs w:val="20"/>
                <w:color w:val="auto"/>
              </w:rPr>
            </w:pPr>
            <w:r>
              <w:rPr>
                <w:rFonts w:ascii="Arial" w:cs="Arial" w:eastAsia="Arial" w:hAnsi="Arial"/>
                <w:sz w:val="14"/>
                <w:szCs w:val="14"/>
                <w:b w:val="1"/>
                <w:bCs w:val="1"/>
                <w:color w:val="auto"/>
              </w:rPr>
              <w:t>51</w:t>
            </w:r>
          </w:p>
        </w:tc>
        <w:tc>
          <w:tcPr>
            <w:tcW w:w="560" w:type="dxa"/>
            <w:vAlign w:val="bottom"/>
            <w:tcBorders>
              <w:top w:val="single" w:sz="8" w:color="0551D3"/>
            </w:tcBorders>
          </w:tcPr>
          <w:p>
            <w:pPr>
              <w:spacing w:after="0"/>
              <w:rPr>
                <w:sz w:val="24"/>
                <w:szCs w:val="24"/>
                <w:color w:val="auto"/>
              </w:rPr>
            </w:pPr>
          </w:p>
        </w:tc>
        <w:tc>
          <w:tcPr>
            <w:tcW w:w="180" w:type="dxa"/>
            <w:vAlign w:val="bottom"/>
            <w:tcBorders>
              <w:top w:val="single" w:sz="8" w:color="0551D3"/>
            </w:tcBorders>
          </w:tcPr>
          <w:p>
            <w:pPr>
              <w:spacing w:after="0"/>
              <w:rPr>
                <w:sz w:val="24"/>
                <w:szCs w:val="24"/>
                <w:color w:val="auto"/>
              </w:rPr>
            </w:pPr>
          </w:p>
        </w:tc>
        <w:tc>
          <w:tcPr>
            <w:tcW w:w="680" w:type="dxa"/>
            <w:vAlign w:val="bottom"/>
            <w:tcBorders>
              <w:top w:val="single" w:sz="8" w:color="0551D3"/>
            </w:tcBorders>
          </w:tcPr>
          <w:p>
            <w:pPr>
              <w:spacing w:after="0"/>
              <w:rPr>
                <w:sz w:val="24"/>
                <w:szCs w:val="24"/>
                <w:color w:val="auto"/>
              </w:rPr>
            </w:pPr>
          </w:p>
        </w:tc>
        <w:tc>
          <w:tcPr>
            <w:tcW w:w="480" w:type="dxa"/>
            <w:vAlign w:val="bottom"/>
            <w:tcBorders>
              <w:top w:val="single" w:sz="8" w:color="0551D3"/>
            </w:tcBorders>
          </w:tcPr>
          <w:p>
            <w:pPr>
              <w:spacing w:after="0"/>
              <w:rPr>
                <w:sz w:val="24"/>
                <w:szCs w:val="24"/>
                <w:color w:val="auto"/>
              </w:rPr>
            </w:pPr>
          </w:p>
        </w:tc>
        <w:tc>
          <w:tcPr>
            <w:tcW w:w="580" w:type="dxa"/>
            <w:vAlign w:val="bottom"/>
            <w:tcBorders>
              <w:top w:val="single" w:sz="8" w:color="0551D3"/>
            </w:tcBorders>
          </w:tcPr>
          <w:p>
            <w:pPr>
              <w:spacing w:after="0"/>
              <w:rPr>
                <w:sz w:val="24"/>
                <w:szCs w:val="24"/>
                <w:color w:val="auto"/>
              </w:rPr>
            </w:pPr>
          </w:p>
        </w:tc>
        <w:tc>
          <w:tcPr>
            <w:tcW w:w="240" w:type="dxa"/>
            <w:vAlign w:val="bottom"/>
            <w:tcBorders>
              <w:top w:val="single" w:sz="8" w:color="0551D3"/>
            </w:tcBorders>
          </w:tcPr>
          <w:p>
            <w:pPr>
              <w:spacing w:after="0"/>
              <w:rPr>
                <w:sz w:val="24"/>
                <w:szCs w:val="24"/>
                <w:color w:val="auto"/>
              </w:rPr>
            </w:pPr>
          </w:p>
        </w:tc>
        <w:tc>
          <w:tcPr>
            <w:tcW w:w="780" w:type="dxa"/>
            <w:vAlign w:val="bottom"/>
            <w:tcBorders>
              <w:top w:val="single" w:sz="8" w:color="0551D3"/>
            </w:tcBorders>
          </w:tcPr>
          <w:p>
            <w:pPr>
              <w:spacing w:after="0"/>
              <w:rPr>
                <w:sz w:val="24"/>
                <w:szCs w:val="24"/>
                <w:color w:val="auto"/>
              </w:rPr>
            </w:pPr>
          </w:p>
        </w:tc>
        <w:tc>
          <w:tcPr>
            <w:tcW w:w="220" w:type="dxa"/>
            <w:vAlign w:val="bottom"/>
            <w:tcBorders>
              <w:top w:val="single" w:sz="8" w:color="0551D3"/>
            </w:tcBorders>
          </w:tcPr>
          <w:p>
            <w:pPr>
              <w:spacing w:after="0"/>
              <w:rPr>
                <w:sz w:val="24"/>
                <w:szCs w:val="24"/>
                <w:color w:val="auto"/>
              </w:rPr>
            </w:pPr>
          </w:p>
        </w:tc>
        <w:tc>
          <w:tcPr>
            <w:tcW w:w="820" w:type="dxa"/>
            <w:vAlign w:val="bottom"/>
            <w:tcBorders>
              <w:top w:val="single" w:sz="8" w:color="0551D3"/>
            </w:tcBorders>
          </w:tcPr>
          <w:p>
            <w:pPr>
              <w:spacing w:after="0"/>
              <w:rPr>
                <w:sz w:val="24"/>
                <w:szCs w:val="24"/>
                <w:color w:val="auto"/>
              </w:rPr>
            </w:pPr>
          </w:p>
        </w:tc>
        <w:tc>
          <w:tcPr>
            <w:tcW w:w="300" w:type="dxa"/>
            <w:vAlign w:val="bottom"/>
            <w:tcBorders>
              <w:top w:val="single" w:sz="8" w:color="0551D3"/>
            </w:tcBorders>
          </w:tcPr>
          <w:p>
            <w:pPr>
              <w:spacing w:after="0"/>
              <w:rPr>
                <w:sz w:val="24"/>
                <w:szCs w:val="24"/>
                <w:color w:val="auto"/>
              </w:rPr>
            </w:pPr>
          </w:p>
        </w:tc>
        <w:tc>
          <w:tcPr>
            <w:tcW w:w="720" w:type="dxa"/>
            <w:vAlign w:val="bottom"/>
            <w:tcBorders>
              <w:top w:val="single" w:sz="8" w:color="0551D3"/>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decimal"/>
      <w:start w:val="10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Letter"/>
      <w:start w:val="3"/>
    </w:lvl>
    <w:lvl w:ilvl="1">
      <w:lvlJc w:val="left"/>
      <w:lvlText w:val="•"/>
      <w:numFmt w:val="bullet"/>
      <w:start w:val="1"/>
    </w:lvl>
  </w:abstractNum>
  <w:abstractNum w:abstractNumId="19">
    <w:nsid w:val="62BBD95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2019-12-07T04:03:06Z</dcterms:created>
  <dcterms:modified xsi:type="dcterms:W3CDTF">2019-12-07T04:03:06Z</dcterms:modified>
</cp:coreProperties>
</file>