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5"/>
              </w:rPr>
              <w:t xml:space="preserve">INITIAL STATEMENT OF BENEFICIAL OWNERSHIP OF SECURITIES 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auto"/>
                <w:w w:val="95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(Print or Type Responses)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Smith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Lawrence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(First)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Executive Vice President and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Co-Chief Financial Officer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9"/>
              </w:rPr>
              <w:t>PA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(State)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6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5(b)(v).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116205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125095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125095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125095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125095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116205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125095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62" w:lineRule="auto"/>
        <w:tabs>
          <w:tab w:leader="none" w:pos="4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3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/s/ Lawrence S. Smith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Lawrence S. Smith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41" w:lineRule="auto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18 U.S.C. 1001 and 15 U.S.C. 78ff(a).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2019-12-15T06:44:57Z</dcterms:created>
  <dcterms:modified xsi:type="dcterms:W3CDTF">2019-12-15T06:44:57Z</dcterms:modified>
</cp:coreProperties>
</file>