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60"/>
          </w:cols>
          <w:pgMar w:left="440" w:top="225" w:right="49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SELECT DEFERRED COMPENSATION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Thomas J. Reid,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of Form S-8, this Registration Statement on Form S-8 (the “Registration Statement”) is being filed in order to register an additional $500 million of deferred compensation obligations of Comcast Corporation (the “Registrant”) under the Select Deferred Compensation Plan, as amended and restated, which are securities of the same class and relate to the same employee benefit plan, as those deferred compensation obligations registered on the Registrant’s registration statement on Form S-8 previously filed with the Securities and Exchange Commission on February 3, 2022 (Registration No. </w:t>
      </w:r>
      <w:hyperlink r:id="rId17">
        <w:r>
          <w:rPr>
            <w:rFonts w:ascii="Times New Roman" w:cs="Times New Roman" w:eastAsia="Times New Roman" w:hAnsi="Times New Roman"/>
            <w:sz w:val="18"/>
            <w:szCs w:val="18"/>
            <w:u w:val="single" w:color="auto"/>
            <w:color w:val="0000EE"/>
          </w:rPr>
          <w:t>333-262495</w:t>
        </w:r>
      </w:hyperlink>
      <w:r>
        <w:rPr>
          <w:rFonts w:ascii="Times New Roman" w:cs="Times New Roman" w:eastAsia="Times New Roman" w:hAnsi="Times New Roman"/>
          <w:sz w:val="18"/>
          <w:szCs w:val="18"/>
          <w:color w:val="auto"/>
        </w:rPr>
        <w:t>), which is hereby incorporated by reference.</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Part II</w:t>
            </w:r>
          </w:p>
        </w:tc>
      </w:tr>
      <w:tr>
        <w:trPr>
          <w:trHeight w:val="432"/>
        </w:trPr>
        <w:tc>
          <w:tcPr>
            <w:tcW w:w="1460" w:type="dxa"/>
            <w:vAlign w:val="bottom"/>
          </w:tcPr>
          <w:p>
            <w:pPr>
              <w:spacing w:after="0"/>
              <w:rPr>
                <w:sz w:val="24"/>
                <w:szCs w:val="24"/>
                <w:color w:val="auto"/>
              </w:rPr>
            </w:pPr>
          </w:p>
        </w:tc>
        <w:tc>
          <w:tcPr>
            <w:tcW w:w="6840" w:type="dxa"/>
            <w:vAlign w:val="bottom"/>
            <w:gridSpan w:val="8"/>
          </w:tcPr>
          <w:p>
            <w:pPr>
              <w:jc w:val="center"/>
              <w:ind w:left="1153"/>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Opinion of Blank Rome LLP (regarding validity)</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3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Blank Rome LLP (regarding ERISA)</w:t>
            </w:r>
          </w:p>
        </w:tc>
        <w:tc>
          <w:tcPr>
            <w:tcW w:w="20" w:type="dxa"/>
            <w:vAlign w:val="bottom"/>
            <w:tcBorders>
              <w:top w:val="single" w:sz="8" w:color="0000EE"/>
            </w:tcBorders>
          </w:tcPr>
          <w:p>
            <w:pPr>
              <w:spacing w:after="0"/>
              <w:rPr>
                <w:sz w:val="24"/>
                <w:szCs w:val="24"/>
                <w:color w:val="auto"/>
              </w:rPr>
            </w:pPr>
          </w:p>
        </w:tc>
        <w:tc>
          <w:tcPr>
            <w:tcW w:w="3300" w:type="dxa"/>
            <w:vAlign w:val="bottom"/>
            <w:gridSpan w:val="5"/>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4280" w:type="dxa"/>
            <w:vAlign w:val="bottom"/>
            <w:gridSpan w:val="7"/>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Consent of Blank Rome LLP (contained in 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w:t>
            </w:r>
          </w:p>
        </w:tc>
      </w:tr>
      <w:tr>
        <w:trPr>
          <w:trHeight w:val="20"/>
        </w:trPr>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64" w:hanging="1464"/>
        <w:spacing w:after="0"/>
        <w:tabs>
          <w:tab w:leader="none" w:pos="14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(contained in the signature pages hereto)</w:t>
      </w:r>
    </w:p>
    <w:p>
      <w:pPr>
        <w:spacing w:after="0" w:line="117" w:lineRule="exact"/>
        <w:rPr>
          <w:sz w:val="20"/>
          <w:szCs w:val="20"/>
          <w:color w:val="auto"/>
        </w:rPr>
      </w:pPr>
    </w:p>
    <w:p>
      <w:pPr>
        <w:ind w:left="1464" w:right="80" w:hanging="1464"/>
        <w:spacing w:after="0" w:line="282" w:lineRule="auto"/>
        <w:tabs>
          <w:tab w:leader="none" w:pos="1464" w:val="left"/>
        </w:tabs>
        <w:numPr>
          <w:ilvl w:val="0"/>
          <w:numId w:val="2"/>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Comcast Select Deferred Compensation Plan, as amended and restated, effective October 12, 2021 (incorporated by reference to</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Exhibit 10.3 to the Registrant’s Annual Report on Form 10-K for the year ended December 31, 2021)</w:t>
        </w:r>
      </w:hyperlink>
    </w:p>
    <w:p>
      <w:pPr>
        <w:spacing w:after="0" w:line="54" w:lineRule="exact"/>
        <w:rPr>
          <w:rFonts w:ascii="Times New Roman" w:cs="Times New Roman" w:eastAsia="Times New Roman" w:hAnsi="Times New Roman"/>
          <w:sz w:val="18"/>
          <w:szCs w:val="18"/>
          <w:color w:val="auto"/>
        </w:rPr>
      </w:pPr>
    </w:p>
    <w:p>
      <w:pPr>
        <w:ind w:left="1464" w:hanging="1464"/>
        <w:spacing w:after="0"/>
        <w:tabs>
          <w:tab w:leader="none" w:pos="14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ectPr>
          <w:pgSz w:w="11900" w:h="16838" w:orient="portrait"/>
          <w:cols w:equalWidth="0" w:num="1">
            <w:col w:w="10784"/>
          </w:cols>
          <w:pgMar w:left="436" w:top="266" w:right="6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February 23,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ectPr>
          <w:pgSz w:w="11900" w:h="16838" w:orient="portrait"/>
          <w:cols w:equalWidth="0" w:num="1">
            <w:col w:w="10920"/>
          </w:cols>
          <w:pgMar w:left="440" w:top="266"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Jason S. Armstrong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Chairman and Chief Executive Officer; 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L. Roberts</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S. Armstrong</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S. Armstrong</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C. Murdock</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C. Murdock</w:t>
            </w:r>
          </w:p>
        </w:tc>
        <w:tc>
          <w:tcPr>
            <w:tcW w:w="45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Officer and Controller(Principal Accounting Officer)</w:t>
            </w: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Kenneth J. Bacon</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Kenneth J. Bacon</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J. Baltimore</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J. Baltimore</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Madeline S. Bell</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Madeline S. Bell</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Louise F. Brady</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Louise F. Brady</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D. Breen</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Edward D. Breen</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L. Hassell</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L. Hassell</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A. Honickman</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Maritza G. Montiel</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Maritza G. Montiel</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Asuka Nakahara</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Asuka Nakahara</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 Novak</w:t>
            </w:r>
          </w:p>
        </w:tc>
        <w:tc>
          <w:tcPr>
            <w:tcW w:w="45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C. Novak</w:t>
            </w:r>
          </w:p>
        </w:tc>
        <w:tc>
          <w:tcPr>
            <w:tcW w:w="454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42570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4257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 | Philadelphia, PA 19103-6998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$500,000,000 of deferred compensation obligations (the “Deferred Compensation Obligations”), which represent general unsecured obligations to pay deferred compensation in the future in accordance with the Comcast Select Deferred Compensation Plan, as amended and restated effective October 12, 2021 (the “Deferred Compensation Plan”). This opinion is furnished pursuant to the requirements of Item 601(b)(5) of Regulation S-K.</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rendering this opinion, we have examined the following documents: (i) the Company’s Amended and Restated Articles of Incorporation; (ii) the Company’s Amended and Restated By-Laws; (iii) resolutions adopted by the Compensation and Human Capital Committee of the Board of Directors (the “Board”) of the Company (f/k/a the Compensation Committee of the Board) related to the delegation of authority to the Chief Financial Officer of the Company to amend the Deferred Compensation Plan; (iv) resolutions adopted by the Board; (v) the Registration Statement (including all exhibits thereto); (vi) the Deferred Compensation Plan; and (vii)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is limited to the Pennsylvania Business Corporation Law of 1988, as amended.</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Deferred Compensation Obligations, when issued in accordance with the Deferred Compensation Plan, will constitute valid and binding obligations of the Company enforceable against the Company in accordance with the terms of the Deferred Compensation Plan, except to the extent that enforcement thereof may be limited by (a) bankruptcy, insolvency, reorganization, receivership, fraudulent transfer, moratorium or other laws relating to or affecting creditors’ rights generally and (b) general principles of equity, regardless of whether enforceability is considered in a proceeding at law or in equity.</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no other or more extensive opinion is intended, implied or to be inferred beyond the matters expressly stated herein.</w:t>
      </w:r>
    </w:p>
    <w:p>
      <w:pPr>
        <w:sectPr>
          <w:pgSz w:w="11900" w:h="16838" w:orient="portrait"/>
          <w:cols w:equalWidth="0" w:num="1">
            <w:col w:w="11020"/>
          </w:cols>
          <w:pgMar w:left="440" w:top="117" w:right="439" w:bottom="1440" w:gutter="0" w:footer="0" w:header="0"/>
        </w:sectPr>
      </w:pPr>
    </w:p>
    <w:bookmarkStart w:id="5" w:name="page6"/>
    <w:bookmarkEnd w:id="5"/>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0720"/>
          </w:cols>
          <w:pgMar w:left="440" w:top="270"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599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8599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 |Philadelphia, PA 19103-6998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Comcast Select Deferred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served as counsel to Comcast Corporation, a Pennsylvania Corporation (the “Company”), in connection with the registration by the Company of obligations (“Deferred Compensation Obligations”) which may be incurred by the Company pursuant to the Company’s Select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Plan was established to permit eligible employees and non-employee directors to defer the receipt of compensation otherwise payable to such non-employee directors and eligible employees in accordance with the terms of the Plan. The Plan states that it is unfunded and is maintained primarily for the purpose of providing deferred compensation to non-employee directors and to a select group of management or highly compensated employees. For the purpose of this opinion, we have assumed that (1) the Plan, as amended and restated, effective as of October 12, 2021 in its current form has been duly adopted, and (2) the Plan is maintained primarily for the purpose of providing the opportunity to defer the receipt of compensation by non-employee directors and a select group of management or highly compensated employees.</w:t>
      </w:r>
    </w:p>
    <w:p>
      <w:pPr>
        <w:spacing w:after="0" w:line="187"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w:t>
      </w:r>
    </w:p>
    <w:p>
      <w:pPr>
        <w:spacing w:after="0" w:line="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to non-employee directors and to a select group of management or highly compensated employees, the Plan is subject to parts 1 and 5 of Title I of ERISA, but not to any other provisions of ERISA.</w:t>
      </w:r>
    </w:p>
    <w:p>
      <w:pPr>
        <w:sectPr>
          <w:pgSz w:w="11900" w:h="16838" w:orient="portrait"/>
          <w:cols w:equalWidth="0" w:num="1">
            <w:col w:w="11020"/>
          </w:cols>
          <w:pgMar w:left="440" w:top="117" w:right="4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Plan is not designed or operated with the purpose of satisfying the requirements for qualification under section 401(a) of the Internal Revenue Code of 1986, as amended. 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80"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provisions of the written document constituting the Plan comply with the requirements of ERISA pertaining to such provisions.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0960"/>
          </w:cols>
          <w:pgMar w:left="440" w:top="270"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January 31, 2024, relating to the financial statements of Comcast Corporation and the effectiveness of Comcast Corporation’s internal control over financial reporting, appearing in the Annual Report on Form 10-K of Comcast Corporation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ind w:left="53"/>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1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33"/>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8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800" w:type="dxa"/>
            <w:vAlign w:val="bottom"/>
            <w:tcBorders>
              <w:right w:val="single" w:sz="8" w:color="auto"/>
            </w:tcBorders>
          </w:tcPr>
          <w:p>
            <w:pPr>
              <w:jc w:val="center"/>
              <w:ind w:left="66"/>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2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80" w:type="dxa"/>
            <w:vAlign w:val="bottom"/>
            <w:tcBorders>
              <w:right w:val="single" w:sz="8" w:color="auto"/>
            </w:tcBorders>
          </w:tcPr>
          <w:p>
            <w:pPr>
              <w:jc w:val="center"/>
              <w:ind w:left="48"/>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0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ind w:left="2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800" w:type="dxa"/>
            <w:vAlign w:val="bottom"/>
            <w:tcBorders>
              <w:right w:val="single" w:sz="8" w:color="auto"/>
            </w:tcBorders>
          </w:tcPr>
          <w:p>
            <w:pPr>
              <w:jc w:val="center"/>
              <w:ind w:left="66"/>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200" w:type="dxa"/>
            <w:vAlign w:val="bottom"/>
            <w:tcBorders>
              <w:right w:val="single" w:sz="8" w:color="auto"/>
            </w:tcBorders>
          </w:tcPr>
          <w:p>
            <w:pPr>
              <w:jc w:val="center"/>
              <w:ind w:lef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tcBorders>
              <w:right w:val="single" w:sz="8" w:color="auto"/>
            </w:tcBorders>
          </w:tcPr>
          <w:p>
            <w:pPr>
              <w:jc w:val="center"/>
              <w:ind w:lef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180" w:type="dxa"/>
            <w:vAlign w:val="bottom"/>
            <w:tcBorders>
              <w:right w:val="single" w:sz="8" w:color="auto"/>
            </w:tcBorders>
          </w:tcPr>
          <w:p>
            <w:pPr>
              <w:jc w:val="center"/>
              <w:ind w:lef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20" w:type="dxa"/>
            <w:vAlign w:val="bottom"/>
            <w:tcBorders>
              <w:right w:val="single" w:sz="8" w:color="auto"/>
            </w:tcBorders>
          </w:tcPr>
          <w:p>
            <w:pPr>
              <w:jc w:val="center"/>
              <w:ind w:left="41"/>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40" w:type="dxa"/>
            <w:vAlign w:val="bottom"/>
            <w:tcBorders>
              <w:right w:val="single" w:sz="8" w:color="auto"/>
            </w:tcBorders>
          </w:tcPr>
          <w:p>
            <w:pPr>
              <w:jc w:val="center"/>
              <w:ind w:lef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74"/>
        </w:trPr>
        <w:tc>
          <w:tcPr>
            <w:tcW w:w="11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220" w:type="dxa"/>
            <w:vAlign w:val="bottom"/>
            <w:tcBorders>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800" w:type="dxa"/>
            <w:vAlign w:val="bottom"/>
            <w:tcBorders>
              <w:bottom w:val="single" w:sz="8" w:color="auto"/>
              <w:right w:val="single" w:sz="8" w:color="auto"/>
            </w:tcBorders>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20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Registered (1)</w:t>
            </w:r>
          </w:p>
        </w:tc>
        <w:tc>
          <w:tcPr>
            <w:tcW w:w="740" w:type="dxa"/>
            <w:vAlign w:val="bottom"/>
            <w:tcBorders>
              <w:bottom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7"/>
              </w:rPr>
              <w:t>Unit (1)</w:t>
            </w:r>
          </w:p>
        </w:tc>
        <w:tc>
          <w:tcPr>
            <w:tcW w:w="118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Price (2)</w:t>
            </w:r>
          </w:p>
        </w:tc>
        <w:tc>
          <w:tcPr>
            <w:tcW w:w="1020" w:type="dxa"/>
            <w:vAlign w:val="bottom"/>
            <w:tcBorders>
              <w:bottom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04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w w:val="92"/>
              </w:rPr>
              <w:t>Fee</w:t>
            </w:r>
          </w:p>
        </w:tc>
      </w:tr>
      <w:tr>
        <w:trPr>
          <w:trHeight w:val="206"/>
        </w:trPr>
        <w:tc>
          <w:tcPr>
            <w:tcW w:w="1180" w:type="dxa"/>
            <w:vAlign w:val="bottom"/>
            <w:tcBorders>
              <w:left w:val="single" w:sz="8" w:color="auto"/>
              <w:right w:val="single" w:sz="8" w:color="auto"/>
            </w:tcBorders>
          </w:tcPr>
          <w:p>
            <w:pPr>
              <w:jc w:val="center"/>
              <w:ind w:left="64"/>
              <w:spacing w:after="0" w:line="206" w:lineRule="exact"/>
              <w:rPr>
                <w:sz w:val="20"/>
                <w:szCs w:val="20"/>
                <w:color w:val="auto"/>
              </w:rPr>
            </w:pPr>
            <w:r>
              <w:rPr>
                <w:rFonts w:ascii="Times New Roman" w:cs="Times New Roman" w:eastAsia="Times New Roman" w:hAnsi="Times New Roman"/>
                <w:sz w:val="18"/>
                <w:szCs w:val="18"/>
                <w:color w:val="auto"/>
              </w:rPr>
              <w:t>Debt</w:t>
            </w:r>
          </w:p>
        </w:tc>
        <w:tc>
          <w:tcPr>
            <w:tcW w:w="1220" w:type="dxa"/>
            <w:vAlign w:val="bottom"/>
            <w:tcBorders>
              <w:right w:val="single" w:sz="8" w:color="auto"/>
            </w:tcBorders>
          </w:tcPr>
          <w:p>
            <w:pPr>
              <w:jc w:val="center"/>
              <w:ind w:left="19"/>
              <w:spacing w:after="0" w:line="206" w:lineRule="exact"/>
              <w:rPr>
                <w:sz w:val="20"/>
                <w:szCs w:val="20"/>
                <w:color w:val="auto"/>
              </w:rPr>
            </w:pPr>
            <w:r>
              <w:rPr>
                <w:rFonts w:ascii="Times New Roman" w:cs="Times New Roman" w:eastAsia="Times New Roman" w:hAnsi="Times New Roman"/>
                <w:sz w:val="18"/>
                <w:szCs w:val="18"/>
                <w:color w:val="auto"/>
                <w:w w:val="99"/>
              </w:rPr>
              <w:t>Deferred</w:t>
            </w:r>
          </w:p>
        </w:tc>
        <w:tc>
          <w:tcPr>
            <w:tcW w:w="8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right"/>
              <w:ind w:right="81"/>
              <w:spacing w:after="0" w:line="206" w:lineRule="exact"/>
              <w:rPr>
                <w:sz w:val="20"/>
                <w:szCs w:val="20"/>
                <w:color w:val="auto"/>
              </w:rPr>
            </w:pPr>
            <w:r>
              <w:rPr>
                <w:rFonts w:ascii="Times New Roman" w:cs="Times New Roman" w:eastAsia="Times New Roman" w:hAnsi="Times New Roman"/>
                <w:sz w:val="18"/>
                <w:szCs w:val="18"/>
                <w:color w:val="auto"/>
              </w:rPr>
              <w:t>$147.60</w:t>
            </w:r>
          </w:p>
        </w:tc>
        <w:tc>
          <w:tcPr>
            <w:tcW w:w="1040" w:type="dxa"/>
            <w:vAlign w:val="bottom"/>
            <w:tcBorders>
              <w:right w:val="single" w:sz="8" w:color="auto"/>
            </w:tcBorders>
          </w:tcPr>
          <w:p>
            <w:pPr>
              <w:spacing w:after="0"/>
              <w:rPr>
                <w:sz w:val="17"/>
                <w:szCs w:val="17"/>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w w:val="99"/>
              </w:rPr>
              <w:t>Compensation</w:t>
            </w:r>
          </w:p>
        </w:tc>
        <w:tc>
          <w:tcPr>
            <w:tcW w:w="80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8"/>
                <w:szCs w:val="18"/>
                <w:color w:val="auto"/>
                <w:w w:val="99"/>
              </w:rPr>
              <w:t>Rule</w:t>
            </w:r>
          </w:p>
        </w:tc>
        <w:tc>
          <w:tcPr>
            <w:tcW w:w="12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41"/>
              <w:spacing w:after="0"/>
              <w:rPr>
                <w:sz w:val="20"/>
                <w:szCs w:val="20"/>
                <w:color w:val="auto"/>
              </w:rPr>
            </w:pPr>
            <w:r>
              <w:rPr>
                <w:rFonts w:ascii="Times New Roman" w:cs="Times New Roman" w:eastAsia="Times New Roman" w:hAnsi="Times New Roman"/>
                <w:sz w:val="18"/>
                <w:szCs w:val="18"/>
                <w:color w:val="auto"/>
                <w:w w:val="95"/>
              </w:rPr>
              <w:t>per</w:t>
            </w:r>
          </w:p>
        </w:tc>
        <w:tc>
          <w:tcPr>
            <w:tcW w:w="1040" w:type="dxa"/>
            <w:vAlign w:val="bottom"/>
            <w:tcBorders>
              <w:right w:val="single" w:sz="8" w:color="auto"/>
            </w:tcBorders>
          </w:tcPr>
          <w:p>
            <w:pPr>
              <w:spacing w:after="0"/>
              <w:rPr>
                <w:sz w:val="18"/>
                <w:szCs w:val="18"/>
                <w:color w:val="auto"/>
              </w:rPr>
            </w:pPr>
          </w:p>
        </w:tc>
      </w:tr>
      <w:tr>
        <w:trPr>
          <w:trHeight w:val="24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w w:val="99"/>
              </w:rPr>
              <w:t>Obligations</w:t>
            </w:r>
          </w:p>
        </w:tc>
        <w:tc>
          <w:tcPr>
            <w:tcW w:w="80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8"/>
                <w:szCs w:val="18"/>
                <w:color w:val="auto"/>
                <w:w w:val="99"/>
              </w:rPr>
              <w:t>457(h)</w:t>
            </w:r>
          </w:p>
        </w:tc>
        <w:tc>
          <w:tcPr>
            <w:tcW w:w="120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8"/>
                <w:szCs w:val="18"/>
                <w:color w:val="auto"/>
              </w:rPr>
              <w:t>$500,000,000 </w:t>
            </w:r>
          </w:p>
        </w:tc>
        <w:tc>
          <w:tcPr>
            <w:tcW w:w="740" w:type="dxa"/>
            <w:vAlign w:val="bottom"/>
            <w:tcBorders>
              <w:bottom w:val="single" w:sz="8" w:color="auto"/>
              <w:right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100%</w:t>
            </w:r>
          </w:p>
        </w:tc>
        <w:tc>
          <w:tcPr>
            <w:tcW w:w="118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8"/>
                <w:szCs w:val="18"/>
                <w:color w:val="auto"/>
                <w:w w:val="99"/>
              </w:rPr>
              <w:t>$500,000,000 </w:t>
            </w:r>
          </w:p>
        </w:tc>
        <w:tc>
          <w:tcPr>
            <w:tcW w:w="1020" w:type="dxa"/>
            <w:vAlign w:val="bottom"/>
            <w:tcBorders>
              <w:bottom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18"/>
                <w:szCs w:val="18"/>
                <w:color w:val="auto"/>
              </w:rPr>
              <w:t>$1,000,000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$73,800.00</w:t>
            </w:r>
          </w:p>
        </w:tc>
      </w:tr>
      <w:tr>
        <w:trPr>
          <w:trHeight w:val="239"/>
        </w:trPr>
        <w:tc>
          <w:tcPr>
            <w:tcW w:w="1180" w:type="dxa"/>
            <w:vAlign w:val="bottom"/>
            <w:tcBorders>
              <w:left w:val="single" w:sz="8" w:color="auto"/>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rPr>
              <w:t>$73,800.00</w:t>
            </w:r>
          </w:p>
        </w:tc>
      </w:tr>
      <w:tr>
        <w:trPr>
          <w:trHeight w:val="237"/>
        </w:trPr>
        <w:tc>
          <w:tcPr>
            <w:tcW w:w="1180" w:type="dxa"/>
            <w:vAlign w:val="bottom"/>
            <w:tcBorders>
              <w:left w:val="single" w:sz="8" w:color="auto"/>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5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180" w:type="dxa"/>
            <w:vAlign w:val="bottom"/>
            <w:tcBorders>
              <w:left w:val="single" w:sz="8" w:color="auto"/>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8"/>
                <w:szCs w:val="18"/>
                <w:color w:val="auto"/>
                <w:w w:val="98"/>
              </w:rPr>
              <w:t>Net Fee Due</w:t>
            </w:r>
          </w:p>
        </w:tc>
        <w:tc>
          <w:tcPr>
            <w:tcW w:w="12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rPr>
              <w:t>$73,800.00</w:t>
            </w:r>
          </w:p>
        </w:tc>
      </w:tr>
    </w:tbl>
    <w:p>
      <w:pPr>
        <w:spacing w:after="0" w:line="225" w:lineRule="exact"/>
        <w:rPr>
          <w:sz w:val="20"/>
          <w:szCs w:val="20"/>
          <w:color w:val="auto"/>
        </w:rPr>
      </w:pPr>
    </w:p>
    <w:p>
      <w:pPr>
        <w:ind w:left="424" w:right="4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Compensation Obligations to which this Registration Statement relates arise under the Comcast Select Deferred Compensation Plan, as amended and restated (the “Plan”), and are unsecured general obligations of Comcast Corporation to pay up to $500,000,000 of deferred compensation from time to time in the future pursuant to compensation deferral elections made by participants in the Plan in accordance with the terms of the Plan.</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4"/>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17" Type="http://schemas.openxmlformats.org/officeDocument/2006/relationships/hyperlink" Target="http://www.sec.gov/Archives/edgar/data/1166691/000119312522027039/d304085ds8.htm" TargetMode="External"/><Relationship Id="rId18" Type="http://schemas.openxmlformats.org/officeDocument/2006/relationships/hyperlink" Target="http://www.sec.gov/Archives/edgar/data/1166691/000116669122000009/ex103-1231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2024-02-23T09:30:06Z</dcterms:created>
  <dcterms:modified xsi:type="dcterms:W3CDTF">2024-02-23T09:30:06Z</dcterms:modified>
</cp:coreProperties>
</file>