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35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186690</wp:posOffset>
            </wp:positionV>
            <wp:extent cx="1397635"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Exact Name of Registrant; State of</w:t>
      </w:r>
    </w:p>
    <w:p>
      <w:pPr>
        <w:spacing w:after="0" w:line="38"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Incorporation; Address and Telephone</w:t>
      </w:r>
    </w:p>
    <w:p>
      <w:pPr>
        <w:spacing w:after="0" w:line="32"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Number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38" w:lineRule="exact"/>
        <w:rPr>
          <w:sz w:val="24"/>
          <w:szCs w:val="24"/>
          <w:color w:val="auto"/>
        </w:rPr>
      </w:pPr>
    </w:p>
    <w:p>
      <w:pPr>
        <w:sectPr>
          <w:pgSz w:w="11900" w:h="16838" w:orient="portrait"/>
          <w:cols w:equalWidth="0" w:num="3">
            <w:col w:w="3640" w:space="720"/>
            <w:col w:w="3580" w:space="720"/>
            <w:col w:w="276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680" w:type="dxa"/>
            <w:vAlign w:val="bottom"/>
            <w:tcBorders>
              <w:top w:val="single" w:sz="8" w:color="auto"/>
            </w:tcBorders>
            <w:vMerge w:val="restart"/>
          </w:tcPr>
          <w:p>
            <w:pPr>
              <w:jc w:val="right"/>
              <w:ind w:right="652"/>
              <w:spacing w:after="0"/>
              <w:rPr>
                <w:sz w:val="20"/>
                <w:szCs w:val="20"/>
                <w:color w:val="auto"/>
              </w:rPr>
            </w:pPr>
            <w:r>
              <w:rPr>
                <w:rFonts w:ascii="Arial" w:cs="Arial" w:eastAsia="Arial" w:hAnsi="Arial"/>
                <w:sz w:val="18"/>
                <w:szCs w:val="18"/>
                <w:b w:val="1"/>
                <w:bCs w:val="1"/>
                <w:color w:val="auto"/>
              </w:rPr>
              <w:t>001-32871</w:t>
            </w:r>
          </w:p>
        </w:tc>
        <w:tc>
          <w:tcPr>
            <w:tcW w:w="60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8"/>
                <w:szCs w:val="18"/>
                <w:b w:val="1"/>
                <w:bCs w:val="1"/>
                <w:color w:val="auto"/>
              </w:rPr>
              <w:t>COMCAST CORPORATION</w:t>
            </w:r>
          </w:p>
        </w:tc>
        <w:tc>
          <w:tcPr>
            <w:tcW w:w="2680" w:type="dxa"/>
            <w:vAlign w:val="bottom"/>
            <w:tcBorders>
              <w:top w:val="single" w:sz="8" w:color="auto"/>
            </w:tcBorders>
            <w:vMerge w:val="restart"/>
          </w:tcPr>
          <w:p>
            <w:pPr>
              <w:jc w:val="right"/>
              <w:ind w:right="1032"/>
              <w:spacing w:after="0"/>
              <w:rPr>
                <w:sz w:val="20"/>
                <w:szCs w:val="20"/>
                <w:color w:val="auto"/>
              </w:rPr>
            </w:pPr>
            <w:r>
              <w:rPr>
                <w:rFonts w:ascii="Arial" w:cs="Arial" w:eastAsia="Arial" w:hAnsi="Arial"/>
                <w:sz w:val="18"/>
                <w:szCs w:val="18"/>
                <w:b w:val="1"/>
                <w:bCs w:val="1"/>
                <w:color w:val="auto"/>
              </w:rPr>
              <w:t>27-0000798</w:t>
            </w:r>
          </w:p>
        </w:tc>
        <w:tc>
          <w:tcPr>
            <w:tcW w:w="0" w:type="dxa"/>
            <w:vAlign w:val="bottom"/>
          </w:tcPr>
          <w:p>
            <w:pPr>
              <w:spacing w:after="0"/>
              <w:rPr>
                <w:sz w:val="1"/>
                <w:szCs w:val="1"/>
                <w:color w:val="auto"/>
              </w:rPr>
            </w:pPr>
          </w:p>
        </w:tc>
      </w:tr>
      <w:tr>
        <w:trPr>
          <w:trHeight w:val="71"/>
        </w:trPr>
        <w:tc>
          <w:tcPr>
            <w:tcW w:w="2680" w:type="dxa"/>
            <w:vAlign w:val="bottom"/>
            <w:vMerge w:val="continue"/>
          </w:tcPr>
          <w:p>
            <w:pPr>
              <w:spacing w:after="0"/>
              <w:rPr>
                <w:sz w:val="6"/>
                <w:szCs w:val="6"/>
                <w:color w:val="auto"/>
              </w:rPr>
            </w:pPr>
          </w:p>
        </w:tc>
        <w:tc>
          <w:tcPr>
            <w:tcW w:w="60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3"/>
        </w:trPr>
        <w:tc>
          <w:tcPr>
            <w:tcW w:w="268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96"/>
              </w:rPr>
              <w:t>PENNSYLVANIA</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One Comcast Center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8"/>
              </w:rPr>
              <w:t>Philadelphia, PA 19103-2838</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Pr>
          <w:p>
            <w:pPr>
              <w:spacing w:after="0"/>
              <w:rPr>
                <w:sz w:val="19"/>
                <w:szCs w:val="19"/>
                <w:color w:val="auto"/>
              </w:rPr>
            </w:pPr>
          </w:p>
        </w:tc>
        <w:tc>
          <w:tcPr>
            <w:tcW w:w="6060" w:type="dxa"/>
            <w:vAlign w:val="bottom"/>
          </w:tcPr>
          <w:p>
            <w:pPr>
              <w:jc w:val="center"/>
              <w:spacing w:after="0"/>
              <w:rPr>
                <w:sz w:val="20"/>
                <w:szCs w:val="20"/>
                <w:color w:val="auto"/>
              </w:rPr>
            </w:pPr>
            <w:r>
              <w:rPr>
                <w:rFonts w:ascii="Arial" w:cs="Arial" w:eastAsia="Arial" w:hAnsi="Arial"/>
                <w:sz w:val="18"/>
                <w:szCs w:val="18"/>
                <w:b w:val="1"/>
                <w:bCs w:val="1"/>
                <w:color w:val="auto"/>
                <w:w w:val="89"/>
              </w:rPr>
              <w:t>(215) 286-1700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68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001-36438</w:t>
            </w:r>
          </w:p>
        </w:tc>
        <w:tc>
          <w:tcPr>
            <w:tcW w:w="6060" w:type="dxa"/>
            <w:vAlign w:val="bottom"/>
          </w:tcPr>
          <w:p>
            <w:pPr>
              <w:jc w:val="center"/>
              <w:spacing w:after="0" w:line="286" w:lineRule="exact"/>
              <w:rPr>
                <w:sz w:val="20"/>
                <w:szCs w:val="20"/>
                <w:color w:val="auto"/>
              </w:rPr>
            </w:pPr>
            <w:r>
              <w:rPr>
                <w:rFonts w:ascii="Arial" w:cs="Arial" w:eastAsia="Arial" w:hAnsi="Arial"/>
                <w:sz w:val="32"/>
                <w:szCs w:val="32"/>
                <w:b w:val="1"/>
                <w:bCs w:val="1"/>
                <w:color w:val="auto"/>
              </w:rPr>
              <w:t>NBCUNIVERSAL MEDIA, LLC</w:t>
            </w:r>
          </w:p>
        </w:tc>
        <w:tc>
          <w:tcPr>
            <w:tcW w:w="2680" w:type="dxa"/>
            <w:vAlign w:val="bottom"/>
            <w:vMerge w:val="restart"/>
          </w:tcPr>
          <w:p>
            <w:pPr>
              <w:jc w:val="right"/>
              <w:ind w:right="1032"/>
              <w:spacing w:after="0"/>
              <w:rPr>
                <w:sz w:val="20"/>
                <w:szCs w:val="20"/>
                <w:color w:val="auto"/>
              </w:rPr>
            </w:pPr>
            <w:r>
              <w:rPr>
                <w:rFonts w:ascii="Arial" w:cs="Arial" w:eastAsia="Arial" w:hAnsi="Arial"/>
                <w:sz w:val="18"/>
                <w:szCs w:val="18"/>
                <w:b w:val="1"/>
                <w:bCs w:val="1"/>
                <w:color w:val="auto"/>
              </w:rPr>
              <w:t>14-1682529</w:t>
            </w:r>
          </w:p>
        </w:tc>
        <w:tc>
          <w:tcPr>
            <w:tcW w:w="0" w:type="dxa"/>
            <w:vAlign w:val="bottom"/>
          </w:tcPr>
          <w:p>
            <w:pPr>
              <w:spacing w:after="0"/>
              <w:rPr>
                <w:sz w:val="1"/>
                <w:szCs w:val="1"/>
                <w:color w:val="auto"/>
              </w:rPr>
            </w:pPr>
          </w:p>
        </w:tc>
      </w:tr>
      <w:tr>
        <w:trPr>
          <w:trHeight w:val="52"/>
        </w:trPr>
        <w:tc>
          <w:tcPr>
            <w:tcW w:w="2680" w:type="dxa"/>
            <w:vAlign w:val="bottom"/>
            <w:vMerge w:val="continue"/>
          </w:tcPr>
          <w:p>
            <w:pPr>
              <w:spacing w:after="0"/>
              <w:rPr>
                <w:sz w:val="4"/>
                <w:szCs w:val="4"/>
                <w:color w:val="auto"/>
              </w:rPr>
            </w:pPr>
          </w:p>
        </w:tc>
        <w:tc>
          <w:tcPr>
            <w:tcW w:w="606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 Rockefeller Plaza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10112-0015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1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5"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189"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ind w:right="280"/>
        <w:spacing w:after="0" w:line="317" w:lineRule="auto"/>
        <w:rPr>
          <w:sz w:val="20"/>
          <w:szCs w:val="20"/>
          <w:color w:val="auto"/>
        </w:rPr>
      </w:pPr>
      <w:r>
        <w:rPr>
          <w:rFonts w:ascii="Arial" w:cs="Arial" w:eastAsia="Arial" w:hAnsi="Arial"/>
          <w:sz w:val="16"/>
          <w:szCs w:val="16"/>
          <w:color w:val="auto"/>
        </w:rPr>
        <w:t>Comcast Corporation NBCUniversal Media, LLC</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338" w:lineRule="auto"/>
        <w:rPr>
          <w:sz w:val="20"/>
          <w:szCs w:val="20"/>
          <w:color w:val="auto"/>
        </w:rPr>
      </w:pPr>
      <w:r>
        <w:rPr>
          <w:rFonts w:ascii="Arial" w:cs="Arial" w:eastAsia="Arial" w:hAnsi="Arial"/>
          <w:sz w:val="15"/>
          <w:szCs w:val="15"/>
          <w:color w:val="auto"/>
        </w:rPr>
        <w:t>Large accelerated filer Large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w:t>
      </w:r>
    </w:p>
    <w:p>
      <w:pPr>
        <w:spacing w:after="0" w:line="20" w:lineRule="exact"/>
        <w:rPr>
          <w:sz w:val="24"/>
          <w:szCs w:val="24"/>
          <w:color w:val="auto"/>
        </w:rPr>
      </w:pPr>
      <w:r>
        <w:rPr>
          <w:sz w:val="24"/>
          <w:szCs w:val="24"/>
          <w:color w:val="auto"/>
        </w:rPr>
        <w:br w:type="column"/>
      </w:r>
    </w:p>
    <w:p>
      <w:pPr>
        <w:jc w:val="both"/>
        <w:spacing w:after="0" w:line="22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6">
            <w:col w:w="2240" w:space="720"/>
            <w:col w:w="1580" w:space="300"/>
            <w:col w:w="1460" w:space="260"/>
            <w:col w:w="1760" w:space="320"/>
            <w:col w:w="2200" w:space="400"/>
            <w:col w:w="180"/>
          </w:cols>
          <w:pgMar w:left="240" w:top="230"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ectPr>
          <w:pgSz w:w="11900" w:h="16838" w:orient="portrait"/>
          <w:cols w:equalWidth="0" w:num="1">
            <w:col w:w="11420"/>
          </w:cols>
          <w:pgMar w:left="240" w:top="230" w:right="239" w:bottom="1440" w:gutter="0" w:footer="0" w:header="0"/>
          <w:type w:val="continuous"/>
        </w:sectPr>
      </w:pPr>
    </w:p>
    <w:p>
      <w:pPr>
        <w:spacing w:after="0" w:line="98"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NBCUniversal Media, LLC</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5" w:lineRule="exact"/>
        <w:rPr>
          <w:sz w:val="24"/>
          <w:szCs w:val="24"/>
          <w:color w:val="auto"/>
        </w:rPr>
      </w:pPr>
    </w:p>
    <w:p>
      <w:pPr>
        <w:spacing w:after="0" w:line="207" w:lineRule="exact"/>
        <w:tabs>
          <w:tab w:leader="none" w:pos="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7" w:lineRule="exact"/>
        <w:rPr>
          <w:sz w:val="24"/>
          <w:szCs w:val="24"/>
          <w:color w:val="auto"/>
        </w:rPr>
      </w:pPr>
    </w:p>
    <w:p>
      <w:pPr>
        <w:sectPr>
          <w:pgSz w:w="11900" w:h="16838" w:orient="portrait"/>
          <w:cols w:equalWidth="0" w:num="2">
            <w:col w:w="6360" w:space="720"/>
            <w:col w:w="4340"/>
          </w:cols>
          <w:pgMar w:left="240" w:top="2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stock, as of the latest practical date:</w:t>
      </w:r>
    </w:p>
    <w:p>
      <w:pPr>
        <w:spacing w:after="0" w:line="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2016, there were 2,383,388,019 shares of Comcast Corporation Class A common stock and 9,444,375 shares of Comcast Corporation Class B common stock outstanding.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Not applicable for NBCUniversal Media, LLC.</w:t>
      </w:r>
    </w:p>
    <w:p>
      <w:pPr>
        <w:spacing w:after="0" w:line="57"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4"/>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Borders>
              <w:bottom w:val="single" w:sz="8" w:color="0000EE"/>
            </w:tcBorders>
            <w:gridSpan w:val="9"/>
          </w:tcPr>
          <w:p>
            <w:pPr>
              <w:spacing w:after="0" w:line="170"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FINANCIAL INFORMATION</w:t>
              </w:r>
            </w:hyperlink>
          </w:p>
        </w:tc>
        <w:tc>
          <w:tcPr>
            <w:tcW w:w="7740" w:type="dxa"/>
            <w:vAlign w:val="bottom"/>
            <w:gridSpan w:val="13"/>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1.</w:t>
            </w:r>
          </w:p>
        </w:tc>
        <w:tc>
          <w:tcPr>
            <w:tcW w:w="94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Comcast Corporation Financial Statements</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 as of September 30, 2016 and December 31, 2015 (Unaudited)</w:t>
              </w:r>
            </w:hyperlink>
          </w:p>
        </w:tc>
        <w:tc>
          <w:tcPr>
            <w:tcW w:w="2160" w:type="dxa"/>
            <w:vAlign w:val="bottom"/>
            <w:gridSpan w:val="5"/>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 of Income for the Three and Nine Months Ended September 30, 2016 and 2015 (Unaudited)</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Comprehensive Income for the Three and Nine Months Ended September 30, 2016 and 2015</w:t>
              </w:r>
            </w:hyperlink>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(Unaudited)</w:t>
              </w:r>
            </w:hyperlink>
          </w:p>
        </w:tc>
        <w:tc>
          <w:tcPr>
            <w:tcW w:w="8560" w:type="dxa"/>
            <w:vAlign w:val="bottom"/>
            <w:gridSpan w:val="18"/>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 of Cash Flows for the Nine Months Ended September 30, 2016 and 2015 (Unaudited)</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 of Changes in Equity for the Nine Months Ended September 30, 2016 and 2015 (Unaudited)</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9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380" w:type="dxa"/>
            <w:vAlign w:val="bottom"/>
            <w:gridSpan w:val="2"/>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3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Management’s Discussion and Analysis of Financial Condition and Results of Operations</w:t>
              </w:r>
            </w:hyperlink>
          </w:p>
        </w:tc>
        <w:tc>
          <w:tcPr>
            <w:tcW w:w="3100" w:type="dxa"/>
            <w:vAlign w:val="bottom"/>
            <w:gridSpan w:val="6"/>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3.</w:t>
            </w: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Quantitative and Qualitative Disclosures About Market Risk</w:t>
              </w:r>
            </w:hyperlink>
          </w:p>
        </w:tc>
        <w:tc>
          <w:tcPr>
            <w:tcW w:w="5140" w:type="dxa"/>
            <w:vAlign w:val="bottom"/>
            <w:gridSpan w:val="8"/>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4.</w:t>
            </w:r>
          </w:p>
        </w:tc>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Controls and Procedures</w:t>
              </w:r>
            </w:hyperlink>
          </w:p>
        </w:tc>
        <w:tc>
          <w:tcPr>
            <w:tcW w:w="7680" w:type="dxa"/>
            <w:vAlign w:val="bottom"/>
            <w:gridSpan w:val="12"/>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740" w:type="dxa"/>
            <w:vAlign w:val="bottom"/>
            <w:gridSpan w:val="23"/>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0000EE"/>
            </w:tcBorders>
            <w:gridSpan w:val="2"/>
          </w:tcPr>
          <w:p>
            <w:pPr>
              <w:ind w:left="200"/>
              <w:spacing w:after="0" w:line="196" w:lineRule="exact"/>
              <w:rPr>
                <w:sz w:val="20"/>
                <w:szCs w:val="20"/>
                <w:color w:val="auto"/>
              </w:rPr>
            </w:pPr>
            <w:r>
              <w:rPr>
                <w:rFonts w:ascii="Arial" w:cs="Arial" w:eastAsia="Arial" w:hAnsi="Arial"/>
                <w:sz w:val="18"/>
                <w:szCs w:val="18"/>
                <w:b w:val="1"/>
                <w:bCs w:val="1"/>
                <w:color w:val="auto"/>
              </w:rPr>
              <w:t>Item 1.</w:t>
            </w:r>
          </w:p>
        </w:tc>
        <w:tc>
          <w:tcPr>
            <w:tcW w:w="1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Legal Proceedings</w:t>
              </w:r>
            </w:hyperlink>
          </w:p>
        </w:tc>
        <w:tc>
          <w:tcPr>
            <w:tcW w:w="60" w:type="dxa"/>
            <w:vAlign w:val="bottom"/>
            <w:tcBorders>
              <w:top w:val="single" w:sz="8" w:color="0000EE"/>
            </w:tcBorders>
          </w:tcPr>
          <w:p>
            <w:pPr>
              <w:spacing w:after="0"/>
              <w:rPr>
                <w:sz w:val="17"/>
                <w:szCs w:val="17"/>
                <w:color w:val="auto"/>
              </w:rPr>
            </w:pPr>
          </w:p>
        </w:tc>
        <w:tc>
          <w:tcPr>
            <w:tcW w:w="8040" w:type="dxa"/>
            <w:vAlign w:val="bottom"/>
            <w:gridSpan w:val="14"/>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Risk Factors</w:t>
              </w:r>
            </w:hyperlink>
          </w:p>
        </w:tc>
        <w:tc>
          <w:tcPr>
            <w:tcW w:w="8520" w:type="dxa"/>
            <w:vAlign w:val="bottom"/>
            <w:gridSpan w:val="17"/>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2.</w:t>
            </w: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47">
              <w:r>
                <w:rPr>
                  <w:rFonts w:ascii="Arial" w:cs="Arial" w:eastAsia="Arial" w:hAnsi="Arial"/>
                  <w:sz w:val="18"/>
                  <w:szCs w:val="18"/>
                  <w:color w:val="0000EE"/>
                  <w:w w:val="86"/>
                </w:rPr>
                <w:t>Unregistered Sales of Equity Securities and Use of Proceeds</w:t>
              </w:r>
            </w:hyperlink>
          </w:p>
        </w:tc>
        <w:tc>
          <w:tcPr>
            <w:tcW w:w="5160" w:type="dxa"/>
            <w:vAlign w:val="bottom"/>
            <w:gridSpan w:val="9"/>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5.</w:t>
            </w: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Other Information</w:t>
              </w:r>
            </w:hyperlink>
          </w:p>
        </w:tc>
        <w:tc>
          <w:tcPr>
            <w:tcW w:w="8120" w:type="dxa"/>
            <w:vAlign w:val="bottom"/>
            <w:gridSpan w:val="16"/>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Item 6.</w:t>
            </w:r>
          </w:p>
        </w:tc>
        <w:tc>
          <w:tcPr>
            <w:tcW w:w="940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49">
              <w:r>
                <w:rPr>
                  <w:rFonts w:ascii="Arial" w:cs="Arial" w:eastAsia="Arial" w:hAnsi="Arial"/>
                  <w:sz w:val="18"/>
                  <w:szCs w:val="18"/>
                  <w:b w:val="1"/>
                  <w:bCs w:val="1"/>
                  <w:color w:val="0000EE"/>
                  <w:w w:val="94"/>
                </w:rPr>
                <w:t>SIGNATURES</w:t>
              </w:r>
            </w:hyperlink>
          </w:p>
        </w:tc>
        <w:tc>
          <w:tcPr>
            <w:tcW w:w="2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740" w:type="dxa"/>
            <w:vAlign w:val="bottom"/>
            <w:gridSpan w:val="2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NBCUniversal Media, LLC Financial Statements</w:t>
              </w:r>
            </w:hyperlink>
          </w:p>
        </w:tc>
        <w:tc>
          <w:tcPr>
            <w:tcW w:w="6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120" w:type="dxa"/>
            <w:vAlign w:val="bottom"/>
            <w:tcBorders>
              <w:top w:val="single" w:sz="8" w:color="0000EE"/>
              <w:bottom w:val="single" w:sz="8" w:color="auto"/>
            </w:tcBorders>
          </w:tcPr>
          <w:p>
            <w:pPr>
              <w:spacing w:after="0"/>
              <w:rPr>
                <w:sz w:val="10"/>
                <w:szCs w:val="10"/>
                <w:color w:val="auto"/>
              </w:rPr>
            </w:pPr>
          </w:p>
        </w:tc>
        <w:tc>
          <w:tcPr>
            <w:tcW w:w="200" w:type="dxa"/>
            <w:vAlign w:val="bottom"/>
            <w:tcBorders>
              <w:top w:val="single" w:sz="8" w:color="0000EE"/>
              <w:bottom w:val="single" w:sz="8" w:color="auto"/>
            </w:tcBorders>
          </w:tcPr>
          <w:p>
            <w:pPr>
              <w:spacing w:after="0"/>
              <w:rPr>
                <w:sz w:val="10"/>
                <w:szCs w:val="10"/>
                <w:color w:val="auto"/>
              </w:rPr>
            </w:pPr>
          </w:p>
        </w:tc>
        <w:tc>
          <w:tcPr>
            <w:tcW w:w="580" w:type="dxa"/>
            <w:vAlign w:val="bottom"/>
            <w:tcBorders>
              <w:top w:val="single" w:sz="8" w:color="0000EE"/>
              <w:bottom w:val="single" w:sz="8" w:color="auto"/>
            </w:tcBorders>
          </w:tcPr>
          <w:p>
            <w:pPr>
              <w:spacing w:after="0"/>
              <w:rPr>
                <w:sz w:val="10"/>
                <w:szCs w:val="10"/>
                <w:color w:val="auto"/>
              </w:rPr>
            </w:pPr>
          </w:p>
        </w:tc>
        <w:tc>
          <w:tcPr>
            <w:tcW w:w="260" w:type="dxa"/>
            <w:vAlign w:val="bottom"/>
            <w:tcBorders>
              <w:top w:val="single" w:sz="8" w:color="0000EE"/>
              <w:bottom w:val="single" w:sz="8" w:color="auto"/>
            </w:tcBorders>
          </w:tcPr>
          <w:p>
            <w:pPr>
              <w:spacing w:after="0"/>
              <w:rPr>
                <w:sz w:val="10"/>
                <w:szCs w:val="10"/>
                <w:color w:val="auto"/>
              </w:rPr>
            </w:pPr>
          </w:p>
        </w:tc>
        <w:tc>
          <w:tcPr>
            <w:tcW w:w="40" w:type="dxa"/>
            <w:vAlign w:val="bottom"/>
            <w:tcBorders>
              <w:top w:val="single" w:sz="8" w:color="0000EE"/>
              <w:bottom w:val="single" w:sz="8" w:color="auto"/>
            </w:tcBorders>
          </w:tcPr>
          <w:p>
            <w:pPr>
              <w:spacing w:after="0"/>
              <w:rPr>
                <w:sz w:val="10"/>
                <w:szCs w:val="10"/>
                <w:color w:val="auto"/>
              </w:rPr>
            </w:pPr>
          </w:p>
        </w:tc>
        <w:tc>
          <w:tcPr>
            <w:tcW w:w="400" w:type="dxa"/>
            <w:vAlign w:val="bottom"/>
            <w:tcBorders>
              <w:top w:val="single" w:sz="8" w:color="0000EE"/>
              <w:bottom w:val="single" w:sz="8" w:color="auto"/>
            </w:tcBorders>
          </w:tcPr>
          <w:p>
            <w:pPr>
              <w:spacing w:after="0"/>
              <w:rPr>
                <w:sz w:val="10"/>
                <w:szCs w:val="10"/>
                <w:color w:val="auto"/>
              </w:rPr>
            </w:pPr>
          </w:p>
        </w:tc>
        <w:tc>
          <w:tcPr>
            <w:tcW w:w="2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300" w:type="dxa"/>
            <w:vAlign w:val="bottom"/>
            <w:tcBorders>
              <w:top w:val="single" w:sz="8" w:color="0000EE"/>
              <w:bottom w:val="single" w:sz="8" w:color="auto"/>
            </w:tcBorders>
          </w:tcPr>
          <w:p>
            <w:pPr>
              <w:spacing w:after="0"/>
              <w:rPr>
                <w:sz w:val="10"/>
                <w:szCs w:val="10"/>
                <w:color w:val="auto"/>
              </w:rPr>
            </w:pPr>
          </w:p>
        </w:tc>
        <w:tc>
          <w:tcPr>
            <w:tcW w:w="60" w:type="dxa"/>
            <w:vAlign w:val="bottom"/>
            <w:tcBorders>
              <w:top w:val="single" w:sz="8" w:color="0000EE"/>
              <w:bottom w:val="single" w:sz="8" w:color="auto"/>
            </w:tcBorders>
          </w:tcPr>
          <w:p>
            <w:pPr>
              <w:spacing w:after="0"/>
              <w:rPr>
                <w:sz w:val="10"/>
                <w:szCs w:val="10"/>
                <w:color w:val="auto"/>
              </w:rPr>
            </w:pPr>
          </w:p>
        </w:tc>
        <w:tc>
          <w:tcPr>
            <w:tcW w:w="420" w:type="dxa"/>
            <w:vAlign w:val="bottom"/>
            <w:tcBorders>
              <w:top w:val="single" w:sz="8" w:color="0000EE"/>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and NBCUniversal, LLC as “NBCUniversal Holdings.”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is for the three and nine months ended September 30, 2016. This Quarterly Report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36" w:lineRule="exact"/>
        <w:rPr>
          <w:sz w:val="20"/>
          <w:szCs w:val="20"/>
          <w:color w:val="auto"/>
        </w:rPr>
      </w:pP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3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36" w:lineRule="exact"/>
        <w:rPr>
          <w:rFonts w:ascii="Arial" w:cs="Arial" w:eastAsia="Arial" w:hAnsi="Arial"/>
          <w:sz w:val="18"/>
          <w:szCs w:val="18"/>
          <w:color w:val="auto"/>
        </w:rPr>
      </w:pP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ind w:left="1020" w:right="126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ind w:left="1020" w:right="1260" w:hanging="215"/>
        <w:spacing w:after="0" w:line="299"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NBCUniversal’s success depends on consumer acceptance of its content, and its businesses may be adversely affected if its content fails to achieve sufficient consumer acceptance or the costs to create or acquire content increase</w:t>
      </w:r>
    </w:p>
    <w:p>
      <w:pPr>
        <w:ind w:left="1020" w:right="126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ind w:left="1020" w:right="1260" w:hanging="215"/>
        <w:spacing w:after="0" w:line="299"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network and information systems and other technologies, as well as key properties, and a disruption, cyber attack, failure or destruction of such networks, systems, technologies or properties may disrupt our businesses</w:t>
      </w: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3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36" w:lineRule="exact"/>
        <w:rPr>
          <w:rFonts w:ascii="Arial" w:cs="Arial" w:eastAsia="Arial" w:hAnsi="Arial"/>
          <w:sz w:val="18"/>
          <w:szCs w:val="18"/>
          <w:color w:val="auto"/>
        </w:rPr>
      </w:pP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using and protecting certain intellectual property rights and on not infringing the intellectual property rights of others</w:t>
      </w: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initiatives and acquisitions present many risks, and we may not realize the financial and strategic goals that we had contemplated</w:t>
      </w:r>
    </w:p>
    <w:p>
      <w:pPr>
        <w:ind w:left="1020" w:right="1240" w:hanging="215"/>
        <w:spacing w:after="0" w:line="26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36" w:lineRule="exact"/>
        <w:rPr>
          <w:rFonts w:ascii="Arial" w:cs="Arial" w:eastAsia="Arial" w:hAnsi="Arial"/>
          <w:sz w:val="18"/>
          <w:szCs w:val="18"/>
          <w:color w:val="auto"/>
        </w:rPr>
      </w:pPr>
    </w:p>
    <w:p>
      <w:pPr>
        <w:ind w:left="1020" w:hanging="21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36" w:lineRule="exact"/>
        <w:rPr>
          <w:rFonts w:ascii="Arial" w:cs="Arial" w:eastAsia="Arial" w:hAnsi="Arial"/>
          <w:sz w:val="18"/>
          <w:szCs w:val="18"/>
          <w:color w:val="auto"/>
        </w:rPr>
      </w:pPr>
    </w:p>
    <w:p>
      <w:pPr>
        <w:jc w:val="both"/>
        <w:ind w:left="1020" w:right="1240" w:hanging="215"/>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700" w:type="dxa"/>
            <w:vAlign w:val="bottom"/>
            <w:gridSpan w:val="2"/>
          </w:tcPr>
          <w:p>
            <w:pPr>
              <w:ind w:left="600"/>
              <w:spacing w:after="0"/>
              <w:rPr>
                <w:sz w:val="20"/>
                <w:szCs w:val="20"/>
                <w:color w:val="auto"/>
              </w:rPr>
            </w:pPr>
            <w:r>
              <w:rPr>
                <w:rFonts w:ascii="Arial" w:cs="Arial" w:eastAsia="Arial" w:hAnsi="Arial"/>
                <w:sz w:val="14"/>
                <w:szCs w:val="14"/>
                <w:color w:val="auto"/>
              </w:rPr>
              <w:t>September 30,</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r>
      <w:tr>
        <w:trPr>
          <w:trHeight w:val="159"/>
        </w:trPr>
        <w:tc>
          <w:tcPr>
            <w:tcW w:w="86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7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73"/>
              <w:spacing w:after="0" w:line="159" w:lineRule="exact"/>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2,807</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7,533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 rights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1,369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8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current assets</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3,519</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15,228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7,153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3,857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3,224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$49,540 and $48,100</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35,656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59,364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36,652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 of accumulated amortization of $10,678 and $9,868</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17,356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2,658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92"/>
              </w:rPr>
              <w:t>177,924</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r>
        <w:trPr>
          <w:trHeight w:val="309"/>
        </w:trPr>
        <w:tc>
          <w:tcPr>
            <w:tcW w:w="86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60" w:type="dxa"/>
            <w:vAlign w:val="bottom"/>
          </w:tcPr>
          <w:p>
            <w:pPr>
              <w:ind w:left="6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6,594</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participations and residuals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1,570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1,340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1,302</w:t>
            </w: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5,201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5,462</w:t>
            </w:r>
          </w:p>
        </w:tc>
      </w:tr>
      <w:tr>
        <w:trPr>
          <w:trHeight w:val="216"/>
        </w:trPr>
        <w:tc>
          <w:tcPr>
            <w:tcW w:w="8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Current portion of long-term debt</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3,333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18,038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57,095</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34,523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11,119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 (Note 12)</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1,326</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Preferred stock—authorized, 20,000,000 shares; issued, zero</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8"/>
              </w:rPr>
              <w:t>Class A common stock, $0.01 par value—authorized, 7,500,000,000 shares; issued, 2,819,783,533 and</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86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2,869,349,502; outstanding, 2,383,388,019 and 2,432,953,988</w:t>
            </w:r>
          </w:p>
        </w:tc>
        <w:tc>
          <w:tcPr>
            <w:tcW w:w="760" w:type="dxa"/>
            <w:vAlign w:val="bottom"/>
            <w:shd w:val="clear" w:color="auto" w:fill="E5E5E5"/>
          </w:tcPr>
          <w:p>
            <w:pPr>
              <w:spacing w:after="0"/>
              <w:rPr>
                <w:sz w:val="19"/>
                <w:szCs w:val="19"/>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28</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w w:val="94"/>
              </w:rPr>
              <w:t>Class B common stock, $0.01 par value—authorized, 75,000,000 shares; issued and outstanding, 9,444,375</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Additional paid-in capital</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38,426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38,518</w:t>
            </w: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940" w:type="dxa"/>
            <w:vAlign w:val="bottom"/>
          </w:tcPr>
          <w:p>
            <w:pPr>
              <w:jc w:val="right"/>
              <w:ind w:right="233"/>
              <w:spacing w:after="0"/>
              <w:rPr>
                <w:sz w:val="20"/>
                <w:szCs w:val="20"/>
                <w:color w:val="auto"/>
              </w:rPr>
            </w:pPr>
            <w:r>
              <w:rPr>
                <w:rFonts w:ascii="Arial" w:cs="Arial" w:eastAsia="Arial" w:hAnsi="Arial"/>
                <w:sz w:val="18"/>
                <w:szCs w:val="18"/>
                <w:color w:val="auto"/>
              </w:rPr>
              <w:t>22,510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r>
      <w:tr>
        <w:trPr>
          <w:trHeight w:val="216"/>
        </w:trPr>
        <w:tc>
          <w:tcPr>
            <w:tcW w:w="86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Treasury stock, 436,395,514 Class A common shares</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86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10"/>
        </w:trPr>
        <w:tc>
          <w:tcPr>
            <w:tcW w:w="860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7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53,481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2,342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86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7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55,823</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92"/>
              </w:rPr>
              <w:t>177,924</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166,574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right"/>
              <w:ind w:right="393"/>
              <w:spacing w:after="0"/>
              <w:rPr>
                <w:sz w:val="20"/>
                <w:szCs w:val="20"/>
                <w:color w:val="auto"/>
              </w:rPr>
            </w:pPr>
            <w:r>
              <w:rPr>
                <w:rFonts w:ascii="Arial" w:cs="Arial" w:eastAsia="Arial" w:hAnsi="Arial"/>
                <w:sz w:val="14"/>
                <w:szCs w:val="14"/>
                <w:color w:val="auto"/>
                <w:w w:val="94"/>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13"/>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48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57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4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15"/>
              <w:spacing w:after="0" w:line="142" w:lineRule="exact"/>
              <w:rPr>
                <w:sz w:val="20"/>
                <w:szCs w:val="20"/>
                <w:color w:val="auto"/>
              </w:rPr>
            </w:pPr>
            <w:r>
              <w:rPr>
                <w:rFonts w:ascii="Arial" w:cs="Arial" w:eastAsia="Arial" w:hAnsi="Arial"/>
                <w:sz w:val="14"/>
                <w:szCs w:val="14"/>
                <w:color w:val="auto"/>
                <w:w w:val="96"/>
              </w:rPr>
              <w:t>2016</w:t>
            </w:r>
          </w:p>
        </w:tc>
        <w:tc>
          <w:tcPr>
            <w:tcW w:w="280" w:type="dxa"/>
            <w:vAlign w:val="bottom"/>
          </w:tcPr>
          <w:p>
            <w:pPr>
              <w:spacing w:after="0"/>
              <w:rPr>
                <w:sz w:val="12"/>
                <w:szCs w:val="12"/>
                <w:color w:val="auto"/>
              </w:rPr>
            </w:pPr>
          </w:p>
        </w:tc>
        <w:tc>
          <w:tcPr>
            <w:tcW w:w="740" w:type="dxa"/>
            <w:vAlign w:val="bottom"/>
          </w:tcPr>
          <w:p>
            <w:pPr>
              <w:jc w:val="right"/>
              <w:ind w:right="313"/>
              <w:spacing w:after="0" w:line="142" w:lineRule="exact"/>
              <w:rPr>
                <w:sz w:val="20"/>
                <w:szCs w:val="20"/>
                <w:color w:val="auto"/>
              </w:rPr>
            </w:pPr>
            <w:r>
              <w:rPr>
                <w:rFonts w:ascii="Arial" w:cs="Arial" w:eastAsia="Arial" w:hAnsi="Arial"/>
                <w:sz w:val="14"/>
                <w:szCs w:val="14"/>
                <w:color w:val="auto"/>
              </w:rPr>
              <w:t>2015</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w w:val="83"/>
              </w:rPr>
              <w:t>21,319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87"/>
              </w:rPr>
              <w:t>18,669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59,378</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55,265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7,003</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5,582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17,926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16,714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5,994</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5,390</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17,280</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1,487</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1,513</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4,515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5,518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530</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486</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1,544</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83"/>
              </w:rPr>
              <w:t>16,879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87"/>
              </w:rPr>
              <w:t>14,668</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46,783</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43,269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4,440</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4,001</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12,595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7"/>
              </w:rPr>
              <w:t>11,996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(751)</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w w:val="91"/>
              </w:rPr>
              <w:t>(2,186)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4"/>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(53)</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(716)</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(737)</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(1,978)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(1,842)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3,724</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3,264</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w w:val="83"/>
              </w:rPr>
              <w:t>10,617</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w w:val="87"/>
              </w:rPr>
              <w:t>10,154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w w:val="91"/>
              </w:rPr>
              <w:t>(1,400)</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4"/>
              </w:rPr>
              <w:t>(1,223)</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w w:val="91"/>
              </w:rPr>
              <w:t>(3,989)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4"/>
              </w:rPr>
              <w:t>(3,797)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8"/>
                <w:szCs w:val="18"/>
                <w:color w:val="auto"/>
              </w:rPr>
            </w:pPr>
          </w:p>
        </w:tc>
        <w:tc>
          <w:tcPr>
            <w:tcW w:w="720" w:type="dxa"/>
            <w:vAlign w:val="bottom"/>
          </w:tcPr>
          <w:p>
            <w:pPr>
              <w:jc w:val="right"/>
              <w:ind w:right="155"/>
              <w:spacing w:after="0"/>
              <w:rPr>
                <w:sz w:val="20"/>
                <w:szCs w:val="20"/>
                <w:color w:val="auto"/>
              </w:rPr>
            </w:pPr>
            <w:r>
              <w:rPr>
                <w:rFonts w:ascii="Arial" w:cs="Arial" w:eastAsia="Arial" w:hAnsi="Arial"/>
                <w:sz w:val="18"/>
                <w:szCs w:val="18"/>
                <w:color w:val="auto"/>
              </w:rPr>
              <w:t>2,324</w:t>
            </w:r>
          </w:p>
        </w:tc>
        <w:tc>
          <w:tcPr>
            <w:tcW w:w="28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6,628</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 and redeemable subsidiary preferred stock</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2,237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1,996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6,399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6,192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0.93</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0.81</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2.65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5"/>
              <w:spacing w:after="0"/>
              <w:rPr>
                <w:sz w:val="20"/>
                <w:szCs w:val="20"/>
                <w:color w:val="auto"/>
              </w:rPr>
            </w:pPr>
            <w:r>
              <w:rPr>
                <w:rFonts w:ascii="Arial" w:cs="Arial" w:eastAsia="Arial" w:hAnsi="Arial"/>
                <w:sz w:val="18"/>
                <w:szCs w:val="18"/>
                <w:b w:val="1"/>
                <w:bCs w:val="1"/>
                <w:color w:val="auto"/>
              </w:rPr>
              <w:t>0.92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53"/>
              <w:spacing w:after="0"/>
              <w:rPr>
                <w:sz w:val="20"/>
                <w:szCs w:val="20"/>
                <w:color w:val="auto"/>
              </w:rPr>
            </w:pPr>
            <w:r>
              <w:rPr>
                <w:rFonts w:ascii="Arial" w:cs="Arial" w:eastAsia="Arial" w:hAnsi="Arial"/>
                <w:sz w:val="18"/>
                <w:szCs w:val="18"/>
                <w:b w:val="1"/>
                <w:bCs w:val="1"/>
                <w:color w:val="auto"/>
              </w:rPr>
              <w:t>0.80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15"/>
              <w:spacing w:after="0"/>
              <w:rPr>
                <w:sz w:val="20"/>
                <w:szCs w:val="20"/>
                <w:color w:val="auto"/>
              </w:rPr>
            </w:pPr>
            <w:r>
              <w:rPr>
                <w:rFonts w:ascii="Arial" w:cs="Arial" w:eastAsia="Arial" w:hAnsi="Arial"/>
                <w:sz w:val="18"/>
                <w:szCs w:val="18"/>
                <w:b w:val="1"/>
                <w:bCs w:val="1"/>
                <w:color w:val="auto"/>
              </w:rPr>
              <w:t>2.62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b w:val="1"/>
                <w:bCs w:val="1"/>
                <w:color w:val="auto"/>
              </w:rPr>
              <w:t>0.275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0.25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0.825</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0.75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320" w:type="dxa"/>
            <w:vAlign w:val="bottom"/>
            <w:gridSpan w:val="2"/>
          </w:tcPr>
          <w:p>
            <w:pPr>
              <w:jc w:val="right"/>
              <w:ind w:right="434"/>
              <w:spacing w:after="0"/>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27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320" w:type="dxa"/>
            <w:vAlign w:val="bottom"/>
            <w:tcBorders>
              <w:bottom w:val="single" w:sz="8" w:color="auto"/>
            </w:tcBorders>
            <w:gridSpan w:val="2"/>
          </w:tcPr>
          <w:p>
            <w:pPr>
              <w:jc w:val="right"/>
              <w:ind w:right="634"/>
              <w:spacing w:after="0" w:line="159" w:lineRule="exact"/>
              <w:rPr>
                <w:sz w:val="20"/>
                <w:szCs w:val="20"/>
                <w:color w:val="auto"/>
              </w:rPr>
            </w:pPr>
            <w:r>
              <w:rPr>
                <w:rFonts w:ascii="Arial" w:cs="Arial" w:eastAsia="Arial" w:hAnsi="Arial"/>
                <w:sz w:val="14"/>
                <w:szCs w:val="14"/>
                <w:color w:val="auto"/>
              </w:rPr>
              <w:t>September 30</w:t>
            </w:r>
          </w:p>
        </w:tc>
        <w:tc>
          <w:tcPr>
            <w:tcW w:w="1840" w:type="dxa"/>
            <w:vAlign w:val="bottom"/>
            <w:tcBorders>
              <w:bottom w:val="single" w:sz="8" w:color="auto"/>
            </w:tcBorders>
            <w:gridSpan w:val="2"/>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rPr>
              <w:t>2016</w:t>
            </w:r>
          </w:p>
        </w:tc>
        <w:tc>
          <w:tcPr>
            <w:tcW w:w="106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rPr>
              <w:t>2015</w:t>
            </w:r>
          </w:p>
        </w:tc>
        <w:tc>
          <w:tcPr>
            <w:tcW w:w="9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color w:val="auto"/>
              </w:rPr>
              <w:t>2016</w:t>
            </w: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$ 2,324</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$ 2,041</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$ 6,628</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$ 6,357</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3"/>
              </w:rPr>
              <w:t>Unrealized gains (losses) on marketable securities, net of deferred taxes of $—, $—, $(1) and $—</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(1)</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2</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w w:val="98"/>
              </w:rPr>
              <w:t>Deferred gains (losses) on cash flow hedges, net of deferred taxes of $(7), $30, $46 and $40</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12</w:t>
            </w: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(50)</w:t>
            </w:r>
          </w:p>
        </w:tc>
        <w:tc>
          <w:tcPr>
            <w:tcW w:w="9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(79)</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2"/>
              </w:rPr>
              <w:t>Realized (gains) losses on marketable securities, net of deferred taxes of $—, $1, $1 and $1</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w:t>
            </w:r>
          </w:p>
        </w:tc>
        <w:tc>
          <w:tcPr>
            <w:tcW w:w="96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rPr>
              <w:t>(1)</w:t>
            </w:r>
          </w:p>
        </w:tc>
        <w:tc>
          <w:tcPr>
            <w:tcW w:w="88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60" w:type="dxa"/>
            <w:vAlign w:val="bottom"/>
          </w:tcPr>
          <w:p>
            <w:pPr>
              <w:ind w:left="440"/>
              <w:spacing w:after="0"/>
              <w:rPr>
                <w:sz w:val="20"/>
                <w:szCs w:val="20"/>
                <w:color w:val="auto"/>
              </w:rPr>
            </w:pPr>
            <w:r>
              <w:rPr>
                <w:rFonts w:ascii="Arial" w:cs="Arial" w:eastAsia="Arial" w:hAnsi="Arial"/>
                <w:sz w:val="18"/>
                <w:szCs w:val="18"/>
                <w:color w:val="auto"/>
                <w:w w:val="87"/>
              </w:rPr>
              <w:t>Realized (gains) losses on cash flow hedges, net of deferred taxes of $(6), $(20), $(42) and $(26)</w:t>
            </w:r>
          </w:p>
        </w:tc>
        <w:tc>
          <w:tcPr>
            <w:tcW w:w="1260" w:type="dxa"/>
            <w:vAlign w:val="bottom"/>
          </w:tcPr>
          <w:p>
            <w:pPr>
              <w:jc w:val="right"/>
              <w:ind w:right="217"/>
              <w:spacing w:after="0"/>
              <w:rPr>
                <w:sz w:val="20"/>
                <w:szCs w:val="20"/>
                <w:color w:val="auto"/>
              </w:rPr>
            </w:pPr>
            <w:r>
              <w:rPr>
                <w:rFonts w:ascii="Arial" w:cs="Arial" w:eastAsia="Arial" w:hAnsi="Arial"/>
                <w:sz w:val="18"/>
                <w:szCs w:val="18"/>
                <w:color w:val="auto"/>
              </w:rPr>
              <w:t>11</w:t>
            </w:r>
          </w:p>
        </w:tc>
        <w:tc>
          <w:tcPr>
            <w:tcW w:w="1060" w:type="dxa"/>
            <w:vAlign w:val="bottom"/>
          </w:tcPr>
          <w:p>
            <w:pPr>
              <w:jc w:val="right"/>
              <w:ind w:right="214"/>
              <w:spacing w:after="0"/>
              <w:rPr>
                <w:sz w:val="20"/>
                <w:szCs w:val="20"/>
                <w:color w:val="auto"/>
              </w:rPr>
            </w:pPr>
            <w:r>
              <w:rPr>
                <w:rFonts w:ascii="Arial" w:cs="Arial" w:eastAsia="Arial" w:hAnsi="Arial"/>
                <w:sz w:val="18"/>
                <w:szCs w:val="18"/>
                <w:color w:val="auto"/>
              </w:rPr>
              <w:t>32</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73</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$(8), $(2) and $(8)</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14</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$(6), $15, $(122) and $23</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45</w:t>
            </w: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(41)</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532</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2,391</w:t>
            </w:r>
          </w:p>
        </w:tc>
        <w:tc>
          <w:tcPr>
            <w:tcW w:w="106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1,996</w:t>
            </w:r>
          </w:p>
        </w:tc>
        <w:tc>
          <w:tcPr>
            <w:tcW w:w="9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7,157</w:t>
            </w:r>
          </w:p>
        </w:tc>
        <w:tc>
          <w:tcPr>
            <w:tcW w:w="8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w w:val="91"/>
              </w:rPr>
              <w:t>Net (income) loss attributable to noncontrolling interests and redeemable subsidiary preferred stock</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(87)</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(45)</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(229)</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26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(34)</w:t>
            </w:r>
          </w:p>
        </w:tc>
        <w:tc>
          <w:tcPr>
            <w:tcW w:w="106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16</w:t>
            </w:r>
          </w:p>
        </w:tc>
        <w:tc>
          <w:tcPr>
            <w:tcW w:w="96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(321)</w:t>
            </w:r>
          </w:p>
        </w:tc>
        <w:tc>
          <w:tcPr>
            <w:tcW w:w="88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$ 2,270</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$ 1,967</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$ 6,607</w:t>
            </w: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$ 6,143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93"/>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5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2016</w:t>
            </w:r>
          </w:p>
        </w:tc>
        <w:tc>
          <w:tcPr>
            <w:tcW w:w="240" w:type="dxa"/>
            <w:vAlign w:val="bottom"/>
          </w:tcPr>
          <w:p>
            <w:pPr>
              <w:spacing w:after="0"/>
              <w:rPr>
                <w:sz w:val="12"/>
                <w:szCs w:val="12"/>
                <w:color w:val="auto"/>
              </w:rPr>
            </w:pPr>
          </w:p>
        </w:tc>
        <w:tc>
          <w:tcPr>
            <w:tcW w:w="620" w:type="dxa"/>
            <w:vAlign w:val="bottom"/>
          </w:tcPr>
          <w:p>
            <w:pPr>
              <w:jc w:val="right"/>
              <w:ind w:right="19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w w:val="98"/>
              </w:rPr>
              <w:t>13,497</w:t>
            </w:r>
          </w:p>
        </w:tc>
        <w:tc>
          <w:tcPr>
            <w:tcW w:w="2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0"/>
              </w:rPr>
              <w:t>13,813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(6,562)</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44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(1,163)</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Acquisitions and construction of real estate properties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(3,904)</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sales of businesses and investments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44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Deposits</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(1,761)</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w w:val="89"/>
              </w:rPr>
              <w:t>(14,152)</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(7,204)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(repayments of) short-term borrowings, net</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9,231</w:t>
            </w:r>
          </w:p>
        </w:tc>
        <w:tc>
          <w:tcPr>
            <w:tcW w:w="2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(2,994)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Repurchases and retirements of common stock</w:t>
            </w:r>
          </w:p>
        </w:tc>
        <w:tc>
          <w:tcPr>
            <w:tcW w:w="440" w:type="dxa"/>
            <w:vAlign w:val="bottom"/>
          </w:tcPr>
          <w:p>
            <w:pPr>
              <w:spacing w:after="0"/>
              <w:rPr>
                <w:sz w:val="18"/>
                <w:szCs w:val="18"/>
                <w:color w:val="auto"/>
              </w:rPr>
            </w:pPr>
          </w:p>
        </w:tc>
        <w:tc>
          <w:tcPr>
            <w:tcW w:w="760" w:type="dxa"/>
            <w:vAlign w:val="bottom"/>
          </w:tcPr>
          <w:p>
            <w:pPr>
              <w:jc w:val="right"/>
              <w:ind w:right="55"/>
              <w:spacing w:after="0"/>
              <w:rPr>
                <w:sz w:val="20"/>
                <w:szCs w:val="20"/>
                <w:color w:val="auto"/>
              </w:rPr>
            </w:pPr>
            <w:r>
              <w:rPr>
                <w:rFonts w:ascii="Arial" w:cs="Arial" w:eastAsia="Arial" w:hAnsi="Arial"/>
                <w:sz w:val="18"/>
                <w:szCs w:val="18"/>
                <w:color w:val="auto"/>
              </w:rPr>
              <w:t>(3,762)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8"/>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Issuances of common stock</w:t>
            </w:r>
          </w:p>
        </w:tc>
        <w:tc>
          <w:tcPr>
            <w:tcW w:w="4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1,167</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8"/>
              </w:rPr>
              <w:t>(8,626)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Pr>
          <w:p>
            <w:pPr>
              <w:spacing w:after="0"/>
              <w:rPr>
                <w:sz w:val="18"/>
                <w:szCs w:val="18"/>
                <w:color w:val="auto"/>
              </w:rPr>
            </w:pPr>
          </w:p>
        </w:tc>
        <w:tc>
          <w:tcPr>
            <w:tcW w:w="760" w:type="dxa"/>
            <w:vAlign w:val="bottom"/>
          </w:tcPr>
          <w:p>
            <w:pPr>
              <w:jc w:val="right"/>
              <w:ind w:right="115"/>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2,295</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2,807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Borders>
              <w:right w:val="single" w:sz="8" w:color="auto"/>
            </w:tcBorders>
          </w:tcPr>
          <w:p>
            <w:pPr>
              <w:jc w:val="center"/>
              <w:ind w:right="372"/>
              <w:spacing w:after="0"/>
              <w:rPr>
                <w:sz w:val="20"/>
                <w:szCs w:val="20"/>
                <w:color w:val="auto"/>
              </w:rPr>
            </w:pPr>
            <w:r>
              <w:rPr>
                <w:rFonts w:ascii="Arial" w:cs="Arial" w:eastAsia="Arial" w:hAnsi="Arial"/>
                <w:sz w:val="14"/>
                <w:szCs w:val="14"/>
                <w:color w:val="auto"/>
                <w:w w:val="83"/>
              </w:rPr>
              <w:t>Redeemable</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60" w:type="dxa"/>
            <w:vAlign w:val="bottom"/>
            <w:tcBorders>
              <w:right w:val="single" w:sz="8" w:color="auto"/>
            </w:tcBorders>
            <w:gridSpan w:val="2"/>
          </w:tcPr>
          <w:p>
            <w:pPr>
              <w:ind w:left="360"/>
              <w:spacing w:after="0" w:line="149" w:lineRule="exact"/>
              <w:rPr>
                <w:sz w:val="20"/>
                <w:szCs w:val="20"/>
                <w:color w:val="auto"/>
              </w:rPr>
            </w:pPr>
            <w:r>
              <w:rPr>
                <w:rFonts w:ascii="Arial" w:cs="Arial" w:eastAsia="Arial" w:hAnsi="Arial"/>
                <w:sz w:val="14"/>
                <w:szCs w:val="14"/>
                <w:color w:val="auto"/>
              </w:rPr>
              <w:t>Noncontrolling</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6"/>
              </w:rPr>
              <w:t>Interests and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88"/>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Borders>
              <w:right w:val="single" w:sz="8" w:color="auto"/>
            </w:tcBorders>
          </w:tcPr>
          <w:p>
            <w:pPr>
              <w:jc w:val="center"/>
              <w:ind w:right="372"/>
              <w:spacing w:after="0" w:line="149" w:lineRule="exact"/>
              <w:rPr>
                <w:sz w:val="20"/>
                <w:szCs w:val="20"/>
                <w:color w:val="auto"/>
              </w:rPr>
            </w:pPr>
            <w:r>
              <w:rPr>
                <w:rFonts w:ascii="Arial" w:cs="Arial" w:eastAsia="Arial" w:hAnsi="Arial"/>
                <w:sz w:val="14"/>
                <w:szCs w:val="14"/>
                <w:color w:val="auto"/>
                <w:w w:val="83"/>
              </w:rPr>
              <w:t>Redeemable</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color w:val="auto"/>
                <w:w w:val="87"/>
              </w:rPr>
              <w:t>Common Stock</w:t>
            </w:r>
          </w:p>
        </w:tc>
        <w:tc>
          <w:tcPr>
            <w:tcW w:w="340" w:type="dxa"/>
            <w:vAlign w:val="bottom"/>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Additional</w:t>
            </w:r>
          </w:p>
        </w:tc>
        <w:tc>
          <w:tcPr>
            <w:tcW w:w="720" w:type="dxa"/>
            <w:vAlign w:val="bottom"/>
          </w:tcPr>
          <w:p>
            <w:pPr>
              <w:spacing w:after="0"/>
              <w:rPr>
                <w:sz w:val="12"/>
                <w:szCs w:val="12"/>
                <w:color w:val="auto"/>
              </w:rPr>
            </w:pP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Treasury</w:t>
            </w:r>
          </w:p>
        </w:tc>
        <w:tc>
          <w:tcPr>
            <w:tcW w:w="160" w:type="dxa"/>
            <w:vAlign w:val="bottom"/>
          </w:tcPr>
          <w:p>
            <w:pPr>
              <w:spacing w:after="0"/>
              <w:rPr>
                <w:sz w:val="12"/>
                <w:szCs w:val="12"/>
                <w:color w:val="auto"/>
              </w:rPr>
            </w:pPr>
          </w:p>
        </w:tc>
        <w:tc>
          <w:tcPr>
            <w:tcW w:w="920" w:type="dxa"/>
            <w:vAlign w:val="bottom"/>
          </w:tcPr>
          <w:p>
            <w:pPr>
              <w:jc w:val="center"/>
              <w:ind w:right="152"/>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6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Non-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40" w:type="dxa"/>
            <w:vAlign w:val="bottom"/>
            <w:tcBorders>
              <w:right w:val="single" w:sz="8" w:color="auto"/>
            </w:tcBorders>
            <w:vMerge w:val="restart"/>
          </w:tcPr>
          <w:p>
            <w:pPr>
              <w:jc w:val="center"/>
              <w:ind w:right="372"/>
              <w:spacing w:after="0" w:line="149" w:lineRule="exact"/>
              <w:rPr>
                <w:sz w:val="20"/>
                <w:szCs w:val="20"/>
                <w:color w:val="auto"/>
              </w:rPr>
            </w:pPr>
            <w:r>
              <w:rPr>
                <w:rFonts w:ascii="Arial" w:cs="Arial" w:eastAsia="Arial" w:hAnsi="Arial"/>
                <w:sz w:val="14"/>
                <w:szCs w:val="14"/>
                <w:color w:val="auto"/>
                <w:w w:val="88"/>
              </w:rPr>
              <w:t>Subsidiary</w:t>
            </w:r>
          </w:p>
        </w:tc>
        <w:tc>
          <w:tcPr>
            <w:tcW w:w="2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restart"/>
          </w:tcPr>
          <w:p>
            <w:pPr>
              <w:jc w:val="right"/>
              <w:ind w:right="152"/>
              <w:spacing w:after="0" w:line="149" w:lineRule="exact"/>
              <w:rPr>
                <w:sz w:val="20"/>
                <w:szCs w:val="20"/>
                <w:color w:val="auto"/>
              </w:rPr>
            </w:pPr>
            <w:r>
              <w:rPr>
                <w:rFonts w:ascii="Arial" w:cs="Arial" w:eastAsia="Arial" w:hAnsi="Arial"/>
                <w:sz w:val="14"/>
                <w:szCs w:val="14"/>
                <w:color w:val="auto"/>
                <w:w w:val="90"/>
              </w:rPr>
              <w:t>Paid-In</w:t>
            </w:r>
          </w:p>
        </w:tc>
        <w:tc>
          <w:tcPr>
            <w:tcW w:w="720" w:type="dxa"/>
            <w:vAlign w:val="bottom"/>
            <w:vMerge w:val="restart"/>
          </w:tcPr>
          <w:p>
            <w:pPr>
              <w:jc w:val="right"/>
              <w:ind w:right="72"/>
              <w:spacing w:after="0" w:line="149" w:lineRule="exact"/>
              <w:rPr>
                <w:sz w:val="20"/>
                <w:szCs w:val="20"/>
                <w:color w:val="auto"/>
              </w:rPr>
            </w:pPr>
            <w:r>
              <w:rPr>
                <w:rFonts w:ascii="Arial" w:cs="Arial" w:eastAsia="Arial" w:hAnsi="Arial"/>
                <w:sz w:val="14"/>
                <w:szCs w:val="14"/>
                <w:color w:val="auto"/>
                <w:w w:val="99"/>
              </w:rPr>
              <w:t>Retained</w:t>
            </w:r>
          </w:p>
        </w:tc>
        <w:tc>
          <w:tcPr>
            <w:tcW w:w="7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auto"/>
              </w:rPr>
              <w:t>Stock at</w:t>
            </w:r>
          </w:p>
        </w:tc>
        <w:tc>
          <w:tcPr>
            <w:tcW w:w="10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w w:val="97"/>
              </w:rPr>
              <w:t>Comprehensive</w:t>
            </w:r>
          </w:p>
        </w:tc>
        <w:tc>
          <w:tcPr>
            <w:tcW w:w="780" w:type="dxa"/>
            <w:vAlign w:val="bottom"/>
            <w:gridSpan w:val="2"/>
            <w:vMerge w:val="restart"/>
          </w:tcPr>
          <w:p>
            <w:pPr>
              <w:ind w:left="100"/>
              <w:spacing w:after="0" w:line="149" w:lineRule="exact"/>
              <w:rPr>
                <w:sz w:val="20"/>
                <w:szCs w:val="20"/>
                <w:color w:val="auto"/>
              </w:rPr>
            </w:pPr>
            <w:r>
              <w:rPr>
                <w:rFonts w:ascii="Arial" w:cs="Arial" w:eastAsia="Arial" w:hAnsi="Arial"/>
                <w:sz w:val="14"/>
                <w:szCs w:val="14"/>
                <w:color w:val="auto"/>
              </w:rPr>
              <w:t>controlling</w:t>
            </w:r>
          </w:p>
        </w:tc>
        <w:tc>
          <w:tcPr>
            <w:tcW w:w="62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Borders>
              <w:right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3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56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color w:val="auto"/>
              </w:rPr>
              <w:t>Preferred Stock</w:t>
            </w:r>
          </w:p>
        </w:tc>
        <w:tc>
          <w:tcPr>
            <w:tcW w:w="280" w:type="dxa"/>
            <w:vAlign w:val="bottom"/>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A</w:t>
            </w: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A Special</w:t>
            </w:r>
          </w:p>
        </w:tc>
        <w:tc>
          <w:tcPr>
            <w:tcW w:w="340" w:type="dxa"/>
            <w:vAlign w:val="bottom"/>
          </w:tcPr>
          <w:p>
            <w:pPr>
              <w:jc w:val="cente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color w:val="auto"/>
                <w:w w:val="91"/>
              </w:rPr>
              <w:t>Capital</w:t>
            </w: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5"/>
                <w:szCs w:val="15"/>
                <w:color w:val="auto"/>
              </w:rPr>
            </w:pPr>
          </w:p>
        </w:tc>
        <w:tc>
          <w:tcPr>
            <w:tcW w:w="540" w:type="dxa"/>
            <w:vAlign w:val="bottom"/>
          </w:tcPr>
          <w:p>
            <w:pPr>
              <w:jc w:val="right"/>
              <w:ind w:right="192"/>
              <w:spacing w:after="0"/>
              <w:rPr>
                <w:sz w:val="20"/>
                <w:szCs w:val="20"/>
                <w:color w:val="auto"/>
              </w:rPr>
            </w:pPr>
            <w:r>
              <w:rPr>
                <w:rFonts w:ascii="Arial" w:cs="Arial" w:eastAsia="Arial" w:hAnsi="Arial"/>
                <w:sz w:val="14"/>
                <w:szCs w:val="14"/>
                <w:color w:val="auto"/>
                <w:w w:val="90"/>
              </w:rPr>
              <w:t>Cost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87"/>
              </w:rPr>
              <w:t>Income (Loss)</w:t>
            </w:r>
          </w:p>
        </w:tc>
        <w:tc>
          <w:tcPr>
            <w:tcW w:w="1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w w:val="81"/>
              </w:rPr>
              <w:t>Interests</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auto"/>
            </w:tcBorders>
            <w:shd w:val="clear" w:color="auto" w:fill="E5E5E5"/>
          </w:tcPr>
          <w:p>
            <w:pPr>
              <w:spacing w:after="0" w:line="142" w:lineRule="exact"/>
              <w:rPr>
                <w:sz w:val="20"/>
                <w:szCs w:val="20"/>
                <w:color w:val="auto"/>
              </w:rPr>
            </w:pPr>
            <w:r>
              <w:rPr>
                <w:rFonts w:ascii="Arial" w:cs="Arial" w:eastAsia="Arial" w:hAnsi="Arial"/>
                <w:sz w:val="14"/>
                <w:szCs w:val="14"/>
                <w:color w:val="auto"/>
              </w:rPr>
              <w:t>Balance, December 31, 2014</w:t>
            </w:r>
          </w:p>
        </w:tc>
        <w:tc>
          <w:tcPr>
            <w:tcW w:w="420" w:type="dxa"/>
            <w:vAlign w:val="bottom"/>
            <w:tcBorders>
              <w:top w:val="single" w:sz="8" w:color="auto"/>
            </w:tcBorders>
            <w:shd w:val="clear" w:color="auto" w:fill="E5E5E5"/>
          </w:tcPr>
          <w:p>
            <w:pPr>
              <w:ind w:left="340"/>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right w:val="single" w:sz="8" w:color="auto"/>
            </w:tcBorders>
            <w:shd w:val="clear" w:color="auto" w:fill="E5E5E5"/>
          </w:tcPr>
          <w:p>
            <w:pPr>
              <w:jc w:val="right"/>
              <w:ind w:right="292"/>
              <w:spacing w:after="0" w:line="142" w:lineRule="exact"/>
              <w:rPr>
                <w:sz w:val="20"/>
                <w:szCs w:val="20"/>
                <w:color w:val="auto"/>
              </w:rPr>
            </w:pPr>
            <w:r>
              <w:rPr>
                <w:rFonts w:ascii="Arial" w:cs="Arial" w:eastAsia="Arial" w:hAnsi="Arial"/>
                <w:sz w:val="14"/>
                <w:szCs w:val="14"/>
                <w:color w:val="auto"/>
              </w:rPr>
              <w:t>1,066</w:t>
            </w:r>
          </w:p>
        </w:tc>
        <w:tc>
          <w:tcPr>
            <w:tcW w:w="280" w:type="dxa"/>
            <w:vAlign w:val="bottom"/>
            <w:tcBorders>
              <w:top w:val="single" w:sz="8" w:color="auto"/>
            </w:tcBorders>
            <w:shd w:val="clear" w:color="auto" w:fill="E5E5E5"/>
          </w:tcPr>
          <w:p>
            <w:pPr>
              <w:spacing w:after="0"/>
              <w:rPr>
                <w:sz w:val="12"/>
                <w:szCs w:val="12"/>
                <w:color w:val="auto"/>
              </w:rPr>
            </w:pPr>
          </w:p>
        </w:tc>
        <w:tc>
          <w:tcPr>
            <w:tcW w:w="420" w:type="dxa"/>
            <w:vAlign w:val="bottom"/>
            <w:tcBorders>
              <w:top w:val="single" w:sz="8" w:color="auto"/>
            </w:tcBorders>
            <w:shd w:val="clear" w:color="auto" w:fill="E5E5E5"/>
          </w:tcPr>
          <w:p>
            <w:pPr>
              <w:jc w:val="right"/>
              <w:ind w:right="12"/>
              <w:spacing w:after="0" w:line="142" w:lineRule="exact"/>
              <w:rPr>
                <w:sz w:val="20"/>
                <w:szCs w:val="20"/>
                <w:color w:val="auto"/>
              </w:rPr>
            </w:pPr>
            <w:r>
              <w:rPr>
                <w:rFonts w:ascii="Arial" w:cs="Arial" w:eastAsia="Arial" w:hAnsi="Arial"/>
                <w:sz w:val="14"/>
                <w:szCs w:val="14"/>
                <w:color w:val="auto"/>
              </w:rPr>
              <w:t>$25</w:t>
            </w:r>
          </w:p>
        </w:tc>
        <w:tc>
          <w:tcPr>
            <w:tcW w:w="380" w:type="dxa"/>
            <w:vAlign w:val="bottom"/>
            <w:tcBorders>
              <w:top w:val="single" w:sz="8" w:color="auto"/>
            </w:tcBorders>
            <w:shd w:val="clear" w:color="auto" w:fill="E5E5E5"/>
          </w:tcPr>
          <w:p>
            <w:pPr>
              <w:ind w:left="16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E5E5E5"/>
          </w:tcPr>
          <w:p>
            <w:pPr>
              <w:jc w:val="right"/>
              <w:ind w:right="132"/>
              <w:spacing w:after="0" w:line="142" w:lineRule="exact"/>
              <w:rPr>
                <w:sz w:val="20"/>
                <w:szCs w:val="20"/>
                <w:color w:val="auto"/>
              </w:rPr>
            </w:pPr>
            <w:r>
              <w:rPr>
                <w:rFonts w:ascii="Arial" w:cs="Arial" w:eastAsia="Arial" w:hAnsi="Arial"/>
                <w:sz w:val="14"/>
                <w:szCs w:val="14"/>
                <w:color w:val="auto"/>
              </w:rPr>
              <w:t>5</w:t>
            </w:r>
          </w:p>
        </w:tc>
        <w:tc>
          <w:tcPr>
            <w:tcW w:w="340" w:type="dxa"/>
            <w:vAlign w:val="bottom"/>
            <w:tcBorders>
              <w:top w:val="single" w:sz="8" w:color="auto"/>
            </w:tcBorders>
            <w:shd w:val="clear" w:color="auto" w:fill="E5E5E5"/>
          </w:tcPr>
          <w:p>
            <w:pPr>
              <w:jc w:val="center"/>
              <w:spacing w:after="0" w:line="142" w:lineRule="exact"/>
              <w:rPr>
                <w:sz w:val="20"/>
                <w:szCs w:val="20"/>
                <w:color w:val="auto"/>
              </w:rPr>
            </w:pPr>
            <w:r>
              <w:rPr>
                <w:rFonts w:ascii="Arial" w:cs="Arial" w:eastAsia="Arial" w:hAnsi="Arial"/>
                <w:sz w:val="14"/>
                <w:szCs w:val="14"/>
                <w:color w:val="auto"/>
              </w:rPr>
              <w:t>$ —</w:t>
            </w:r>
          </w:p>
        </w:tc>
        <w:tc>
          <w:tcPr>
            <w:tcW w:w="220" w:type="dxa"/>
            <w:vAlign w:val="bottom"/>
            <w:tcBorders>
              <w:top w:val="single" w:sz="8" w:color="auto"/>
            </w:tcBorders>
            <w:shd w:val="clear" w:color="auto" w:fill="E5E5E5"/>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38,805</w:t>
            </w:r>
          </w:p>
        </w:tc>
        <w:tc>
          <w:tcPr>
            <w:tcW w:w="720" w:type="dxa"/>
            <w:vAlign w:val="bottom"/>
            <w:tcBorders>
              <w:top w:val="single" w:sz="8" w:color="auto"/>
            </w:tcBorders>
            <w:shd w:val="clear" w:color="auto" w:fill="E5E5E5"/>
          </w:tcPr>
          <w:p>
            <w:pPr>
              <w:jc w:val="right"/>
              <w:ind w:right="72"/>
              <w:spacing w:after="0" w:line="142" w:lineRule="exact"/>
              <w:rPr>
                <w:sz w:val="20"/>
                <w:szCs w:val="20"/>
                <w:color w:val="auto"/>
              </w:rPr>
            </w:pPr>
            <w:r>
              <w:rPr>
                <w:rFonts w:ascii="Arial" w:cs="Arial" w:eastAsia="Arial" w:hAnsi="Arial"/>
                <w:sz w:val="14"/>
                <w:szCs w:val="14"/>
                <w:color w:val="auto"/>
              </w:rPr>
              <w:t>$ 21,539</w:t>
            </w:r>
          </w:p>
        </w:tc>
        <w:tc>
          <w:tcPr>
            <w:tcW w:w="180" w:type="dxa"/>
            <w:vAlign w:val="bottom"/>
            <w:tcBorders>
              <w:top w:val="single" w:sz="8" w:color="auto"/>
            </w:tcBorders>
            <w:shd w:val="clear" w:color="auto" w:fill="E5E5E5"/>
          </w:tcPr>
          <w:p>
            <w:pPr>
              <w:ind w:left="10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4"/>
              </w:rPr>
              <w:t>(7,517)</w:t>
            </w:r>
          </w:p>
        </w:tc>
        <w:tc>
          <w:tcPr>
            <w:tcW w:w="160" w:type="dxa"/>
            <w:vAlign w:val="bottom"/>
            <w:tcBorders>
              <w:top w:val="single" w:sz="8" w:color="auto"/>
            </w:tcBorders>
            <w:shd w:val="clear" w:color="auto" w:fill="E5E5E5"/>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(146)</w:t>
            </w:r>
          </w:p>
        </w:tc>
        <w:tc>
          <w:tcPr>
            <w:tcW w:w="16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rPr>
              <w:t>357</w:t>
            </w:r>
          </w:p>
        </w:tc>
        <w:tc>
          <w:tcPr>
            <w:tcW w:w="620" w:type="dxa"/>
            <w:vAlign w:val="bottom"/>
            <w:tcBorders>
              <w:top w:val="single" w:sz="8" w:color="auto"/>
            </w:tcBorders>
            <w:shd w:val="clear" w:color="auto" w:fill="E5E5E5"/>
          </w:tcPr>
          <w:p>
            <w:pPr>
              <w:jc w:val="right"/>
              <w:ind w:right="32"/>
              <w:spacing w:after="0" w:line="142" w:lineRule="exact"/>
              <w:rPr>
                <w:sz w:val="20"/>
                <w:szCs w:val="20"/>
                <w:color w:val="auto"/>
              </w:rPr>
            </w:pPr>
            <w:r>
              <w:rPr>
                <w:rFonts w:ascii="Arial" w:cs="Arial" w:eastAsia="Arial" w:hAnsi="Arial"/>
                <w:sz w:val="14"/>
                <w:szCs w:val="14"/>
                <w:color w:val="auto"/>
                <w:w w:val="98"/>
              </w:rPr>
              <w:t>$53,068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573</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(363)</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500" w:type="dxa"/>
            <w:vAlign w:val="bottom"/>
            <w:shd w:val="clear" w:color="auto" w:fill="E5E5E5"/>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(1,155)</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(4,614)</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106</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(1,871)</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42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92"/>
              <w:spacing w:after="0" w:line="159" w:lineRule="exact"/>
              <w:rPr>
                <w:sz w:val="20"/>
                <w:szCs w:val="20"/>
                <w:color w:val="auto"/>
              </w:rPr>
            </w:pPr>
            <w:r>
              <w:rPr>
                <w:rFonts w:ascii="Arial" w:cs="Arial" w:eastAsia="Arial" w:hAnsi="Arial"/>
                <w:sz w:val="14"/>
                <w:szCs w:val="14"/>
                <w:color w:val="auto"/>
              </w:rPr>
              <w:t>12</w:t>
            </w:r>
          </w:p>
        </w:tc>
        <w:tc>
          <w:tcPr>
            <w:tcW w:w="2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(114)</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2"/>
                <w:szCs w:val="12"/>
                <w:color w:val="auto"/>
              </w:rPr>
            </w:pPr>
          </w:p>
        </w:tc>
        <w:tc>
          <w:tcPr>
            <w:tcW w:w="114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67</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187</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420" w:type="dxa"/>
            <w:vAlign w:val="bottom"/>
            <w:tcBorders>
              <w:bottom w:val="single" w:sz="8" w:color="auto"/>
            </w:tcBorders>
            <w:shd w:val="clear" w:color="auto" w:fill="E5E5E5"/>
          </w:tcPr>
          <w:p>
            <w:pPr>
              <w:spacing w:after="0"/>
              <w:rPr>
                <w:sz w:val="12"/>
                <w:szCs w:val="12"/>
                <w:color w:val="auto"/>
              </w:rPr>
            </w:pPr>
          </w:p>
        </w:tc>
        <w:tc>
          <w:tcPr>
            <w:tcW w:w="114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59</w:t>
            </w:r>
          </w:p>
        </w:tc>
        <w:tc>
          <w:tcPr>
            <w:tcW w:w="28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6,192</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2015</w:t>
            </w:r>
          </w:p>
        </w:tc>
        <w:tc>
          <w:tcPr>
            <w:tcW w:w="4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1,204</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$25</w:t>
            </w:r>
          </w:p>
        </w:tc>
        <w:tc>
          <w:tcPr>
            <w:tcW w:w="3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4</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38,516</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$ 20,883</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(195)</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249</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$51,965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Balance, December 31, 2015</w:t>
            </w:r>
          </w:p>
        </w:tc>
        <w:tc>
          <w:tcPr>
            <w:tcW w:w="420" w:type="dxa"/>
            <w:vAlign w:val="bottom"/>
            <w:shd w:val="clear" w:color="auto" w:fill="E5E5E5"/>
          </w:tcPr>
          <w:p>
            <w:pPr>
              <w:ind w:left="340"/>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1,221</w:t>
            </w:r>
          </w:p>
        </w:tc>
        <w:tc>
          <w:tcPr>
            <w:tcW w:w="280" w:type="dxa"/>
            <w:vAlign w:val="bottom"/>
            <w:shd w:val="clear" w:color="auto" w:fill="E5E5E5"/>
          </w:tcPr>
          <w:p>
            <w:pPr>
              <w:spacing w:after="0"/>
              <w:rPr>
                <w:sz w:val="12"/>
                <w:szCs w:val="12"/>
                <w:color w:val="auto"/>
              </w:rPr>
            </w:pPr>
          </w:p>
        </w:tc>
        <w:tc>
          <w:tcPr>
            <w:tcW w:w="42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$29</w:t>
            </w:r>
          </w:p>
        </w:tc>
        <w:tc>
          <w:tcPr>
            <w:tcW w:w="380" w:type="dxa"/>
            <w:vAlign w:val="bottom"/>
            <w:shd w:val="clear" w:color="auto" w:fill="E5E5E5"/>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5E5E5"/>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rPr>
              <w:t>$ —</w:t>
            </w:r>
          </w:p>
        </w:tc>
        <w:tc>
          <w:tcPr>
            <w:tcW w:w="220" w:type="dxa"/>
            <w:vAlign w:val="bottom"/>
            <w:shd w:val="clear" w:color="auto" w:fill="E5E5E5"/>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38,518</w:t>
            </w:r>
          </w:p>
        </w:tc>
        <w:tc>
          <w:tcPr>
            <w:tcW w:w="720" w:type="dxa"/>
            <w:vAlign w:val="bottom"/>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$ 21,413</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4"/>
              </w:rPr>
              <w:t>(7,517)</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(174)</w:t>
            </w:r>
          </w:p>
        </w:tc>
        <w:tc>
          <w:tcPr>
            <w:tcW w:w="160" w:type="dxa"/>
            <w:vAlign w:val="bottom"/>
            <w:shd w:val="clear" w:color="auto" w:fill="E5E5E5"/>
          </w:tcPr>
          <w:p>
            <w:pPr>
              <w:ind w:left="10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1,709</w:t>
            </w:r>
          </w:p>
        </w:tc>
        <w:tc>
          <w:tcPr>
            <w:tcW w:w="6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w w:val="98"/>
              </w:rPr>
              <w:t>$53,978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544</w:t>
            </w: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4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4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jc w:val="right"/>
              <w:ind w:right="12"/>
              <w:spacing w:after="0" w:line="149" w:lineRule="exact"/>
              <w:rPr>
                <w:sz w:val="20"/>
                <w:szCs w:val="20"/>
                <w:color w:val="auto"/>
              </w:rPr>
            </w:pPr>
            <w:r>
              <w:rPr>
                <w:rFonts w:ascii="Arial" w:cs="Arial" w:eastAsia="Arial" w:hAnsi="Arial"/>
                <w:sz w:val="14"/>
                <w:szCs w:val="14"/>
                <w:color w:val="auto"/>
              </w:rPr>
              <w:t>(722)</w:t>
            </w: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(3,039)</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Employee stock purchase plans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117</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Dividends declared</w:t>
            </w:r>
          </w:p>
        </w:tc>
        <w:tc>
          <w:tcPr>
            <w:tcW w:w="420" w:type="dxa"/>
            <w:vAlign w:val="bottom"/>
            <w:shd w:val="clear" w:color="auto" w:fill="E5E5E5"/>
          </w:tcPr>
          <w:p>
            <w:pPr>
              <w:spacing w:after="0"/>
              <w:rPr>
                <w:sz w:val="12"/>
                <w:szCs w:val="12"/>
                <w:color w:val="auto"/>
              </w:rPr>
            </w:pPr>
          </w:p>
        </w:tc>
        <w:tc>
          <w:tcPr>
            <w:tcW w:w="1140" w:type="dxa"/>
            <w:vAlign w:val="bottom"/>
            <w:tcBorders>
              <w:right w:val="single" w:sz="8" w:color="auto"/>
            </w:tcBorders>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42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720" w:type="dxa"/>
            <w:vAlign w:val="bottom"/>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(1,999)</w:t>
            </w:r>
          </w:p>
        </w:tc>
        <w:tc>
          <w:tcPr>
            <w:tcW w:w="180" w:type="dxa"/>
            <w:vAlign w:val="bottom"/>
            <w:shd w:val="clear" w:color="auto" w:fill="E5E5E5"/>
          </w:tcPr>
          <w:p>
            <w:pPr>
              <w:spacing w:after="0"/>
              <w:rPr>
                <w:sz w:val="12"/>
                <w:szCs w:val="12"/>
                <w:color w:val="auto"/>
              </w:rPr>
            </w:pPr>
          </w:p>
        </w:tc>
        <w:tc>
          <w:tcPr>
            <w:tcW w:w="54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42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208</w:t>
            </w: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321</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E5E5E5"/>
          </w:tcPr>
          <w:p>
            <w:pPr>
              <w:spacing w:after="0" w:line="138" w:lineRule="exact"/>
              <w:rPr>
                <w:sz w:val="20"/>
                <w:szCs w:val="20"/>
                <w:color w:val="auto"/>
              </w:rPr>
            </w:pPr>
            <w:r>
              <w:rPr>
                <w:rFonts w:ascii="Arial" w:cs="Arial" w:eastAsia="Arial" w:hAnsi="Arial"/>
                <w:sz w:val="14"/>
                <w:szCs w:val="14"/>
                <w:color w:val="auto"/>
              </w:rPr>
              <w:t>Contributions from (distributions to) noncontrolling</w:t>
            </w:r>
          </w:p>
        </w:tc>
        <w:tc>
          <w:tcPr>
            <w:tcW w:w="420" w:type="dxa"/>
            <w:vAlign w:val="bottom"/>
            <w:shd w:val="clear" w:color="auto" w:fill="E5E5E5"/>
          </w:tcPr>
          <w:p>
            <w:pPr>
              <w:spacing w:after="0"/>
              <w:rPr>
                <w:sz w:val="11"/>
                <w:szCs w:val="11"/>
                <w:color w:val="auto"/>
              </w:rPr>
            </w:pPr>
          </w:p>
        </w:tc>
        <w:tc>
          <w:tcPr>
            <w:tcW w:w="1140" w:type="dxa"/>
            <w:vAlign w:val="bottom"/>
            <w:tcBorders>
              <w:right w:val="single" w:sz="8" w:color="auto"/>
            </w:tcBorders>
            <w:shd w:val="clear" w:color="auto" w:fill="E5E5E5"/>
          </w:tcPr>
          <w:p>
            <w:pPr>
              <w:spacing w:after="0"/>
              <w:rPr>
                <w:sz w:val="11"/>
                <w:szCs w:val="11"/>
                <w:color w:val="auto"/>
              </w:rPr>
            </w:pPr>
          </w:p>
        </w:tc>
        <w:tc>
          <w:tcPr>
            <w:tcW w:w="280" w:type="dxa"/>
            <w:vAlign w:val="bottom"/>
            <w:shd w:val="clear" w:color="auto" w:fill="E5E5E5"/>
          </w:tcPr>
          <w:p>
            <w:pPr>
              <w:spacing w:after="0"/>
              <w:rPr>
                <w:sz w:val="11"/>
                <w:szCs w:val="11"/>
                <w:color w:val="auto"/>
              </w:rPr>
            </w:pPr>
          </w:p>
        </w:tc>
        <w:tc>
          <w:tcPr>
            <w:tcW w:w="42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5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6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180" w:type="dxa"/>
            <w:vAlign w:val="bottom"/>
            <w:shd w:val="clear" w:color="auto" w:fill="E5E5E5"/>
          </w:tcPr>
          <w:p>
            <w:pPr>
              <w:spacing w:after="0"/>
              <w:rPr>
                <w:sz w:val="11"/>
                <w:szCs w:val="11"/>
                <w:color w:val="auto"/>
              </w:rPr>
            </w:pPr>
          </w:p>
        </w:tc>
        <w:tc>
          <w:tcPr>
            <w:tcW w:w="54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6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62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E5E5E5"/>
          </w:tcPr>
          <w:p>
            <w:pPr>
              <w:ind w:left="20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shd w:val="clear" w:color="auto" w:fill="E5E5E5"/>
          </w:tcPr>
          <w:p>
            <w:pPr>
              <w:spacing w:after="0"/>
              <w:rPr>
                <w:sz w:val="13"/>
                <w:szCs w:val="13"/>
                <w:color w:val="auto"/>
              </w:rPr>
            </w:pPr>
          </w:p>
        </w:tc>
        <w:tc>
          <w:tcPr>
            <w:tcW w:w="1140" w:type="dxa"/>
            <w:vAlign w:val="bottom"/>
            <w:tcBorders>
              <w:right w:val="single" w:sz="8" w:color="auto"/>
            </w:tcBorders>
            <w:shd w:val="clear" w:color="auto" w:fill="E5E5E5"/>
          </w:tcPr>
          <w:p>
            <w:pPr>
              <w:jc w:val="right"/>
              <w:ind w:right="252"/>
              <w:spacing w:after="0" w:line="159" w:lineRule="exact"/>
              <w:rPr>
                <w:sz w:val="20"/>
                <w:szCs w:val="20"/>
                <w:color w:val="auto"/>
              </w:rPr>
            </w:pPr>
            <w:r>
              <w:rPr>
                <w:rFonts w:ascii="Arial" w:cs="Arial" w:eastAsia="Arial" w:hAnsi="Arial"/>
                <w:sz w:val="14"/>
                <w:szCs w:val="14"/>
                <w:color w:val="auto"/>
              </w:rPr>
              <w:t>(20)</w:t>
            </w:r>
          </w:p>
        </w:tc>
        <w:tc>
          <w:tcPr>
            <w:tcW w:w="280" w:type="dxa"/>
            <w:vAlign w:val="bottom"/>
            <w:shd w:val="clear" w:color="auto" w:fill="E5E5E5"/>
          </w:tcPr>
          <w:p>
            <w:pPr>
              <w:spacing w:after="0"/>
              <w:rPr>
                <w:sz w:val="13"/>
                <w:szCs w:val="13"/>
                <w:color w:val="auto"/>
              </w:rPr>
            </w:pPr>
          </w:p>
        </w:tc>
        <w:tc>
          <w:tcPr>
            <w:tcW w:w="420" w:type="dxa"/>
            <w:vAlign w:val="bottom"/>
            <w:shd w:val="clear" w:color="auto" w:fill="E5E5E5"/>
          </w:tcPr>
          <w:p>
            <w:pPr>
              <w:spacing w:after="0"/>
              <w:rPr>
                <w:sz w:val="13"/>
                <w:szCs w:val="13"/>
                <w:color w:val="auto"/>
              </w:rPr>
            </w:pPr>
          </w:p>
        </w:tc>
        <w:tc>
          <w:tcPr>
            <w:tcW w:w="380" w:type="dxa"/>
            <w:vAlign w:val="bottom"/>
            <w:shd w:val="clear" w:color="auto" w:fill="E5E5E5"/>
          </w:tcPr>
          <w:p>
            <w:pPr>
              <w:spacing w:after="0"/>
              <w:rPr>
                <w:sz w:val="13"/>
                <w:szCs w:val="13"/>
                <w:color w:val="auto"/>
              </w:rPr>
            </w:pPr>
          </w:p>
        </w:tc>
        <w:tc>
          <w:tcPr>
            <w:tcW w:w="500" w:type="dxa"/>
            <w:vAlign w:val="bottom"/>
            <w:shd w:val="clear" w:color="auto" w:fill="E5E5E5"/>
          </w:tcPr>
          <w:p>
            <w:pPr>
              <w:spacing w:after="0"/>
              <w:rPr>
                <w:sz w:val="13"/>
                <w:szCs w:val="13"/>
                <w:color w:val="auto"/>
              </w:rPr>
            </w:pPr>
          </w:p>
        </w:tc>
        <w:tc>
          <w:tcPr>
            <w:tcW w:w="3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720" w:type="dxa"/>
            <w:vAlign w:val="bottom"/>
            <w:shd w:val="clear" w:color="auto" w:fill="E5E5E5"/>
          </w:tcPr>
          <w:p>
            <w:pPr>
              <w:spacing w:after="0"/>
              <w:rPr>
                <w:sz w:val="13"/>
                <w:szCs w:val="13"/>
                <w:color w:val="auto"/>
              </w:rPr>
            </w:pPr>
          </w:p>
        </w:tc>
        <w:tc>
          <w:tcPr>
            <w:tcW w:w="180" w:type="dxa"/>
            <w:vAlign w:val="bottom"/>
            <w:shd w:val="clear" w:color="auto" w:fill="E5E5E5"/>
          </w:tcPr>
          <w:p>
            <w:pPr>
              <w:spacing w:after="0"/>
              <w:rPr>
                <w:sz w:val="13"/>
                <w:szCs w:val="13"/>
                <w:color w:val="auto"/>
              </w:rPr>
            </w:pPr>
          </w:p>
        </w:tc>
        <w:tc>
          <w:tcPr>
            <w:tcW w:w="54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920" w:type="dxa"/>
            <w:vAlign w:val="bottom"/>
            <w:shd w:val="clear" w:color="auto" w:fill="E5E5E5"/>
          </w:tcPr>
          <w:p>
            <w:pPr>
              <w:spacing w:after="0"/>
              <w:rPr>
                <w:sz w:val="13"/>
                <w:szCs w:val="13"/>
                <w:color w:val="auto"/>
              </w:rPr>
            </w:pPr>
          </w:p>
        </w:tc>
        <w:tc>
          <w:tcPr>
            <w:tcW w:w="160" w:type="dxa"/>
            <w:vAlign w:val="bottom"/>
            <w:shd w:val="clear" w:color="auto" w:fill="E5E5E5"/>
          </w:tcPr>
          <w:p>
            <w:pPr>
              <w:spacing w:after="0"/>
              <w:rPr>
                <w:sz w:val="13"/>
                <w:szCs w:val="13"/>
                <w:color w:val="auto"/>
              </w:rPr>
            </w:pP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(99)</w:t>
            </w:r>
          </w:p>
        </w:tc>
        <w:tc>
          <w:tcPr>
            <w:tcW w:w="620" w:type="dxa"/>
            <w:vAlign w:val="bottom"/>
            <w:shd w:val="clear" w:color="auto" w:fill="E5E5E5"/>
          </w:tcPr>
          <w:p>
            <w:pPr>
              <w:jc w:val="right"/>
              <w:spacing w:after="0" w:line="15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tcPr>
          <w:p>
            <w:pPr>
              <w:spacing w:after="0"/>
              <w:rPr>
                <w:sz w:val="12"/>
                <w:szCs w:val="12"/>
                <w:color w:val="auto"/>
              </w:rPr>
            </w:pPr>
          </w:p>
        </w:tc>
        <w:tc>
          <w:tcPr>
            <w:tcW w:w="114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62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245</w:t>
            </w:r>
          </w:p>
        </w:tc>
        <w:tc>
          <w:tcPr>
            <w:tcW w:w="6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Net income (loss)</w:t>
            </w:r>
          </w:p>
        </w:tc>
        <w:tc>
          <w:tcPr>
            <w:tcW w:w="420" w:type="dxa"/>
            <w:vAlign w:val="bottom"/>
            <w:tcBorders>
              <w:bottom w:val="single" w:sz="8" w:color="auto"/>
            </w:tcBorders>
            <w:shd w:val="clear" w:color="auto" w:fill="E5E5E5"/>
          </w:tcPr>
          <w:p>
            <w:pPr>
              <w:spacing w:after="0"/>
              <w:rPr>
                <w:sz w:val="12"/>
                <w:szCs w:val="12"/>
                <w:color w:val="auto"/>
              </w:rPr>
            </w:pPr>
          </w:p>
        </w:tc>
        <w:tc>
          <w:tcPr>
            <w:tcW w:w="1140" w:type="dxa"/>
            <w:vAlign w:val="bottom"/>
            <w:tcBorders>
              <w:bottom w:val="single" w:sz="8" w:color="auto"/>
              <w:right w:val="single" w:sz="8" w:color="auto"/>
            </w:tcBorders>
            <w:shd w:val="clear" w:color="auto" w:fill="E5E5E5"/>
          </w:tcPr>
          <w:p>
            <w:pPr>
              <w:jc w:val="right"/>
              <w:ind w:right="292"/>
              <w:spacing w:after="0" w:line="149" w:lineRule="exact"/>
              <w:rPr>
                <w:sz w:val="20"/>
                <w:szCs w:val="20"/>
                <w:color w:val="auto"/>
              </w:rPr>
            </w:pPr>
            <w:r>
              <w:rPr>
                <w:rFonts w:ascii="Arial" w:cs="Arial" w:eastAsia="Arial" w:hAnsi="Arial"/>
                <w:sz w:val="14"/>
                <w:szCs w:val="14"/>
                <w:color w:val="auto"/>
              </w:rPr>
              <w:t>63</w:t>
            </w:r>
          </w:p>
        </w:tc>
        <w:tc>
          <w:tcPr>
            <w:tcW w:w="280" w:type="dxa"/>
            <w:vAlign w:val="bottom"/>
            <w:tcBorders>
              <w:bottom w:val="single" w:sz="8" w:color="auto"/>
            </w:tcBorders>
            <w:shd w:val="clear" w:color="auto" w:fill="E5E5E5"/>
          </w:tcPr>
          <w:p>
            <w:pPr>
              <w:spacing w:after="0"/>
              <w:rPr>
                <w:sz w:val="12"/>
                <w:szCs w:val="12"/>
                <w:color w:val="auto"/>
              </w:rPr>
            </w:pPr>
          </w:p>
        </w:tc>
        <w:tc>
          <w:tcPr>
            <w:tcW w:w="420" w:type="dxa"/>
            <w:vAlign w:val="bottom"/>
            <w:tcBorders>
              <w:bottom w:val="single" w:sz="8" w:color="auto"/>
            </w:tcBorders>
            <w:shd w:val="clear" w:color="auto" w:fill="E5E5E5"/>
          </w:tcPr>
          <w:p>
            <w:pPr>
              <w:spacing w:after="0"/>
              <w:rPr>
                <w:sz w:val="12"/>
                <w:szCs w:val="12"/>
                <w:color w:val="auto"/>
              </w:rPr>
            </w:pPr>
          </w:p>
        </w:tc>
        <w:tc>
          <w:tcPr>
            <w:tcW w:w="380" w:type="dxa"/>
            <w:vAlign w:val="bottom"/>
            <w:tcBorders>
              <w:bottom w:val="single" w:sz="8" w:color="auto"/>
            </w:tcBorders>
            <w:shd w:val="clear" w:color="auto" w:fill="E5E5E5"/>
          </w:tcPr>
          <w:p>
            <w:pPr>
              <w:spacing w:after="0"/>
              <w:rPr>
                <w:sz w:val="12"/>
                <w:szCs w:val="12"/>
                <w:color w:val="auto"/>
              </w:rPr>
            </w:pPr>
          </w:p>
        </w:tc>
        <w:tc>
          <w:tcPr>
            <w:tcW w:w="500" w:type="dxa"/>
            <w:vAlign w:val="bottom"/>
            <w:tcBorders>
              <w:bottom w:val="single" w:sz="8" w:color="auto"/>
            </w:tcBorders>
            <w:shd w:val="clear" w:color="auto" w:fill="E5E5E5"/>
          </w:tcPr>
          <w:p>
            <w:pPr>
              <w:spacing w:after="0"/>
              <w:rPr>
                <w:sz w:val="12"/>
                <w:szCs w:val="12"/>
                <w:color w:val="auto"/>
              </w:rPr>
            </w:pPr>
          </w:p>
        </w:tc>
        <w:tc>
          <w:tcPr>
            <w:tcW w:w="340" w:type="dxa"/>
            <w:vAlign w:val="bottom"/>
            <w:tcBorders>
              <w:bottom w:val="single" w:sz="8" w:color="auto"/>
            </w:tcBorders>
            <w:shd w:val="clear" w:color="auto" w:fill="E5E5E5"/>
          </w:tcPr>
          <w:p>
            <w:pPr>
              <w:spacing w:after="0"/>
              <w:rPr>
                <w:sz w:val="12"/>
                <w:szCs w:val="12"/>
                <w:color w:val="auto"/>
              </w:rPr>
            </w:pPr>
          </w:p>
        </w:tc>
        <w:tc>
          <w:tcPr>
            <w:tcW w:w="220" w:type="dxa"/>
            <w:vAlign w:val="bottom"/>
            <w:tcBorders>
              <w:bottom w:val="single" w:sz="8" w:color="auto"/>
            </w:tcBorders>
            <w:shd w:val="clear" w:color="auto" w:fill="E5E5E5"/>
          </w:tcPr>
          <w:p>
            <w:pPr>
              <w:spacing w:after="0"/>
              <w:rPr>
                <w:sz w:val="12"/>
                <w:szCs w:val="12"/>
                <w:color w:val="auto"/>
              </w:rPr>
            </w:pPr>
          </w:p>
        </w:tc>
        <w:tc>
          <w:tcPr>
            <w:tcW w:w="640" w:type="dxa"/>
            <w:vAlign w:val="bottom"/>
            <w:tcBorders>
              <w:bottom w:val="single" w:sz="8" w:color="auto"/>
            </w:tcBorders>
            <w:shd w:val="clear" w:color="auto" w:fill="E5E5E5"/>
          </w:tcPr>
          <w:p>
            <w:pPr>
              <w:spacing w:after="0"/>
              <w:rPr>
                <w:sz w:val="12"/>
                <w:szCs w:val="12"/>
                <w:color w:val="auto"/>
              </w:rPr>
            </w:pPr>
          </w:p>
        </w:tc>
        <w:tc>
          <w:tcPr>
            <w:tcW w:w="720" w:type="dxa"/>
            <w:vAlign w:val="bottom"/>
            <w:tcBorders>
              <w:bottom w:val="single" w:sz="8" w:color="auto"/>
            </w:tcBorders>
            <w:shd w:val="clear" w:color="auto" w:fill="E5E5E5"/>
          </w:tcPr>
          <w:p>
            <w:pPr>
              <w:jc w:val="right"/>
              <w:ind w:right="72"/>
              <w:spacing w:after="0" w:line="149" w:lineRule="exact"/>
              <w:rPr>
                <w:sz w:val="20"/>
                <w:szCs w:val="20"/>
                <w:color w:val="auto"/>
              </w:rPr>
            </w:pPr>
            <w:r>
              <w:rPr>
                <w:rFonts w:ascii="Arial" w:cs="Arial" w:eastAsia="Arial" w:hAnsi="Arial"/>
                <w:sz w:val="14"/>
                <w:szCs w:val="14"/>
                <w:color w:val="auto"/>
              </w:rPr>
              <w:t>6,399</w:t>
            </w:r>
          </w:p>
        </w:tc>
        <w:tc>
          <w:tcPr>
            <w:tcW w:w="180" w:type="dxa"/>
            <w:vAlign w:val="bottom"/>
            <w:tcBorders>
              <w:bottom w:val="single" w:sz="8" w:color="auto"/>
            </w:tcBorders>
            <w:shd w:val="clear" w:color="auto" w:fill="E5E5E5"/>
          </w:tcPr>
          <w:p>
            <w:pPr>
              <w:spacing w:after="0"/>
              <w:rPr>
                <w:sz w:val="12"/>
                <w:szCs w:val="12"/>
                <w:color w:val="auto"/>
              </w:rPr>
            </w:pPr>
          </w:p>
        </w:tc>
        <w:tc>
          <w:tcPr>
            <w:tcW w:w="54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920" w:type="dxa"/>
            <w:vAlign w:val="bottom"/>
            <w:tcBorders>
              <w:bottom w:val="single" w:sz="8" w:color="auto"/>
            </w:tcBorders>
            <w:shd w:val="clear" w:color="auto" w:fill="E5E5E5"/>
          </w:tcPr>
          <w:p>
            <w:pPr>
              <w:spacing w:after="0"/>
              <w:rPr>
                <w:sz w:val="12"/>
                <w:szCs w:val="12"/>
                <w:color w:val="auto"/>
              </w:rPr>
            </w:pPr>
          </w:p>
        </w:tc>
        <w:tc>
          <w:tcPr>
            <w:tcW w:w="160" w:type="dxa"/>
            <w:vAlign w:val="bottom"/>
            <w:tcBorders>
              <w:bottom w:val="single" w:sz="8" w:color="auto"/>
            </w:tcBorders>
            <w:shd w:val="clear" w:color="auto" w:fill="E5E5E5"/>
          </w:tcPr>
          <w:p>
            <w:pPr>
              <w:spacing w:after="0"/>
              <w:rPr>
                <w:sz w:val="12"/>
                <w:szCs w:val="12"/>
                <w:color w:val="auto"/>
              </w:rPr>
            </w:pP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166</w:t>
            </w:r>
          </w:p>
        </w:tc>
        <w:tc>
          <w:tcPr>
            <w:tcW w:w="620" w:type="dxa"/>
            <w:vAlign w:val="bottom"/>
            <w:tcBorders>
              <w:bottom w:val="single" w:sz="8" w:color="auto"/>
            </w:tcBorders>
            <w:shd w:val="clear" w:color="auto" w:fill="E5E5E5"/>
          </w:tcPr>
          <w:p>
            <w:pPr>
              <w:jc w:val="right"/>
              <w:ind w:right="32"/>
              <w:spacing w:after="0" w:line="149" w:lineRule="exact"/>
              <w:rPr>
                <w:sz w:val="20"/>
                <w:szCs w:val="20"/>
                <w:color w:val="auto"/>
              </w:rPr>
            </w:pPr>
            <w:r>
              <w:rPr>
                <w:rFonts w:ascii="Arial" w:cs="Arial" w:eastAsia="Arial" w:hAnsi="Arial"/>
                <w:sz w:val="14"/>
                <w:szCs w:val="14"/>
                <w:color w:val="auto"/>
              </w:rPr>
              <w:t>6,565</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Balance, September 30, 2016</w:t>
            </w:r>
          </w:p>
        </w:tc>
        <w:tc>
          <w:tcPr>
            <w:tcW w:w="42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right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1,326</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$28</w:t>
            </w:r>
          </w:p>
        </w:tc>
        <w:tc>
          <w:tcPr>
            <w:tcW w:w="3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w:t>
            </w:r>
          </w:p>
        </w:tc>
        <w:tc>
          <w:tcPr>
            <w:tcW w:w="2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38,426</w:t>
            </w: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$ 22,510</w:t>
            </w:r>
          </w:p>
        </w:tc>
        <w:tc>
          <w:tcPr>
            <w:tcW w:w="1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4"/>
              </w:rPr>
              <w:t>(7,517)</w:t>
            </w:r>
          </w:p>
        </w:tc>
        <w:tc>
          <w:tcPr>
            <w:tcW w:w="1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34</w:t>
            </w:r>
          </w:p>
        </w:tc>
        <w:tc>
          <w:tcPr>
            <w:tcW w:w="16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2,342</w:t>
            </w:r>
          </w:p>
        </w:tc>
        <w:tc>
          <w:tcPr>
            <w:tcW w:w="6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$55,823</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2016.</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2016, the FASB updated the accounting guidance related to leases. The updated accounting guidance requires lessees to recognize a right-of-use asset and a lease liability on the balance sheet for all leases with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exception of short-term leases.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implement the updated guidance in the first quarter of 2017. As required under the updated guidance, we will prospectively adopt the provisions of this guidance related to the recognition of the excess tax benefits or deficiencies in the statement of income. In addition, upon adoption we will retrospectively adopt the provisions of this guidance related to changes to the statement of cash flows for all periods presented.</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had adopted the provisions of the updated guidance as of January 1, 2016, it would have increased net income attributable to Comcast Corporation by $34 million and $193 million for the three and nine months ended September 30, 2016, respectively. In addition, the updated guidance would have increased net cash provided by operating activities and decreased net cash provided by (used in) financing activities by $493 million for the nine months ended September 30, 2016. The most significant impact of implementing the new guidance is expected to occur in the first quarter of each year as a result of the vesting of restricted stock awards, which primarily occurs in March.</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Three Months Ended September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2"/>
              <w:spacing w:after="0" w:line="131" w:lineRule="exact"/>
              <w:rPr>
                <w:sz w:val="20"/>
                <w:szCs w:val="20"/>
                <w:color w:val="auto"/>
              </w:rPr>
            </w:pPr>
            <w:r>
              <w:rPr>
                <w:rFonts w:ascii="Arial" w:cs="Arial" w:eastAsia="Arial" w:hAnsi="Arial"/>
                <w:sz w:val="14"/>
                <w:szCs w:val="14"/>
                <w:color w:val="auto"/>
                <w:w w:val="86"/>
              </w:rPr>
              <w:t>Net Income</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2"/>
              <w:spacing w:after="0" w:line="149" w:lineRule="exact"/>
              <w:rPr>
                <w:sz w:val="20"/>
                <w:szCs w:val="20"/>
                <w:color w:val="auto"/>
              </w:rPr>
            </w:pPr>
            <w:r>
              <w:rPr>
                <w:rFonts w:ascii="Arial" w:cs="Arial" w:eastAsia="Arial" w:hAnsi="Arial"/>
                <w:sz w:val="14"/>
                <w:szCs w:val="14"/>
                <w:color w:val="auto"/>
                <w:w w:val="90"/>
              </w:rPr>
              <w:t>Attributable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60" w:type="dxa"/>
            <w:vAlign w:val="bottom"/>
          </w:tcPr>
          <w:p>
            <w:pPr>
              <w:spacing w:after="0"/>
              <w:rPr>
                <w:sz w:val="12"/>
                <w:szCs w:val="12"/>
                <w:color w:val="auto"/>
              </w:rPr>
            </w:pP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2"/>
              <w:spacing w:after="0" w:line="159" w:lineRule="exact"/>
              <w:rPr>
                <w:sz w:val="20"/>
                <w:szCs w:val="20"/>
                <w:color w:val="auto"/>
              </w:rPr>
            </w:pPr>
            <w:r>
              <w:rPr>
                <w:rFonts w:ascii="Arial" w:cs="Arial" w:eastAsia="Arial" w:hAnsi="Arial"/>
                <w:sz w:val="14"/>
                <w:szCs w:val="14"/>
                <w:color w:val="auto"/>
                <w:w w:val="90"/>
              </w:rPr>
              <w:t>Corporation</w:t>
            </w:r>
          </w:p>
        </w:tc>
        <w:tc>
          <w:tcPr>
            <w:tcW w:w="760" w:type="dxa"/>
            <w:vAlign w:val="bottom"/>
            <w:tcBorders>
              <w:bottom w:val="single" w:sz="8" w:color="auto"/>
            </w:tcBorders>
          </w:tcPr>
          <w:p>
            <w:pPr>
              <w:jc w:val="right"/>
              <w:ind w:right="6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2,237</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2,403</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0.93</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1,996</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2,472</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0.81</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4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2,237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2,431</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0.92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1,996</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2,502</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0.80</w:t>
            </w:r>
          </w:p>
        </w:tc>
      </w:tr>
      <w:tr>
        <w:trPr>
          <w:trHeight w:val="363"/>
        </w:trPr>
        <w:tc>
          <w:tcPr>
            <w:tcW w:w="5440" w:type="dxa"/>
            <w:vAlign w:val="bottom"/>
          </w:tcPr>
          <w:p>
            <w:pPr>
              <w:spacing w:after="0"/>
              <w:rPr>
                <w:sz w:val="24"/>
                <w:szCs w:val="24"/>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7"/>
              </w:rPr>
              <w:t>Nine Months Ended September 30</w:t>
            </w: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2016</w:t>
            </w:r>
          </w:p>
        </w:tc>
        <w:tc>
          <w:tcPr>
            <w:tcW w:w="4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2015</w:t>
            </w:r>
          </w:p>
        </w:tc>
        <w:tc>
          <w:tcPr>
            <w:tcW w:w="3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5440" w:type="dxa"/>
            <w:vAlign w:val="bottom"/>
          </w:tcPr>
          <w:p>
            <w:pPr>
              <w:spacing w:after="0"/>
              <w:rPr>
                <w:sz w:val="11"/>
                <w:szCs w:val="11"/>
                <w:color w:val="auto"/>
              </w:rPr>
            </w:pPr>
          </w:p>
        </w:tc>
        <w:tc>
          <w:tcPr>
            <w:tcW w:w="1280" w:type="dxa"/>
            <w:vAlign w:val="bottom"/>
            <w:gridSpan w:val="2"/>
          </w:tcPr>
          <w:p>
            <w:pPr>
              <w:jc w:val="center"/>
              <w:ind w:left="24"/>
              <w:spacing w:after="0" w:line="131" w:lineRule="exact"/>
              <w:rPr>
                <w:sz w:val="20"/>
                <w:szCs w:val="20"/>
                <w:color w:val="auto"/>
              </w:rPr>
            </w:pPr>
            <w:r>
              <w:rPr>
                <w:rFonts w:ascii="Arial" w:cs="Arial" w:eastAsia="Arial" w:hAnsi="Arial"/>
                <w:sz w:val="14"/>
                <w:szCs w:val="14"/>
                <w:color w:val="auto"/>
                <w:w w:val="86"/>
              </w:rPr>
              <w:t>Net Income</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5440" w:type="dxa"/>
            <w:vAlign w:val="bottom"/>
          </w:tcPr>
          <w:p>
            <w:pPr>
              <w:spacing w:after="0"/>
              <w:rPr>
                <w:sz w:val="12"/>
                <w:szCs w:val="12"/>
                <w:color w:val="auto"/>
              </w:rPr>
            </w:pPr>
          </w:p>
        </w:tc>
        <w:tc>
          <w:tcPr>
            <w:tcW w:w="1280" w:type="dxa"/>
            <w:vAlign w:val="bottom"/>
            <w:gridSpan w:val="2"/>
          </w:tcPr>
          <w:p>
            <w:pPr>
              <w:jc w:val="center"/>
              <w:ind w:left="24"/>
              <w:spacing w:after="0" w:line="149" w:lineRule="exact"/>
              <w:rPr>
                <w:sz w:val="20"/>
                <w:szCs w:val="20"/>
                <w:color w:val="auto"/>
              </w:rPr>
            </w:pPr>
            <w:r>
              <w:rPr>
                <w:rFonts w:ascii="Arial" w:cs="Arial" w:eastAsia="Arial" w:hAnsi="Arial"/>
                <w:sz w:val="14"/>
                <w:szCs w:val="14"/>
                <w:color w:val="auto"/>
                <w:w w:val="90"/>
              </w:rPr>
              <w:t>Attributable to</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780" w:type="dxa"/>
            <w:vAlign w:val="bottom"/>
          </w:tcPr>
          <w:p>
            <w:pPr>
              <w:spacing w:after="0"/>
              <w:rPr>
                <w:sz w:val="12"/>
                <w:szCs w:val="12"/>
                <w:color w:val="auto"/>
              </w:rPr>
            </w:pP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Per Share</w:t>
            </w:r>
          </w:p>
        </w:tc>
        <w:tc>
          <w:tcPr>
            <w:tcW w:w="340" w:type="dxa"/>
            <w:vAlign w:val="bottom"/>
          </w:tcPr>
          <w:p>
            <w:pPr>
              <w:spacing w:after="0"/>
              <w:rPr>
                <w:sz w:val="12"/>
                <w:szCs w:val="12"/>
                <w:color w:val="auto"/>
              </w:rPr>
            </w:pPr>
          </w:p>
        </w:tc>
        <w:tc>
          <w:tcPr>
            <w:tcW w:w="8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83"/>
              </w:rPr>
              <w:t>Comcast</w:t>
            </w:r>
          </w:p>
        </w:tc>
        <w:tc>
          <w:tcPr>
            <w:tcW w:w="880" w:type="dxa"/>
            <w:vAlign w:val="bottom"/>
          </w:tcPr>
          <w:p>
            <w:pPr>
              <w:spacing w:after="0"/>
              <w:rPr>
                <w:sz w:val="12"/>
                <w:szCs w:val="12"/>
                <w:color w:val="auto"/>
              </w:rPr>
            </w:pP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5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280" w:type="dxa"/>
            <w:vAlign w:val="bottom"/>
            <w:tcBorders>
              <w:bottom w:val="single" w:sz="8" w:color="auto"/>
            </w:tcBorders>
            <w:gridSpan w:val="2"/>
          </w:tcPr>
          <w:p>
            <w:pPr>
              <w:jc w:val="center"/>
              <w:ind w:left="24"/>
              <w:spacing w:after="0" w:line="159" w:lineRule="exact"/>
              <w:rPr>
                <w:sz w:val="20"/>
                <w:szCs w:val="20"/>
                <w:color w:val="auto"/>
              </w:rPr>
            </w:pPr>
            <w:r>
              <w:rPr>
                <w:rFonts w:ascii="Arial" w:cs="Arial" w:eastAsia="Arial" w:hAnsi="Arial"/>
                <w:sz w:val="14"/>
                <w:szCs w:val="14"/>
                <w:color w:val="auto"/>
                <w:w w:val="90"/>
              </w:rPr>
              <w:t>Corporation</w:t>
            </w:r>
          </w:p>
        </w:tc>
        <w:tc>
          <w:tcPr>
            <w:tcW w:w="78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4"/>
                <w:szCs w:val="14"/>
                <w:color w:val="auto"/>
              </w:rPr>
              <w:t>Shares</w:t>
            </w:r>
          </w:p>
        </w:tc>
        <w:tc>
          <w:tcPr>
            <w:tcW w:w="102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rPr>
              <w:t>Amount</w:t>
            </w:r>
          </w:p>
        </w:tc>
        <w:tc>
          <w:tcPr>
            <w:tcW w:w="12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88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54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99"/>
              <w:spacing w:after="0"/>
              <w:rPr>
                <w:sz w:val="20"/>
                <w:szCs w:val="20"/>
                <w:color w:val="auto"/>
              </w:rPr>
            </w:pPr>
            <w:r>
              <w:rPr>
                <w:rFonts w:ascii="Arial" w:cs="Arial" w:eastAsia="Arial" w:hAnsi="Arial"/>
                <w:sz w:val="18"/>
                <w:szCs w:val="18"/>
                <w:color w:val="auto"/>
              </w:rPr>
              <w:t>6,399</w:t>
            </w:r>
          </w:p>
        </w:tc>
        <w:tc>
          <w:tcPr>
            <w:tcW w:w="78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2,419</w:t>
            </w:r>
          </w:p>
        </w:tc>
        <w:tc>
          <w:tcPr>
            <w:tcW w:w="46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6"/>
              </w:rPr>
              <w:t>2.65</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6,192</w:t>
            </w:r>
          </w:p>
        </w:tc>
        <w:tc>
          <w:tcPr>
            <w:tcW w:w="88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2,498</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2.48</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54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9"/>
              </w:rPr>
              <w:t>Assumed exercise or issuance of shares relating to stock plans</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EPS attributable to Comcast Corporation shareholders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6,399</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2,446</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2.62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6,192</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2,530</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2.45</w:t>
            </w:r>
          </w:p>
        </w:tc>
      </w:tr>
    </w:tbl>
    <w:p>
      <w:pPr>
        <w:spacing w:after="0" w:line="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nine months ended September 30, 2016 and 2015.</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w:t>
      </w:r>
    </w:p>
    <w:p>
      <w:pPr>
        <w:spacing w:after="0" w:line="74" w:lineRule="exact"/>
        <w:rPr>
          <w:sz w:val="20"/>
          <w:szCs w:val="20"/>
          <w:color w:val="auto"/>
        </w:rPr>
      </w:pPr>
    </w:p>
    <w:p>
      <w:pPr>
        <w:jc w:val="both"/>
        <w:spacing w:after="0" w:line="331" w:lineRule="auto"/>
        <w:rPr>
          <w:sz w:val="20"/>
          <w:szCs w:val="20"/>
          <w:color w:val="auto"/>
        </w:rPr>
      </w:pPr>
      <w:r>
        <w:rPr>
          <w:rFonts w:ascii="Arial" w:cs="Arial" w:eastAsia="Arial" w:hAnsi="Arial"/>
          <w:sz w:val="15"/>
          <w:szCs w:val="15"/>
          <w:color w:val="auto"/>
        </w:rPr>
        <w:t>On August 22, 2016, we acquired all of the outstanding stock of DreamWorks Animation SKG, Inc. (“DreamWorks”) for $3.8 billion. DreamWorks’ stockholders received $41 in cash for each share of DreamWorks common stock. DreamWorks creates animated feature films, television series and specials, live entertainment and related consumer products. The results of operations for DreamWorks are reported in our Filmed Entertainment segment following the acquisition date.</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transaction is accounted for under the acquisition method of accounting and, accordingly, the assets and liabilities are to be recorded at their fair market values as of the acquisition date. Due to the limited amount of time since the acquisition date, the assets and liabilities of DreamWorks were recorded based primarily on their historical carrying values. We recorded the debt we assumed from DreamWorks at its estimated fair value of $381 million and we recorded a liability related to a tax receivable agreement that DreamWorks had previously entered into with one of its former stockholders (the “tax receivable agreement”) at its estimated fair value of $146 million. The fair value of the assumed debt was primarily based on quoted market values. The fair value of the tax receivable agreement was based on the contractual settlement provisions in the agreement and the value is subject to adjustment. In addition, we recorded deferred income taxes based on our estimate of the tax basis of the acquired assets and valuation allowances based on the expected use of net operating loss carryforwards. The remaining assets and liabilities primarily consisted of goodwill and film and television costs. We will adjust the remaining assets and liabilities to fair value and will record the related deferred income tax adjustments as valuations are completed and we obtain information necessary to complete the analyses, but no later than one year from the acquisition date. For purposes of the preliminary allocation of purchase price, the excess of the total transaction value over the recorded values of the net assets acquired has been recorded as goodwill.</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condensed consolidated statement of cash flows. In addition, during the three months ended September 30, 2016, we repaid all of the assumed debt of DreamWorks (see Note 8).</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and net income attributable to the acquisition of DreamWorks were not material for the three and nine months ended September 30, 2016. During the three months ended September 30, 2016, we incurred severance costs of $50 million, which were recorded in operating costs and expenses in our Filmed Entertainment segment.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13, 2015, NBCUniversal acquired a 51% economic interest in the Universal Studios theme park in Osaka, Japan (“Universal Studios Japan”) for $1.5 billion.</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NBCUniversal’s 51% interest. Universal Studios Japan’s results of operations are reported in our Theme Parks segment following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assets and liabilities of Universal Studios Japan and the 49% noncontrolling interest were recorded at their estimated fair values. During the nine months ended September 30, 2016, we updated the preliminary allocation of purchase price for Universal Studios Japan based on valuation analyses, which primarily resulted in increases to property and equipment and intangible assets and a decrease in goodwill. The changes did not have a material impact on our consolidated financial statements. We may adjust these amounts further as valuations are finalized and we obtain information necessary to complete the analyses, but no later than one year from the acquisition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900" w:type="dxa"/>
            <w:vAlign w:val="bottom"/>
          </w:tcPr>
          <w:p>
            <w:pPr>
              <w:jc w:val="right"/>
              <w:ind w:right="2912"/>
              <w:spacing w:after="0"/>
              <w:rPr>
                <w:sz w:val="20"/>
                <w:szCs w:val="20"/>
                <w:color w:val="auto"/>
              </w:rPr>
            </w:pPr>
            <w:r>
              <w:rPr>
                <w:rFonts w:ascii="Arial" w:cs="Arial" w:eastAsia="Arial" w:hAnsi="Arial"/>
                <w:sz w:val="18"/>
                <w:szCs w:val="18"/>
                <w:b w:val="1"/>
                <w:bCs w:val="1"/>
                <w:color w:val="auto"/>
              </w:rPr>
              <w:t>Preliminary Allocation of Purchase Price</w:t>
            </w:r>
          </w:p>
        </w:tc>
        <w:tc>
          <w:tcPr>
            <w:tcW w:w="102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69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780</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690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690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6900" w:type="dxa"/>
            <w:vAlign w:val="bottom"/>
          </w:tcPr>
          <w:p>
            <w:pPr>
              <w:spacing w:after="0"/>
              <w:rPr>
                <w:sz w:val="18"/>
                <w:szCs w:val="18"/>
                <w:color w:val="auto"/>
              </w:rPr>
            </w:pPr>
          </w:p>
        </w:tc>
        <w:tc>
          <w:tcPr>
            <w:tcW w:w="1020" w:type="dxa"/>
            <w:vAlign w:val="bottom"/>
          </w:tcPr>
          <w:p>
            <w:pPr>
              <w:jc w:val="right"/>
              <w:ind w:right="412"/>
              <w:spacing w:after="0"/>
              <w:rPr>
                <w:sz w:val="20"/>
                <w:szCs w:val="20"/>
                <w:color w:val="auto"/>
              </w:rPr>
            </w:pPr>
            <w:r>
              <w:rPr>
                <w:rFonts w:ascii="Arial" w:cs="Arial" w:eastAsia="Arial" w:hAnsi="Arial"/>
                <w:sz w:val="18"/>
                <w:szCs w:val="18"/>
                <w:color w:val="auto"/>
                <w:w w:val="87"/>
              </w:rPr>
              <w:t>(2,179)</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690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6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w w:val="97"/>
              </w:rPr>
              <w:t>5,118</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6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E5E5E5"/>
          </w:tcPr>
          <w:p>
            <w:pPr>
              <w:jc w:val="right"/>
              <w:ind w:right="472"/>
              <w:spacing w:after="0"/>
              <w:rPr>
                <w:sz w:val="20"/>
                <w:szCs w:val="20"/>
                <w:color w:val="auto"/>
              </w:rPr>
            </w:pPr>
            <w:r>
              <w:rPr>
                <w:rFonts w:ascii="Arial" w:cs="Arial" w:eastAsia="Arial" w:hAnsi="Arial"/>
                <w:sz w:val="18"/>
                <w:szCs w:val="18"/>
                <w:color w:val="auto"/>
                <w:w w:val="97"/>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for the three and nine months ended September 30, 2016 included $424 million and $1.1 billion, respectively, from the acquisition of Universal Studios Japan. Our consolidated net income attributable to Comcast Corporation for the three and nine months ended September 30, 2016 included $48 million and $76 million, respectively, from the acquisition of Universal Studios Japan.</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of Universal Studios Japan occurred on January 1, 2014. This information is primarily based on historical results of operations and is subject to change as valuations are finalized.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Results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680" w:type="dxa"/>
            <w:vAlign w:val="bottom"/>
            <w:gridSpan w:val="2"/>
          </w:tcPr>
          <w:p>
            <w:pPr>
              <w:ind w:left="960"/>
              <w:spacing w:after="0"/>
              <w:rPr>
                <w:sz w:val="20"/>
                <w:szCs w:val="20"/>
                <w:color w:val="auto"/>
              </w:rPr>
            </w:pPr>
            <w:r>
              <w:rPr>
                <w:rFonts w:ascii="Arial" w:cs="Arial" w:eastAsia="Arial" w:hAnsi="Arial"/>
                <w:sz w:val="14"/>
                <w:szCs w:val="14"/>
                <w:color w:val="auto"/>
              </w:rPr>
              <w:t>Three Months Ended</w:t>
            </w:r>
          </w:p>
        </w:tc>
        <w:tc>
          <w:tcPr>
            <w:tcW w:w="1780" w:type="dxa"/>
            <w:vAlign w:val="bottom"/>
            <w:gridSpan w:val="2"/>
          </w:tcPr>
          <w:p>
            <w:pPr>
              <w:ind w:left="600"/>
              <w:spacing w:after="0"/>
              <w:rPr>
                <w:sz w:val="20"/>
                <w:szCs w:val="20"/>
                <w:color w:val="auto"/>
              </w:rPr>
            </w:pPr>
            <w:r>
              <w:rPr>
                <w:rFonts w:ascii="Arial" w:cs="Arial" w:eastAsia="Arial" w:hAnsi="Arial"/>
                <w:sz w:val="14"/>
                <w:szCs w:val="14"/>
                <w:color w:val="auto"/>
                <w:w w:val="94"/>
              </w:rPr>
              <w:t>Nine Months Ended</w:t>
            </w:r>
          </w:p>
        </w:tc>
      </w:tr>
      <w:tr>
        <w:trPr>
          <w:trHeight w:val="159"/>
        </w:trPr>
        <w:tc>
          <w:tcPr>
            <w:tcW w:w="6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amounts)</w:t>
            </w:r>
          </w:p>
        </w:tc>
        <w:tc>
          <w:tcPr>
            <w:tcW w:w="2680" w:type="dxa"/>
            <w:vAlign w:val="bottom"/>
            <w:tcBorders>
              <w:bottom w:val="single" w:sz="8" w:color="auto"/>
            </w:tcBorders>
            <w:gridSpan w:val="2"/>
          </w:tcPr>
          <w:p>
            <w:pPr>
              <w:ind w:left="980"/>
              <w:spacing w:after="0" w:line="159" w:lineRule="exact"/>
              <w:rPr>
                <w:sz w:val="20"/>
                <w:szCs w:val="20"/>
                <w:color w:val="auto"/>
              </w:rPr>
            </w:pPr>
            <w:r>
              <w:rPr>
                <w:rFonts w:ascii="Arial" w:cs="Arial" w:eastAsia="Arial" w:hAnsi="Arial"/>
                <w:sz w:val="14"/>
                <w:szCs w:val="14"/>
                <w:color w:val="auto"/>
              </w:rPr>
              <w:t>September 30, 2015</w:t>
            </w:r>
          </w:p>
        </w:tc>
        <w:tc>
          <w:tcPr>
            <w:tcW w:w="1780" w:type="dxa"/>
            <w:vAlign w:val="bottom"/>
            <w:tcBorders>
              <w:bottom w:val="single" w:sz="8" w:color="auto"/>
            </w:tcBorders>
            <w:gridSpan w:val="2"/>
          </w:tcPr>
          <w:p>
            <w:pPr>
              <w:ind w:left="600"/>
              <w:spacing w:after="0" w:line="159" w:lineRule="exact"/>
              <w:rPr>
                <w:sz w:val="20"/>
                <w:szCs w:val="20"/>
                <w:color w:val="auto"/>
              </w:rPr>
            </w:pPr>
            <w:r>
              <w:rPr>
                <w:rFonts w:ascii="Arial" w:cs="Arial" w:eastAsia="Arial" w:hAnsi="Arial"/>
                <w:sz w:val="14"/>
                <w:szCs w:val="14"/>
                <w:color w:val="auto"/>
                <w:w w:val="91"/>
              </w:rPr>
              <w:t>September 30, 2015</w:t>
            </w:r>
          </w:p>
        </w:tc>
      </w:tr>
      <w:tr>
        <w:trPr>
          <w:trHeight w:val="210"/>
        </w:trPr>
        <w:tc>
          <w:tcPr>
            <w:tcW w:w="69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E5E5E5"/>
          </w:tcPr>
          <w:p>
            <w:pPr>
              <w:ind w:left="9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19,013</w:t>
            </w:r>
          </w:p>
        </w:tc>
        <w:tc>
          <w:tcPr>
            <w:tcW w:w="94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56,147</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320" w:type="dxa"/>
            <w:vAlign w:val="bottom"/>
          </w:tcPr>
          <w:p>
            <w:pPr>
              <w:ind w:left="9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2,113</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6,498</w:t>
            </w:r>
          </w:p>
        </w:tc>
      </w:tr>
      <w:tr>
        <w:trPr>
          <w:trHeight w:val="216"/>
        </w:trPr>
        <w:tc>
          <w:tcPr>
            <w:tcW w:w="696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1320" w:type="dxa"/>
            <w:vAlign w:val="bottom"/>
            <w:shd w:val="clear" w:color="auto" w:fill="E5E5E5"/>
          </w:tcPr>
          <w:p>
            <w:pPr>
              <w:ind w:left="9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2,033</w:t>
            </w:r>
          </w:p>
        </w:tc>
        <w:tc>
          <w:tcPr>
            <w:tcW w:w="940" w:type="dxa"/>
            <w:vAlign w:val="bottom"/>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6,263</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1320" w:type="dxa"/>
            <w:vAlign w:val="bottom"/>
          </w:tcPr>
          <w:p>
            <w:pPr>
              <w:ind w:left="9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2"/>
              <w:spacing w:after="0"/>
              <w:rPr>
                <w:sz w:val="20"/>
                <w:szCs w:val="20"/>
                <w:color w:val="auto"/>
              </w:rPr>
            </w:pPr>
            <w:r>
              <w:rPr>
                <w:rFonts w:ascii="Arial" w:cs="Arial" w:eastAsia="Arial" w:hAnsi="Arial"/>
                <w:sz w:val="18"/>
                <w:szCs w:val="18"/>
                <w:color w:val="auto"/>
              </w:rPr>
              <w:t>0.82</w:t>
            </w:r>
          </w:p>
        </w:tc>
        <w:tc>
          <w:tcPr>
            <w:tcW w:w="94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2.51</w:t>
            </w:r>
          </w:p>
        </w:tc>
      </w:tr>
      <w:tr>
        <w:trPr>
          <w:trHeight w:val="216"/>
        </w:trPr>
        <w:tc>
          <w:tcPr>
            <w:tcW w:w="6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1320" w:type="dxa"/>
            <w:vAlign w:val="bottom"/>
            <w:tcBorders>
              <w:bottom w:val="single" w:sz="8" w:color="auto"/>
            </w:tcBorders>
            <w:shd w:val="clear" w:color="auto" w:fill="E5E5E5"/>
          </w:tcPr>
          <w:p>
            <w:pPr>
              <w:ind w:left="9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E5E5E5"/>
          </w:tcPr>
          <w:p>
            <w:pPr>
              <w:jc w:val="right"/>
              <w:ind w:right="492"/>
              <w:spacing w:after="0"/>
              <w:rPr>
                <w:sz w:val="20"/>
                <w:szCs w:val="20"/>
                <w:color w:val="auto"/>
              </w:rPr>
            </w:pPr>
            <w:r>
              <w:rPr>
                <w:rFonts w:ascii="Arial" w:cs="Arial" w:eastAsia="Arial" w:hAnsi="Arial"/>
                <w:sz w:val="18"/>
                <w:szCs w:val="18"/>
                <w:color w:val="auto"/>
              </w:rPr>
              <w:t>0.81</w:t>
            </w:r>
          </w:p>
        </w:tc>
        <w:tc>
          <w:tcPr>
            <w:tcW w:w="94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2.48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100" w:type="dxa"/>
            <w:vAlign w:val="bottom"/>
            <w:gridSpan w:val="2"/>
          </w:tcPr>
          <w:p>
            <w:pPr>
              <w:ind w:left="29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6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tcPr>
          <w:p>
            <w:pPr>
              <w:ind w:left="2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1,586</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1,275</w:t>
            </w: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222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226</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1,402</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3,210</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2,408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Television Costs:</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1,839</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1,573</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886</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2,725</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2,310</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2,587</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2,350</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8,522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7,068</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1,369</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1,213</w:t>
            </w:r>
          </w:p>
        </w:tc>
      </w:tr>
      <w:tr>
        <w:trPr>
          <w:trHeight w:val="217"/>
        </w:trPr>
        <w:tc>
          <w:tcPr>
            <w:tcW w:w="6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080" w:type="dxa"/>
            <w:vAlign w:val="bottom"/>
            <w:tcBorders>
              <w:bottom w:val="single" w:sz="8" w:color="auto"/>
            </w:tcBorders>
            <w:shd w:val="clear" w:color="auto" w:fill="E5E5E5"/>
          </w:tcPr>
          <w:p>
            <w:pPr>
              <w:ind w:left="29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7,153</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5,855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420" w:type="dxa"/>
            <w:vAlign w:val="bottom"/>
            <w:gridSpan w:val="2"/>
          </w:tcPr>
          <w:p>
            <w:pPr>
              <w:ind w:left="52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37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4"/>
              <w:spacing w:after="0" w:line="159" w:lineRule="exact"/>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5380" w:type="dxa"/>
            <w:vAlign w:val="bottom"/>
            <w:shd w:val="clear" w:color="auto" w:fill="E5E5E5"/>
          </w:tcPr>
          <w:p>
            <w:pPr>
              <w:ind w:left="5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Method:</w:t>
            </w:r>
          </w:p>
        </w:tc>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7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Atairos</w:t>
            </w:r>
          </w:p>
        </w:tc>
        <w:tc>
          <w:tcPr>
            <w:tcW w:w="5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363</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Hulu</w:t>
            </w:r>
          </w:p>
        </w:tc>
        <w:tc>
          <w:tcPr>
            <w:tcW w:w="53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184</w:t>
            </w:r>
          </w:p>
        </w:tc>
      </w:tr>
      <w:tr>
        <w:trPr>
          <w:trHeight w:val="216"/>
        </w:trPr>
        <w:tc>
          <w:tcPr>
            <w:tcW w:w="37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3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563</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494</w:t>
            </w:r>
          </w:p>
        </w:tc>
      </w:tr>
      <w:tr>
        <w:trPr>
          <w:trHeight w:val="210"/>
        </w:trPr>
        <w:tc>
          <w:tcPr>
            <w:tcW w:w="37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1,212</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678</w:t>
            </w:r>
          </w:p>
        </w:tc>
      </w:tr>
      <w:tr>
        <w:trPr>
          <w:trHeight w:val="216"/>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Cost Method:</w:t>
            </w:r>
          </w:p>
        </w:tc>
        <w:tc>
          <w:tcPr>
            <w:tcW w:w="53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3720" w:type="dxa"/>
            <w:vAlign w:val="bottom"/>
          </w:tcPr>
          <w:p>
            <w:pPr>
              <w:ind w:left="440"/>
              <w:spacing w:after="0"/>
              <w:rPr>
                <w:sz w:val="20"/>
                <w:szCs w:val="20"/>
                <w:color w:val="auto"/>
              </w:rPr>
            </w:pPr>
            <w:r>
              <w:rPr>
                <w:rFonts w:ascii="Arial" w:cs="Arial" w:eastAsia="Arial" w:hAnsi="Arial"/>
                <w:sz w:val="18"/>
                <w:szCs w:val="18"/>
                <w:color w:val="auto"/>
              </w:rPr>
              <w:t>AirTouch</w:t>
            </w:r>
          </w:p>
        </w:tc>
        <w:tc>
          <w:tcPr>
            <w:tcW w:w="5380" w:type="dxa"/>
            <w:vAlign w:val="bottom"/>
          </w:tcPr>
          <w:p>
            <w:pPr>
              <w:spacing w:after="0"/>
              <w:rPr>
                <w:sz w:val="18"/>
                <w:szCs w:val="18"/>
                <w:color w:val="auto"/>
              </w:rPr>
            </w:pPr>
          </w:p>
        </w:tc>
        <w:tc>
          <w:tcPr>
            <w:tcW w:w="1040" w:type="dxa"/>
            <w:vAlign w:val="bottom"/>
          </w:tcPr>
          <w:p>
            <w:pPr>
              <w:jc w:val="right"/>
              <w:ind w:right="334"/>
              <w:spacing w:after="0"/>
              <w:rPr>
                <w:sz w:val="20"/>
                <w:szCs w:val="20"/>
                <w:color w:val="auto"/>
              </w:rPr>
            </w:pPr>
            <w:r>
              <w:rPr>
                <w:rFonts w:ascii="Arial" w:cs="Arial" w:eastAsia="Arial" w:hAnsi="Arial"/>
                <w:sz w:val="18"/>
                <w:szCs w:val="18"/>
                <w:color w:val="auto"/>
              </w:rPr>
              <w:t>1,595</w:t>
            </w:r>
          </w:p>
        </w:tc>
        <w:tc>
          <w:tcPr>
            <w:tcW w:w="5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1,583</w:t>
            </w:r>
          </w:p>
        </w:tc>
      </w:tr>
      <w:tr>
        <w:trPr>
          <w:trHeight w:val="216"/>
        </w:trPr>
        <w:tc>
          <w:tcPr>
            <w:tcW w:w="37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380" w:type="dxa"/>
            <w:vAlign w:val="bottom"/>
            <w:tcBorders>
              <w:bottom w:val="single" w:sz="8" w:color="auto"/>
            </w:tcBorders>
            <w:shd w:val="clear" w:color="auto" w:fill="E5E5E5"/>
          </w:tcPr>
          <w:p>
            <w:pPr>
              <w:spacing w:after="0"/>
              <w:rPr>
                <w:sz w:val="18"/>
                <w:szCs w:val="18"/>
                <w:color w:val="auto"/>
              </w:rPr>
            </w:pPr>
          </w:p>
        </w:tc>
        <w:tc>
          <w:tcPr>
            <w:tcW w:w="104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color w:val="auto"/>
              </w:rPr>
              <w:t>938</w:t>
            </w:r>
          </w:p>
        </w:tc>
        <w:tc>
          <w:tcPr>
            <w:tcW w:w="5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902</w:t>
            </w:r>
          </w:p>
        </w:tc>
      </w:tr>
      <w:tr>
        <w:trPr>
          <w:trHeight w:val="210"/>
        </w:trPr>
        <w:tc>
          <w:tcPr>
            <w:tcW w:w="37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2,533</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2,485</w:t>
            </w:r>
          </w:p>
        </w:tc>
      </w:tr>
      <w:tr>
        <w:trPr>
          <w:trHeight w:val="210"/>
        </w:trPr>
        <w:tc>
          <w:tcPr>
            <w:tcW w:w="372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538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3,911</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3,330</w:t>
            </w:r>
          </w:p>
        </w:tc>
      </w:tr>
      <w:tr>
        <w:trPr>
          <w:trHeight w:val="216"/>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5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54</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r>
      <w:tr>
        <w:trPr>
          <w:trHeight w:val="217"/>
        </w:trPr>
        <w:tc>
          <w:tcPr>
            <w:tcW w:w="37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5380" w:type="dxa"/>
            <w:vAlign w:val="bottom"/>
            <w:tcBorders>
              <w:bottom w:val="single" w:sz="8" w:color="auto"/>
            </w:tcBorders>
            <w:shd w:val="clear" w:color="auto" w:fill="E5E5E5"/>
          </w:tcPr>
          <w:p>
            <w:pPr>
              <w:ind w:left="52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334"/>
              <w:spacing w:after="0"/>
              <w:rPr>
                <w:sz w:val="20"/>
                <w:szCs w:val="20"/>
                <w:color w:val="auto"/>
              </w:rPr>
            </w:pPr>
            <w:r>
              <w:rPr>
                <w:rFonts w:ascii="Arial" w:cs="Arial" w:eastAsia="Arial" w:hAnsi="Arial"/>
                <w:sz w:val="18"/>
                <w:szCs w:val="18"/>
                <w:b w:val="1"/>
                <w:bCs w:val="1"/>
                <w:color w:val="auto"/>
              </w:rPr>
              <w:t>3,857</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3,224</w:t>
            </w:r>
          </w:p>
        </w:tc>
      </w:tr>
      <w:tr>
        <w:trPr>
          <w:trHeight w:val="363"/>
        </w:trPr>
        <w:tc>
          <w:tcPr>
            <w:tcW w:w="3720" w:type="dxa"/>
            <w:vAlign w:val="bottom"/>
          </w:tcPr>
          <w:p>
            <w:pPr>
              <w:spacing w:after="0"/>
              <w:rPr>
                <w:sz w:val="24"/>
                <w:szCs w:val="24"/>
                <w:color w:val="auto"/>
              </w:rPr>
            </w:pPr>
          </w:p>
        </w:tc>
        <w:tc>
          <w:tcPr>
            <w:tcW w:w="5380" w:type="dxa"/>
            <w:vAlign w:val="bottom"/>
          </w:tcPr>
          <w:p>
            <w:pPr>
              <w:jc w:val="right"/>
              <w:ind w:right="3197"/>
              <w:spacing w:after="0"/>
              <w:rPr>
                <w:sz w:val="20"/>
                <w:szCs w:val="20"/>
                <w:color w:val="auto"/>
              </w:rPr>
            </w:pPr>
            <w:r>
              <w:rPr>
                <w:rFonts w:ascii="Arial" w:cs="Arial" w:eastAsia="Arial" w:hAnsi="Arial"/>
                <w:sz w:val="18"/>
                <w:szCs w:val="18"/>
                <w:color w:val="auto"/>
              </w:rPr>
              <w:t>10</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gridSpan w:val="3"/>
          </w:tcPr>
          <w:p>
            <w:pPr>
              <w:jc w:val="right"/>
              <w:ind w:right="495"/>
              <w:spacing w:after="0"/>
              <w:rPr>
                <w:sz w:val="20"/>
                <w:szCs w:val="20"/>
                <w:color w:val="auto"/>
              </w:rPr>
            </w:pPr>
            <w:r>
              <w:rPr>
                <w:rFonts w:ascii="Arial" w:cs="Arial" w:eastAsia="Arial" w:hAnsi="Arial"/>
                <w:sz w:val="14"/>
                <w:szCs w:val="14"/>
                <w:color w:val="auto"/>
                <w:w w:val="97"/>
              </w:rPr>
              <w:t>Three Months Ended</w:t>
            </w:r>
          </w:p>
        </w:tc>
        <w:tc>
          <w:tcPr>
            <w:tcW w:w="380" w:type="dxa"/>
            <w:vAlign w:val="bottom"/>
          </w:tcPr>
          <w:p>
            <w:pPr>
              <w:spacing w:after="0"/>
              <w:rPr>
                <w:sz w:val="14"/>
                <w:szCs w:val="14"/>
                <w:color w:val="auto"/>
              </w:rPr>
            </w:pPr>
          </w:p>
        </w:tc>
        <w:tc>
          <w:tcPr>
            <w:tcW w:w="1680" w:type="dxa"/>
            <w:vAlign w:val="bottom"/>
            <w:gridSpan w:val="3"/>
          </w:tcPr>
          <w:p>
            <w:pPr>
              <w:jc w:val="right"/>
              <w:ind w:right="31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color w:val="auto"/>
                <w:w w:val="83"/>
              </w:rPr>
              <w:t>2015</w:t>
            </w: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8"/>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24</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3</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39</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600" w:type="dxa"/>
            <w:vAlign w:val="bottom"/>
          </w:tcPr>
          <w:p>
            <w:pPr>
              <w:spacing w:after="0"/>
              <w:rPr>
                <w:sz w:val="18"/>
                <w:szCs w:val="18"/>
                <w:color w:val="auto"/>
              </w:rPr>
            </w:pPr>
          </w:p>
        </w:tc>
        <w:tc>
          <w:tcPr>
            <w:tcW w:w="760" w:type="dxa"/>
            <w:vAlign w:val="bottom"/>
          </w:tcPr>
          <w:p>
            <w:pPr>
              <w:jc w:val="right"/>
              <w:ind w:right="198"/>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760" w:type="dxa"/>
            <w:vAlign w:val="bottom"/>
          </w:tcPr>
          <w:p>
            <w:pPr>
              <w:jc w:val="right"/>
              <w:ind w:right="178"/>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6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6880" w:type="dxa"/>
            <w:vAlign w:val="bottom"/>
          </w:tcPr>
          <w:p>
            <w:pPr>
              <w:spacing w:after="0"/>
              <w:rPr>
                <w:sz w:val="20"/>
                <w:szCs w:val="20"/>
                <w:color w:val="auto"/>
              </w:rPr>
            </w:pPr>
            <w:r>
              <w:rPr>
                <w:rFonts w:ascii="Arial" w:cs="Arial" w:eastAsia="Arial" w:hAnsi="Arial"/>
                <w:sz w:val="18"/>
                <w:szCs w:val="18"/>
                <w:color w:val="auto"/>
                <w:w w:val="91"/>
              </w:rPr>
              <w:t>Mark to market adjustments on derivative component of prepaid forward sale agreements and</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20"/>
              <w:spacing w:after="0"/>
              <w:rPr>
                <w:sz w:val="20"/>
                <w:szCs w:val="20"/>
                <w:color w:val="auto"/>
              </w:rPr>
            </w:pPr>
            <w:r>
              <w:rPr>
                <w:rFonts w:ascii="Arial" w:cs="Arial" w:eastAsia="Arial" w:hAnsi="Arial"/>
                <w:sz w:val="18"/>
                <w:szCs w:val="18"/>
                <w:color w:val="auto"/>
              </w:rPr>
              <w:t>indexed debt instruments</w:t>
            </w:r>
          </w:p>
        </w:tc>
        <w:tc>
          <w:tcPr>
            <w:tcW w:w="600" w:type="dxa"/>
            <w:vAlign w:val="bottom"/>
          </w:tcPr>
          <w:p>
            <w:pPr>
              <w:spacing w:after="0"/>
              <w:rPr>
                <w:sz w:val="19"/>
                <w:szCs w:val="19"/>
                <w:color w:val="auto"/>
              </w:rPr>
            </w:pPr>
          </w:p>
        </w:tc>
        <w:tc>
          <w:tcPr>
            <w:tcW w:w="760" w:type="dxa"/>
            <w:vAlign w:val="bottom"/>
          </w:tcPr>
          <w:p>
            <w:pPr>
              <w:jc w:val="right"/>
              <w:ind w:right="198"/>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760" w:type="dxa"/>
            <w:vAlign w:val="bottom"/>
          </w:tcPr>
          <w:p>
            <w:pPr>
              <w:jc w:val="right"/>
              <w:ind w:right="178"/>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6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8"/>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235"/>
              <w:spacing w:after="0"/>
              <w:rPr>
                <w:sz w:val="20"/>
                <w:szCs w:val="20"/>
                <w:color w:val="auto"/>
              </w:rPr>
            </w:pPr>
            <w:r>
              <w:rPr>
                <w:rFonts w:ascii="Arial" w:cs="Arial" w:eastAsia="Arial" w:hAnsi="Arial"/>
                <w:sz w:val="18"/>
                <w:szCs w:val="18"/>
                <w:color w:val="auto"/>
              </w:rPr>
              <w:t>27</w:t>
            </w:r>
          </w:p>
        </w:tc>
        <w:tc>
          <w:tcPr>
            <w:tcW w:w="3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91</w:t>
            </w:r>
          </w:p>
        </w:tc>
        <w:tc>
          <w:tcPr>
            <w:tcW w:w="3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6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58"/>
              <w:spacing w:after="0"/>
              <w:rPr>
                <w:sz w:val="20"/>
                <w:szCs w:val="20"/>
                <w:color w:val="auto"/>
              </w:rPr>
            </w:pPr>
            <w:r>
              <w:rPr>
                <w:rFonts w:ascii="Arial" w:cs="Arial" w:eastAsia="Arial" w:hAnsi="Arial"/>
                <w:sz w:val="18"/>
                <w:szCs w:val="18"/>
                <w:b w:val="1"/>
                <w:bCs w:val="1"/>
                <w:color w:val="auto"/>
              </w:rPr>
              <w:t>80</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38"/>
              <w:spacing w:after="0"/>
              <w:rPr>
                <w:sz w:val="20"/>
                <w:szCs w:val="20"/>
                <w:color w:val="auto"/>
              </w:rPr>
            </w:pPr>
            <w:r>
              <w:rPr>
                <w:rFonts w:ascii="Arial" w:cs="Arial" w:eastAsia="Arial" w:hAnsi="Arial"/>
                <w:sz w:val="18"/>
                <w:szCs w:val="18"/>
                <w:b w:val="1"/>
                <w:bCs w:val="1"/>
                <w:color w:val="auto"/>
              </w:rPr>
              <w:t>168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for the nine months ended September 30, 2016 of $108 million in other income (expense), net.</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The Weather Channel recorded an impairment charge related to goodwill. We recorded an expense of $252 million that represents NBCUniversal’s proportionate share of this impairment charge in equity in net income (losses) of investees, net in our condensed consolidated statement of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2015, we entered into an agreement to establish Atairos Group, Inc. (“Atairos”), a strategic company focused on investing in and operating companies in a range of industries and business sectors, both domestically and internationally. The agreement became effective as of January 1, 2016. Atairos has a term of up to 12 years and is controlled by management companies led by our former CFO through interests that carry all of the voting rights. We are the only investor other than our former CFO and the other management company employees. We have committed to fund up to $4 billion in the aggregate at any one time in Atairos, subject to certain offsets, and $40 million annually to fund a management fee, subject to certain adjustments, while the management company investors have committed to fund up to $100 million (with at least $40 million to be funded by our former CFO, subject to his continued role with Atairos). Our economic interests do not carry voting rights and obligate us to absorb approximately 99% of any losses and provide us the right to receive approximately 86.5% of any residual returns in Atairos, in either case on a cumulative basis.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concluded that Atairos is a VIE, that we do not have the power to direct the activities that most significantly impact the economic performance of Atairos as we have no voting rights and only certain consent rights, and that we are not a related party with our former CFO or the management companies. We therefore do not consolidate Atairos and account for this investment as an equity method investment. There are no other liquidity arrangements, guarantees, or other financial commitments between Comcast and Atairos, and therefore our maximum risk of financial loss is our investment balance and remaining unfunded capital commitment.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2016, we made capital contributions totaling $399 million to Atairos.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August 2016, Time Warner Inc. acquired a 10% interest in Hulu, LLC (“Hulu”), which diluted our interest in Hulu from 33% to 30%. For a period not to exceed three years, Time Warner may put its shares to Hulu or Hulu</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2016, we recognized our proportionate share of losses of $43 million and $108 million, respectively, related to our investment in Hulu. For the three and nine months ended September 30, 2015, we recognized our proportionate share of losses of $19 million and $43 million, respectively, related to our investment in Hulu.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hold two series of preferred stock of Verizon Americas, Inc., formerly known as AirTouch Communications, Inc. (“AirTouch”), a subsidiary of Verizon Communications Inc., which are redeemable in April 2020. As of September 30, 2016,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vMerge w:val="restart"/>
          </w:tcPr>
          <w:p>
            <w:pPr>
              <w:jc w:val="right"/>
              <w:ind w:right="316"/>
              <w:spacing w:after="0"/>
              <w:rPr>
                <w:sz w:val="20"/>
                <w:szCs w:val="20"/>
                <w:color w:val="auto"/>
              </w:rPr>
            </w:pPr>
            <w:r>
              <w:rPr>
                <w:rFonts w:ascii="Arial" w:cs="Arial" w:eastAsia="Arial" w:hAnsi="Arial"/>
                <w:sz w:val="14"/>
                <w:szCs w:val="14"/>
                <w:color w:val="auto"/>
              </w:rPr>
              <w:t>Cable</w:t>
            </w:r>
          </w:p>
        </w:tc>
        <w:tc>
          <w:tcPr>
            <w:tcW w:w="1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color w:val="auto"/>
              </w:rPr>
              <w:t>NBCUniversal</w:t>
            </w:r>
          </w:p>
        </w:tc>
        <w:tc>
          <w:tcPr>
            <w:tcW w:w="860" w:type="dxa"/>
            <w:vAlign w:val="bottom"/>
            <w:tcBorders>
              <w:bottom w:val="single" w:sz="8" w:color="auto"/>
            </w:tcBorders>
          </w:tcPr>
          <w:p>
            <w:pPr>
              <w:spacing w:after="0"/>
              <w:rPr>
                <w:sz w:val="14"/>
                <w:szCs w:val="14"/>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14"/>
                <w:szCs w:val="14"/>
                <w:color w:val="auto"/>
              </w:rPr>
              <w:t>Corporate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20" w:type="dxa"/>
            <w:vAlign w:val="bottom"/>
          </w:tcPr>
          <w:p>
            <w:pPr>
              <w:jc w:val="right"/>
              <w:ind w:right="298"/>
              <w:spacing w:after="0" w:line="131" w:lineRule="exact"/>
              <w:rPr>
                <w:sz w:val="20"/>
                <w:szCs w:val="20"/>
                <w:color w:val="auto"/>
              </w:rPr>
            </w:pPr>
            <w:r>
              <w:rPr>
                <w:rFonts w:ascii="Arial" w:cs="Arial" w:eastAsia="Arial" w:hAnsi="Arial"/>
                <w:sz w:val="14"/>
                <w:szCs w:val="14"/>
                <w:color w:val="auto"/>
              </w:rPr>
              <w:t>Cable</w:t>
            </w:r>
          </w:p>
        </w:tc>
        <w:tc>
          <w:tcPr>
            <w:tcW w:w="106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Broadcast</w:t>
            </w:r>
          </w:p>
        </w:tc>
        <w:tc>
          <w:tcPr>
            <w:tcW w:w="380" w:type="dxa"/>
            <w:vAlign w:val="bottom"/>
          </w:tcPr>
          <w:p>
            <w:pPr>
              <w:spacing w:after="0"/>
              <w:rPr>
                <w:sz w:val="11"/>
                <w:szCs w:val="11"/>
                <w:color w:val="auto"/>
              </w:rPr>
            </w:pPr>
          </w:p>
        </w:tc>
        <w:tc>
          <w:tcPr>
            <w:tcW w:w="880" w:type="dxa"/>
            <w:vAlign w:val="bottom"/>
          </w:tcPr>
          <w:p>
            <w:pPr>
              <w:jc w:val="right"/>
              <w:ind w:right="356"/>
              <w:spacing w:after="0" w:line="131" w:lineRule="exact"/>
              <w:rPr>
                <w:sz w:val="20"/>
                <w:szCs w:val="20"/>
                <w:color w:val="auto"/>
              </w:rPr>
            </w:pPr>
            <w:r>
              <w:rPr>
                <w:rFonts w:ascii="Arial" w:cs="Arial" w:eastAsia="Arial" w:hAnsi="Arial"/>
                <w:sz w:val="14"/>
                <w:szCs w:val="14"/>
                <w:color w:val="auto"/>
                <w:w w:val="99"/>
              </w:rPr>
              <w:t>Filmed</w:t>
            </w:r>
          </w:p>
        </w:tc>
        <w:tc>
          <w:tcPr>
            <w:tcW w:w="860" w:type="dxa"/>
            <w:vAlign w:val="bottom"/>
          </w:tcPr>
          <w:p>
            <w:pPr>
              <w:jc w:val="right"/>
              <w:ind w:right="78"/>
              <w:spacing w:after="0" w:line="131" w:lineRule="exact"/>
              <w:rPr>
                <w:sz w:val="20"/>
                <w:szCs w:val="20"/>
                <w:color w:val="auto"/>
              </w:rPr>
            </w:pPr>
            <w:r>
              <w:rPr>
                <w:rFonts w:ascii="Arial" w:cs="Arial" w:eastAsia="Arial" w:hAnsi="Arial"/>
                <w:sz w:val="14"/>
                <w:szCs w:val="14"/>
                <w:color w:val="auto"/>
              </w:rPr>
              <w:t>Theme</w:t>
            </w:r>
          </w:p>
        </w:tc>
        <w:tc>
          <w:tcPr>
            <w:tcW w:w="11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20" w:type="dxa"/>
            <w:vAlign w:val="bottom"/>
            <w:tcBorders>
              <w:bottom w:val="single" w:sz="8" w:color="auto"/>
            </w:tcBorders>
            <w:gridSpan w:val="2"/>
          </w:tcPr>
          <w:p>
            <w:pPr>
              <w:ind w:left="900"/>
              <w:spacing w:after="0" w:line="159" w:lineRule="exact"/>
              <w:rPr>
                <w:sz w:val="20"/>
                <w:szCs w:val="20"/>
                <w:color w:val="auto"/>
              </w:rPr>
            </w:pPr>
            <w:r>
              <w:rPr>
                <w:rFonts w:ascii="Arial" w:cs="Arial" w:eastAsia="Arial" w:hAnsi="Arial"/>
                <w:sz w:val="14"/>
                <w:szCs w:val="14"/>
                <w:color w:val="auto"/>
                <w:w w:val="95"/>
              </w:rPr>
              <w:t>Communications</w:t>
            </w:r>
          </w:p>
        </w:tc>
        <w:tc>
          <w:tcPr>
            <w:tcW w:w="1220" w:type="dxa"/>
            <w:vAlign w:val="bottom"/>
            <w:tcBorders>
              <w:bottom w:val="single" w:sz="8" w:color="auto"/>
            </w:tcBorders>
          </w:tcPr>
          <w:p>
            <w:pPr>
              <w:jc w:val="right"/>
              <w:ind w:right="198"/>
              <w:spacing w:after="0" w:line="159" w:lineRule="exact"/>
              <w:rPr>
                <w:sz w:val="20"/>
                <w:szCs w:val="20"/>
                <w:color w:val="auto"/>
              </w:rPr>
            </w:pPr>
            <w:r>
              <w:rPr>
                <w:rFonts w:ascii="Arial" w:cs="Arial" w:eastAsia="Arial" w:hAnsi="Arial"/>
                <w:sz w:val="14"/>
                <w:szCs w:val="14"/>
                <w:color w:val="auto"/>
              </w:rPr>
              <w:t>Networks</w:t>
            </w:r>
          </w:p>
        </w:tc>
        <w:tc>
          <w:tcPr>
            <w:tcW w:w="106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Television</w:t>
            </w:r>
          </w:p>
        </w:tc>
        <w:tc>
          <w:tcPr>
            <w:tcW w:w="1260" w:type="dxa"/>
            <w:vAlign w:val="bottom"/>
            <w:tcBorders>
              <w:bottom w:val="single" w:sz="8" w:color="auto"/>
            </w:tcBorders>
            <w:gridSpan w:val="2"/>
          </w:tcPr>
          <w:p>
            <w:pPr>
              <w:ind w:left="240"/>
              <w:spacing w:after="0" w:line="159" w:lineRule="exact"/>
              <w:rPr>
                <w:sz w:val="20"/>
                <w:szCs w:val="20"/>
                <w:color w:val="auto"/>
              </w:rPr>
            </w:pPr>
            <w:r>
              <w:rPr>
                <w:rFonts w:ascii="Arial" w:cs="Arial" w:eastAsia="Arial" w:hAnsi="Arial"/>
                <w:sz w:val="14"/>
                <w:szCs w:val="14"/>
                <w:color w:val="auto"/>
              </w:rPr>
              <w:t>Entertainment</w:t>
            </w:r>
          </w:p>
        </w:tc>
        <w:tc>
          <w:tcPr>
            <w:tcW w:w="86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Parks</w:t>
            </w:r>
          </w:p>
        </w:tc>
        <w:tc>
          <w:tcPr>
            <w:tcW w:w="1180" w:type="dxa"/>
            <w:vAlign w:val="bottom"/>
            <w:tcBorders>
              <w:bottom w:val="single" w:sz="8" w:color="auto"/>
            </w:tcBorders>
            <w:gridSpan w:val="2"/>
          </w:tcPr>
          <w:p>
            <w:pPr>
              <w:ind w:left="400"/>
              <w:spacing w:after="0" w:line="159" w:lineRule="exact"/>
              <w:rPr>
                <w:sz w:val="20"/>
                <w:szCs w:val="20"/>
                <w:color w:val="auto"/>
              </w:rPr>
            </w:pPr>
            <w:r>
              <w:rPr>
                <w:rFonts w:ascii="Arial" w:cs="Arial" w:eastAsia="Arial" w:hAnsi="Arial"/>
                <w:sz w:val="14"/>
                <w:szCs w:val="14"/>
                <w:color w:val="auto"/>
              </w:rPr>
              <w:t>and Other</w:t>
            </w:r>
          </w:p>
        </w:tc>
        <w:tc>
          <w:tcPr>
            <w:tcW w:w="8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06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1080" w:type="dxa"/>
            <w:vAlign w:val="bottom"/>
            <w:shd w:val="clear" w:color="auto" w:fill="E5E5E5"/>
          </w:tcPr>
          <w:p>
            <w:pPr>
              <w:ind w:left="9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12,389</w:t>
            </w:r>
          </w:p>
        </w:tc>
        <w:tc>
          <w:tcPr>
            <w:tcW w:w="12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$12,947</w:t>
            </w:r>
          </w:p>
        </w:tc>
        <w:tc>
          <w:tcPr>
            <w:tcW w:w="4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267</w:t>
            </w:r>
          </w:p>
        </w:tc>
        <w:tc>
          <w:tcPr>
            <w:tcW w:w="860" w:type="dxa"/>
            <w:vAlign w:val="bottom"/>
            <w:shd w:val="clear" w:color="auto" w:fill="E5E5E5"/>
          </w:tcPr>
          <w:p>
            <w:pPr>
              <w:jc w:val="right"/>
              <w:ind w:right="18"/>
              <w:spacing w:after="0"/>
              <w:rPr>
                <w:sz w:val="20"/>
                <w:szCs w:val="20"/>
                <w:color w:val="auto"/>
              </w:rPr>
            </w:pPr>
            <w:r>
              <w:rPr>
                <w:rFonts w:ascii="Arial" w:cs="Arial" w:eastAsia="Arial" w:hAnsi="Arial"/>
                <w:sz w:val="18"/>
                <w:szCs w:val="18"/>
                <w:color w:val="auto"/>
              </w:rPr>
              <w:t>$6,344</w:t>
            </w:r>
          </w:p>
        </w:tc>
        <w:tc>
          <w:tcPr>
            <w:tcW w:w="540" w:type="dxa"/>
            <w:vAlign w:val="bottom"/>
            <w:shd w:val="clear" w:color="auto" w:fill="E5E5E5"/>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192</w:t>
            </w:r>
          </w:p>
        </w:tc>
        <w:tc>
          <w:tcPr>
            <w:tcW w:w="8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18"/>
                <w:szCs w:val="18"/>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73</w:t>
            </w: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247</w:t>
            </w:r>
          </w:p>
        </w:tc>
        <w:tc>
          <w:tcPr>
            <w:tcW w:w="440" w:type="dxa"/>
            <w:vAlign w:val="bottom"/>
          </w:tcPr>
          <w:p>
            <w:pPr>
              <w:spacing w:after="0"/>
              <w:rPr>
                <w:sz w:val="18"/>
                <w:szCs w:val="18"/>
                <w:color w:val="auto"/>
              </w:rPr>
            </w:pPr>
          </w:p>
        </w:tc>
        <w:tc>
          <w:tcPr>
            <w:tcW w:w="62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jc w:val="right"/>
              <w:ind w:right="156"/>
              <w:spacing w:after="0"/>
              <w:rPr>
                <w:sz w:val="20"/>
                <w:szCs w:val="20"/>
                <w:color w:val="auto"/>
              </w:rPr>
            </w:pPr>
            <w:r>
              <w:rPr>
                <w:rFonts w:ascii="Arial" w:cs="Arial" w:eastAsia="Arial" w:hAnsi="Arial"/>
                <w:sz w:val="18"/>
                <w:szCs w:val="18"/>
                <w:color w:val="auto"/>
              </w:rPr>
              <w:t>2,560</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3060" w:type="dxa"/>
            <w:vAlign w:val="bottom"/>
            <w:shd w:val="clear" w:color="auto" w:fill="E5E5E5"/>
          </w:tcPr>
          <w:p>
            <w:pPr>
              <w:spacing w:after="0"/>
              <w:rPr>
                <w:sz w:val="20"/>
                <w:szCs w:val="20"/>
                <w:color w:val="auto"/>
              </w:rPr>
            </w:pPr>
            <w:r>
              <w:rPr>
                <w:rFonts w:ascii="Arial" w:cs="Arial" w:eastAsia="Arial" w:hAnsi="Arial"/>
                <w:sz w:val="18"/>
                <w:szCs w:val="18"/>
                <w:color w:val="auto"/>
              </w:rPr>
              <w:t>Adjustments</w:t>
            </w:r>
          </w:p>
        </w:tc>
        <w:tc>
          <w:tcPr>
            <w:tcW w:w="10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175</w:t>
            </w:r>
          </w:p>
        </w:tc>
        <w:tc>
          <w:tcPr>
            <w:tcW w:w="12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2</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(255)</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(181)</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0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1,071</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2016</w:t>
            </w:r>
          </w:p>
        </w:tc>
        <w:tc>
          <w:tcPr>
            <w:tcW w:w="1080" w:type="dxa"/>
            <w:vAlign w:val="bottom"/>
            <w:tcBorders>
              <w:bottom w:val="single" w:sz="8" w:color="auto"/>
            </w:tcBorders>
            <w:shd w:val="clear" w:color="auto" w:fill="E5E5E5"/>
          </w:tcPr>
          <w:p>
            <w:pPr>
              <w:ind w:left="9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12,637</w:t>
            </w:r>
          </w:p>
        </w:tc>
        <w:tc>
          <w:tcPr>
            <w:tcW w:w="122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b w:val="1"/>
                <w:bCs w:val="1"/>
                <w:color w:val="auto"/>
              </w:rPr>
              <w:t>$13,199</w:t>
            </w:r>
          </w:p>
        </w:tc>
        <w:tc>
          <w:tcPr>
            <w:tcW w:w="4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806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b w:val="1"/>
                <w:bCs w:val="1"/>
                <w:color w:val="auto"/>
              </w:rPr>
              <w:t>2,839</w:t>
            </w:r>
          </w:p>
        </w:tc>
        <w:tc>
          <w:tcPr>
            <w:tcW w:w="860" w:type="dxa"/>
            <w:vAlign w:val="bottom"/>
            <w:tcBorders>
              <w:bottom w:val="single" w:sz="8" w:color="auto"/>
            </w:tcBorders>
            <w:shd w:val="clear" w:color="auto" w:fill="E5E5E5"/>
          </w:tcPr>
          <w:p>
            <w:pPr>
              <w:jc w:val="right"/>
              <w:ind w:right="18"/>
              <w:spacing w:after="0"/>
              <w:rPr>
                <w:sz w:val="20"/>
                <w:szCs w:val="20"/>
                <w:color w:val="auto"/>
              </w:rPr>
            </w:pPr>
            <w:r>
              <w:rPr>
                <w:rFonts w:ascii="Arial" w:cs="Arial" w:eastAsia="Arial" w:hAnsi="Arial"/>
                <w:sz w:val="18"/>
                <w:szCs w:val="18"/>
                <w:b w:val="1"/>
                <w:bCs w:val="1"/>
                <w:color w:val="auto"/>
              </w:rPr>
              <w:t>$7,160</w:t>
            </w:r>
          </w:p>
        </w:tc>
        <w:tc>
          <w:tcPr>
            <w:tcW w:w="54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11</w:t>
            </w:r>
          </w:p>
        </w:tc>
        <w:tc>
          <w:tcPr>
            <w:tcW w:w="8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$36,652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Acquisitions during the nine months ended September 30, 2016 included the DreamWorks acquisition in our Filmed Entertainment segment (see Note 4 for additional information). Adjustments to goodwill during the nine months ended September 30, 2016 included the updated preliminary allocation of the purchase price for Universal Studios Japan in our Theme Parks segment and the reclassification of certain operations and businesses from Corporate and Other to our Cable Communications segment.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2016, our debt had a carrying value of $60.4 billion and an estimated fair value of $69.4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2016, we issued $700 million aggregate principal amount of 1.625% senior notes due 2022, $1.4 billion aggregate principal amount of 2.35% senior notes due 2027, $1.0 billion aggregate principal amount of 3.20% senior notes due 2036 and $1.4 billion aggregate principal amount of 3.40% senior notes due 2046. The proceeds from this offering were primarily used to fund our acquisition of DreamWorks. In May 2016, we issued $1.43 billion aggregate principal amount of 4.05% senior notes due 2046. In February and March 2016, we issued $1.1 billion aggregate principal amount of 2.75% senior notes due 2023 and $2.2 billion aggregate principal amount of 3.15% senior notes due 2026.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our acquisition of DreamWorks, we paid $381 million to settle all of the debt we assumed in the DreamWorks acquisition. In June 2016, we repaid at maturity $750 million aggregate principal amount of 4.95% senior notes due 2016. In April 2016, we repaid at maturity $1 billion aggregate principal amount of 2.875% senior notes due 2016 and $700 million aggregate principal amount of NBCUniversal Enterprise Inc.’s (“NBCUniversal Enterprise”) senior notes due 2016.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May 2016, we entered into a new $7 billion revolving credit facility due 2021 with a syndicate of banks (“Comcast revolving credit facility”) that may be used for general corporate purposes. We may increase the commitment under the Comcast revolving credit facility up to a total of $10 billion, as well as extend the expiration date to a date no later than 2023, subject to approval of the lenders. In addition, NBCUniversal Enterprise entered into a new $1.5 billion revolving credit facility due 2021 with a syndicate of banks (“NBCUniversal Enterprise revolving credit facility”) that may be used for general corporate purposes. We may increase the commitment under the NBCUniversal Enterprise revolving credit facility up to a total of $2 billion, as well as extend the expiration date to a date no later than 2023, subject to approval of the lenders. The new revolving credit facilities replaced Comcast’s $6.25 billion and NBCUniversal Enterprise’s $1.35 billion revolving credit facilities, which were terminated in connection with the execution of the new revolving credit facilities. The interest rates on the new revolving credit facilities consist of a base rate plus a borrowing margin that is determined based on Comcast’s credit rating. As of September 30, 2016, the borrowing margin for borrowings based on the London Interbank Offered Rate was 1.00%. The terms of the new revolving credit facilities’ financial covenants and guarantees are substantially the same as those under the prior revolving credit facilities.</w:t>
      </w:r>
    </w:p>
    <w:p>
      <w:pPr>
        <w:spacing w:after="0" w:line="28"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As of September 30, 2016, amounts available under the new consolidated revolving credit facilities, net of amounts outstanding under our commercial paper programs and outstanding letters of credit, totaled $6.6 billion, which included $408 million available under NBCUniversal Enterprise’s revolving credit facility.</w:t>
      </w: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2016, Comcast and NBCUniversal Enterprise had $505 million and $1.1 billion, respectively, face amount of commercial paper outstanding.</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241"/>
              <w:spacing w:after="0"/>
              <w:rPr>
                <w:sz w:val="20"/>
                <w:szCs w:val="20"/>
                <w:color w:val="auto"/>
              </w:rPr>
            </w:pPr>
            <w:r>
              <w:rPr>
                <w:rFonts w:ascii="Arial" w:cs="Arial" w:eastAsia="Arial" w:hAnsi="Arial"/>
                <w:sz w:val="14"/>
                <w:szCs w:val="14"/>
                <w:color w:val="auto"/>
                <w:w w:val="87"/>
              </w:rPr>
              <w:t>Fair Value as of</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ind w:left="100"/>
              <w:spacing w:after="0" w:line="131" w:lineRule="exact"/>
              <w:rPr>
                <w:sz w:val="20"/>
                <w:szCs w:val="20"/>
                <w:color w:val="auto"/>
              </w:rPr>
            </w:pPr>
            <w:r>
              <w:rPr>
                <w:rFonts w:ascii="Arial" w:cs="Arial" w:eastAsia="Arial" w:hAnsi="Arial"/>
                <w:sz w:val="14"/>
                <w:szCs w:val="14"/>
                <w:color w:val="auto"/>
                <w:w w:val="91"/>
              </w:rPr>
              <w:t>September 30,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24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3"/>
        </w:trPr>
        <w:tc>
          <w:tcPr>
            <w:tcW w:w="65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1080" w:type="dxa"/>
            <w:vAlign w:val="bottom"/>
            <w:gridSpan w:val="2"/>
          </w:tcPr>
          <w:p>
            <w:pPr>
              <w:jc w:val="right"/>
              <w:ind w:right="172"/>
              <w:spacing w:after="0" w:line="142" w:lineRule="exact"/>
              <w:rPr>
                <w:sz w:val="20"/>
                <w:szCs w:val="20"/>
                <w:color w:val="auto"/>
              </w:rPr>
            </w:pPr>
            <w:r>
              <w:rPr>
                <w:rFonts w:ascii="Arial" w:cs="Arial" w:eastAsia="Arial" w:hAnsi="Arial"/>
                <w:sz w:val="14"/>
                <w:szCs w:val="14"/>
                <w:color w:val="auto"/>
              </w:rPr>
              <w:t>Level 1</w:t>
            </w:r>
          </w:p>
        </w:tc>
        <w:tc>
          <w:tcPr>
            <w:tcW w:w="680" w:type="dxa"/>
            <w:vAlign w:val="bottom"/>
            <w:gridSpan w:val="2"/>
          </w:tcPr>
          <w:p>
            <w:pPr>
              <w:ind w:left="240"/>
              <w:spacing w:after="0" w:line="142" w:lineRule="exact"/>
              <w:rPr>
                <w:sz w:val="20"/>
                <w:szCs w:val="20"/>
                <w:color w:val="auto"/>
              </w:rPr>
            </w:pPr>
            <w:r>
              <w:rPr>
                <w:rFonts w:ascii="Arial" w:cs="Arial" w:eastAsia="Arial" w:hAnsi="Arial"/>
                <w:sz w:val="14"/>
                <w:szCs w:val="14"/>
                <w:color w:val="auto"/>
                <w:w w:val="92"/>
              </w:rPr>
              <w:t>Level 2</w:t>
            </w:r>
          </w:p>
        </w:tc>
        <w:tc>
          <w:tcPr>
            <w:tcW w:w="1300" w:type="dxa"/>
            <w:vAlign w:val="bottom"/>
            <w:gridSpan w:val="2"/>
          </w:tcPr>
          <w:p>
            <w:pPr>
              <w:ind w:left="460"/>
              <w:spacing w:after="0" w:line="142" w:lineRule="exact"/>
              <w:rPr>
                <w:sz w:val="20"/>
                <w:szCs w:val="20"/>
                <w:color w:val="auto"/>
              </w:rPr>
            </w:pPr>
            <w:r>
              <w:rPr>
                <w:rFonts w:ascii="Arial" w:cs="Arial" w:eastAsia="Arial" w:hAnsi="Arial"/>
                <w:sz w:val="14"/>
                <w:szCs w:val="14"/>
                <w:color w:val="auto"/>
              </w:rPr>
              <w:t>Level 3</w:t>
            </w:r>
          </w:p>
        </w:tc>
        <w:tc>
          <w:tcPr>
            <w:tcW w:w="680" w:type="dxa"/>
            <w:vAlign w:val="bottom"/>
            <w:gridSpan w:val="2"/>
          </w:tcPr>
          <w:p>
            <w:pPr>
              <w:jc w:val="right"/>
              <w:ind w:right="212"/>
              <w:spacing w:after="0" w:line="142" w:lineRule="exact"/>
              <w:rPr>
                <w:sz w:val="20"/>
                <w:szCs w:val="20"/>
                <w:color w:val="auto"/>
              </w:rPr>
            </w:pPr>
            <w:r>
              <w:rPr>
                <w:rFonts w:ascii="Arial" w:cs="Arial" w:eastAsia="Arial" w:hAnsi="Arial"/>
                <w:sz w:val="14"/>
                <w:szCs w:val="14"/>
                <w:color w:val="auto"/>
              </w:rPr>
              <w:t>Total</w:t>
            </w:r>
          </w:p>
        </w:tc>
        <w:tc>
          <w:tcPr>
            <w:tcW w:w="400" w:type="dxa"/>
            <w:vAlign w:val="bottom"/>
          </w:tcPr>
          <w:p>
            <w:pPr>
              <w:spacing w:after="0"/>
              <w:rPr>
                <w:sz w:val="12"/>
                <w:szCs w:val="12"/>
                <w:color w:val="auto"/>
              </w:rPr>
            </w:pPr>
          </w:p>
        </w:tc>
        <w:tc>
          <w:tcPr>
            <w:tcW w:w="70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Trading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36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right="272"/>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5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126</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center"/>
              <w:ind w:right="272"/>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79"/>
              </w:rPr>
              <w:t>137</w:t>
            </w: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56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660" w:type="dxa"/>
            <w:vAlign w:val="bottom"/>
          </w:tcPr>
          <w:p>
            <w:pPr>
              <w:jc w:val="center"/>
              <w:ind w:right="27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2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center"/>
              <w:ind w:right="272"/>
              <w:spacing w:after="0"/>
              <w:rPr>
                <w:sz w:val="20"/>
                <w:szCs w:val="20"/>
                <w:color w:val="auto"/>
              </w:rPr>
            </w:pPr>
            <w:r>
              <w:rPr>
                <w:rFonts w:ascii="Arial" w:cs="Arial" w:eastAsia="Arial" w:hAnsi="Arial"/>
                <w:sz w:val="18"/>
                <w:szCs w:val="18"/>
                <w:color w:val="auto"/>
                <w:w w:val="89"/>
              </w:rPr>
              <w:t>24</w:t>
            </w:r>
          </w:p>
        </w:tc>
        <w:tc>
          <w:tcPr>
            <w:tcW w:w="1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30</w:t>
            </w:r>
          </w:p>
        </w:tc>
        <w:tc>
          <w:tcPr>
            <w:tcW w:w="4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5</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175</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9"/>
              </w:rPr>
              <w:t>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215</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212</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212</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212</w:t>
            </w:r>
          </w:p>
        </w:tc>
        <w:tc>
          <w:tcPr>
            <w:tcW w:w="64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center"/>
              <w:ind w:right="272"/>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79"/>
              </w:rPr>
              <w:t>212</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Redeemable Subsidiary Preferred Stock</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2016, the fair value of the NBCUniversal Enterprise redeemable subsidiary preferred stock was $757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share-based compensation plans primarily consist of awards of RSUs and stock options to certain employees and directors as part of our approach to long-term incentive compensation.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2016, we granted 5.9 million RSUs and 20.7 million stock options related to our annual management awards. The weighted-average fair values associated with these grants were $59.50 per RSU and $11.45 per stock option.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3"/>
          </w:tcPr>
          <w:p>
            <w:pPr>
              <w:jc w:val="right"/>
              <w:ind w:right="396"/>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4"/>
                <w:szCs w:val="14"/>
                <w:color w:val="auto"/>
              </w:rPr>
            </w:pPr>
          </w:p>
        </w:tc>
        <w:tc>
          <w:tcPr>
            <w:tcW w:w="1560" w:type="dxa"/>
            <w:vAlign w:val="bottom"/>
            <w:gridSpan w:val="3"/>
          </w:tcPr>
          <w:p>
            <w:pPr>
              <w:jc w:val="right"/>
              <w:ind w:right="256"/>
              <w:spacing w:after="0"/>
              <w:rPr>
                <w:sz w:val="20"/>
                <w:szCs w:val="20"/>
                <w:color w:val="auto"/>
              </w:rPr>
            </w:pPr>
            <w:r>
              <w:rPr>
                <w:rFonts w:ascii="Arial" w:cs="Arial" w:eastAsia="Arial" w:hAnsi="Arial"/>
                <w:sz w:val="14"/>
                <w:szCs w:val="14"/>
                <w:color w:val="auto"/>
                <w:w w:val="97"/>
              </w:rPr>
              <w:t>Nine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1"/>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1"/>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3"/>
              </w:rPr>
              <w:t>2015</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77</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67</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81"/>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Stock options</w:t>
            </w:r>
          </w:p>
        </w:tc>
        <w:tc>
          <w:tcPr>
            <w:tcW w:w="52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660" w:type="dxa"/>
            <w:vAlign w:val="bottom"/>
          </w:tcPr>
          <w:p>
            <w:pPr>
              <w:jc w:val="right"/>
              <w:ind w:right="176"/>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5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81"/>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131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113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391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343</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2016, we had unrecognized pretax compensation expense of $771 million and $425 million related to nonvested RSUs and nonvested stock options,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w w:val="91"/>
              </w:rPr>
              <w:t>September 30,</w:t>
            </w:r>
          </w:p>
        </w:tc>
        <w:tc>
          <w:tcPr>
            <w:tcW w:w="1620" w:type="dxa"/>
            <w:vAlign w:val="bottom"/>
            <w:gridSpan w:val="3"/>
          </w:tcPr>
          <w:p>
            <w:pPr>
              <w:jc w:val="center"/>
              <w:ind w:left="578"/>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78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40"/>
              <w:spacing w:after="0" w:line="159" w:lineRule="exact"/>
              <w:rPr>
                <w:sz w:val="20"/>
                <w:szCs w:val="20"/>
                <w:color w:val="auto"/>
              </w:rPr>
            </w:pPr>
            <w:r>
              <w:rPr>
                <w:rFonts w:ascii="Arial" w:cs="Arial" w:eastAsia="Arial" w:hAnsi="Arial"/>
                <w:sz w:val="14"/>
                <w:szCs w:val="14"/>
                <w:color w:val="auto"/>
              </w:rPr>
              <w:t>2016</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15"/>
              <w:spacing w:after="0" w:line="15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8,090</w:t>
            </w:r>
          </w:p>
        </w:tc>
        <w:tc>
          <w:tcPr>
            <w:tcW w:w="840" w:type="dxa"/>
            <w:vAlign w:val="bottom"/>
            <w:shd w:val="clear" w:color="auto" w:fill="E5E5E5"/>
          </w:tcPr>
          <w:p>
            <w:pPr>
              <w:jc w:val="center"/>
              <w:ind w:left="678"/>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7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268</w:t>
            </w:r>
          </w:p>
        </w:tc>
        <w:tc>
          <w:tcPr>
            <w:tcW w:w="8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7"/>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7,533</w:t>
            </w:r>
          </w:p>
        </w:tc>
        <w:tc>
          <w:tcPr>
            <w:tcW w:w="840" w:type="dxa"/>
            <w:vAlign w:val="bottom"/>
            <w:tcBorders>
              <w:bottom w:val="single" w:sz="8" w:color="auto"/>
            </w:tcBorders>
          </w:tcPr>
          <w:p>
            <w:pPr>
              <w:jc w:val="center"/>
              <w:ind w:left="678"/>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6,896</w:t>
            </w:r>
          </w:p>
        </w:tc>
        <w:tc>
          <w:tcPr>
            <w:tcW w:w="0" w:type="dxa"/>
            <w:vAlign w:val="bottom"/>
          </w:tcPr>
          <w:p>
            <w:pPr>
              <w:spacing w:after="0"/>
              <w:rPr>
                <w:sz w:val="1"/>
                <w:szCs w:val="1"/>
                <w:color w:val="auto"/>
              </w:rPr>
            </w:pPr>
          </w:p>
        </w:tc>
      </w:tr>
      <w:tr>
        <w:trPr>
          <w:trHeight w:val="403"/>
        </w:trPr>
        <w:tc>
          <w:tcPr>
            <w:tcW w:w="7860" w:type="dxa"/>
            <w:vAlign w:val="bottom"/>
            <w:gridSpan w:val="2"/>
          </w:tcPr>
          <w:p>
            <w:pPr>
              <w:jc w:val="center"/>
              <w:ind w:left="347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color w:val="auto"/>
              </w:rPr>
              <w:t>September 30,</w:t>
            </w:r>
          </w:p>
        </w:tc>
        <w:tc>
          <w:tcPr>
            <w:tcW w:w="1620" w:type="dxa"/>
            <w:vAlign w:val="bottom"/>
            <w:gridSpan w:val="3"/>
          </w:tcPr>
          <w:p>
            <w:pPr>
              <w:jc w:val="center"/>
              <w:ind w:left="558"/>
              <w:spacing w:after="0"/>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786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255"/>
              <w:spacing w:after="0" w:line="15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2</w:t>
            </w:r>
          </w:p>
        </w:tc>
        <w:tc>
          <w:tcPr>
            <w:tcW w:w="840" w:type="dxa"/>
            <w:vAlign w:val="bottom"/>
            <w:shd w:val="clear" w:color="auto" w:fill="E5E5E5"/>
          </w:tcPr>
          <w:p>
            <w:pPr>
              <w:jc w:val="center"/>
              <w:ind w:left="61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Deferred gains (losses) on cash flow hedges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8</w:t>
            </w: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Cumulative translation adjustments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7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34</w:t>
            </w:r>
          </w:p>
        </w:tc>
        <w:tc>
          <w:tcPr>
            <w:tcW w:w="840" w:type="dxa"/>
            <w:vAlign w:val="bottom"/>
            <w:tcBorders>
              <w:bottom w:val="single" w:sz="8" w:color="auto"/>
            </w:tcBorders>
            <w:shd w:val="clear" w:color="auto" w:fill="E5E5E5"/>
          </w:tcPr>
          <w:p>
            <w:pPr>
              <w:jc w:val="center"/>
              <w:ind w:left="618"/>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403"/>
        </w:trPr>
        <w:tc>
          <w:tcPr>
            <w:tcW w:w="7860" w:type="dxa"/>
            <w:vAlign w:val="bottom"/>
            <w:gridSpan w:val="2"/>
          </w:tcPr>
          <w:p>
            <w:pPr>
              <w:jc w:val="center"/>
              <w:ind w:left="3495"/>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3"/>
          </w:tcPr>
          <w:p>
            <w:pPr>
              <w:jc w:val="right"/>
              <w:ind w:right="295"/>
              <w:spacing w:after="0"/>
              <w:rPr>
                <w:sz w:val="20"/>
                <w:szCs w:val="20"/>
                <w:color w:val="auto"/>
              </w:rPr>
            </w:pPr>
            <w:r>
              <w:rPr>
                <w:rFonts w:ascii="Arial" w:cs="Arial" w:eastAsia="Arial" w:hAnsi="Arial"/>
                <w:sz w:val="14"/>
                <w:szCs w:val="14"/>
                <w:color w:val="auto"/>
                <w:w w:val="99"/>
              </w:rPr>
              <w:t>Nine Months Ended</w:t>
            </w:r>
          </w:p>
        </w:tc>
        <w:tc>
          <w:tcPr>
            <w:tcW w:w="0" w:type="dxa"/>
            <w:vAlign w:val="bottom"/>
          </w:tcPr>
          <w:p>
            <w:pPr>
              <w:spacing w:after="0"/>
              <w:rPr>
                <w:sz w:val="1"/>
                <w:szCs w:val="1"/>
                <w:color w:val="auto"/>
              </w:rPr>
            </w:pPr>
          </w:p>
        </w:tc>
      </w:tr>
      <w:tr>
        <w:trPr>
          <w:trHeight w:val="159"/>
        </w:trPr>
        <w:tc>
          <w:tcPr>
            <w:tcW w:w="78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5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860" w:type="dxa"/>
            <w:vAlign w:val="bottom"/>
            <w:tcBorders>
              <w:bottom w:val="single" w:sz="8" w:color="auto"/>
            </w:tcBorders>
            <w:gridSpan w:val="2"/>
            <w:vMerge w:val="continue"/>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7,062</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Share-based compensation</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Noncash interest expense (income), net</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23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58</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78"/>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8"/>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Film and television costs, net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178"/>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8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8"/>
              <w:spacing w:after="0"/>
              <w:rPr>
                <w:sz w:val="20"/>
                <w:szCs w:val="20"/>
                <w:color w:val="auto"/>
              </w:rPr>
            </w:pPr>
            <w:r>
              <w:rPr>
                <w:rFonts w:ascii="Arial" w:cs="Arial" w:eastAsia="Arial" w:hAnsi="Arial"/>
                <w:sz w:val="18"/>
                <w:szCs w:val="18"/>
                <w:color w:val="auto"/>
              </w:rPr>
              <w:t>46</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7"/>
        </w:trPr>
        <w:tc>
          <w:tcPr>
            <w:tcW w:w="786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1580" w:type="dxa"/>
            <w:vAlign w:val="bottom"/>
            <w:tcBorders>
              <w:bottom w:val="single" w:sz="8" w:color="auto"/>
            </w:tcBorders>
            <w:gridSpan w:val="3"/>
            <w:shd w:val="clear" w:color="auto" w:fill="E5E5E5"/>
          </w:tcPr>
          <w:p>
            <w:pPr>
              <w:jc w:val="right"/>
              <w:ind w:right="238"/>
              <w:spacing w:after="0"/>
              <w:rPr>
                <w:sz w:val="20"/>
                <w:szCs w:val="20"/>
                <w:color w:val="auto"/>
              </w:rPr>
            </w:pPr>
            <w:r>
              <w:rPr>
                <w:rFonts w:ascii="Arial" w:cs="Arial" w:eastAsia="Arial" w:hAnsi="Arial"/>
                <w:sz w:val="18"/>
                <w:szCs w:val="18"/>
                <w:b w:val="1"/>
                <w:bCs w:val="1"/>
                <w:color w:val="auto"/>
              </w:rPr>
              <w:t>$ 13,497</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w w:val="98"/>
              </w:rPr>
              <w:t>13,813</w:t>
            </w:r>
          </w:p>
        </w:tc>
        <w:tc>
          <w:tcPr>
            <w:tcW w:w="0" w:type="dxa"/>
            <w:vAlign w:val="bottom"/>
          </w:tcPr>
          <w:p>
            <w:pPr>
              <w:spacing w:after="0"/>
              <w:rPr>
                <w:sz w:val="1"/>
                <w:szCs w:val="1"/>
                <w:color w:val="auto"/>
              </w:rPr>
            </w:pPr>
          </w:p>
        </w:tc>
      </w:tr>
      <w:tr>
        <w:trPr>
          <w:trHeight w:val="403"/>
        </w:trPr>
        <w:tc>
          <w:tcPr>
            <w:tcW w:w="7860" w:type="dxa"/>
            <w:vAlign w:val="bottom"/>
            <w:gridSpan w:val="2"/>
          </w:tcPr>
          <w:p>
            <w:pPr>
              <w:jc w:val="center"/>
              <w:ind w:left="3475"/>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gridSpan w:val="4"/>
          </w:tcPr>
          <w:p>
            <w:pPr>
              <w:jc w:val="center"/>
              <w:ind w:right="360"/>
              <w:spacing w:after="0"/>
              <w:rPr>
                <w:sz w:val="20"/>
                <w:szCs w:val="20"/>
                <w:color w:val="auto"/>
              </w:rPr>
            </w:pPr>
            <w:r>
              <w:rPr>
                <w:rFonts w:ascii="Arial" w:cs="Arial" w:eastAsia="Arial" w:hAnsi="Arial"/>
                <w:sz w:val="14"/>
                <w:szCs w:val="14"/>
                <w:color w:val="auto"/>
                <w:w w:val="87"/>
              </w:rPr>
              <w:t>Three Months Ended</w:t>
            </w:r>
          </w:p>
        </w:tc>
        <w:tc>
          <w:tcPr>
            <w:tcW w:w="1620" w:type="dxa"/>
            <w:vAlign w:val="bottom"/>
            <w:gridSpan w:val="3"/>
          </w:tcPr>
          <w:p>
            <w:pPr>
              <w:jc w:val="right"/>
              <w:ind w:right="21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5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324"/>
              <w:spacing w:after="0" w:line="159" w:lineRule="exact"/>
              <w:rPr>
                <w:sz w:val="20"/>
                <w:szCs w:val="20"/>
                <w:color w:val="auto"/>
              </w:rPr>
            </w:pPr>
            <w:r>
              <w:rPr>
                <w:rFonts w:ascii="Arial" w:cs="Arial" w:eastAsia="Arial" w:hAnsi="Arial"/>
                <w:sz w:val="14"/>
                <w:szCs w:val="14"/>
                <w:color w:val="auto"/>
                <w:w w:val="86"/>
              </w:rPr>
              <w:t>September 30</w:t>
            </w: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4"/>
              <w:spacing w:after="0" w:line="142" w:lineRule="exact"/>
              <w:rPr>
                <w:sz w:val="20"/>
                <w:szCs w:val="20"/>
                <w:color w:val="auto"/>
              </w:rPr>
            </w:pPr>
            <w:r>
              <w:rPr>
                <w:rFonts w:ascii="Arial" w:cs="Arial" w:eastAsia="Arial" w:hAnsi="Arial"/>
                <w:sz w:val="14"/>
                <w:szCs w:val="14"/>
                <w:color w:val="auto"/>
                <w:w w:val="89"/>
              </w:rPr>
              <w:t>2016</w:t>
            </w:r>
          </w:p>
        </w:tc>
        <w:tc>
          <w:tcPr>
            <w:tcW w:w="720" w:type="dxa"/>
            <w:vAlign w:val="bottom"/>
            <w:tcBorders>
              <w:bottom w:val="single" w:sz="8" w:color="auto"/>
            </w:tcBorders>
            <w:gridSpan w:val="2"/>
          </w:tcPr>
          <w:p>
            <w:pPr>
              <w:ind w:left="360"/>
              <w:spacing w:after="0" w:line="142" w:lineRule="exact"/>
              <w:rPr>
                <w:sz w:val="20"/>
                <w:szCs w:val="20"/>
                <w:color w:val="auto"/>
              </w:rPr>
            </w:pPr>
            <w:r>
              <w:rPr>
                <w:rFonts w:ascii="Arial" w:cs="Arial" w:eastAsia="Arial" w:hAnsi="Arial"/>
                <w:sz w:val="14"/>
                <w:szCs w:val="14"/>
                <w:color w:val="auto"/>
              </w:rPr>
              <w:t>2015</w:t>
            </w: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58"/>
              <w:spacing w:after="0" w:line="142" w:lineRule="exact"/>
              <w:rPr>
                <w:sz w:val="20"/>
                <w:szCs w:val="20"/>
                <w:color w:val="auto"/>
              </w:rPr>
            </w:pPr>
            <w:r>
              <w:rPr>
                <w:rFonts w:ascii="Arial" w:cs="Arial" w:eastAsia="Arial" w:hAnsi="Arial"/>
                <w:sz w:val="14"/>
                <w:szCs w:val="14"/>
                <w:color w:val="auto"/>
                <w:w w:val="89"/>
              </w:rPr>
              <w:t>2016</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86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780" w:type="dxa"/>
            <w:vAlign w:val="bottom"/>
            <w:shd w:val="clear" w:color="auto" w:fill="E5E5E5"/>
          </w:tcPr>
          <w:p>
            <w:pPr>
              <w:jc w:val="center"/>
              <w:ind w:right="84"/>
              <w:spacing w:after="0"/>
              <w:rPr>
                <w:sz w:val="20"/>
                <w:szCs w:val="20"/>
                <w:color w:val="auto"/>
              </w:rPr>
            </w:pPr>
            <w:r>
              <w:rPr>
                <w:rFonts w:ascii="Arial" w:cs="Arial" w:eastAsia="Arial" w:hAnsi="Arial"/>
                <w:sz w:val="18"/>
                <w:szCs w:val="18"/>
                <w:color w:val="auto"/>
              </w:rPr>
              <w:t>$  808</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400"/>
              <w:spacing w:after="0"/>
              <w:rPr>
                <w:sz w:val="20"/>
                <w:szCs w:val="20"/>
                <w:color w:val="auto"/>
              </w:rPr>
            </w:pPr>
            <w:r>
              <w:rPr>
                <w:rFonts w:ascii="Arial" w:cs="Arial" w:eastAsia="Arial" w:hAnsi="Arial"/>
                <w:sz w:val="18"/>
                <w:szCs w:val="18"/>
                <w:color w:val="auto"/>
              </w:rPr>
              <w:t>673</w:t>
            </w:r>
          </w:p>
        </w:tc>
        <w:tc>
          <w:tcPr>
            <w:tcW w:w="840" w:type="dxa"/>
            <w:vAlign w:val="bottom"/>
            <w:shd w:val="clear" w:color="auto" w:fill="E5E5E5"/>
          </w:tcPr>
          <w:p>
            <w:pPr>
              <w:jc w:val="center"/>
              <w:ind w:right="178"/>
              <w:spacing w:after="0"/>
              <w:rPr>
                <w:sz w:val="20"/>
                <w:szCs w:val="20"/>
                <w:color w:val="auto"/>
              </w:rPr>
            </w:pPr>
            <w:r>
              <w:rPr>
                <w:rFonts w:ascii="Arial" w:cs="Arial" w:eastAsia="Arial" w:hAnsi="Arial"/>
                <w:sz w:val="18"/>
                <w:szCs w:val="18"/>
                <w:color w:val="auto"/>
                <w:w w:val="89"/>
              </w:rPr>
              <w:t>$ 2,043</w:t>
            </w:r>
          </w:p>
        </w:tc>
        <w:tc>
          <w:tcPr>
            <w:tcW w:w="1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89"/>
              </w:rPr>
              <w:t>$ 1,914</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780" w:type="dxa"/>
            <w:vAlign w:val="bottom"/>
            <w:tcBorders>
              <w:bottom w:val="single" w:sz="8" w:color="auto"/>
            </w:tcBorders>
          </w:tcPr>
          <w:p>
            <w:pPr>
              <w:jc w:val="center"/>
              <w:ind w:right="84"/>
              <w:spacing w:after="0"/>
              <w:rPr>
                <w:sz w:val="20"/>
                <w:szCs w:val="20"/>
                <w:color w:val="auto"/>
              </w:rPr>
            </w:pPr>
            <w:r>
              <w:rPr>
                <w:rFonts w:ascii="Arial" w:cs="Arial" w:eastAsia="Arial" w:hAnsi="Arial"/>
                <w:sz w:val="18"/>
                <w:szCs w:val="18"/>
                <w:color w:val="auto"/>
                <w:w w:val="89"/>
              </w:rPr>
              <w:t>$ 1,031</w:t>
            </w:r>
          </w:p>
        </w:tc>
        <w:tc>
          <w:tcPr>
            <w:tcW w:w="11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$ 1,146</w:t>
            </w:r>
          </w:p>
        </w:tc>
        <w:tc>
          <w:tcPr>
            <w:tcW w:w="840" w:type="dxa"/>
            <w:vAlign w:val="bottom"/>
            <w:tcBorders>
              <w:bottom w:val="single" w:sz="8" w:color="auto"/>
            </w:tcBorders>
          </w:tcPr>
          <w:p>
            <w:pPr>
              <w:jc w:val="center"/>
              <w:ind w:right="178"/>
              <w:spacing w:after="0"/>
              <w:rPr>
                <w:sz w:val="20"/>
                <w:szCs w:val="20"/>
                <w:color w:val="auto"/>
              </w:rPr>
            </w:pPr>
            <w:r>
              <w:rPr>
                <w:rFonts w:ascii="Arial" w:cs="Arial" w:eastAsia="Arial" w:hAnsi="Arial"/>
                <w:sz w:val="18"/>
                <w:szCs w:val="18"/>
                <w:color w:val="auto"/>
                <w:w w:val="89"/>
              </w:rPr>
              <w:t>$ 2,716</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89"/>
              </w:rPr>
              <w:t>$ 3,145</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2016:</w:t>
      </w:r>
    </w:p>
    <w:p>
      <w:pPr>
        <w:spacing w:after="0" w:line="77" w:lineRule="exact"/>
        <w:rPr>
          <w:sz w:val="20"/>
          <w:szCs w:val="20"/>
          <w:color w:val="auto"/>
        </w:rPr>
      </w:pPr>
    </w:p>
    <w:p>
      <w:pPr>
        <w:ind w:left="5620" w:right="3220" w:hanging="4815"/>
        <w:spacing w:after="0" w:line="440" w:lineRule="auto"/>
        <w:tabs>
          <w:tab w:leader="none" w:pos="102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 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ind w:left="800"/>
        <w:spacing w:after="0"/>
        <w:tabs>
          <w:tab w:leader="none" w:pos="1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recorded a liability of $658 million for a quarterly cash dividend of $0.275 per common share to be paid in October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Financial Data by Business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jc w:val="both"/>
        <w:ind w:left="1020" w:right="126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w:t>
      </w:r>
      <w:r>
        <w:rPr>
          <w:rFonts w:ascii="Arial" w:cs="Arial" w:eastAsia="Arial" w:hAnsi="Arial"/>
          <w:sz w:val="18"/>
          <w:szCs w:val="18"/>
          <w:b w:val="1"/>
          <w:bCs w:val="1"/>
          <w:color w:val="auto"/>
        </w:rPr>
        <w:t xml:space="preserve"> </w:t>
      </w:r>
      <w:r>
        <w:rPr>
          <w:rFonts w:ascii="Arial" w:cs="Arial" w:eastAsia="Arial" w:hAnsi="Arial"/>
          <w:sz w:val="18"/>
          <w:szCs w:val="18"/>
          <w:color w:val="auto"/>
        </w:rPr>
        <w:t>high-speed Internet and voice services to residential customers under the XFINITY brand; we also provide these and other services to business customers and sell advertising.</w:t>
      </w:r>
    </w:p>
    <w:p>
      <w:pPr>
        <w:spacing w:after="0" w:line="37" w:lineRule="exact"/>
        <w:rPr>
          <w:rFonts w:ascii="Arial" w:cs="Arial" w:eastAsia="Arial" w:hAnsi="Arial"/>
          <w:sz w:val="18"/>
          <w:szCs w:val="18"/>
          <w:color w:val="auto"/>
        </w:rPr>
      </w:pPr>
    </w:p>
    <w:p>
      <w:pPr>
        <w:ind w:left="1020" w:right="1240" w:hanging="215"/>
        <w:spacing w:after="0" w:line="27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37"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distributes filmed entertainment worldwide. On August 22, 2016, we acquired all of the outstanding stock of DreamWorks.</w:t>
      </w:r>
    </w:p>
    <w:p>
      <w:pPr>
        <w:spacing w:after="0" w:line="1" w:lineRule="exact"/>
        <w:rPr>
          <w:rFonts w:ascii="Arial" w:cs="Arial" w:eastAsia="Arial" w:hAnsi="Arial"/>
          <w:sz w:val="16"/>
          <w:szCs w:val="16"/>
          <w:color w:val="auto"/>
        </w:rPr>
      </w:pPr>
    </w:p>
    <w:p>
      <w:pPr>
        <w:ind w:left="1020" w:hanging="21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September 30, 2016</w:t>
            </w: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158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23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16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1100" w:type="dxa"/>
            <w:vAlign w:val="bottom"/>
          </w:tcPr>
          <w:p>
            <w:pPr>
              <w:jc w:val="right"/>
              <w:ind w:right="75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2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6"/>
              <w:spacing w:after="0" w:line="176" w:lineRule="exact"/>
              <w:rPr>
                <w:sz w:val="20"/>
                <w:szCs w:val="20"/>
                <w:color w:val="auto"/>
              </w:rPr>
            </w:pPr>
            <w:r>
              <w:rPr>
                <w:rFonts w:ascii="Arial" w:cs="Arial" w:eastAsia="Arial" w:hAnsi="Arial"/>
                <w:sz w:val="13"/>
                <w:szCs w:val="13"/>
                <w:color w:val="auto"/>
                <w:w w:val="97"/>
              </w:rPr>
              <w:t>Amortization</w:t>
            </w:r>
            <w:r>
              <w:rPr>
                <w:rFonts w:ascii="Arial" w:cs="Arial" w:eastAsia="Arial" w:hAnsi="Arial"/>
                <w:sz w:val="20"/>
                <w:szCs w:val="20"/>
                <w:color w:val="auto"/>
                <w:w w:val="97"/>
                <w:vertAlign w:val="superscript"/>
              </w:rPr>
              <w:t>(h)</w:t>
            </w: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$ 12,557</w:t>
            </w:r>
          </w:p>
        </w:tc>
        <w:tc>
          <w:tcPr>
            <w:tcW w:w="6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4,986</w:t>
            </w:r>
          </w:p>
        </w:tc>
        <w:tc>
          <w:tcPr>
            <w:tcW w:w="4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1,929</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$ 3,057</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(c)</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893</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184</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709</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3,087</w:t>
            </w:r>
          </w:p>
        </w:tc>
        <w:tc>
          <w:tcPr>
            <w:tcW w:w="600" w:type="dxa"/>
            <w:vAlign w:val="bottom"/>
          </w:tcPr>
          <w:p>
            <w:pPr>
              <w:spacing w:after="0"/>
              <w:rPr>
                <w:sz w:val="18"/>
                <w:szCs w:val="18"/>
                <w:color w:val="auto"/>
              </w:rPr>
            </w:pPr>
          </w:p>
        </w:tc>
        <w:tc>
          <w:tcPr>
            <w:tcW w:w="1560" w:type="dxa"/>
            <w:vAlign w:val="bottom"/>
          </w:tcPr>
          <w:p>
            <w:pPr>
              <w:jc w:val="right"/>
              <w:ind w:right="356"/>
              <w:spacing w:after="0"/>
              <w:rPr>
                <w:sz w:val="20"/>
                <w:szCs w:val="20"/>
                <w:color w:val="auto"/>
              </w:rPr>
            </w:pPr>
            <w:r>
              <w:rPr>
                <w:rFonts w:ascii="Arial" w:cs="Arial" w:eastAsia="Arial" w:hAnsi="Arial"/>
                <w:sz w:val="18"/>
                <w:szCs w:val="18"/>
                <w:color w:val="auto"/>
              </w:rPr>
              <w:t>378</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27</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351</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1,792</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353</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13</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1,440</w:t>
            </w:r>
          </w:p>
        </w:tc>
        <w:tc>
          <w:tcPr>
            <w:tcW w:w="600" w:type="dxa"/>
            <w:vAlign w:val="bottom"/>
          </w:tcPr>
          <w:p>
            <w:pPr>
              <w:spacing w:after="0"/>
              <w:rPr>
                <w:sz w:val="18"/>
                <w:szCs w:val="18"/>
                <w:color w:val="auto"/>
              </w:rPr>
            </w:pPr>
          </w:p>
        </w:tc>
        <w:tc>
          <w:tcPr>
            <w:tcW w:w="1560" w:type="dxa"/>
            <w:vAlign w:val="bottom"/>
          </w:tcPr>
          <w:p>
            <w:pPr>
              <w:jc w:val="right"/>
              <w:ind w:right="356"/>
              <w:spacing w:after="0"/>
              <w:rPr>
                <w:sz w:val="20"/>
                <w:szCs w:val="20"/>
                <w:color w:val="auto"/>
              </w:rPr>
            </w:pPr>
            <w:r>
              <w:rPr>
                <w:rFonts w:ascii="Arial" w:cs="Arial" w:eastAsia="Arial" w:hAnsi="Arial"/>
                <w:sz w:val="18"/>
                <w:szCs w:val="18"/>
                <w:color w:val="auto"/>
              </w:rPr>
              <w:t>706</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130</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576</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1</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(183)</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91</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(274)</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rPr>
              <w:t>(84)</w:t>
            </w:r>
          </w:p>
        </w:tc>
        <w:tc>
          <w:tcPr>
            <w:tcW w:w="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9,178</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2,146</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445</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1,701</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168</w:t>
            </w:r>
          </w:p>
        </w:tc>
        <w:tc>
          <w:tcPr>
            <w:tcW w:w="6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1540" w:type="dxa"/>
            <w:vAlign w:val="bottom"/>
            <w:tcBorders>
              <w:bottom w:val="single" w:sz="8" w:color="auto"/>
            </w:tcBorders>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(584)</w:t>
            </w:r>
          </w:p>
        </w:tc>
        <w:tc>
          <w:tcPr>
            <w:tcW w:w="6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296"/>
              <w:spacing w:after="0"/>
              <w:rPr>
                <w:sz w:val="20"/>
                <w:szCs w:val="20"/>
                <w:color w:val="auto"/>
              </w:rPr>
            </w:pPr>
            <w:r>
              <w:rPr>
                <w:rFonts w:ascii="Arial" w:cs="Arial" w:eastAsia="Arial" w:hAnsi="Arial"/>
                <w:sz w:val="18"/>
                <w:szCs w:val="18"/>
                <w:color w:val="auto"/>
              </w:rPr>
              <w:t>(74)</w:t>
            </w:r>
          </w:p>
        </w:tc>
        <w:tc>
          <w:tcPr>
            <w:tcW w:w="4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77"/>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$ 21,319</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6,835</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2,395</w:t>
            </w: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$ 4,440</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2,406</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color w:val="auto"/>
              </w:rPr>
              <w:t>Three Months Ended September 30, 2015</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158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23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27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16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1100" w:type="dxa"/>
            <w:vAlign w:val="bottom"/>
          </w:tcPr>
          <w:p>
            <w:pPr>
              <w:jc w:val="right"/>
              <w:ind w:right="75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217"/>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596"/>
              <w:spacing w:after="0" w:line="176" w:lineRule="exact"/>
              <w:rPr>
                <w:sz w:val="20"/>
                <w:szCs w:val="20"/>
                <w:color w:val="auto"/>
              </w:rPr>
            </w:pPr>
            <w:r>
              <w:rPr>
                <w:rFonts w:ascii="Arial" w:cs="Arial" w:eastAsia="Arial" w:hAnsi="Arial"/>
                <w:sz w:val="13"/>
                <w:szCs w:val="13"/>
                <w:color w:val="auto"/>
                <w:w w:val="97"/>
              </w:rPr>
              <w:t>Amortization</w:t>
            </w:r>
            <w:r>
              <w:rPr>
                <w:rFonts w:ascii="Arial" w:cs="Arial" w:eastAsia="Arial" w:hAnsi="Arial"/>
                <w:sz w:val="20"/>
                <w:szCs w:val="20"/>
                <w:color w:val="auto"/>
                <w:w w:val="97"/>
                <w:vertAlign w:val="superscript"/>
              </w:rPr>
              <w:t>(h)</w:t>
            </w: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$ 11,751</w:t>
            </w:r>
          </w:p>
        </w:tc>
        <w:tc>
          <w:tcPr>
            <w:tcW w:w="6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4,726</w:t>
            </w:r>
          </w:p>
        </w:tc>
        <w:tc>
          <w:tcPr>
            <w:tcW w:w="48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1,782</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$ 2,944</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2,412</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835</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193</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642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1,971</w:t>
            </w:r>
          </w:p>
        </w:tc>
        <w:tc>
          <w:tcPr>
            <w:tcW w:w="600" w:type="dxa"/>
            <w:vAlign w:val="bottom"/>
          </w:tcPr>
          <w:p>
            <w:pPr>
              <w:spacing w:after="0"/>
              <w:rPr>
                <w:sz w:val="18"/>
                <w:szCs w:val="18"/>
                <w:color w:val="auto"/>
              </w:rPr>
            </w:pPr>
          </w:p>
        </w:tc>
        <w:tc>
          <w:tcPr>
            <w:tcW w:w="1560" w:type="dxa"/>
            <w:vAlign w:val="bottom"/>
          </w:tcPr>
          <w:p>
            <w:pPr>
              <w:jc w:val="right"/>
              <w:ind w:right="356"/>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26</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1,946</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376</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8</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368</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896</w:t>
            </w:r>
          </w:p>
        </w:tc>
        <w:tc>
          <w:tcPr>
            <w:tcW w:w="600" w:type="dxa"/>
            <w:vAlign w:val="bottom"/>
          </w:tcPr>
          <w:p>
            <w:pPr>
              <w:spacing w:after="0"/>
              <w:rPr>
                <w:sz w:val="18"/>
                <w:szCs w:val="18"/>
                <w:color w:val="auto"/>
              </w:rPr>
            </w:pPr>
          </w:p>
        </w:tc>
        <w:tc>
          <w:tcPr>
            <w:tcW w:w="1560" w:type="dxa"/>
            <w:vAlign w:val="bottom"/>
          </w:tcPr>
          <w:p>
            <w:pPr>
              <w:jc w:val="right"/>
              <w:ind w:right="356"/>
              <w:spacing w:after="0"/>
              <w:rPr>
                <w:sz w:val="20"/>
                <w:szCs w:val="20"/>
                <w:color w:val="auto"/>
              </w:rPr>
            </w:pPr>
            <w:r>
              <w:rPr>
                <w:rFonts w:ascii="Arial" w:cs="Arial" w:eastAsia="Arial" w:hAnsi="Arial"/>
                <w:sz w:val="18"/>
                <w:szCs w:val="18"/>
                <w:color w:val="auto"/>
              </w:rPr>
              <w:t>434</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72</w:t>
            </w:r>
          </w:p>
        </w:tc>
        <w:tc>
          <w:tcPr>
            <w:tcW w:w="1060" w:type="dxa"/>
            <w:vAlign w:val="bottom"/>
          </w:tcPr>
          <w:p>
            <w:pPr>
              <w:jc w:val="right"/>
              <w:ind w:right="337"/>
              <w:spacing w:after="0"/>
              <w:rPr>
                <w:sz w:val="20"/>
                <w:szCs w:val="20"/>
                <w:color w:val="auto"/>
              </w:rPr>
            </w:pPr>
            <w:r>
              <w:rPr>
                <w:rFonts w:ascii="Arial" w:cs="Arial" w:eastAsia="Arial" w:hAnsi="Arial"/>
                <w:sz w:val="18"/>
                <w:szCs w:val="18"/>
                <w:color w:val="auto"/>
              </w:rPr>
              <w:t>362</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5</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96"/>
              <w:spacing w:after="0"/>
              <w:rPr>
                <w:sz w:val="20"/>
                <w:szCs w:val="20"/>
                <w:color w:val="auto"/>
              </w:rPr>
            </w:pPr>
            <w:r>
              <w:rPr>
                <w:rFonts w:ascii="Arial" w:cs="Arial" w:eastAsia="Arial" w:hAnsi="Arial"/>
                <w:sz w:val="18"/>
                <w:szCs w:val="18"/>
                <w:color w:val="auto"/>
              </w:rPr>
              <w:t>(164)</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81</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(245)</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4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8"/>
                <w:szCs w:val="18"/>
                <w:color w:val="auto"/>
              </w:rPr>
              <w:t>(79)</w:t>
            </w:r>
          </w:p>
        </w:tc>
        <w:tc>
          <w:tcPr>
            <w:tcW w:w="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272"/>
              <w:spacing w:after="0"/>
              <w:rPr>
                <w:sz w:val="20"/>
                <w:szCs w:val="20"/>
                <w:color w:val="auto"/>
              </w:rPr>
            </w:pPr>
            <w:r>
              <w:rPr>
                <w:rFonts w:ascii="Arial" w:cs="Arial" w:eastAsia="Arial" w:hAnsi="Arial"/>
                <w:sz w:val="18"/>
                <w:szCs w:val="18"/>
                <w:color w:val="auto"/>
              </w:rPr>
              <w:t>7,151</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1,633</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94"/>
              <w:spacing w:after="0"/>
              <w:rPr>
                <w:sz w:val="20"/>
                <w:szCs w:val="20"/>
                <w:color w:val="auto"/>
              </w:rPr>
            </w:pPr>
            <w:r>
              <w:rPr>
                <w:rFonts w:ascii="Arial" w:cs="Arial" w:eastAsia="Arial" w:hAnsi="Arial"/>
                <w:sz w:val="18"/>
                <w:szCs w:val="18"/>
                <w:color w:val="auto"/>
              </w:rPr>
              <w:t>380</w:t>
            </w:r>
          </w:p>
        </w:tc>
        <w:tc>
          <w:tcPr>
            <w:tcW w:w="106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1,253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1540" w:type="dxa"/>
            <w:vAlign w:val="bottom"/>
            <w:gridSpan w:val="2"/>
          </w:tcPr>
          <w:p>
            <w:pPr>
              <w:jc w:val="right"/>
              <w:ind w:right="272"/>
              <w:spacing w:after="0"/>
              <w:rPr>
                <w:sz w:val="20"/>
                <w:szCs w:val="20"/>
                <w:color w:val="auto"/>
              </w:rPr>
            </w:pPr>
            <w:r>
              <w:rPr>
                <w:rFonts w:ascii="Arial" w:cs="Arial" w:eastAsia="Arial" w:hAnsi="Arial"/>
                <w:sz w:val="18"/>
                <w:szCs w:val="18"/>
                <w:color w:val="auto"/>
              </w:rPr>
              <w:t>167</w:t>
            </w:r>
          </w:p>
        </w:tc>
        <w:tc>
          <w:tcPr>
            <w:tcW w:w="600" w:type="dxa"/>
            <w:vAlign w:val="bottom"/>
          </w:tcPr>
          <w:p>
            <w:pPr>
              <w:spacing w:after="0"/>
              <w:rPr>
                <w:sz w:val="18"/>
                <w:szCs w:val="18"/>
                <w:color w:val="auto"/>
              </w:rPr>
            </w:pPr>
          </w:p>
        </w:tc>
        <w:tc>
          <w:tcPr>
            <w:tcW w:w="1560" w:type="dxa"/>
            <w:vAlign w:val="bottom"/>
          </w:tcPr>
          <w:p>
            <w:pPr>
              <w:jc w:val="right"/>
              <w:ind w:right="296"/>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18"/>
                <w:szCs w:val="18"/>
                <w:color w:val="auto"/>
              </w:rPr>
            </w:pPr>
          </w:p>
        </w:tc>
        <w:tc>
          <w:tcPr>
            <w:tcW w:w="1100" w:type="dxa"/>
            <w:vAlign w:val="bottom"/>
          </w:tcPr>
          <w:p>
            <w:pPr>
              <w:jc w:val="right"/>
              <w:ind w:right="494"/>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1540" w:type="dxa"/>
            <w:vAlign w:val="bottom"/>
            <w:tcBorders>
              <w:bottom w:val="single" w:sz="8" w:color="auto"/>
            </w:tcBorders>
            <w:gridSpan w:val="2"/>
            <w:shd w:val="clear" w:color="auto" w:fill="E5E5E5"/>
          </w:tcPr>
          <w:p>
            <w:pPr>
              <w:jc w:val="right"/>
              <w:ind w:right="212"/>
              <w:spacing w:after="0"/>
              <w:rPr>
                <w:sz w:val="20"/>
                <w:szCs w:val="20"/>
                <w:color w:val="auto"/>
              </w:rPr>
            </w:pPr>
            <w:r>
              <w:rPr>
                <w:rFonts w:ascii="Arial" w:cs="Arial" w:eastAsia="Arial" w:hAnsi="Arial"/>
                <w:sz w:val="18"/>
                <w:szCs w:val="18"/>
                <w:color w:val="auto"/>
              </w:rPr>
              <w:t>(400)</w:t>
            </w:r>
          </w:p>
        </w:tc>
        <w:tc>
          <w:tcPr>
            <w:tcW w:w="6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356"/>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$ 18,669</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b w:val="1"/>
                <w:bCs w:val="1"/>
                <w:color w:val="auto"/>
              </w:rPr>
              <w:t>6,184</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2,183</w:t>
            </w: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b w:val="1"/>
                <w:bCs w:val="1"/>
                <w:color w:val="auto"/>
              </w:rPr>
              <w:t>$ 4,001</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2,165</w:t>
            </w:r>
          </w:p>
        </w:tc>
        <w:tc>
          <w:tcPr>
            <w:tcW w:w="0" w:type="dxa"/>
            <w:vAlign w:val="bottom"/>
          </w:tcPr>
          <w:p>
            <w:pPr>
              <w:spacing w:after="0"/>
              <w:rPr>
                <w:sz w:val="1"/>
                <w:szCs w:val="1"/>
                <w:color w:val="auto"/>
              </w:rPr>
            </w:pPr>
          </w:p>
        </w:tc>
      </w:tr>
      <w:tr>
        <w:trPr>
          <w:trHeight w:val="284"/>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Nine Months Ended September 30, 2016</w:t>
            </w: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gridSpan w:val="2"/>
          </w:tcPr>
          <w:p>
            <w:pPr>
              <w:ind w:left="480"/>
              <w:spacing w:after="0" w:line="131" w:lineRule="exact"/>
              <w:rPr>
                <w:sz w:val="20"/>
                <w:szCs w:val="20"/>
                <w:color w:val="auto"/>
              </w:rPr>
            </w:pPr>
            <w:r>
              <w:rPr>
                <w:rFonts w:ascii="Arial" w:cs="Arial" w:eastAsia="Arial" w:hAnsi="Arial"/>
                <w:sz w:val="14"/>
                <w:szCs w:val="14"/>
                <w:color w:val="auto"/>
              </w:rPr>
              <w:t>Operating Income (Loss)</w:t>
            </w:r>
          </w:p>
        </w:tc>
        <w:tc>
          <w:tcPr>
            <w:tcW w:w="158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tcPr>
          <w:p>
            <w:pPr>
              <w:jc w:val="center"/>
              <w:ind w:right="157"/>
              <w:spacing w:after="0" w:line="131" w:lineRule="exact"/>
              <w:rPr>
                <w:sz w:val="20"/>
                <w:szCs w:val="20"/>
                <w:color w:val="auto"/>
              </w:rPr>
            </w:pPr>
            <w:r>
              <w:rPr>
                <w:rFonts w:ascii="Arial" w:cs="Arial" w:eastAsia="Arial" w:hAnsi="Arial"/>
                <w:sz w:val="14"/>
                <w:szCs w:val="14"/>
                <w:color w:val="auto"/>
                <w:w w:val="87"/>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ind w:right="92"/>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160" w:type="dxa"/>
            <w:vAlign w:val="bottom"/>
            <w:gridSpan w:val="2"/>
          </w:tcPr>
          <w:p>
            <w:pPr>
              <w:ind w:left="50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1100" w:type="dxa"/>
            <w:vAlign w:val="bottom"/>
          </w:tcPr>
          <w:p>
            <w:pPr>
              <w:jc w:val="right"/>
              <w:ind w:right="694"/>
              <w:spacing w:after="0" w:line="133" w:lineRule="exact"/>
              <w:rPr>
                <w:sz w:val="20"/>
                <w:szCs w:val="20"/>
                <w:color w:val="auto"/>
              </w:rPr>
            </w:pPr>
            <w:r>
              <w:rPr>
                <w:rFonts w:ascii="Arial" w:cs="Arial" w:eastAsia="Arial" w:hAnsi="Arial"/>
                <w:sz w:val="14"/>
                <w:szCs w:val="14"/>
                <w:color w:val="auto"/>
              </w:rPr>
              <w:t>and</w:t>
            </w:r>
          </w:p>
        </w:tc>
        <w:tc>
          <w:tcPr>
            <w:tcW w:w="1060" w:type="dxa"/>
            <w:vAlign w:val="bottom"/>
          </w:tcPr>
          <w:p>
            <w:pPr>
              <w:jc w:val="center"/>
              <w:ind w:right="157"/>
              <w:spacing w:after="0" w:line="133" w:lineRule="exact"/>
              <w:rPr>
                <w:sz w:val="20"/>
                <w:szCs w:val="20"/>
                <w:color w:val="auto"/>
              </w:rPr>
            </w:pPr>
            <w:r>
              <w:rPr>
                <w:rFonts w:ascii="Arial" w:cs="Arial" w:eastAsia="Arial" w:hAnsi="Arial"/>
                <w:sz w:val="14"/>
                <w:szCs w:val="14"/>
                <w:color w:val="auto"/>
                <w:w w:val="91"/>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7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15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Amortization</w:t>
            </w: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87"/>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$ 37,205</w:t>
            </w:r>
          </w:p>
        </w:tc>
        <w:tc>
          <w:tcPr>
            <w:tcW w:w="600" w:type="dxa"/>
            <w:vAlign w:val="bottom"/>
            <w:shd w:val="clear" w:color="auto" w:fill="E5E5E5"/>
          </w:tcPr>
          <w:p>
            <w:pPr>
              <w:ind w:left="4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14,923</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5,676</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$ 9,247</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NBCUniversal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(c)</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7,961</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2,793</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561</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2,232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7,299</w:t>
            </w:r>
          </w:p>
        </w:tc>
        <w:tc>
          <w:tcPr>
            <w:tcW w:w="6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1,056</w:t>
            </w:r>
          </w:p>
        </w:tc>
        <w:tc>
          <w:tcPr>
            <w:tcW w:w="4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89</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4,526</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576</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33</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543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3,602</w:t>
            </w:r>
          </w:p>
        </w:tc>
        <w:tc>
          <w:tcPr>
            <w:tcW w:w="600" w:type="dxa"/>
            <w:vAlign w:val="bottom"/>
          </w:tcPr>
          <w:p>
            <w:pPr>
              <w:spacing w:after="0"/>
              <w:rPr>
                <w:sz w:val="18"/>
                <w:szCs w:val="18"/>
                <w:color w:val="auto"/>
              </w:rPr>
            </w:pPr>
          </w:p>
        </w:tc>
        <w:tc>
          <w:tcPr>
            <w:tcW w:w="1560" w:type="dxa"/>
            <w:vAlign w:val="bottom"/>
          </w:tcPr>
          <w:p>
            <w:pPr>
              <w:jc w:val="right"/>
              <w:ind w:right="236"/>
              <w:spacing w:after="0"/>
              <w:rPr>
                <w:sz w:val="20"/>
                <w:szCs w:val="20"/>
                <w:color w:val="auto"/>
              </w:rPr>
            </w:pPr>
            <w:r>
              <w:rPr>
                <w:rFonts w:ascii="Arial" w:cs="Arial" w:eastAsia="Arial" w:hAnsi="Arial"/>
                <w:sz w:val="18"/>
                <w:szCs w:val="18"/>
                <w:color w:val="auto"/>
              </w:rPr>
              <w:t>1,550</w:t>
            </w:r>
          </w:p>
        </w:tc>
        <w:tc>
          <w:tcPr>
            <w:tcW w:w="4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373</w:t>
            </w:r>
          </w:p>
        </w:tc>
        <w:tc>
          <w:tcPr>
            <w:tcW w:w="1060" w:type="dxa"/>
            <w:vAlign w:val="bottom"/>
          </w:tcPr>
          <w:p>
            <w:pPr>
              <w:jc w:val="right"/>
              <w:ind w:right="277"/>
              <w:spacing w:after="0"/>
              <w:rPr>
                <w:sz w:val="20"/>
                <w:szCs w:val="20"/>
                <w:color w:val="auto"/>
              </w:rPr>
            </w:pPr>
            <w:r>
              <w:rPr>
                <w:rFonts w:ascii="Arial" w:cs="Arial" w:eastAsia="Arial" w:hAnsi="Arial"/>
                <w:sz w:val="18"/>
                <w:szCs w:val="18"/>
                <w:color w:val="auto"/>
              </w:rPr>
              <w:t>1,177</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3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10</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(518)</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268</w:t>
            </w:r>
          </w:p>
        </w:tc>
        <w:tc>
          <w:tcPr>
            <w:tcW w:w="106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(786)</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5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(256)</w:t>
            </w:r>
          </w:p>
        </w:tc>
        <w:tc>
          <w:tcPr>
            <w:tcW w:w="6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8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54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23,142</w:t>
            </w:r>
          </w:p>
        </w:tc>
        <w:tc>
          <w:tcPr>
            <w:tcW w:w="6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5,457</w:t>
            </w: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1,324</w:t>
            </w:r>
          </w:p>
        </w:tc>
        <w:tc>
          <w:tcPr>
            <w:tcW w:w="106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4,133</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1540" w:type="dxa"/>
            <w:vAlign w:val="bottom"/>
            <w:gridSpan w:val="2"/>
          </w:tcPr>
          <w:p>
            <w:pPr>
              <w:jc w:val="right"/>
              <w:ind w:right="92"/>
              <w:spacing w:after="0"/>
              <w:rPr>
                <w:sz w:val="20"/>
                <w:szCs w:val="20"/>
                <w:color w:val="auto"/>
              </w:rPr>
            </w:pPr>
            <w:r>
              <w:rPr>
                <w:rFonts w:ascii="Arial" w:cs="Arial" w:eastAsia="Arial" w:hAnsi="Arial"/>
                <w:sz w:val="18"/>
                <w:szCs w:val="18"/>
                <w:color w:val="auto"/>
              </w:rPr>
              <w:t>547</w:t>
            </w:r>
          </w:p>
        </w:tc>
        <w:tc>
          <w:tcPr>
            <w:tcW w:w="600" w:type="dxa"/>
            <w:vAlign w:val="bottom"/>
          </w:tcPr>
          <w:p>
            <w:pPr>
              <w:spacing w:after="0"/>
              <w:rPr>
                <w:sz w:val="18"/>
                <w:szCs w:val="18"/>
                <w:color w:val="auto"/>
              </w:rPr>
            </w:pPr>
          </w:p>
        </w:tc>
        <w:tc>
          <w:tcPr>
            <w:tcW w:w="1560" w:type="dxa"/>
            <w:vAlign w:val="bottom"/>
          </w:tcPr>
          <w:p>
            <w:pPr>
              <w:jc w:val="right"/>
              <w:ind w:right="176"/>
              <w:spacing w:after="0"/>
              <w:rPr>
                <w:sz w:val="20"/>
                <w:szCs w:val="20"/>
                <w:color w:val="auto"/>
              </w:rPr>
            </w:pPr>
            <w:r>
              <w:rPr>
                <w:rFonts w:ascii="Arial" w:cs="Arial" w:eastAsia="Arial" w:hAnsi="Arial"/>
                <w:sz w:val="18"/>
                <w:szCs w:val="18"/>
                <w:color w:val="auto"/>
              </w:rPr>
              <w:t>(668)</w:t>
            </w:r>
          </w:p>
        </w:tc>
        <w:tc>
          <w:tcPr>
            <w:tcW w:w="480" w:type="dxa"/>
            <w:vAlign w:val="bottom"/>
          </w:tcPr>
          <w:p>
            <w:pPr>
              <w:spacing w:after="0"/>
              <w:rPr>
                <w:sz w:val="18"/>
                <w:szCs w:val="18"/>
                <w:color w:val="auto"/>
              </w:rPr>
            </w:pPr>
          </w:p>
        </w:tc>
        <w:tc>
          <w:tcPr>
            <w:tcW w:w="1100" w:type="dxa"/>
            <w:vAlign w:val="bottom"/>
          </w:tcPr>
          <w:p>
            <w:pPr>
              <w:jc w:val="right"/>
              <w:ind w:right="434"/>
              <w:spacing w:after="0"/>
              <w:rPr>
                <w:sz w:val="20"/>
                <w:szCs w:val="20"/>
                <w:color w:val="auto"/>
              </w:rPr>
            </w:pPr>
            <w:r>
              <w:rPr>
                <w:rFonts w:ascii="Arial" w:cs="Arial" w:eastAsia="Arial" w:hAnsi="Arial"/>
                <w:sz w:val="18"/>
                <w:szCs w:val="18"/>
                <w:color w:val="auto"/>
              </w:rPr>
              <w:t>62</w:t>
            </w:r>
          </w:p>
        </w:tc>
        <w:tc>
          <w:tcPr>
            <w:tcW w:w="1060" w:type="dxa"/>
            <w:vAlign w:val="bottom"/>
          </w:tcPr>
          <w:p>
            <w:pPr>
              <w:jc w:val="right"/>
              <w:ind w:right="217"/>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154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color w:val="auto"/>
              </w:rPr>
              <w:t>(1,516)</w:t>
            </w:r>
          </w:p>
        </w:tc>
        <w:tc>
          <w:tcPr>
            <w:tcW w:w="6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(55)</w:t>
            </w:r>
          </w:p>
        </w:tc>
        <w:tc>
          <w:tcPr>
            <w:tcW w:w="4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(55)</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5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$ 59,378</w:t>
            </w:r>
          </w:p>
        </w:tc>
        <w:tc>
          <w:tcPr>
            <w:tcW w:w="6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19,657</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7,062</w:t>
            </w: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b w:val="1"/>
                <w:bCs w:val="1"/>
                <w:color w:val="auto"/>
              </w:rPr>
              <w:t>$12,595</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6,562</w:t>
            </w:r>
          </w:p>
        </w:tc>
        <w:tc>
          <w:tcPr>
            <w:tcW w:w="0" w:type="dxa"/>
            <w:vAlign w:val="bottom"/>
          </w:tcPr>
          <w:p>
            <w:pPr>
              <w:spacing w:after="0"/>
              <w:rPr>
                <w:sz w:val="1"/>
                <w:szCs w:val="1"/>
                <w:color w:val="auto"/>
              </w:rPr>
            </w:pPr>
          </w:p>
        </w:tc>
      </w:tr>
      <w:tr>
        <w:trPr>
          <w:trHeight w:val="363"/>
        </w:trPr>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17</w:t>
            </w: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Nine Months Ended September 30, 2015</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20" w:type="dxa"/>
            <w:vAlign w:val="bottom"/>
            <w:gridSpan w:val="2"/>
          </w:tcPr>
          <w:p>
            <w:pPr>
              <w:ind w:left="300"/>
              <w:spacing w:after="0" w:line="131" w:lineRule="exact"/>
              <w:rPr>
                <w:sz w:val="20"/>
                <w:szCs w:val="20"/>
                <w:color w:val="auto"/>
              </w:rPr>
            </w:pPr>
            <w:r>
              <w:rPr>
                <w:rFonts w:ascii="Arial" w:cs="Arial" w:eastAsia="Arial" w:hAnsi="Arial"/>
                <w:sz w:val="14"/>
                <w:szCs w:val="14"/>
                <w:color w:val="auto"/>
              </w:rPr>
              <w:t>Operating Income (Loss)</w:t>
            </w:r>
          </w:p>
        </w:tc>
        <w:tc>
          <w:tcPr>
            <w:tcW w:w="1540" w:type="dxa"/>
            <w:vAlign w:val="bottom"/>
            <w:gridSpan w:val="2"/>
          </w:tcPr>
          <w:p>
            <w:pPr>
              <w:ind w:left="320"/>
              <w:spacing w:after="0" w:line="131" w:lineRule="exact"/>
              <w:rPr>
                <w:sz w:val="20"/>
                <w:szCs w:val="20"/>
                <w:color w:val="auto"/>
              </w:rPr>
            </w:pPr>
            <w:r>
              <w:rPr>
                <w:rFonts w:ascii="Arial" w:cs="Arial" w:eastAsia="Arial" w:hAnsi="Arial"/>
                <w:sz w:val="14"/>
                <w:szCs w:val="14"/>
                <w:color w:val="auto"/>
              </w:rPr>
              <w:t>Depreciation</w:t>
            </w:r>
          </w:p>
        </w:tc>
        <w:tc>
          <w:tcPr>
            <w:tcW w:w="106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Operating</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220" w:type="dxa"/>
            <w:vAlign w:val="bottom"/>
          </w:tcPr>
          <w:p>
            <w:pPr>
              <w:spacing w:after="0"/>
              <w:rPr>
                <w:sz w:val="11"/>
                <w:szCs w:val="11"/>
                <w:color w:val="auto"/>
              </w:rPr>
            </w:pPr>
          </w:p>
        </w:tc>
        <w:tc>
          <w:tcPr>
            <w:tcW w:w="1480" w:type="dxa"/>
            <w:vAlign w:val="bottom"/>
            <w:vMerge w:val="restart"/>
          </w:tcPr>
          <w:p>
            <w:pPr>
              <w:jc w:val="right"/>
              <w:ind w:right="254"/>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(g)</w:t>
            </w:r>
          </w:p>
        </w:tc>
        <w:tc>
          <w:tcPr>
            <w:tcW w:w="2020" w:type="dxa"/>
            <w:vAlign w:val="bottom"/>
            <w:gridSpan w:val="2"/>
          </w:tcPr>
          <w:p>
            <w:pPr>
              <w:ind w:left="320"/>
              <w:spacing w:after="0" w:line="133" w:lineRule="exact"/>
              <w:rPr>
                <w:sz w:val="20"/>
                <w:szCs w:val="20"/>
                <w:color w:val="auto"/>
              </w:rPr>
            </w:pPr>
            <w:r>
              <w:rPr>
                <w:rFonts w:ascii="Arial" w:cs="Arial" w:eastAsia="Arial" w:hAnsi="Arial"/>
                <w:sz w:val="14"/>
                <w:szCs w:val="14"/>
                <w:color w:val="auto"/>
              </w:rPr>
              <w:t>Before Depreciation and</w:t>
            </w:r>
          </w:p>
        </w:tc>
        <w:tc>
          <w:tcPr>
            <w:tcW w:w="480" w:type="dxa"/>
            <w:vAlign w:val="bottom"/>
          </w:tcPr>
          <w:p>
            <w:pPr>
              <w:spacing w:after="0"/>
              <w:rPr>
                <w:sz w:val="11"/>
                <w:szCs w:val="11"/>
                <w:color w:val="auto"/>
              </w:rPr>
            </w:pPr>
          </w:p>
        </w:tc>
        <w:tc>
          <w:tcPr>
            <w:tcW w:w="1060" w:type="dxa"/>
            <w:vAlign w:val="bottom"/>
          </w:tcPr>
          <w:p>
            <w:pPr>
              <w:jc w:val="right"/>
              <w:ind w:right="694"/>
              <w:spacing w:after="0" w:line="133" w:lineRule="exact"/>
              <w:rPr>
                <w:sz w:val="20"/>
                <w:szCs w:val="20"/>
                <w:color w:val="auto"/>
              </w:rPr>
            </w:pPr>
            <w:r>
              <w:rPr>
                <w:rFonts w:ascii="Arial" w:cs="Arial" w:eastAsia="Arial" w:hAnsi="Arial"/>
                <w:sz w:val="14"/>
                <w:szCs w:val="14"/>
                <w:color w:val="auto"/>
              </w:rPr>
              <w:t>and</w:t>
            </w:r>
          </w:p>
        </w:tc>
        <w:tc>
          <w:tcPr>
            <w:tcW w:w="200" w:type="dxa"/>
            <w:vAlign w:val="bottom"/>
          </w:tcPr>
          <w:p>
            <w:pPr>
              <w:spacing w:after="0"/>
              <w:rPr>
                <w:sz w:val="11"/>
                <w:szCs w:val="11"/>
                <w:color w:val="auto"/>
              </w:rPr>
            </w:pPr>
          </w:p>
        </w:tc>
        <w:tc>
          <w:tcPr>
            <w:tcW w:w="860" w:type="dxa"/>
            <w:vAlign w:val="bottom"/>
          </w:tcPr>
          <w:p>
            <w:pPr>
              <w:jc w:val="right"/>
              <w:ind w:right="355"/>
              <w:spacing w:after="0" w:line="133" w:lineRule="exact"/>
              <w:rPr>
                <w:sz w:val="20"/>
                <w:szCs w:val="20"/>
                <w:color w:val="auto"/>
              </w:rPr>
            </w:pPr>
            <w:r>
              <w:rPr>
                <w:rFonts w:ascii="Arial" w:cs="Arial" w:eastAsia="Arial" w:hAnsi="Arial"/>
                <w:sz w:val="14"/>
                <w:szCs w:val="14"/>
                <w:color w:val="auto"/>
                <w:w w:val="87"/>
              </w:rPr>
              <w:t>Income</w:t>
            </w:r>
          </w:p>
        </w:tc>
        <w:tc>
          <w:tcPr>
            <w:tcW w:w="42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48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(h)</w:t>
            </w: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w w:val="92"/>
              </w:rPr>
              <w:t>(Loss)</w:t>
            </w: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(a)(b)</w:t>
            </w:r>
          </w:p>
        </w:tc>
        <w:tc>
          <w:tcPr>
            <w:tcW w:w="14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$ 34,932</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14,161</w:t>
            </w:r>
          </w:p>
        </w:tc>
        <w:tc>
          <w:tcPr>
            <w:tcW w:w="48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5,194</w:t>
            </w:r>
          </w:p>
        </w:tc>
        <w:tc>
          <w:tcPr>
            <w:tcW w:w="200" w:type="dxa"/>
            <w:vAlign w:val="bottom"/>
            <w:shd w:val="clear" w:color="auto" w:fill="E5E5E5"/>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8,967</w:t>
            </w:r>
          </w:p>
        </w:tc>
        <w:tc>
          <w:tcPr>
            <w:tcW w:w="42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NBCUniversal</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14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7,221</w:t>
            </w:r>
          </w:p>
        </w:tc>
        <w:tc>
          <w:tcPr>
            <w:tcW w:w="480" w:type="dxa"/>
            <w:vAlign w:val="bottom"/>
            <w:shd w:val="clear" w:color="auto" w:fill="E5E5E5"/>
          </w:tcPr>
          <w:p>
            <w:pPr>
              <w:spacing w:after="0"/>
              <w:rPr>
                <w:sz w:val="18"/>
                <w:szCs w:val="18"/>
                <w:color w:val="auto"/>
              </w:rPr>
            </w:pP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2,605</w:t>
            </w:r>
          </w:p>
        </w:tc>
        <w:tc>
          <w:tcPr>
            <w:tcW w:w="4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(c)</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6,032</w:t>
            </w:r>
          </w:p>
        </w:tc>
        <w:tc>
          <w:tcPr>
            <w:tcW w:w="480" w:type="dxa"/>
            <w:vAlign w:val="bottom"/>
          </w:tcPr>
          <w:p>
            <w:pPr>
              <w:spacing w:after="0"/>
              <w:rPr>
                <w:sz w:val="18"/>
                <w:szCs w:val="18"/>
                <w:color w:val="auto"/>
              </w:rPr>
            </w:pPr>
          </w:p>
        </w:tc>
        <w:tc>
          <w:tcPr>
            <w:tcW w:w="1540" w:type="dxa"/>
            <w:vAlign w:val="bottom"/>
          </w:tcPr>
          <w:p>
            <w:pPr>
              <w:jc w:val="right"/>
              <w:ind w:right="276"/>
              <w:spacing w:after="0"/>
              <w:rPr>
                <w:sz w:val="20"/>
                <w:szCs w:val="20"/>
                <w:color w:val="auto"/>
              </w:rPr>
            </w:pPr>
            <w:r>
              <w:rPr>
                <w:rFonts w:ascii="Arial" w:cs="Arial" w:eastAsia="Arial" w:hAnsi="Arial"/>
                <w:sz w:val="18"/>
                <w:szCs w:val="18"/>
                <w:color w:val="auto"/>
              </w:rPr>
              <w:t>563</w:t>
            </w:r>
          </w:p>
        </w:tc>
        <w:tc>
          <w:tcPr>
            <w:tcW w:w="480" w:type="dxa"/>
            <w:vAlign w:val="bottom"/>
          </w:tcPr>
          <w:p>
            <w:pPr>
              <w:spacing w:after="0"/>
              <w:rPr>
                <w:sz w:val="18"/>
                <w:szCs w:val="18"/>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860" w:type="dxa"/>
            <w:vAlign w:val="bottom"/>
          </w:tcPr>
          <w:p>
            <w:pPr>
              <w:jc w:val="right"/>
              <w:ind w:right="275"/>
              <w:spacing w:after="0"/>
              <w:rPr>
                <w:sz w:val="20"/>
                <w:szCs w:val="20"/>
                <w:color w:val="auto"/>
              </w:rPr>
            </w:pPr>
            <w:r>
              <w:rPr>
                <w:rFonts w:ascii="Arial" w:cs="Arial" w:eastAsia="Arial" w:hAnsi="Arial"/>
                <w:sz w:val="18"/>
                <w:szCs w:val="18"/>
                <w:color w:val="auto"/>
              </w:rPr>
              <w:t>478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14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5,658</w:t>
            </w:r>
          </w:p>
        </w:tc>
        <w:tc>
          <w:tcPr>
            <w:tcW w:w="480" w:type="dxa"/>
            <w:vAlign w:val="bottom"/>
            <w:shd w:val="clear" w:color="auto" w:fill="E5E5E5"/>
          </w:tcPr>
          <w:p>
            <w:pPr>
              <w:spacing w:after="0"/>
              <w:rPr>
                <w:sz w:val="18"/>
                <w:szCs w:val="18"/>
                <w:color w:val="auto"/>
              </w:rPr>
            </w:pP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1,091</w:t>
            </w:r>
          </w:p>
        </w:tc>
        <w:tc>
          <w:tcPr>
            <w:tcW w:w="4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1,072</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(d)</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2,320</w:t>
            </w:r>
          </w:p>
        </w:tc>
        <w:tc>
          <w:tcPr>
            <w:tcW w:w="480" w:type="dxa"/>
            <w:vAlign w:val="bottom"/>
          </w:tcPr>
          <w:p>
            <w:pPr>
              <w:spacing w:after="0"/>
              <w:rPr>
                <w:sz w:val="18"/>
                <w:szCs w:val="18"/>
                <w:color w:val="auto"/>
              </w:rPr>
            </w:pPr>
          </w:p>
        </w:tc>
        <w:tc>
          <w:tcPr>
            <w:tcW w:w="1540" w:type="dxa"/>
            <w:vAlign w:val="bottom"/>
          </w:tcPr>
          <w:p>
            <w:pPr>
              <w:jc w:val="right"/>
              <w:ind w:right="276"/>
              <w:spacing w:after="0"/>
              <w:rPr>
                <w:sz w:val="20"/>
                <w:szCs w:val="20"/>
                <w:color w:val="auto"/>
              </w:rPr>
            </w:pPr>
            <w:r>
              <w:rPr>
                <w:rFonts w:ascii="Arial" w:cs="Arial" w:eastAsia="Arial" w:hAnsi="Arial"/>
                <w:sz w:val="18"/>
                <w:szCs w:val="18"/>
                <w:color w:val="auto"/>
              </w:rPr>
              <w:t>1,012</w:t>
            </w:r>
          </w:p>
        </w:tc>
        <w:tc>
          <w:tcPr>
            <w:tcW w:w="480" w:type="dxa"/>
            <w:vAlign w:val="bottom"/>
          </w:tcPr>
          <w:p>
            <w:pPr>
              <w:spacing w:after="0"/>
              <w:rPr>
                <w:sz w:val="18"/>
                <w:szCs w:val="18"/>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860" w:type="dxa"/>
            <w:vAlign w:val="bottom"/>
          </w:tcPr>
          <w:p>
            <w:pPr>
              <w:jc w:val="right"/>
              <w:ind w:right="275"/>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4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(e)</w:t>
            </w:r>
          </w:p>
        </w:tc>
        <w:tc>
          <w:tcPr>
            <w:tcW w:w="14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12</w:t>
            </w:r>
          </w:p>
        </w:tc>
        <w:tc>
          <w:tcPr>
            <w:tcW w:w="480" w:type="dxa"/>
            <w:vAlign w:val="bottom"/>
            <w:shd w:val="clear" w:color="auto" w:fill="E5E5E5"/>
          </w:tcPr>
          <w:p>
            <w:pPr>
              <w:spacing w:after="0"/>
              <w:rPr>
                <w:sz w:val="18"/>
                <w:szCs w:val="18"/>
                <w:color w:val="auto"/>
              </w:rPr>
            </w:pPr>
          </w:p>
        </w:tc>
        <w:tc>
          <w:tcPr>
            <w:tcW w:w="154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(473)</w:t>
            </w:r>
          </w:p>
        </w:tc>
        <w:tc>
          <w:tcPr>
            <w:tcW w:w="4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15"/>
              <w:spacing w:after="0"/>
              <w:rPr>
                <w:sz w:val="20"/>
                <w:szCs w:val="20"/>
                <w:color w:val="auto"/>
              </w:rPr>
            </w:pPr>
            <w:r>
              <w:rPr>
                <w:rFonts w:ascii="Arial" w:cs="Arial" w:eastAsia="Arial" w:hAnsi="Arial"/>
                <w:sz w:val="18"/>
                <w:szCs w:val="18"/>
                <w:color w:val="auto"/>
              </w:rPr>
              <w:t>(716)</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(f)</w:t>
            </w:r>
          </w:p>
        </w:tc>
        <w:tc>
          <w:tcPr>
            <w:tcW w:w="148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(258)</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4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20,985</w:t>
            </w:r>
          </w:p>
        </w:tc>
        <w:tc>
          <w:tcPr>
            <w:tcW w:w="480" w:type="dxa"/>
            <w:vAlign w:val="bottom"/>
            <w:shd w:val="clear" w:color="auto" w:fill="E5E5E5"/>
          </w:tcPr>
          <w:p>
            <w:pPr>
              <w:spacing w:after="0"/>
              <w:rPr>
                <w:sz w:val="18"/>
                <w:szCs w:val="18"/>
                <w:color w:val="auto"/>
              </w:rPr>
            </w:pP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4,800</w:t>
            </w:r>
          </w:p>
        </w:tc>
        <w:tc>
          <w:tcPr>
            <w:tcW w:w="4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434"/>
              <w:spacing w:after="0"/>
              <w:rPr>
                <w:sz w:val="20"/>
                <w:szCs w:val="20"/>
                <w:color w:val="auto"/>
              </w:rPr>
            </w:pPr>
            <w:r>
              <w:rPr>
                <w:rFonts w:ascii="Arial" w:cs="Arial" w:eastAsia="Arial" w:hAnsi="Arial"/>
                <w:sz w:val="18"/>
                <w:szCs w:val="18"/>
                <w:color w:val="auto"/>
              </w:rPr>
              <w:t>1,149</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3,651</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1"/>
                <w:szCs w:val="11"/>
                <w:color w:val="auto"/>
              </w:rPr>
              <w:t>(b)</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524</w:t>
            </w:r>
          </w:p>
        </w:tc>
        <w:tc>
          <w:tcPr>
            <w:tcW w:w="480" w:type="dxa"/>
            <w:vAlign w:val="bottom"/>
          </w:tcPr>
          <w:p>
            <w:pPr>
              <w:spacing w:after="0"/>
              <w:rPr>
                <w:sz w:val="18"/>
                <w:szCs w:val="18"/>
                <w:color w:val="auto"/>
              </w:rPr>
            </w:pPr>
          </w:p>
        </w:tc>
        <w:tc>
          <w:tcPr>
            <w:tcW w:w="1540" w:type="dxa"/>
            <w:vAlign w:val="bottom"/>
          </w:tcPr>
          <w:p>
            <w:pPr>
              <w:jc w:val="right"/>
              <w:ind w:right="216"/>
              <w:spacing w:after="0"/>
              <w:rPr>
                <w:sz w:val="20"/>
                <w:szCs w:val="20"/>
                <w:color w:val="auto"/>
              </w:rPr>
            </w:pPr>
            <w:r>
              <w:rPr>
                <w:rFonts w:ascii="Arial" w:cs="Arial" w:eastAsia="Arial" w:hAnsi="Arial"/>
                <w:sz w:val="18"/>
                <w:szCs w:val="18"/>
                <w:color w:val="auto"/>
              </w:rPr>
              <w:t>(651)</w:t>
            </w:r>
          </w:p>
        </w:tc>
        <w:tc>
          <w:tcPr>
            <w:tcW w:w="480" w:type="dxa"/>
            <w:vAlign w:val="bottom"/>
          </w:tcPr>
          <w:p>
            <w:pPr>
              <w:spacing w:after="0"/>
              <w:rPr>
                <w:sz w:val="18"/>
                <w:szCs w:val="18"/>
                <w:color w:val="auto"/>
              </w:rPr>
            </w:pPr>
          </w:p>
        </w:tc>
        <w:tc>
          <w:tcPr>
            <w:tcW w:w="1060" w:type="dxa"/>
            <w:vAlign w:val="bottom"/>
          </w:tcPr>
          <w:p>
            <w:pPr>
              <w:jc w:val="right"/>
              <w:ind w:right="434"/>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860" w:type="dxa"/>
            <w:vAlign w:val="bottom"/>
          </w:tcPr>
          <w:p>
            <w:pPr>
              <w:jc w:val="right"/>
              <w:ind w:right="215"/>
              <w:spacing w:after="0"/>
              <w:rPr>
                <w:sz w:val="20"/>
                <w:szCs w:val="20"/>
                <w:color w:val="auto"/>
              </w:rPr>
            </w:pPr>
            <w:r>
              <w:rPr>
                <w:rFonts w:ascii="Arial" w:cs="Arial" w:eastAsia="Arial" w:hAnsi="Arial"/>
                <w:sz w:val="18"/>
                <w:szCs w:val="18"/>
                <w:color w:val="auto"/>
              </w:rPr>
              <w:t>(718)</w:t>
            </w:r>
          </w:p>
        </w:tc>
        <w:tc>
          <w:tcPr>
            <w:tcW w:w="42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(d)(f)</w:t>
            </w:r>
          </w:p>
        </w:tc>
        <w:tc>
          <w:tcPr>
            <w:tcW w:w="148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(1,176)</w:t>
            </w:r>
          </w:p>
        </w:tc>
        <w:tc>
          <w:tcPr>
            <w:tcW w:w="480" w:type="dxa"/>
            <w:vAlign w:val="bottom"/>
            <w:tcBorders>
              <w:bottom w:val="single" w:sz="8" w:color="auto"/>
            </w:tcBorders>
            <w:shd w:val="clear" w:color="auto" w:fill="E5E5E5"/>
          </w:tcPr>
          <w:p>
            <w:pPr>
              <w:spacing w:after="0"/>
              <w:rPr>
                <w:sz w:val="18"/>
                <w:szCs w:val="18"/>
                <w:color w:val="auto"/>
              </w:rPr>
            </w:pPr>
          </w:p>
        </w:tc>
        <w:tc>
          <w:tcPr>
            <w:tcW w:w="154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rPr>
              <w:t>96</w:t>
            </w:r>
          </w:p>
        </w:tc>
        <w:tc>
          <w:tcPr>
            <w:tcW w:w="48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43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275"/>
              <w:spacing w:after="0"/>
              <w:rPr>
                <w:sz w:val="20"/>
                <w:szCs w:val="20"/>
                <w:color w:val="auto"/>
              </w:rPr>
            </w:pPr>
            <w:r>
              <w:rPr>
                <w:rFonts w:ascii="Arial" w:cs="Arial" w:eastAsia="Arial" w:hAnsi="Arial"/>
                <w:sz w:val="18"/>
                <w:szCs w:val="18"/>
                <w:color w:val="auto"/>
              </w:rPr>
              <w:t>96</w:t>
            </w:r>
          </w:p>
        </w:tc>
        <w:tc>
          <w:tcPr>
            <w:tcW w:w="4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4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$ 55,265</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18,406</w:t>
            </w:r>
          </w:p>
        </w:tc>
        <w:tc>
          <w:tcPr>
            <w:tcW w:w="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b w:val="1"/>
                <w:bCs w:val="1"/>
                <w:color w:val="auto"/>
              </w:rPr>
              <w:t>6,410</w:t>
            </w:r>
          </w:p>
        </w:tc>
        <w:tc>
          <w:tcPr>
            <w:tcW w:w="20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b w:val="1"/>
                <w:bCs w:val="1"/>
                <w:color w:val="auto"/>
                <w:w w:val="87"/>
              </w:rPr>
              <w:t>11,996</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5,862</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2016 and 2015, Cable Communications segment revenue was derived from the following sources:</w:t>
      </w:r>
    </w:p>
    <w:p>
      <w:pPr>
        <w:spacing w:after="0" w:line="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80" w:type="dxa"/>
            <w:vAlign w:val="bottom"/>
            <w:gridSpan w:val="2"/>
          </w:tcPr>
          <w:p>
            <w:pPr>
              <w:jc w:val="right"/>
              <w:ind w:right="792"/>
              <w:spacing w:after="0"/>
              <w:rPr>
                <w:sz w:val="20"/>
                <w:szCs w:val="20"/>
                <w:color w:val="auto"/>
              </w:rPr>
            </w:pPr>
            <w:r>
              <w:rPr>
                <w:rFonts w:ascii="Arial" w:cs="Arial" w:eastAsia="Arial" w:hAnsi="Arial"/>
                <w:sz w:val="14"/>
                <w:szCs w:val="14"/>
                <w:color w:val="auto"/>
              </w:rPr>
              <w:t>Three Months Ended</w:t>
            </w:r>
          </w:p>
        </w:tc>
        <w:tc>
          <w:tcPr>
            <w:tcW w:w="2260" w:type="dxa"/>
            <w:vAlign w:val="bottom"/>
            <w:gridSpan w:val="2"/>
          </w:tcPr>
          <w:p>
            <w:pPr>
              <w:jc w:val="right"/>
              <w:ind w:right="452"/>
              <w:spacing w:after="0"/>
              <w:rPr>
                <w:sz w:val="20"/>
                <w:szCs w:val="20"/>
                <w:color w:val="auto"/>
              </w:rPr>
            </w:pPr>
            <w:r>
              <w:rPr>
                <w:rFonts w:ascii="Arial" w:cs="Arial" w:eastAsia="Arial" w:hAnsi="Arial"/>
                <w:sz w:val="14"/>
                <w:szCs w:val="14"/>
                <w:color w:val="auto"/>
              </w:rPr>
              <w:t>Nine Months Ended</w:t>
            </w:r>
          </w:p>
        </w:tc>
      </w:tr>
      <w:tr>
        <w:trPr>
          <w:trHeight w:val="159"/>
        </w:trPr>
        <w:tc>
          <w:tcPr>
            <w:tcW w:w="5720" w:type="dxa"/>
            <w:vAlign w:val="bottom"/>
          </w:tcPr>
          <w:p>
            <w:pPr>
              <w:spacing w:after="0"/>
              <w:rPr>
                <w:sz w:val="13"/>
                <w:szCs w:val="13"/>
                <w:color w:val="auto"/>
              </w:rPr>
            </w:pPr>
          </w:p>
        </w:tc>
        <w:tc>
          <w:tcPr>
            <w:tcW w:w="210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September 30</w:t>
            </w:r>
          </w:p>
        </w:tc>
        <w:tc>
          <w:tcPr>
            <w:tcW w:w="9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2"/>
              <w:spacing w:after="0" w:line="159" w:lineRule="exact"/>
              <w:rPr>
                <w:sz w:val="20"/>
                <w:szCs w:val="20"/>
                <w:color w:val="auto"/>
              </w:rPr>
            </w:pPr>
            <w:r>
              <w:rPr>
                <w:rFonts w:ascii="Arial" w:cs="Arial" w:eastAsia="Arial" w:hAnsi="Arial"/>
                <w:sz w:val="14"/>
                <w:szCs w:val="14"/>
                <w:color w:val="auto"/>
              </w:rPr>
              <w:t>September 30</w:t>
            </w:r>
          </w:p>
        </w:tc>
        <w:tc>
          <w:tcPr>
            <w:tcW w:w="620" w:type="dxa"/>
            <w:vAlign w:val="bottom"/>
            <w:tcBorders>
              <w:bottom w:val="single" w:sz="8" w:color="auto"/>
            </w:tcBorders>
          </w:tcPr>
          <w:p>
            <w:pPr>
              <w:spacing w:after="0"/>
              <w:rPr>
                <w:sz w:val="13"/>
                <w:szCs w:val="13"/>
                <w:color w:val="auto"/>
              </w:rPr>
            </w:pPr>
          </w:p>
        </w:tc>
      </w:tr>
      <w:tr>
        <w:trPr>
          <w:trHeight w:val="223"/>
        </w:trPr>
        <w:tc>
          <w:tcPr>
            <w:tcW w:w="57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color w:val="auto"/>
              </w:rPr>
              <w:t>2016</w:t>
            </w: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color w:val="auto"/>
              </w:rPr>
              <w:t>2016</w:t>
            </w: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2015</w:t>
            </w:r>
          </w:p>
        </w:tc>
      </w:tr>
      <w:tr>
        <w:trPr>
          <w:trHeight w:val="142"/>
        </w:trPr>
        <w:tc>
          <w:tcPr>
            <w:tcW w:w="572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210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c>
          <w:tcPr>
            <w:tcW w:w="1640" w:type="dxa"/>
            <w:vAlign w:val="bottom"/>
            <w:shd w:val="clear" w:color="auto" w:fill="E5E5E5"/>
          </w:tcPr>
          <w:p>
            <w:pPr>
              <w:spacing w:after="0"/>
              <w:rPr>
                <w:sz w:val="12"/>
                <w:szCs w:val="12"/>
                <w:color w:val="auto"/>
              </w:rPr>
            </w:pPr>
          </w:p>
        </w:tc>
        <w:tc>
          <w:tcPr>
            <w:tcW w:w="620" w:type="dxa"/>
            <w:vAlign w:val="bottom"/>
            <w:shd w:val="clear" w:color="auto" w:fill="E5E5E5"/>
          </w:tcPr>
          <w:p>
            <w:pPr>
              <w:spacing w:after="0"/>
              <w:rPr>
                <w:sz w:val="12"/>
                <w:szCs w:val="12"/>
                <w:color w:val="auto"/>
              </w:rPr>
            </w:pPr>
          </w:p>
        </w:tc>
      </w:tr>
      <w:tr>
        <w:trPr>
          <w:trHeight w:val="149"/>
        </w:trPr>
        <w:tc>
          <w:tcPr>
            <w:tcW w:w="5720" w:type="dxa"/>
            <w:vAlign w:val="bottom"/>
          </w:tcPr>
          <w:p>
            <w:pPr>
              <w:ind w:left="440"/>
              <w:spacing w:after="0" w:line="149" w:lineRule="exact"/>
              <w:rPr>
                <w:sz w:val="20"/>
                <w:szCs w:val="20"/>
                <w:color w:val="auto"/>
              </w:rPr>
            </w:pPr>
            <w:r>
              <w:rPr>
                <w:rFonts w:ascii="Arial" w:cs="Arial" w:eastAsia="Arial" w:hAnsi="Arial"/>
                <w:sz w:val="14"/>
                <w:szCs w:val="14"/>
                <w:color w:val="auto"/>
              </w:rPr>
              <w:t>Video</w:t>
            </w:r>
          </w:p>
        </w:tc>
        <w:tc>
          <w:tcPr>
            <w:tcW w:w="21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44.5%</w:t>
            </w: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45.5%</w:t>
            </w:r>
          </w:p>
        </w:tc>
        <w:tc>
          <w:tcPr>
            <w:tcW w:w="164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44.9%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46.1%</w:t>
            </w:r>
          </w:p>
        </w:tc>
      </w:tr>
      <w:tr>
        <w:trPr>
          <w:trHeight w:val="149"/>
        </w:trPr>
        <w:tc>
          <w:tcPr>
            <w:tcW w:w="5720" w:type="dxa"/>
            <w:vAlign w:val="bottom"/>
            <w:shd w:val="clear" w:color="auto" w:fill="E5E5E5"/>
          </w:tcPr>
          <w:p>
            <w:pPr>
              <w:ind w:left="440"/>
              <w:spacing w:after="0" w:line="149" w:lineRule="exact"/>
              <w:rPr>
                <w:sz w:val="20"/>
                <w:szCs w:val="20"/>
                <w:color w:val="auto"/>
              </w:rPr>
            </w:pPr>
            <w:r>
              <w:rPr>
                <w:rFonts w:ascii="Arial" w:cs="Arial" w:eastAsia="Arial" w:hAnsi="Arial"/>
                <w:sz w:val="14"/>
                <w:szCs w:val="14"/>
                <w:color w:val="auto"/>
              </w:rPr>
              <w:t>High-speed Internet</w:t>
            </w:r>
          </w:p>
        </w:tc>
        <w:tc>
          <w:tcPr>
            <w:tcW w:w="210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27.1%</w:t>
            </w:r>
          </w:p>
        </w:tc>
        <w:tc>
          <w:tcPr>
            <w:tcW w:w="9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26.6%</w:t>
            </w:r>
          </w:p>
        </w:tc>
        <w:tc>
          <w:tcPr>
            <w:tcW w:w="164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27.0%</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26.5%</w:t>
            </w:r>
          </w:p>
        </w:tc>
      </w:tr>
      <w:tr>
        <w:trPr>
          <w:trHeight w:val="149"/>
        </w:trPr>
        <w:tc>
          <w:tcPr>
            <w:tcW w:w="5720" w:type="dxa"/>
            <w:vAlign w:val="bottom"/>
          </w:tcPr>
          <w:p>
            <w:pPr>
              <w:ind w:left="440"/>
              <w:spacing w:after="0" w:line="149" w:lineRule="exact"/>
              <w:rPr>
                <w:sz w:val="20"/>
                <w:szCs w:val="20"/>
                <w:color w:val="auto"/>
              </w:rPr>
            </w:pPr>
            <w:r>
              <w:rPr>
                <w:rFonts w:ascii="Arial" w:cs="Arial" w:eastAsia="Arial" w:hAnsi="Arial"/>
                <w:sz w:val="14"/>
                <w:szCs w:val="14"/>
                <w:color w:val="auto"/>
              </w:rPr>
              <w:t>Voice</w:t>
            </w:r>
          </w:p>
        </w:tc>
        <w:tc>
          <w:tcPr>
            <w:tcW w:w="21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7.0%</w:t>
            </w: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7.7%</w:t>
            </w:r>
          </w:p>
        </w:tc>
        <w:tc>
          <w:tcPr>
            <w:tcW w:w="164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7.2%</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57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210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11.1%</w:t>
            </w:r>
          </w:p>
        </w:tc>
        <w:tc>
          <w:tcPr>
            <w:tcW w:w="980" w:type="dxa"/>
            <w:vAlign w:val="bottom"/>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10.3%</w:t>
            </w:r>
          </w:p>
        </w:tc>
        <w:tc>
          <w:tcPr>
            <w:tcW w:w="1640" w:type="dxa"/>
            <w:vAlign w:val="bottom"/>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10.9%</w:t>
            </w:r>
          </w:p>
        </w:tc>
        <w:tc>
          <w:tcPr>
            <w:tcW w:w="6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149"/>
        </w:trPr>
        <w:tc>
          <w:tcPr>
            <w:tcW w:w="572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210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5.1%</w:t>
            </w:r>
          </w:p>
        </w:tc>
        <w:tc>
          <w:tcPr>
            <w:tcW w:w="98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5.0%</w:t>
            </w:r>
          </w:p>
        </w:tc>
        <w:tc>
          <w:tcPr>
            <w:tcW w:w="1640" w:type="dxa"/>
            <w:vAlign w:val="bottom"/>
          </w:tcPr>
          <w:p>
            <w:pPr>
              <w:jc w:val="right"/>
              <w:ind w:right="652"/>
              <w:spacing w:after="0" w:line="149" w:lineRule="exact"/>
              <w:rPr>
                <w:sz w:val="20"/>
                <w:szCs w:val="20"/>
                <w:color w:val="auto"/>
              </w:rPr>
            </w:pPr>
            <w:r>
              <w:rPr>
                <w:rFonts w:ascii="Arial" w:cs="Arial" w:eastAsia="Arial" w:hAnsi="Arial"/>
                <w:sz w:val="14"/>
                <w:szCs w:val="14"/>
                <w:color w:val="auto"/>
              </w:rPr>
              <w:t>4.8%</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572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2100" w:type="dxa"/>
            <w:vAlign w:val="bottom"/>
            <w:tcBorders>
              <w:bottom w:val="single" w:sz="8" w:color="auto"/>
            </w:tcBorders>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5.2%</w:t>
            </w:r>
          </w:p>
        </w:tc>
        <w:tc>
          <w:tcPr>
            <w:tcW w:w="980" w:type="dxa"/>
            <w:vAlign w:val="bottom"/>
            <w:tcBorders>
              <w:bottom w:val="single" w:sz="8" w:color="auto"/>
            </w:tcBorders>
            <w:shd w:val="clear" w:color="auto" w:fill="E5E5E5"/>
          </w:tcPr>
          <w:p>
            <w:pPr>
              <w:jc w:val="right"/>
              <w:ind w:right="332"/>
              <w:spacing w:after="0" w:line="149" w:lineRule="exact"/>
              <w:rPr>
                <w:sz w:val="20"/>
                <w:szCs w:val="20"/>
                <w:color w:val="auto"/>
              </w:rPr>
            </w:pPr>
            <w:r>
              <w:rPr>
                <w:rFonts w:ascii="Arial" w:cs="Arial" w:eastAsia="Arial" w:hAnsi="Arial"/>
                <w:sz w:val="14"/>
                <w:szCs w:val="14"/>
                <w:color w:val="auto"/>
              </w:rPr>
              <w:t>4.9%</w:t>
            </w:r>
          </w:p>
        </w:tc>
        <w:tc>
          <w:tcPr>
            <w:tcW w:w="1640" w:type="dxa"/>
            <w:vAlign w:val="bottom"/>
            <w:tcBorders>
              <w:bottom w:val="single" w:sz="8" w:color="auto"/>
            </w:tcBorders>
            <w:shd w:val="clear" w:color="auto" w:fill="E5E5E5"/>
          </w:tcPr>
          <w:p>
            <w:pPr>
              <w:jc w:val="right"/>
              <w:ind w:right="652"/>
              <w:spacing w:after="0" w:line="149" w:lineRule="exact"/>
              <w:rPr>
                <w:sz w:val="20"/>
                <w:szCs w:val="20"/>
                <w:color w:val="auto"/>
              </w:rPr>
            </w:pPr>
            <w:r>
              <w:rPr>
                <w:rFonts w:ascii="Arial" w:cs="Arial" w:eastAsia="Arial" w:hAnsi="Arial"/>
                <w:sz w:val="14"/>
                <w:szCs w:val="14"/>
                <w:color w:val="auto"/>
              </w:rPr>
              <w:t>5.2%</w:t>
            </w:r>
          </w:p>
        </w:tc>
        <w:tc>
          <w:tcPr>
            <w:tcW w:w="62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5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color w:val="auto"/>
              </w:rPr>
              <w:t>100%</w:t>
            </w:r>
          </w:p>
        </w:tc>
        <w:tc>
          <w:tcPr>
            <w:tcW w:w="9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color w:val="auto"/>
              </w:rPr>
              <w:t>100%</w:t>
            </w:r>
          </w:p>
        </w:tc>
        <w:tc>
          <w:tcPr>
            <w:tcW w:w="1640" w:type="dxa"/>
            <w:vAlign w:val="bottom"/>
            <w:tcBorders>
              <w:bottom w:val="single" w:sz="8" w:color="auto"/>
            </w:tcBorders>
          </w:tcPr>
          <w:p>
            <w:pPr>
              <w:jc w:val="right"/>
              <w:ind w:right="652"/>
              <w:spacing w:after="0" w:line="142" w:lineRule="exact"/>
              <w:rPr>
                <w:sz w:val="20"/>
                <w:szCs w:val="20"/>
                <w:color w:val="auto"/>
              </w:rPr>
            </w:pPr>
            <w:r>
              <w:rPr>
                <w:rFonts w:ascii="Arial" w:cs="Arial" w:eastAsia="Arial" w:hAnsi="Arial"/>
                <w:sz w:val="14"/>
                <w:szCs w:val="14"/>
                <w:color w:val="auto"/>
              </w:rPr>
              <w:t>100%</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and nine months ended September 30, 2016 and 2015, 2.8% of Cable Communications segment revenue was derived from franchise and other regulatory fees.</w:t>
      </w:r>
    </w:p>
    <w:p>
      <w:pPr>
        <w:spacing w:after="0" w:line="55" w:lineRule="exact"/>
        <w:rPr>
          <w:sz w:val="20"/>
          <w:szCs w:val="20"/>
          <w:color w:val="auto"/>
        </w:rPr>
      </w:pPr>
    </w:p>
    <w:p>
      <w:pPr>
        <w:ind w:left="34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the first quarter of 2016, certain operations and businesses, including several strategic business initiatives, that were previously presented in Corporate and Other are now presented in our Cable Communications segment to reflect a change in our management reporting presentation. For segment reporting purposes, we have adjusted all periods presented to reflect this change.</w:t>
      </w:r>
    </w:p>
    <w:p>
      <w:pPr>
        <w:ind w:left="34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2016 Rio Olympics were reported in our Cable Networks and Broadcast Television segments. The revenue and operating costs and expenses associated with our broadcast of the 2015 Super Bowl were reported in our Broadcast Television segment.</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and total NBCUniversal, which resulted in a corresponding offsetting adjustment in Eliminations to reconcile to consolidated totals.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personnel costs and headquarter initiatives.</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ind w:left="1020" w:right="1240" w:hanging="215"/>
        <w:spacing w:after="0" w:line="230" w:lineRule="auto"/>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44"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2" w:lineRule="exact"/>
        <w:rPr>
          <w:sz w:val="20"/>
          <w:szCs w:val="20"/>
          <w:color w:val="auto"/>
        </w:rPr>
      </w:pPr>
    </w:p>
    <w:p>
      <w:pPr>
        <w:ind w:left="1020" w:hanging="215"/>
        <w:spacing w:after="0"/>
        <w:tabs>
          <w:tab w:leader="none" w:pos="1020" w:val="left"/>
        </w:tabs>
        <w:numPr>
          <w:ilvl w:val="1"/>
          <w:numId w:val="8"/>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Comcast Corporation, net cash provided by operating activities, or other measures of performance or liquidity we have reported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Condensed Consolidating Financial Information</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Parent and CCCL Parent also fully and unconditionally guarantee NBCUniversal Enterprise’s $3.3 billion of senior notes, revolving credit facility and commercial paper program. NBCUniversal Media Parent does not guarantee NBCUniversal Enterprise’s senior notes, revolving credit facility or commercial paper program.</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Neither CCCL Parent nor NBCUniversal Media Parent guarantee the Comcast Holdings’ ZONES due October 2029. None of Comcast Parent, CCCL Parent nor NBCUniversal Media Parent guarantee the $62 million principal amount currently outstanding of Comcast Holdings’ ZONES due November 2029 or the $3.8 billion of Universal Studios Japan term loans.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40" w:type="dxa"/>
            <w:vAlign w:val="bottom"/>
          </w:tcPr>
          <w:p>
            <w:pPr>
              <w:jc w:val="center"/>
              <w:ind w:right="23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2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83"/>
              </w:rPr>
              <w:t>Comcast</w:t>
            </w:r>
          </w:p>
        </w:tc>
        <w:tc>
          <w:tcPr>
            <w:tcW w:w="260" w:type="dxa"/>
            <w:vAlign w:val="bottom"/>
          </w:tcPr>
          <w:p>
            <w:pPr>
              <w:spacing w:after="0"/>
              <w:rPr>
                <w:sz w:val="12"/>
                <w:szCs w:val="12"/>
                <w:color w:val="auto"/>
              </w:rPr>
            </w:pPr>
          </w:p>
        </w:tc>
        <w:tc>
          <w:tcPr>
            <w:tcW w:w="740" w:type="dxa"/>
            <w:vAlign w:val="bottom"/>
          </w:tcPr>
          <w:p>
            <w:pPr>
              <w:jc w:val="right"/>
              <w:ind w:right="234"/>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w w:val="82"/>
              </w:rPr>
              <w:t>Parent</w:t>
            </w:r>
          </w:p>
        </w:tc>
        <w:tc>
          <w:tcPr>
            <w:tcW w:w="960" w:type="dxa"/>
            <w:vAlign w:val="bottom"/>
            <w:gridSpan w:val="2"/>
          </w:tcPr>
          <w:p>
            <w:pPr>
              <w:jc w:val="right"/>
              <w:ind w:right="153"/>
              <w:spacing w:after="0"/>
              <w:rPr>
                <w:sz w:val="20"/>
                <w:szCs w:val="20"/>
                <w:color w:val="auto"/>
              </w:rPr>
            </w:pPr>
            <w:r>
              <w:rPr>
                <w:rFonts w:ascii="Arial" w:cs="Arial" w:eastAsia="Arial" w:hAnsi="Arial"/>
                <w:sz w:val="14"/>
                <w:szCs w:val="14"/>
                <w:color w:val="auto"/>
              </w:rPr>
              <w:t>Holdings</w:t>
            </w:r>
          </w:p>
        </w:tc>
        <w:tc>
          <w:tcPr>
            <w:tcW w:w="26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color w:val="auto"/>
                <w:w w:val="96"/>
              </w:rPr>
              <w:t>Parent</w:t>
            </w:r>
          </w:p>
        </w:tc>
        <w:tc>
          <w:tcPr>
            <w:tcW w:w="1120" w:type="dxa"/>
            <w:vAlign w:val="bottom"/>
            <w:gridSpan w:val="2"/>
          </w:tcPr>
          <w:p>
            <w:pPr>
              <w:jc w:val="right"/>
              <w:ind w:right="112"/>
              <w:spacing w:after="0"/>
              <w:rPr>
                <w:sz w:val="20"/>
                <w:szCs w:val="20"/>
                <w:color w:val="auto"/>
              </w:rPr>
            </w:pPr>
            <w:r>
              <w:rPr>
                <w:rFonts w:ascii="Arial" w:cs="Arial" w:eastAsia="Arial" w:hAnsi="Arial"/>
                <w:sz w:val="14"/>
                <w:szCs w:val="14"/>
                <w:color w:val="auto"/>
              </w:rPr>
              <w:t>Media Parent</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2,231</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2,807</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7,533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7,533</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1,369</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1,369</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3,433</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3,519</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592</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14,566</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15,228</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7,153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7,153</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3,350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3,857</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w w:val="90"/>
              </w:rPr>
              <w:t>Investments in and amounts due from subsidiaries eliminated</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96,542</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119,137</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125,719</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47,218</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119,344</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(507,960)</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35,412</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35,656</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59,364</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36,652</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36,652</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10</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17,346</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17,356</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1,388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2,328</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(1,294)</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2,658</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98,312</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119,284</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86"/>
              </w:rPr>
              <w:t>125,719</w:t>
            </w:r>
          </w:p>
        </w:tc>
        <w:tc>
          <w:tcPr>
            <w:tcW w:w="3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48,348</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6"/>
              </w:rPr>
              <w:t>295,515</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8"/>
              </w:rPr>
              <w:t>(509,254)</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177,924</w:t>
            </w: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 trade 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6,587</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6,594</w:t>
            </w: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1,570</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1,448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4,173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6,541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1,504</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550</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1,275</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3,333</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2,959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774</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13,605</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18,038</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w w:val="83"/>
              </w:rPr>
              <w:t>39,177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2,100</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8,208</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7,472</w:t>
            </w:r>
          </w:p>
        </w:tc>
        <w:tc>
          <w:tcPr>
            <w:tcW w:w="2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57,095</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93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35,017</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(1,148)</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34,523</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2,695</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1,160</w:t>
            </w:r>
          </w:p>
        </w:tc>
        <w:tc>
          <w:tcPr>
            <w:tcW w:w="240" w:type="dxa"/>
            <w:vAlign w:val="bottom"/>
          </w:tcPr>
          <w:p>
            <w:pPr>
              <w:spacing w:after="0"/>
              <w:rPr>
                <w:sz w:val="18"/>
                <w:szCs w:val="18"/>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7,410</w:t>
            </w:r>
          </w:p>
        </w:tc>
        <w:tc>
          <w:tcPr>
            <w:tcW w:w="28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11,119</w:t>
            </w:r>
          </w:p>
        </w:tc>
      </w:tr>
      <w:tr>
        <w:trPr>
          <w:trHeight w:val="208"/>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2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1,326</w:t>
            </w:r>
          </w:p>
        </w:tc>
        <w:tc>
          <w:tcPr>
            <w:tcW w:w="28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1,326</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28</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53,453</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118,250</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6"/>
              </w:rPr>
              <w:t>122,845</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38,522</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6"/>
              </w:rPr>
              <w:t>228,343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8"/>
              </w:rPr>
              <w:t>(507,960)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53,453</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53,481</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118,250</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6"/>
              </w:rPr>
              <w:t>122,845</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38,522</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6"/>
              </w:rPr>
              <w:t>228,343</w:t>
            </w:r>
          </w:p>
        </w:tc>
        <w:tc>
          <w:tcPr>
            <w:tcW w:w="28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8"/>
              </w:rPr>
              <w:t>(507,960)</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53,481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2,342</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2,342</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53,481</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118,250</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86"/>
              </w:rPr>
              <w:t>122,845</w:t>
            </w:r>
          </w:p>
        </w:tc>
        <w:tc>
          <w:tcPr>
            <w:tcW w:w="3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38,522</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6"/>
              </w:rPr>
              <w:t>230,685</w:t>
            </w:r>
          </w:p>
        </w:tc>
        <w:tc>
          <w:tcPr>
            <w:tcW w:w="28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8"/>
              </w:rPr>
              <w:t>(507,960)</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55,823</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98,312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119,284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86"/>
              </w:rPr>
              <w:t>125,719</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48,348</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6"/>
              </w:rPr>
              <w:t>295,515</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8"/>
              </w:rPr>
              <w:t>(509,254)</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177,924</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353"/>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76"/>
              </w:rPr>
              <w:t>and</w:t>
            </w:r>
          </w:p>
        </w:tc>
        <w:tc>
          <w:tcPr>
            <w:tcW w:w="92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4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70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79"/>
              </w:rPr>
              <w:t>Comcast</w:t>
            </w:r>
          </w:p>
        </w:tc>
        <w:tc>
          <w:tcPr>
            <w:tcW w:w="240" w:type="dxa"/>
            <w:vAlign w:val="bottom"/>
          </w:tcPr>
          <w:p>
            <w:pPr>
              <w:spacing w:after="0"/>
              <w:rPr>
                <w:sz w:val="12"/>
                <w:szCs w:val="12"/>
                <w:color w:val="auto"/>
              </w:rPr>
            </w:pPr>
          </w:p>
        </w:tc>
        <w:tc>
          <w:tcPr>
            <w:tcW w:w="700" w:type="dxa"/>
            <w:vAlign w:val="bottom"/>
          </w:tcPr>
          <w:p>
            <w:pPr>
              <w:jc w:val="right"/>
              <w:ind w:right="194"/>
              <w:spacing w:after="0" w:line="149" w:lineRule="exact"/>
              <w:rPr>
                <w:sz w:val="20"/>
                <w:szCs w:val="20"/>
                <w:color w:val="auto"/>
              </w:rPr>
            </w:pPr>
            <w:r>
              <w:rPr>
                <w:rFonts w:ascii="Arial" w:cs="Arial" w:eastAsia="Arial" w:hAnsi="Arial"/>
                <w:sz w:val="14"/>
                <w:szCs w:val="14"/>
                <w:color w:val="auto"/>
              </w:rPr>
              <w:t>CCCL</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5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w w:val="87"/>
              </w:rPr>
              <w:t>Parent</w:t>
            </w:r>
          </w:p>
        </w:tc>
        <w:tc>
          <w:tcPr>
            <w:tcW w:w="940" w:type="dxa"/>
            <w:vAlign w:val="bottom"/>
            <w:gridSpan w:val="2"/>
          </w:tcPr>
          <w:p>
            <w:pPr>
              <w:jc w:val="right"/>
              <w:ind w:right="133"/>
              <w:spacing w:after="0"/>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color w:val="auto"/>
                <w:w w:val="92"/>
              </w:rPr>
              <w:t>Parent</w:t>
            </w:r>
          </w:p>
        </w:tc>
        <w:tc>
          <w:tcPr>
            <w:tcW w:w="1100" w:type="dxa"/>
            <w:vAlign w:val="bottom"/>
            <w:gridSpan w:val="2"/>
          </w:tcPr>
          <w:p>
            <w:pPr>
              <w:jc w:val="right"/>
              <w:ind w:right="92"/>
              <w:spacing w:after="0"/>
              <w:rPr>
                <w:sz w:val="20"/>
                <w:szCs w:val="20"/>
                <w:color w:val="auto"/>
              </w:rPr>
            </w:pPr>
            <w:r>
              <w:rPr>
                <w:rFonts w:ascii="Arial" w:cs="Arial" w:eastAsia="Arial" w:hAnsi="Arial"/>
                <w:sz w:val="14"/>
                <w:szCs w:val="14"/>
                <w:color w:val="auto"/>
              </w:rPr>
              <w:t>Media Parent</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414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1,881</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2,295</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6,896</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6,896</w:t>
            </w: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1,813</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1,899</w:t>
            </w: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11,803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12,303</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5,855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5,855</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430</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2,761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3,224</w:t>
            </w:r>
          </w:p>
        </w:tc>
      </w:tr>
      <w:tr>
        <w:trPr>
          <w:trHeight w:val="208"/>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w w:val="91"/>
              </w:rPr>
              <w:t>Investments in and amounts due from subsidiaries eliminated</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87,142</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111,241</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119,354</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42,441</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109,598</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33,455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33,665</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32,945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32,945</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16,934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16,946</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2,114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2,272</w:t>
            </w:r>
          </w:p>
        </w:tc>
      </w:tr>
      <w:tr>
        <w:trPr>
          <w:trHeight w:val="217"/>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10"/>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4"/>
              </w:rPr>
              <w:t>Accounts payable and accrued expenses related to trade</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creditors</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6,199</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6,215</w:t>
            </w: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1,572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3,961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6,764</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1,149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1,005</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3,627</w:t>
            </w:r>
          </w:p>
        </w:tc>
      </w:tr>
      <w:tr>
        <w:trPr>
          <w:trHeight w:val="210"/>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2,954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290</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1,394</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13,205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18,178</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w w:val="87"/>
              </w:rPr>
              <w:t>31,106</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2,650</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8,211</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6,897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48,994</w:t>
            </w: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624</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66</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34,098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33,566</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2,438</w:t>
            </w:r>
          </w:p>
        </w:tc>
        <w:tc>
          <w:tcPr>
            <w:tcW w:w="24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1,087</w:t>
            </w:r>
          </w:p>
        </w:tc>
        <w:tc>
          <w:tcPr>
            <w:tcW w:w="24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7,258</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10,637</w:t>
            </w:r>
          </w:p>
        </w:tc>
      </w:tr>
      <w:tr>
        <w:trPr>
          <w:trHeight w:val="208"/>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 and redeemable</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1,221</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1,221</w:t>
            </w: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7"/>
              </w:rPr>
              <w:t>52,240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52,240</w:t>
            </w:r>
          </w:p>
        </w:tc>
      </w:tr>
      <w:tr>
        <w:trPr>
          <w:trHeight w:val="210"/>
        </w:trPr>
        <w:tc>
          <w:tcPr>
            <w:tcW w:w="20" w:type="dxa"/>
            <w:vAlign w:val="bottom"/>
          </w:tcPr>
          <w:p>
            <w:pPr>
              <w:spacing w:after="0"/>
              <w:rPr>
                <w:sz w:val="18"/>
                <w:szCs w:val="18"/>
                <w:color w:val="auto"/>
              </w:rPr>
            </w:pPr>
          </w:p>
        </w:tc>
        <w:tc>
          <w:tcPr>
            <w:tcW w:w="450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0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210,441</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52,269</w:t>
            </w:r>
          </w:p>
        </w:tc>
      </w:tr>
      <w:tr>
        <w:trPr>
          <w:trHeight w:val="216"/>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1,709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1,709</w:t>
            </w:r>
          </w:p>
        </w:tc>
      </w:tr>
      <w:tr>
        <w:trPr>
          <w:trHeight w:val="210"/>
        </w:trPr>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7"/>
              </w:rPr>
              <w:t>52,269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2"/>
              </w:rPr>
              <w:t>110,299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2"/>
              </w:rPr>
              <w:t>116,414</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32,622</w:t>
            </w:r>
          </w:p>
        </w:tc>
        <w:tc>
          <w:tcPr>
            <w:tcW w:w="2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212,150</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(469,776)</w:t>
            </w:r>
          </w:p>
        </w:tc>
        <w:tc>
          <w:tcPr>
            <w:tcW w:w="2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53,978</w:t>
            </w:r>
          </w:p>
        </w:tc>
      </w:tr>
      <w:tr>
        <w:trPr>
          <w:trHeight w:val="217"/>
        </w:trPr>
        <w:tc>
          <w:tcPr>
            <w:tcW w:w="20" w:type="dxa"/>
            <w:vAlign w:val="bottom"/>
          </w:tcPr>
          <w:p>
            <w:pPr>
              <w:spacing w:after="0"/>
              <w:rPr>
                <w:sz w:val="18"/>
                <w:szCs w:val="18"/>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7"/>
              </w:rPr>
              <w:t>88,767</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2"/>
              </w:rPr>
              <w:t>111,388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2"/>
              </w:rPr>
              <w:t>119,354</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43,380</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274,829</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(471,144)</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166,574</w:t>
            </w:r>
          </w:p>
        </w:tc>
      </w:tr>
      <w:tr>
        <w:trPr>
          <w:trHeight w:val="363"/>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8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40" w:type="dxa"/>
            <w:vAlign w:val="bottom"/>
          </w:tcPr>
          <w:p>
            <w:pPr>
              <w:spacing w:after="0"/>
              <w:rPr>
                <w:sz w:val="12"/>
                <w:szCs w:val="12"/>
                <w:color w:val="auto"/>
              </w:rPr>
            </w:pPr>
          </w:p>
        </w:tc>
        <w:tc>
          <w:tcPr>
            <w:tcW w:w="9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Parent</w:t>
            </w: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Holdings</w:t>
            </w:r>
          </w:p>
        </w:tc>
        <w:tc>
          <w:tcPr>
            <w:tcW w:w="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Media Parent</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21,319</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21,319</w:t>
            </w:r>
          </w:p>
        </w:tc>
      </w:tr>
      <w:tr>
        <w:trPr>
          <w:trHeight w:val="216"/>
        </w:trPr>
        <w:tc>
          <w:tcPr>
            <w:tcW w:w="46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21,319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21,319</w:t>
            </w:r>
          </w:p>
        </w:tc>
      </w:tr>
      <w:tr>
        <w:trPr>
          <w:trHeight w:val="210"/>
        </w:trPr>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7,003</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7,003</w:t>
            </w:r>
          </w:p>
        </w:tc>
      </w:tr>
      <w:tr>
        <w:trPr>
          <w:trHeight w:val="216"/>
        </w:trPr>
        <w:tc>
          <w:tcPr>
            <w:tcW w:w="46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263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5,846</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5,994</w:t>
            </w: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1,487</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1,487</w:t>
            </w:r>
          </w:p>
        </w:tc>
      </w:tr>
      <w:tr>
        <w:trPr>
          <w:trHeight w:val="216"/>
        </w:trPr>
        <w:tc>
          <w:tcPr>
            <w:tcW w:w="46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1,858</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1,865</w:t>
            </w:r>
          </w:p>
        </w:tc>
      </w:tr>
      <w:tr>
        <w:trPr>
          <w:trHeight w:val="216"/>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529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w:t>
            </w:r>
          </w:p>
        </w:tc>
      </w:tr>
      <w:tr>
        <w:trPr>
          <w:trHeight w:val="210"/>
        </w:trPr>
        <w:tc>
          <w:tcPr>
            <w:tcW w:w="46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16,723</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16,879</w:t>
            </w:r>
          </w:p>
        </w:tc>
      </w:tr>
      <w:tr>
        <w:trPr>
          <w:trHeight w:val="210"/>
        </w:trPr>
        <w:tc>
          <w:tcPr>
            <w:tcW w:w="46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4,596</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4,440</w:t>
            </w:r>
          </w:p>
        </w:tc>
      </w:tr>
      <w:tr>
        <w:trPr>
          <w:trHeight w:val="216"/>
        </w:trPr>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464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(12)</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93</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w:t>
            </w: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2,519</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2,385</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2,134</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1,644</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1,255</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(9,971)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6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4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2,020</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2,378</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2,075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1,517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1,265</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(9,971)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10"/>
        </w:trPr>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2,086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2,378</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2,075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1,295</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5,861</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(9,971)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3,724</w:t>
            </w:r>
          </w:p>
        </w:tc>
      </w:tr>
      <w:tr>
        <w:trPr>
          <w:trHeight w:val="216"/>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(1,568)</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w:t>
            </w:r>
          </w:p>
        </w:tc>
      </w:tr>
      <w:tr>
        <w:trPr>
          <w:trHeight w:val="210"/>
        </w:trPr>
        <w:tc>
          <w:tcPr>
            <w:tcW w:w="46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E5E5E5"/>
          </w:tcPr>
          <w:p>
            <w:pPr>
              <w:spacing w:after="0"/>
              <w:rPr>
                <w:sz w:val="18"/>
                <w:szCs w:val="18"/>
                <w:color w:val="auto"/>
              </w:rPr>
            </w:pP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2,237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2,380</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2,096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1,289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4,293</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(9,971)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2,324</w:t>
            </w:r>
          </w:p>
        </w:tc>
      </w:tr>
      <w:tr>
        <w:trPr>
          <w:trHeight w:val="208"/>
        </w:trPr>
        <w:tc>
          <w:tcPr>
            <w:tcW w:w="4640" w:type="dxa"/>
            <w:vAlign w:val="bottom"/>
          </w:tcPr>
          <w:p>
            <w:pPr>
              <w:spacing w:after="0"/>
              <w:rPr>
                <w:sz w:val="20"/>
                <w:szCs w:val="20"/>
                <w:color w:val="auto"/>
              </w:rPr>
            </w:pPr>
            <w:r>
              <w:rPr>
                <w:rFonts w:ascii="Arial" w:cs="Arial" w:eastAsia="Arial" w:hAnsi="Arial"/>
                <w:sz w:val="18"/>
                <w:szCs w:val="18"/>
                <w:color w:val="auto"/>
                <w:w w:val="96"/>
              </w:rPr>
              <w:t>Net (income) loss attributable to noncontrolling interests and</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9"/>
        </w:trPr>
        <w:tc>
          <w:tcPr>
            <w:tcW w:w="4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8"/>
              </w:rPr>
              <w:t>2,237</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2,380</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2,096</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1,289</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4,206</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(9,971)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2,237</w:t>
            </w: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Comprehensive income (loss) attributable to Comcast</w:t>
            </w: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2,270</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2,388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2,096</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1,310</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4,235</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5"/>
              </w:rPr>
              <w:t>(10,029)</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2,270</w:t>
            </w:r>
          </w:p>
        </w:tc>
      </w:tr>
      <w:tr>
        <w:trPr>
          <w:trHeight w:val="363"/>
        </w:trPr>
        <w:tc>
          <w:tcPr>
            <w:tcW w:w="4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Three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20" w:type="dxa"/>
            <w:vAlign w:val="bottom"/>
          </w:tcPr>
          <w:p>
            <w:pPr>
              <w:spacing w:after="0"/>
              <w:rPr>
                <w:sz w:val="12"/>
                <w:szCs w:val="12"/>
                <w:color w:val="auto"/>
              </w:rPr>
            </w:pPr>
          </w:p>
        </w:tc>
        <w:tc>
          <w:tcPr>
            <w:tcW w:w="76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80" w:type="dxa"/>
            <w:vAlign w:val="bottom"/>
          </w:tcPr>
          <w:p>
            <w:pPr>
              <w:spacing w:after="0"/>
              <w:rPr>
                <w:sz w:val="12"/>
                <w:szCs w:val="12"/>
                <w:color w:val="auto"/>
              </w:rPr>
            </w:pPr>
          </w:p>
        </w:tc>
        <w:tc>
          <w:tcPr>
            <w:tcW w:w="11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Comcast</w:t>
            </w:r>
          </w:p>
        </w:tc>
        <w:tc>
          <w:tcPr>
            <w:tcW w:w="80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4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1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color w:val="auto"/>
              </w:rPr>
              <w:t>Parent</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Holdings</w:t>
            </w: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color w:val="auto"/>
              </w:rPr>
              <w:t>Media Parent</w:t>
            </w: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18,669</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18,669</w:t>
            </w:r>
          </w:p>
        </w:tc>
      </w:tr>
      <w:tr>
        <w:trPr>
          <w:trHeight w:val="216"/>
        </w:trPr>
        <w:tc>
          <w:tcPr>
            <w:tcW w:w="46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244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4"/>
              </w:rPr>
              <w:t>18,669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18,669</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5,582</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5,582</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5,260</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5,390</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1,513</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1,513</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1,689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1,697</w:t>
            </w:r>
          </w:p>
        </w:tc>
      </w:tr>
      <w:tr>
        <w:trPr>
          <w:trHeight w:val="216"/>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w:t>
            </w:r>
          </w:p>
        </w:tc>
      </w:tr>
      <w:tr>
        <w:trPr>
          <w:trHeight w:val="210"/>
        </w:trPr>
        <w:tc>
          <w:tcPr>
            <w:tcW w:w="46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244</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94"/>
              </w:rPr>
              <w:t>14,529</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(495)</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14,668</w:t>
            </w:r>
          </w:p>
        </w:tc>
      </w:tr>
      <w:tr>
        <w:trPr>
          <w:trHeight w:val="210"/>
        </w:trPr>
        <w:tc>
          <w:tcPr>
            <w:tcW w:w="46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4,140</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4,001</w:t>
            </w:r>
          </w:p>
        </w:tc>
      </w:tr>
      <w:tr>
        <w:trPr>
          <w:trHeight w:val="216"/>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46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(4)</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80" w:type="dxa"/>
            <w:vAlign w:val="bottom"/>
          </w:tcPr>
          <w:p>
            <w:pPr>
              <w:spacing w:after="0"/>
              <w:rPr>
                <w:sz w:val="18"/>
                <w:szCs w:val="18"/>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w w:val="88"/>
              </w:rPr>
              <w:t>2,210</w:t>
            </w:r>
          </w:p>
        </w:tc>
        <w:tc>
          <w:tcPr>
            <w:tcW w:w="1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2,123</w:t>
            </w:r>
          </w:p>
        </w:tc>
        <w:tc>
          <w:tcPr>
            <w:tcW w:w="2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1,981</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928</w:t>
            </w:r>
          </w:p>
        </w:tc>
        <w:tc>
          <w:tcPr>
            <w:tcW w:w="320" w:type="dxa"/>
            <w:vAlign w:val="bottom"/>
          </w:tcPr>
          <w:p>
            <w:pPr>
              <w:spacing w:after="0"/>
              <w:rPr>
                <w:sz w:val="18"/>
                <w:szCs w:val="18"/>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(8,530)</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16"/>
        </w:trPr>
        <w:tc>
          <w:tcPr>
            <w:tcW w:w="46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4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88"/>
              </w:rPr>
              <w:t>1,785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2,116</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1,916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808</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(8,530)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1,881</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2,116</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1,916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933</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4,948</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(8,530)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3,264</w:t>
            </w:r>
          </w:p>
        </w:tc>
      </w:tr>
      <w:tr>
        <w:trPr>
          <w:trHeight w:val="216"/>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(1,357)</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r>
      <w:tr>
        <w:trPr>
          <w:trHeight w:val="210"/>
        </w:trPr>
        <w:tc>
          <w:tcPr>
            <w:tcW w:w="468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8"/>
              </w:rPr>
              <w:t>1,996</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2,118</w:t>
            </w:r>
          </w:p>
        </w:tc>
        <w:tc>
          <w:tcPr>
            <w:tcW w:w="2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1,939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927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3,591</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(8,530)</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2,041</w:t>
            </w: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w w:val="97"/>
              </w:rPr>
              <w:t>Net (income) loss attributable to noncontrolling interests and</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9"/>
        </w:trPr>
        <w:tc>
          <w:tcPr>
            <w:tcW w:w="46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income (loss) attributable to Comcast Corporation</w:t>
            </w:r>
          </w:p>
        </w:tc>
        <w:tc>
          <w:tcPr>
            <w:tcW w:w="4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8"/>
              </w:rPr>
              <w:t>1,996</w:t>
            </w:r>
          </w:p>
        </w:tc>
        <w:tc>
          <w:tcPr>
            <w:tcW w:w="12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2,118</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1,939</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927</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3,546</w:t>
            </w:r>
          </w:p>
        </w:tc>
        <w:tc>
          <w:tcPr>
            <w:tcW w:w="3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(8,530)</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1,996</w:t>
            </w: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(loss) attributable to Comcast</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8"/>
              </w:rPr>
              <w:t>1,967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2,112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1,940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902</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3,546</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(8,500)</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1,967</w:t>
            </w:r>
          </w:p>
        </w:tc>
      </w:tr>
      <w:tr>
        <w:trPr>
          <w:trHeight w:val="363"/>
        </w:trPr>
        <w:tc>
          <w:tcPr>
            <w:tcW w:w="4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8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20" w:type="dxa"/>
            <w:vAlign w:val="bottom"/>
          </w:tcPr>
          <w:p>
            <w:pPr>
              <w:spacing w:after="0"/>
              <w:rPr>
                <w:sz w:val="12"/>
                <w:szCs w:val="12"/>
                <w:color w:val="auto"/>
              </w:rPr>
            </w:pPr>
          </w:p>
        </w:tc>
        <w:tc>
          <w:tcPr>
            <w:tcW w:w="96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82"/>
              </w:rPr>
              <w:t>Parent</w:t>
            </w: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Holdings</w:t>
            </w:r>
          </w:p>
        </w:tc>
        <w:tc>
          <w:tcPr>
            <w:tcW w:w="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Media Parent</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59,378</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59,378</w:t>
            </w:r>
          </w:p>
        </w:tc>
      </w:tr>
      <w:tr>
        <w:trPr>
          <w:trHeight w:val="216"/>
        </w:trPr>
        <w:tc>
          <w:tcPr>
            <w:tcW w:w="4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793</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778</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778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59,378</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59,378</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17,926</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17,926</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778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16,699</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(1,571)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17,280</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4,515</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4,515</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5,497</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5,518</w:t>
            </w:r>
          </w:p>
        </w:tc>
      </w:tr>
      <w:tr>
        <w:trPr>
          <w:trHeight w:val="216"/>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1,540</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1,544</w:t>
            </w:r>
          </w:p>
        </w:tc>
      </w:tr>
      <w:tr>
        <w:trPr>
          <w:trHeight w:val="210"/>
        </w:trPr>
        <w:tc>
          <w:tcPr>
            <w:tcW w:w="4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778</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739</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46,177</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(1,571)</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46,783</w:t>
            </w: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13,201</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12,595</w:t>
            </w:r>
          </w:p>
        </w:tc>
      </w:tr>
      <w:tr>
        <w:trPr>
          <w:trHeight w:val="216"/>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(1,431)</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(2,186)</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(20)</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168</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7,239</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6,924</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6,375</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4,229</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3,160</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(27,991)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4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104</w:t>
            </w: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5,814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6,912</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6,196</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3,982</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3,109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5"/>
              </w:rPr>
              <w:t>(27,991)</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5,947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6,912</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6,196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3,243</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16,310</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(27,991)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10,617</w:t>
            </w: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(4,489)</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6,399</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6,916</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6,259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3,224</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11,821</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(27,991)</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6,628</w:t>
            </w:r>
          </w:p>
        </w:tc>
      </w:tr>
      <w:tr>
        <w:trPr>
          <w:trHeight w:val="208"/>
        </w:trPr>
        <w:tc>
          <w:tcPr>
            <w:tcW w:w="4620" w:type="dxa"/>
            <w:vAlign w:val="bottom"/>
          </w:tcPr>
          <w:p>
            <w:pPr>
              <w:spacing w:after="0"/>
              <w:rPr>
                <w:sz w:val="20"/>
                <w:szCs w:val="20"/>
                <w:color w:val="auto"/>
              </w:rPr>
            </w:pPr>
            <w:r>
              <w:rPr>
                <w:rFonts w:ascii="Arial" w:cs="Arial" w:eastAsia="Arial" w:hAnsi="Arial"/>
                <w:sz w:val="18"/>
                <w:szCs w:val="18"/>
                <w:color w:val="auto"/>
                <w:w w:val="95"/>
              </w:rPr>
              <w:t>Net (income) loss attributable to noncontrolling interests and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19"/>
        </w:trPr>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6,399</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6,916</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6,259</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3,224</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0"/>
              </w:rPr>
              <w:t>11,592</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95"/>
              </w:rPr>
              <w:t>(27,991)</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6,399</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Comprehensive income (loss) attributable to Comcast</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6,607</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7,015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6,261</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3,552</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0"/>
              </w:rPr>
              <w:t>12,134</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5"/>
              </w:rPr>
              <w:t>(28,962)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6,607</w:t>
            </w:r>
          </w:p>
        </w:tc>
      </w:tr>
      <w:tr>
        <w:trPr>
          <w:trHeight w:val="363"/>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300" w:type="dxa"/>
            <w:vAlign w:val="bottom"/>
          </w:tcPr>
          <w:p>
            <w:pPr>
              <w:spacing w:after="0"/>
              <w:rPr>
                <w:sz w:val="12"/>
                <w:szCs w:val="12"/>
                <w:color w:val="auto"/>
              </w:rPr>
            </w:pPr>
          </w:p>
        </w:tc>
        <w:tc>
          <w:tcPr>
            <w:tcW w:w="80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4620" w:type="dxa"/>
            <w:vAlign w:val="bottom"/>
          </w:tcPr>
          <w:p>
            <w:pPr>
              <w:spacing w:after="0"/>
              <w:rPr>
                <w:sz w:val="12"/>
                <w:szCs w:val="12"/>
                <w:color w:val="auto"/>
              </w:rPr>
            </w:pPr>
          </w:p>
        </w:tc>
        <w:tc>
          <w:tcPr>
            <w:tcW w:w="96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82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CCCL</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NBCUniversal</w:t>
            </w:r>
          </w:p>
        </w:tc>
        <w:tc>
          <w:tcPr>
            <w:tcW w:w="960" w:type="dxa"/>
            <w:vAlign w:val="bottom"/>
            <w:gridSpan w:val="2"/>
          </w:tcPr>
          <w:p>
            <w:pPr>
              <w:jc w:val="right"/>
              <w:ind w:right="15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Consolidation</w:t>
            </w:r>
          </w:p>
        </w:tc>
        <w:tc>
          <w:tcPr>
            <w:tcW w:w="2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82"/>
              </w:rPr>
              <w:t>Parent</w:t>
            </w: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Holdings</w:t>
            </w:r>
          </w:p>
        </w:tc>
        <w:tc>
          <w:tcPr>
            <w:tcW w:w="8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1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color w:val="auto"/>
              </w:rPr>
              <w:t>Media Parent</w:t>
            </w: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Subsidiaries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Service revenue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55,265</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55,265</w:t>
            </w:r>
          </w:p>
        </w:tc>
      </w:tr>
      <w:tr>
        <w:trPr>
          <w:trHeight w:val="216"/>
        </w:trPr>
        <w:tc>
          <w:tcPr>
            <w:tcW w:w="4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747</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727</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0"/>
              </w:rPr>
              <w:t>55,265</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55,265</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Programming and production</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16,714</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16,714</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Other operating and administrative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15,161</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15,738</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Advertising, marketing and promotion</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4,407</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4,407</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4,982</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5,005</w:t>
            </w:r>
          </w:p>
        </w:tc>
      </w:tr>
      <w:tr>
        <w:trPr>
          <w:trHeight w:val="216"/>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1,401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1,405</w:t>
            </w:r>
          </w:p>
        </w:tc>
      </w:tr>
      <w:tr>
        <w:trPr>
          <w:trHeight w:val="210"/>
        </w:trPr>
        <w:tc>
          <w:tcPr>
            <w:tcW w:w="4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624</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727</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w w:val="90"/>
              </w:rPr>
              <w:t>42,665</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43,269</w:t>
            </w: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(727)</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w w:val="90"/>
              </w:rPr>
              <w:t>12,600</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11,996</w:t>
            </w:r>
          </w:p>
        </w:tc>
      </w:tr>
      <w:tr>
        <w:trPr>
          <w:trHeight w:val="216"/>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(1,310)</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(2,028)</w:t>
            </w:r>
          </w:p>
        </w:tc>
      </w:tr>
      <w:tr>
        <w:trPr>
          <w:trHeight w:val="216"/>
        </w:trPr>
        <w:tc>
          <w:tcPr>
            <w:tcW w:w="46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40</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24</w:t>
            </w: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6,963</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6,511</w:t>
            </w:r>
          </w:p>
        </w:tc>
        <w:tc>
          <w:tcPr>
            <w:tcW w:w="220" w:type="dxa"/>
            <w:vAlign w:val="bottom"/>
          </w:tcPr>
          <w:p>
            <w:pPr>
              <w:spacing w:after="0"/>
              <w:rPr>
                <w:sz w:val="18"/>
                <w:szCs w:val="18"/>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5,993</w:t>
            </w:r>
          </w:p>
        </w:tc>
        <w:tc>
          <w:tcPr>
            <w:tcW w:w="380" w:type="dxa"/>
            <w:vAlign w:val="bottom"/>
          </w:tcPr>
          <w:p>
            <w:pPr>
              <w:spacing w:after="0"/>
              <w:rPr>
                <w:sz w:val="18"/>
                <w:szCs w:val="18"/>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3,801</w:t>
            </w:r>
          </w:p>
        </w:tc>
        <w:tc>
          <w:tcPr>
            <w:tcW w:w="26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8"/>
                <w:szCs w:val="18"/>
                <w:color w:val="auto"/>
              </w:rPr>
              <w:t>2,489</w:t>
            </w:r>
          </w:p>
        </w:tc>
        <w:tc>
          <w:tcPr>
            <w:tcW w:w="300" w:type="dxa"/>
            <w:vAlign w:val="bottom"/>
          </w:tcPr>
          <w:p>
            <w:pPr>
              <w:spacing w:after="0"/>
              <w:rPr>
                <w:sz w:val="18"/>
                <w:szCs w:val="18"/>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w w:val="95"/>
              </w:rPr>
              <w:t>(25,959)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4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369</w:t>
            </w:r>
          </w:p>
        </w:tc>
        <w:tc>
          <w:tcPr>
            <w:tcW w:w="30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364</w:t>
            </w:r>
          </w:p>
        </w:tc>
      </w:tr>
      <w:tr>
        <w:trPr>
          <w:trHeight w:val="210"/>
        </w:trPr>
        <w:tc>
          <w:tcPr>
            <w:tcW w:w="4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5,654</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6,499</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5,782</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3,435</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2,747</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5"/>
              </w:rPr>
              <w:t>(25,959)</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5,777</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6,499</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5,782</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2,708</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15,347</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(25,959)</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10,154</w:t>
            </w:r>
          </w:p>
        </w:tc>
      </w:tr>
      <w:tr>
        <w:trPr>
          <w:trHeight w:val="21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8"/>
              </w:rPr>
              <w:t>(4,273)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r>
      <w:tr>
        <w:trPr>
          <w:trHeight w:val="210"/>
        </w:trPr>
        <w:tc>
          <w:tcPr>
            <w:tcW w:w="46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6,192</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6,503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8"/>
              </w:rPr>
              <w:t>5,856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2,691</w:t>
            </w:r>
          </w:p>
        </w:tc>
        <w:tc>
          <w:tcPr>
            <w:tcW w:w="2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0"/>
              </w:rPr>
              <w:t>11,074</w:t>
            </w:r>
          </w:p>
        </w:tc>
        <w:tc>
          <w:tcPr>
            <w:tcW w:w="30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5"/>
              </w:rPr>
              <w:t>(25,959)</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6,357</w:t>
            </w:r>
          </w:p>
        </w:tc>
      </w:tr>
      <w:tr>
        <w:trPr>
          <w:trHeight w:val="208"/>
        </w:trPr>
        <w:tc>
          <w:tcPr>
            <w:tcW w:w="4620" w:type="dxa"/>
            <w:vAlign w:val="bottom"/>
          </w:tcPr>
          <w:p>
            <w:pPr>
              <w:spacing w:after="0"/>
              <w:rPr>
                <w:sz w:val="20"/>
                <w:szCs w:val="20"/>
                <w:color w:val="auto"/>
              </w:rPr>
            </w:pPr>
            <w:r>
              <w:rPr>
                <w:rFonts w:ascii="Arial" w:cs="Arial" w:eastAsia="Arial" w:hAnsi="Arial"/>
                <w:sz w:val="18"/>
                <w:szCs w:val="18"/>
                <w:color w:val="auto"/>
                <w:w w:val="95"/>
              </w:rPr>
              <w:t>Net (income) loss attributable to noncontrolling interests and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redeemable subsidiary preferred stock</w:t>
            </w: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19"/>
        </w:trPr>
        <w:tc>
          <w:tcPr>
            <w:tcW w:w="4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Net income (loss) attributable to Comcast Corporation</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7"/>
              </w:rPr>
              <w:t>6,192</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4"/>
              </w:rPr>
              <w:t>6,503</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w w:val="88"/>
              </w:rPr>
              <w:t>5,856</w:t>
            </w:r>
          </w:p>
        </w:tc>
        <w:tc>
          <w:tcPr>
            <w:tcW w:w="38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2,691</w:t>
            </w:r>
          </w:p>
        </w:tc>
        <w:tc>
          <w:tcPr>
            <w:tcW w:w="26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90"/>
              </w:rPr>
              <w:t>10,909</w:t>
            </w:r>
          </w:p>
        </w:tc>
        <w:tc>
          <w:tcPr>
            <w:tcW w:w="30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95"/>
              </w:rPr>
              <w:t>(25,959)</w:t>
            </w:r>
          </w:p>
        </w:tc>
        <w:tc>
          <w:tcPr>
            <w:tcW w:w="22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6,192</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b w:val="1"/>
                <w:bCs w:val="1"/>
                <w:color w:val="auto"/>
                <w:w w:val="99"/>
              </w:rPr>
              <w:t>Comprehensive income (loss) attributable to Comcast</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6,143</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4"/>
              </w:rPr>
              <w:t>6,489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8"/>
              </w:rPr>
              <w:t>5,855</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2,639</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w w:val="90"/>
              </w:rPr>
              <w:t>10,908</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5"/>
              </w:rPr>
              <w:t>(25,891)</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6,143</w:t>
            </w:r>
          </w:p>
        </w:tc>
      </w:tr>
      <w:tr>
        <w:trPr>
          <w:trHeight w:val="363"/>
        </w:trPr>
        <w:tc>
          <w:tcPr>
            <w:tcW w:w="4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68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Comcast</w:t>
            </w:r>
          </w:p>
        </w:tc>
        <w:tc>
          <w:tcPr>
            <w:tcW w:w="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Comcast</w:t>
            </w:r>
          </w:p>
        </w:tc>
        <w:tc>
          <w:tcPr>
            <w:tcW w:w="6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CCCL</w:t>
            </w: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NBCUniversal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94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w w:val="96"/>
              </w:rPr>
              <w:t>Consolidation</w:t>
            </w:r>
          </w:p>
        </w:tc>
        <w:tc>
          <w:tcPr>
            <w:tcW w:w="2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color w:val="auto"/>
                <w:w w:val="82"/>
              </w:rPr>
              <w:t>Parent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9"/>
              </w:rPr>
              <w:t>Holdings</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color w:val="auto"/>
              </w:rPr>
              <w:t>Parent</w:t>
            </w:r>
          </w:p>
        </w:tc>
        <w:tc>
          <w:tcPr>
            <w:tcW w:w="1000" w:type="dxa"/>
            <w:vAlign w:val="bottom"/>
            <w:gridSpan w:val="2"/>
          </w:tcPr>
          <w:p>
            <w:pPr>
              <w:jc w:val="right"/>
              <w:ind w:right="92"/>
              <w:spacing w:after="0"/>
              <w:rPr>
                <w:sz w:val="20"/>
                <w:szCs w:val="20"/>
                <w:color w:val="auto"/>
              </w:rPr>
            </w:pPr>
            <w:r>
              <w:rPr>
                <w:rFonts w:ascii="Arial" w:cs="Arial" w:eastAsia="Arial" w:hAnsi="Arial"/>
                <w:sz w:val="14"/>
                <w:szCs w:val="14"/>
                <w:color w:val="auto"/>
                <w:w w:val="96"/>
              </w:rPr>
              <w:t>Media Parent</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w w:val="99"/>
              </w:rPr>
              <w:t>Subsidiaries</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(1,129)</w:t>
            </w:r>
          </w:p>
        </w:tc>
        <w:tc>
          <w:tcPr>
            <w:tcW w:w="26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5"/>
              </w:rPr>
              <w:t>(179)</w:t>
            </w:r>
          </w:p>
        </w:tc>
        <w:tc>
          <w:tcPr>
            <w:tcW w:w="280" w:type="dxa"/>
            <w:vAlign w:val="bottom"/>
            <w:tcBorders>
              <w:top w:val="single" w:sz="8" w:color="auto"/>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15,873</w:t>
            </w:r>
          </w:p>
        </w:tc>
        <w:tc>
          <w:tcPr>
            <w:tcW w:w="2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13,497</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(1,746)</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2,150</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(6,553)</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(6,562)</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(1,159)</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 properties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(3,904)</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sales of businesses and investments</w:t>
            </w:r>
          </w:p>
        </w:tc>
        <w:tc>
          <w:tcPr>
            <w:tcW w:w="44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188</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(586)</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Deposits</w:t>
            </w:r>
          </w:p>
        </w:tc>
        <w:tc>
          <w:tcPr>
            <w:tcW w:w="44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(1,761)</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(1,892)</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2,210</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(14,649)</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(14,152)</w:t>
            </w:r>
          </w:p>
        </w:tc>
      </w:tr>
      <w:tr>
        <w:trPr>
          <w:trHeight w:val="210"/>
        </w:trPr>
        <w:tc>
          <w:tcPr>
            <w:tcW w:w="20" w:type="dxa"/>
            <w:vAlign w:val="bottom"/>
          </w:tcPr>
          <w:p>
            <w:pPr>
              <w:spacing w:after="0"/>
              <w:rPr>
                <w:sz w:val="18"/>
                <w:szCs w:val="18"/>
                <w:color w:val="auto"/>
              </w:rPr>
            </w:pPr>
          </w:p>
        </w:tc>
        <w:tc>
          <w:tcPr>
            <w:tcW w:w="5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(repayments of) short-term borrowings, net</w:t>
            </w:r>
          </w:p>
        </w:tc>
        <w:tc>
          <w:tcPr>
            <w:tcW w:w="440" w:type="dxa"/>
            <w:vAlign w:val="bottom"/>
          </w:tcPr>
          <w:p>
            <w:pPr>
              <w:spacing w:after="0"/>
              <w:rPr>
                <w:sz w:val="18"/>
                <w:szCs w:val="18"/>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borrowings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7"/>
              </w:rPr>
              <w:t>9,231</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9,231</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Repurchases and repayments of debt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(2,994)</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(3,762)</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(3,762)</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(1,944)</w:t>
            </w: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Issuances of common stock</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23</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w:t>
            </w: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w w:val="93"/>
              </w:rPr>
              <w:t>Distributions to noncontrolling interests and dividends for redeemable</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subsidiary preferred stock</w:t>
            </w:r>
          </w:p>
        </w:tc>
        <w:tc>
          <w:tcPr>
            <w:tcW w:w="440" w:type="dxa"/>
            <w:vAlign w:val="bottom"/>
          </w:tcPr>
          <w:p>
            <w:pPr>
              <w:spacing w:after="0"/>
              <w:rPr>
                <w:sz w:val="19"/>
                <w:szCs w:val="19"/>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118</w:t>
            </w:r>
          </w:p>
        </w:tc>
        <w:tc>
          <w:tcPr>
            <w:tcW w:w="26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197</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7"/>
              </w:rPr>
              <w:t>3,021</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1,167</w:t>
            </w:r>
          </w:p>
        </w:tc>
      </w:tr>
      <w:tr>
        <w:trPr>
          <w:trHeight w:val="210"/>
        </w:trPr>
        <w:tc>
          <w:tcPr>
            <w:tcW w:w="20" w:type="dxa"/>
            <w:vAlign w:val="bottom"/>
          </w:tcPr>
          <w:p>
            <w:pPr>
              <w:spacing w:after="0"/>
              <w:rPr>
                <w:sz w:val="18"/>
                <w:szCs w:val="18"/>
                <w:color w:val="auto"/>
              </w:rPr>
            </w:pPr>
          </w:p>
        </w:tc>
        <w:tc>
          <w:tcPr>
            <w:tcW w:w="53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512</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414</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1,881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2,295</w:t>
            </w: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576</w:t>
            </w: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rPr>
              <w:t>2,231</w:t>
            </w:r>
          </w:p>
        </w:tc>
        <w:tc>
          <w:tcPr>
            <w:tcW w:w="2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2,807</w:t>
            </w: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68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980" w:type="dxa"/>
            <w:vAlign w:val="bottom"/>
            <w:gridSpan w:val="2"/>
          </w:tcPr>
          <w:p>
            <w:pPr>
              <w:jc w:val="right"/>
              <w:ind w:right="7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Comcast</w:t>
            </w:r>
          </w:p>
        </w:tc>
        <w:tc>
          <w:tcPr>
            <w:tcW w:w="6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NBCUniversal</w:t>
            </w:r>
          </w:p>
        </w:tc>
        <w:tc>
          <w:tcPr>
            <w:tcW w:w="860" w:type="dxa"/>
            <w:vAlign w:val="bottom"/>
            <w:gridSpan w:val="2"/>
          </w:tcPr>
          <w:p>
            <w:pPr>
              <w:jc w:val="right"/>
              <w:ind w:right="93"/>
              <w:spacing w:after="0" w:line="149" w:lineRule="exact"/>
              <w:rPr>
                <w:sz w:val="20"/>
                <w:szCs w:val="20"/>
                <w:color w:val="auto"/>
              </w:rPr>
            </w:pPr>
            <w:r>
              <w:rPr>
                <w:rFonts w:ascii="Arial" w:cs="Arial" w:eastAsia="Arial" w:hAnsi="Arial"/>
                <w:sz w:val="14"/>
                <w:szCs w:val="14"/>
                <w:color w:val="auto"/>
              </w:rPr>
              <w:t>Guarantor</w:t>
            </w:r>
          </w:p>
        </w:tc>
        <w:tc>
          <w:tcPr>
            <w:tcW w:w="940" w:type="dxa"/>
            <w:vAlign w:val="bottom"/>
            <w:gridSpan w:val="2"/>
          </w:tcPr>
          <w:p>
            <w:pPr>
              <w:jc w:val="right"/>
              <w:ind w:right="13"/>
              <w:spacing w:after="0" w:line="149" w:lineRule="exact"/>
              <w:rPr>
                <w:sz w:val="20"/>
                <w:szCs w:val="20"/>
                <w:color w:val="auto"/>
              </w:rPr>
            </w:pPr>
            <w:r>
              <w:rPr>
                <w:rFonts w:ascii="Arial" w:cs="Arial" w:eastAsia="Arial" w:hAnsi="Arial"/>
                <w:sz w:val="14"/>
                <w:szCs w:val="14"/>
                <w:color w:val="auto"/>
                <w:w w:val="96"/>
              </w:rPr>
              <w:t>Consolidation</w:t>
            </w:r>
          </w:p>
        </w:tc>
        <w:tc>
          <w:tcPr>
            <w:tcW w:w="20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5"/>
                <w:szCs w:val="15"/>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color w:val="auto"/>
                <w:w w:val="77"/>
              </w:rPr>
              <w:t>Parent</w:t>
            </w:r>
          </w:p>
        </w:tc>
        <w:tc>
          <w:tcPr>
            <w:tcW w:w="700" w:type="dxa"/>
            <w:vAlign w:val="bottom"/>
            <w:gridSpan w:val="2"/>
          </w:tcPr>
          <w:p>
            <w:pPr>
              <w:ind w:left="80"/>
              <w:spacing w:after="0"/>
              <w:rPr>
                <w:sz w:val="20"/>
                <w:szCs w:val="20"/>
                <w:color w:val="auto"/>
              </w:rPr>
            </w:pPr>
            <w:r>
              <w:rPr>
                <w:rFonts w:ascii="Arial" w:cs="Arial" w:eastAsia="Arial" w:hAnsi="Arial"/>
                <w:sz w:val="14"/>
                <w:szCs w:val="14"/>
                <w:color w:val="auto"/>
              </w:rPr>
              <w:t>Holdings</w:t>
            </w:r>
          </w:p>
        </w:tc>
        <w:tc>
          <w:tcPr>
            <w:tcW w:w="620" w:type="dxa"/>
            <w:vAlign w:val="bottom"/>
            <w:gridSpan w:val="2"/>
          </w:tcPr>
          <w:p>
            <w:pPr>
              <w:jc w:val="right"/>
              <w:ind w:right="7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92"/>
              <w:spacing w:after="0"/>
              <w:rPr>
                <w:sz w:val="20"/>
                <w:szCs w:val="20"/>
                <w:color w:val="auto"/>
              </w:rPr>
            </w:pPr>
            <w:r>
              <w:rPr>
                <w:rFonts w:ascii="Arial" w:cs="Arial" w:eastAsia="Arial" w:hAnsi="Arial"/>
                <w:sz w:val="14"/>
                <w:szCs w:val="14"/>
                <w:color w:val="auto"/>
                <w:w w:val="98"/>
              </w:rPr>
              <w:t>Media Parent</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w w:val="99"/>
              </w:rPr>
              <w:t>Subsidiaries</w:t>
            </w:r>
          </w:p>
        </w:tc>
        <w:tc>
          <w:tcPr>
            <w:tcW w:w="9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2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Borders>
              <w:top w:val="single" w:sz="8" w:color="auto"/>
              <w:bottom w:val="single" w:sz="8" w:color="auto"/>
            </w:tcBorders>
            <w:shd w:val="clear" w:color="auto" w:fill="E5E5E5"/>
          </w:tcPr>
          <w:p>
            <w:pPr>
              <w:jc w:val="center"/>
              <w:ind w:left="19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(1,019)</w:t>
            </w:r>
          </w:p>
        </w:tc>
        <w:tc>
          <w:tcPr>
            <w:tcW w:w="180" w:type="dxa"/>
            <w:vAlign w:val="bottom"/>
            <w:tcBorders>
              <w:top w:val="single" w:sz="8" w:color="auto"/>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8"/>
              </w:rPr>
              <w:t>15,530</w:t>
            </w:r>
          </w:p>
        </w:tc>
        <w:tc>
          <w:tcPr>
            <w:tcW w:w="26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13,813</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7"/>
              </w:rPr>
              <w:t>6,786</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99"/>
              </w:rPr>
              <w:t>697</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2,249</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(9,681)</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(5,843)</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(5,862)</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(913)</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(916)</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Acquisitions and construction of real estate properties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Acquisitions, net of cash acquired</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sales of businesses and investments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419</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420</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Purchases of investments</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(309)</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(712)</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266</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7"/>
              </w:rPr>
              <w:t>6,768</w:t>
            </w:r>
          </w:p>
        </w:tc>
        <w:tc>
          <w:tcPr>
            <w:tcW w:w="2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99"/>
              </w:rPr>
              <w:t>697</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1,845</w:t>
            </w:r>
          </w:p>
        </w:tc>
        <w:tc>
          <w:tcPr>
            <w:tcW w:w="1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9"/>
              </w:rPr>
              <w:t>(16,463)</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(7,204)</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(repayments of) short-term borrowings, net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3,996</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3,996</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(2,650)</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5"/>
              </w:rPr>
              <w:t>(673)</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(4,353)</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Repurchases and retirements of common stock</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(5,770)</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(5,770)</w:t>
            </w:r>
          </w:p>
        </w:tc>
      </w:tr>
      <w:tr>
        <w:trPr>
          <w:trHeight w:val="216"/>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(1,823)</w:t>
            </w: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(1,823)</w:t>
            </w: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08"/>
        </w:trPr>
        <w:tc>
          <w:tcPr>
            <w:tcW w:w="20" w:type="dxa"/>
            <w:vAlign w:val="bottom"/>
          </w:tcPr>
          <w:p>
            <w:pPr>
              <w:spacing w:after="0"/>
              <w:rPr>
                <w:sz w:val="18"/>
                <w:szCs w:val="18"/>
                <w:color w:val="auto"/>
              </w:rPr>
            </w:pPr>
          </w:p>
        </w:tc>
        <w:tc>
          <w:tcPr>
            <w:tcW w:w="5360" w:type="dxa"/>
            <w:vAlign w:val="bottom"/>
            <w:shd w:val="clear" w:color="auto" w:fill="E5E5E5"/>
          </w:tcPr>
          <w:p>
            <w:pPr>
              <w:ind w:left="200"/>
              <w:spacing w:after="0"/>
              <w:rPr>
                <w:sz w:val="20"/>
                <w:szCs w:val="20"/>
                <w:color w:val="auto"/>
              </w:rPr>
            </w:pPr>
            <w:r>
              <w:rPr>
                <w:rFonts w:ascii="Arial" w:cs="Arial" w:eastAsia="Arial" w:hAnsi="Arial"/>
                <w:sz w:val="18"/>
                <w:szCs w:val="18"/>
                <w:color w:val="auto"/>
                <w:w w:val="93"/>
              </w:rPr>
              <w:t>Distributions to noncontrolling interests and dividends for redeemable</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subsidiary preferred stock</w:t>
            </w:r>
          </w:p>
        </w:tc>
        <w:tc>
          <w:tcPr>
            <w:tcW w:w="40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9"/>
                <w:szCs w:val="19"/>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9"/>
                <w:szCs w:val="19"/>
                <w:color w:val="auto"/>
              </w:rPr>
            </w:pPr>
          </w:p>
        </w:tc>
        <w:tc>
          <w:tcPr>
            <w:tcW w:w="4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9"/>
                <w:szCs w:val="19"/>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10"/>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(6,043)</w:t>
            </w:r>
          </w:p>
        </w:tc>
        <w:tc>
          <w:tcPr>
            <w:tcW w:w="2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5"/>
              </w:rPr>
              <w:t>(673)</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(908)</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(8,626)</w:t>
            </w: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Pr>
          <w:p>
            <w:pPr>
              <w:spacing w:after="0"/>
              <w:rPr>
                <w:sz w:val="18"/>
                <w:szCs w:val="18"/>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(1,841)</w:t>
            </w:r>
          </w:p>
        </w:tc>
        <w:tc>
          <w:tcPr>
            <w:tcW w:w="26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rPr>
              <w:t>3,525</w:t>
            </w:r>
          </w:p>
        </w:tc>
        <w:tc>
          <w:tcPr>
            <w:tcW w:w="2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3,910</w:t>
            </w:r>
          </w:p>
        </w:tc>
      </w:tr>
      <w:tr>
        <w:trPr>
          <w:trHeight w:val="217"/>
        </w:trPr>
        <w:tc>
          <w:tcPr>
            <w:tcW w:w="20" w:type="dxa"/>
            <w:vAlign w:val="bottom"/>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400" w:type="dxa"/>
            <w:vAlign w:val="bottom"/>
            <w:tcBorders>
              <w:bottom w:val="single" w:sz="8" w:color="auto"/>
            </w:tcBorders>
          </w:tcPr>
          <w:p>
            <w:pPr>
              <w:jc w:val="center"/>
              <w:ind w:left="197"/>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209</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1,684</w:t>
            </w: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1,893</w:t>
            </w:r>
          </w:p>
        </w:tc>
      </w:tr>
      <w:tr>
        <w:trPr>
          <w:trHeight w:val="363"/>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2"/>
          </w:tcPr>
          <w:p>
            <w:pPr>
              <w:jc w:val="center"/>
              <w:ind w:right="213"/>
              <w:spacing w:after="0"/>
              <w:rPr>
                <w:sz w:val="20"/>
                <w:szCs w:val="20"/>
                <w:color w:val="auto"/>
              </w:rPr>
            </w:pPr>
            <w:r>
              <w:rPr>
                <w:rFonts w:ascii="Arial" w:cs="Arial" w:eastAsia="Arial" w:hAnsi="Arial"/>
                <w:sz w:val="18"/>
                <w:szCs w:val="18"/>
                <w:color w:val="auto"/>
                <w:w w:val="99"/>
              </w:rPr>
              <w:t>27</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Comcast Cable is one of the nation’s largest providers of video, high-speed Internet and voice services (“cable services”) to residential customers under the XFINITY brand, and we also provide these and other services to business customers. As of September 30, 2016, our cable systems had 28.3 million total customer relationships; served 22.4 million video customers, 24.3 million high-speed Internet customers and 11.6 million voice customers; and passed more than 56 million homes and businesses. Our Cable Communications segment generates revenue primarily from residential and business customers subscribing to our cable services, which we market individually and as bundled services, and from the sale of advertising. During the nine months ended September 30, 2016, our Cable Communications segment generated 63% of our consolidated revenue and 76% of our operating income before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various international cable networks, our cable television studio production operations, and related digital media properties. Our Cable Networks segment generates revenue primarily from the distribution of our cable network programming to multichannel video providers, from the sale of advertising units on our cable networks and related digital media properties, from the licensing of our owned programming to cable and broadcast networks and subscription video on demand services, and from the sale of our owned programming through digital distributors such as iTunes. Our Cable Networks segment also generates revenue from the production of programming for third-party networks and subscription video on demand services.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units on our broadcast networks, owned local television stations and related digital media properties, from the licensing of our owned programming to various distribution platforms, including to cable and broadcast networks as well as to subscription video on demand services, from fees received under retransmission consent agreements, and from the sale of our owned programming on standard-definition digital video discs and Blu-ray discs (together, “DVDs”) and in digital formats.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Filmed Entertainment segment primarily produces, acquires, markets and distributes filmed entertainment worldwide, and it also develops, produces and licenses live stage plays. Our films are produced primarily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Universal Pictures, Illumination and Focus Features names. In August 2016, we acquired DreamWorks Animation SKG, Inc. (“DreamWorks”) for $3.8 billion and assumed $381 million of its debt. DreamWorks creates animated feature films, television series and specials, live entertainment and related consumer products. Our Filmed Entertainment segment generates revenue primarily from the worldwide theatrical release of owned and acquired films for exhibition in movie theaters, from the licensing of owned and acquired films through various distribution platforms, and from the sale of owned and acquired films on DVDs and in digital formats. Our Filmed Entertainment segment also generates revenue from producing and licensing live stage plays, from distributing filmed entertainment produced by third parties, and from Fandango, our movie ticketing and entertainment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Theme Parks segment consists primarily of our Universal theme parks in Orlando, Florida and Hollywood, California. In November 2015, NBCUniversal acquired a 51% interest in the Universal Studios theme park in Osaka, Japan (“Universal Studios Japan”). In addition, along with a consortium of Chinese state-owned companies, we are developing a theme park in China. Our Theme Parks segment generates revenue primarily from ticket sales and guest spending at our theme parks, as well as from fees for the licensing of intellectual property and other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anticipate launching a Comcast-branded wireless phone service in 2017 using our virtual network operator rights to offer the service over Verizon’s wireless network, although we are still evaluating the parameters of the anticipated offering. A wireless phone service will have success-based working capital requirements, primarily associated with handset procurement, as we launch the new service.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additional information on the competition our businesses face, see Item 1A: Risk Factors included in our 2015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alternative methods for viewing content may adversely affect our businesses and challenge existing business models.”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on television,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affects our Cable Networks and Broadcast Television segments, and the Super Bowl, which affects our Broadcast Television segment. Our advertising revenue generally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increases in the period of these broadcasts due to increased demand for advertising time, and our operating costs and expenses also increase as a result of our production costs and the amortization of the related rights fees.</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 and through digital distribution services.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our Theme Parks segment fluctuates with changes in theme park attendance that result from the seasonal nature of vacation travel and weather variations, local entertainment offerings and the opening of new attractions. Our theme parks generally experience peak attendance during the spring holiday period, the summer months when schools are closed and the holiday season.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3"/>
          </w:tcPr>
          <w:p>
            <w:pPr>
              <w:jc w:val="right"/>
              <w:ind w:right="374"/>
              <w:spacing w:after="0"/>
              <w:rPr>
                <w:sz w:val="20"/>
                <w:szCs w:val="20"/>
                <w:color w:val="auto"/>
              </w:rPr>
            </w:pPr>
            <w:r>
              <w:rPr>
                <w:rFonts w:ascii="Arial" w:cs="Arial" w:eastAsia="Arial" w:hAnsi="Arial"/>
                <w:sz w:val="14"/>
                <w:szCs w:val="14"/>
                <w:color w:val="auto"/>
                <w:w w:val="94"/>
              </w:rPr>
              <w:t>Three Months Ended</w:t>
            </w:r>
          </w:p>
        </w:tc>
        <w:tc>
          <w:tcPr>
            <w:tcW w:w="1100" w:type="dxa"/>
            <w:vAlign w:val="bottom"/>
          </w:tcPr>
          <w:p>
            <w:pPr>
              <w:jc w:val="right"/>
              <w:ind w:right="315"/>
              <w:spacing w:after="0"/>
              <w:rPr>
                <w:sz w:val="20"/>
                <w:szCs w:val="20"/>
                <w:color w:val="auto"/>
              </w:rPr>
            </w:pPr>
            <w:r>
              <w:rPr>
                <w:rFonts w:ascii="Arial" w:cs="Arial" w:eastAsia="Arial" w:hAnsi="Arial"/>
                <w:sz w:val="14"/>
                <w:szCs w:val="14"/>
                <w:color w:val="auto"/>
              </w:rPr>
              <w:t>Increase/</w:t>
            </w:r>
          </w:p>
        </w:tc>
        <w:tc>
          <w:tcPr>
            <w:tcW w:w="280" w:type="dxa"/>
            <w:vAlign w:val="bottom"/>
          </w:tcPr>
          <w:p>
            <w:pPr>
              <w:spacing w:after="0"/>
              <w:rPr>
                <w:sz w:val="14"/>
                <w:szCs w:val="14"/>
                <w:color w:val="auto"/>
              </w:rPr>
            </w:pPr>
          </w:p>
        </w:tc>
        <w:tc>
          <w:tcPr>
            <w:tcW w:w="1700" w:type="dxa"/>
            <w:vAlign w:val="bottom"/>
            <w:gridSpan w:val="3"/>
          </w:tcPr>
          <w:p>
            <w:pPr>
              <w:jc w:val="right"/>
              <w:ind w:right="374"/>
              <w:spacing w:after="0"/>
              <w:rPr>
                <w:sz w:val="20"/>
                <w:szCs w:val="20"/>
                <w:color w:val="auto"/>
              </w:rPr>
            </w:pPr>
            <w:r>
              <w:rPr>
                <w:rFonts w:ascii="Arial" w:cs="Arial" w:eastAsia="Arial" w:hAnsi="Arial"/>
                <w:sz w:val="14"/>
                <w:szCs w:val="14"/>
                <w:color w:val="auto"/>
                <w:w w:val="99"/>
              </w:rPr>
              <w:t>Nine Months Ended</w:t>
            </w:r>
          </w:p>
        </w:tc>
        <w:tc>
          <w:tcPr>
            <w:tcW w:w="100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59"/>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574"/>
              <w:spacing w:after="0" w:line="159" w:lineRule="exact"/>
              <w:rPr>
                <w:sz w:val="20"/>
                <w:szCs w:val="20"/>
                <w:color w:val="auto"/>
              </w:rPr>
            </w:pPr>
            <w:r>
              <w:rPr>
                <w:rFonts w:ascii="Arial" w:cs="Arial" w:eastAsia="Arial" w:hAnsi="Arial"/>
                <w:sz w:val="14"/>
                <w:szCs w:val="14"/>
                <w:color w:val="auto"/>
              </w:rPr>
              <w:t>September 30</w:t>
            </w:r>
          </w:p>
        </w:tc>
        <w:tc>
          <w:tcPr>
            <w:tcW w:w="11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554"/>
              <w:spacing w:after="0" w:line="159" w:lineRule="exact"/>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720" w:type="dxa"/>
            <w:vAlign w:val="bottom"/>
          </w:tcPr>
          <w:p>
            <w:pPr>
              <w:jc w:val="right"/>
              <w:ind w:right="296"/>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20"/>
                <w:szCs w:val="20"/>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2015</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16"/>
              <w:spacing w:after="0"/>
              <w:rPr>
                <w:sz w:val="20"/>
                <w:szCs w:val="20"/>
                <w:color w:val="auto"/>
              </w:rPr>
            </w:pPr>
            <w:r>
              <w:rPr>
                <w:rFonts w:ascii="Arial" w:cs="Arial" w:eastAsia="Arial" w:hAnsi="Arial"/>
                <w:sz w:val="14"/>
                <w:szCs w:val="14"/>
                <w:color w:val="auto"/>
                <w:w w:val="96"/>
              </w:rPr>
              <w:t>2016</w:t>
            </w:r>
          </w:p>
        </w:tc>
        <w:tc>
          <w:tcPr>
            <w:tcW w:w="260" w:type="dxa"/>
            <w:vAlign w:val="bottom"/>
          </w:tcPr>
          <w:p>
            <w:pPr>
              <w:spacing w:after="0"/>
              <w:rPr>
                <w:sz w:val="20"/>
                <w:szCs w:val="20"/>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color w:val="auto"/>
              </w:rPr>
              <w:t>2015</w:t>
            </w:r>
          </w:p>
        </w:tc>
        <w:tc>
          <w:tcPr>
            <w:tcW w:w="10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w w:val="87"/>
              </w:rPr>
              <w:t>21,319</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w w:val="83"/>
              </w:rPr>
              <w:t>18,669</w:t>
            </w:r>
          </w:p>
        </w:tc>
        <w:tc>
          <w:tcPr>
            <w:tcW w:w="110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14.2%</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w w:val="83"/>
              </w:rPr>
              <w:t>59,378</w:t>
            </w:r>
          </w:p>
        </w:tc>
        <w:tc>
          <w:tcPr>
            <w:tcW w:w="2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w w:val="87"/>
              </w:rPr>
              <w:t>55,265</w:t>
            </w:r>
          </w:p>
        </w:tc>
        <w:tc>
          <w:tcPr>
            <w:tcW w:w="10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7,003</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5,582</w:t>
            </w:r>
          </w:p>
        </w:tc>
        <w:tc>
          <w:tcPr>
            <w:tcW w:w="110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w w:val="83"/>
              </w:rPr>
              <w:t>17,926</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7"/>
              </w:rPr>
              <w:t>16,714</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5,994</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5,390</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17,280</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w w:val="87"/>
              </w:rPr>
              <w:t>15,738</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52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1,487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1,513</w:t>
            </w:r>
          </w:p>
        </w:tc>
        <w:tc>
          <w:tcPr>
            <w:tcW w:w="11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56"/>
              <w:spacing w:after="0"/>
              <w:rPr>
                <w:sz w:val="20"/>
                <w:szCs w:val="20"/>
                <w:color w:val="auto"/>
              </w:rPr>
            </w:pPr>
            <w:r>
              <w:rPr>
                <w:rFonts w:ascii="Arial" w:cs="Arial" w:eastAsia="Arial" w:hAnsi="Arial"/>
                <w:sz w:val="18"/>
                <w:szCs w:val="18"/>
                <w:color w:val="auto"/>
              </w:rPr>
              <w:t>4,515</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4,407</w:t>
            </w:r>
          </w:p>
        </w:tc>
        <w:tc>
          <w:tcPr>
            <w:tcW w:w="10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1,697</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5,518</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5,005</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530</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486</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1,544</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1,405</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9.9</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4,440</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4,001</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12,595</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w w:val="87"/>
              </w:rPr>
              <w:t>11,996</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(716)</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(737)</w:t>
            </w:r>
          </w:p>
        </w:tc>
        <w:tc>
          <w:tcPr>
            <w:tcW w:w="110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(1,978)</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(1,842)</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7.4</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3,724</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3,264</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w w:val="83"/>
              </w:rPr>
              <w:t>10,617</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w w:val="87"/>
              </w:rPr>
              <w:t>10,154</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w w:val="94"/>
              </w:rPr>
              <w:t>(1,400)</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(1,223)</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w w:val="91"/>
              </w:rPr>
              <w:t>(3,989)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w w:val="91"/>
              </w:rPr>
              <w:t>(3,797)</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5.1</w:t>
            </w:r>
          </w:p>
        </w:tc>
      </w:tr>
      <w:tr>
        <w:trPr>
          <w:trHeight w:val="210"/>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720" w:type="dxa"/>
            <w:vAlign w:val="bottom"/>
          </w:tcPr>
          <w:p>
            <w:pPr>
              <w:jc w:val="right"/>
              <w:ind w:right="136"/>
              <w:spacing w:after="0"/>
              <w:rPr>
                <w:sz w:val="20"/>
                <w:szCs w:val="20"/>
                <w:color w:val="auto"/>
              </w:rPr>
            </w:pPr>
            <w:r>
              <w:rPr>
                <w:rFonts w:ascii="Arial" w:cs="Arial" w:eastAsia="Arial" w:hAnsi="Arial"/>
                <w:sz w:val="18"/>
                <w:szCs w:val="18"/>
                <w:color w:val="auto"/>
              </w:rPr>
              <w:t>2,324</w:t>
            </w:r>
          </w:p>
        </w:tc>
        <w:tc>
          <w:tcPr>
            <w:tcW w:w="28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2,041</w:t>
            </w:r>
          </w:p>
        </w:tc>
        <w:tc>
          <w:tcPr>
            <w:tcW w:w="1100" w:type="dxa"/>
            <w:vAlign w:val="bottom"/>
          </w:tcPr>
          <w:p>
            <w:pPr>
              <w:jc w:val="right"/>
              <w:ind w:right="255"/>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6,628</w:t>
            </w:r>
          </w:p>
        </w:tc>
        <w:tc>
          <w:tcPr>
            <w:tcW w:w="260" w:type="dxa"/>
            <w:vAlign w:val="bottom"/>
          </w:tcPr>
          <w:p>
            <w:pPr>
              <w:spacing w:after="0"/>
              <w:rPr>
                <w:sz w:val="18"/>
                <w:szCs w:val="18"/>
                <w:color w:val="auto"/>
              </w:rPr>
            </w:pP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6,357</w:t>
            </w:r>
          </w:p>
        </w:tc>
        <w:tc>
          <w:tcPr>
            <w:tcW w:w="1000" w:type="dxa"/>
            <w:vAlign w:val="bottom"/>
          </w:tcPr>
          <w:p>
            <w:pPr>
              <w:jc w:val="right"/>
              <w:ind w:right="135"/>
              <w:spacing w:after="0"/>
              <w:rPr>
                <w:sz w:val="20"/>
                <w:szCs w:val="20"/>
                <w:color w:val="auto"/>
              </w:rPr>
            </w:pPr>
            <w:r>
              <w:rPr>
                <w:rFonts w:ascii="Arial" w:cs="Arial" w:eastAsia="Arial" w:hAnsi="Arial"/>
                <w:sz w:val="18"/>
                <w:szCs w:val="18"/>
                <w:color w:val="auto"/>
              </w:rPr>
              <w:t>4.3</w:t>
            </w:r>
          </w:p>
        </w:tc>
      </w:tr>
      <w:tr>
        <w:trPr>
          <w:trHeight w:val="208"/>
        </w:trPr>
        <w:tc>
          <w:tcPr>
            <w:tcW w:w="20" w:type="dxa"/>
            <w:vAlign w:val="bottom"/>
          </w:tcPr>
          <w:p>
            <w:pPr>
              <w:spacing w:after="0"/>
              <w:rPr>
                <w:sz w:val="18"/>
                <w:szCs w:val="18"/>
                <w:color w:val="auto"/>
              </w:rPr>
            </w:pPr>
          </w:p>
        </w:tc>
        <w:tc>
          <w:tcPr>
            <w:tcW w:w="5220" w:type="dxa"/>
            <w:vAlign w:val="bottom"/>
            <w:shd w:val="clear" w:color="auto" w:fill="E5E5E5"/>
          </w:tcPr>
          <w:p>
            <w:pPr>
              <w:spacing w:after="0"/>
              <w:rPr>
                <w:sz w:val="20"/>
                <w:szCs w:val="20"/>
                <w:color w:val="auto"/>
              </w:rPr>
            </w:pPr>
            <w:r>
              <w:rPr>
                <w:rFonts w:ascii="Arial" w:cs="Arial" w:eastAsia="Arial" w:hAnsi="Arial"/>
                <w:sz w:val="18"/>
                <w:szCs w:val="18"/>
                <w:color w:val="auto"/>
                <w:w w:val="89"/>
              </w:rPr>
              <w:t>Net (income) loss attributable to noncontrolling interests and redeemable</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2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subsidiary preferred stock</w:t>
            </w:r>
          </w:p>
        </w:tc>
        <w:tc>
          <w:tcPr>
            <w:tcW w:w="3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76"/>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(45)</w:t>
            </w:r>
          </w:p>
        </w:tc>
        <w:tc>
          <w:tcPr>
            <w:tcW w:w="1100" w:type="dxa"/>
            <w:vAlign w:val="bottom"/>
            <w:tcBorders>
              <w:bottom w:val="single" w:sz="8" w:color="auto"/>
            </w:tcBorders>
            <w:shd w:val="clear" w:color="auto" w:fill="E5E5E5"/>
          </w:tcPr>
          <w:p>
            <w:pPr>
              <w:jc w:val="right"/>
              <w:ind w:right="255"/>
              <w:spacing w:after="0"/>
              <w:rPr>
                <w:sz w:val="20"/>
                <w:szCs w:val="20"/>
                <w:color w:val="auto"/>
              </w:rPr>
            </w:pPr>
            <w:r>
              <w:rPr>
                <w:rFonts w:ascii="Arial" w:cs="Arial" w:eastAsia="Arial" w:hAnsi="Arial"/>
                <w:sz w:val="18"/>
                <w:szCs w:val="18"/>
                <w:color w:val="auto"/>
              </w:rPr>
              <w:t>89.1</w:t>
            </w:r>
          </w:p>
        </w:tc>
        <w:tc>
          <w:tcPr>
            <w:tcW w:w="2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6"/>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(165)</w:t>
            </w:r>
          </w:p>
        </w:tc>
        <w:tc>
          <w:tcPr>
            <w:tcW w:w="10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38.4</w:t>
            </w:r>
          </w:p>
        </w:tc>
      </w:tr>
      <w:tr>
        <w:trPr>
          <w:trHeight w:val="219"/>
        </w:trPr>
        <w:tc>
          <w:tcPr>
            <w:tcW w:w="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2,237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1,996</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b w:val="1"/>
                <w:bCs w:val="1"/>
                <w:color w:val="auto"/>
              </w:rPr>
              <w:t>6,399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6,192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Cable Communications, Cable Networks, Broadcast Television and Theme Parks segments accounted for the increases in consolidated revenue for the three and nine months ended September 30, 2016. The increases in our Theme Parks segment for both the three and nine months ended September 30, 2016 were associated with the acquisition of a 51% interest in Universal Studios Japan in November 2015. The increases in consolidated revenue for the three and nine months ended September 30, 2016 were partially offset by decreases in revenue in our Filmed Entertainment segment. Consolidated revenue for the three and nine months ended September 30, 2016 included $1.6 billion of revenue associated with our broadcast of the 2016 Rio Olympics in August 2016, of which $1.2 billion was advertising revenue. Consolidated revenue for the nine months ended September 30, 2015 included $376 million of revenue associated with our broadcast of the 2015 Super Bowl in February 2015. Excluding the impact of these events, consolidated revenue increased 5.5% and 5.2% for the three and nine months ended September 30, 2016, respectively.</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Communications, Cable Networks, Broadcast Television and Theme Parks segments accounted for the increases in consolidated operating costs and expenses for the three and nine months ended September 30, 2016. The increases in operating costs and expenses in our Theme Parks segment for the three and nine months ended September 30, 2016 were associated with the acquisition of a 51% interest in Universal Studios Japan in November 2015. The increases in consolidated operating costs and expenses for the three and nine months ended September 30, 2016 were partially offset by lower operating costs and expenses in our Filmed Entertainment segment. For the nine months ended September 30, 2015, our consolidated operating costs and expenses included transaction-related costs associated with the Time Warner Cable merger and related divestiture transactions of $178 million.</w:t>
      </w:r>
    </w:p>
    <w:p>
      <w:pPr>
        <w:spacing w:after="0" w:line="2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Operating costs and expenses for our segments are discussed separately below under the heading “Segment Operating Results.” Operating costs and expenses for our corporate and other businesses are discussed separately below under the heading “Corporate and Other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960" w:type="dxa"/>
            <w:vAlign w:val="bottom"/>
            <w:gridSpan w:val="2"/>
          </w:tcPr>
          <w:p>
            <w:pPr>
              <w:jc w:val="right"/>
              <w:ind w:right="276"/>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jc w:val="right"/>
              <w:ind w:right="319"/>
              <w:spacing w:after="0"/>
              <w:rPr>
                <w:sz w:val="20"/>
                <w:szCs w:val="20"/>
                <w:color w:val="auto"/>
              </w:rPr>
            </w:pPr>
            <w:r>
              <w:rPr>
                <w:rFonts w:ascii="Arial" w:cs="Arial" w:eastAsia="Arial" w:hAnsi="Arial"/>
                <w:sz w:val="14"/>
                <w:szCs w:val="14"/>
                <w:color w:val="auto"/>
              </w:rPr>
              <w:t>Increase/</w:t>
            </w:r>
          </w:p>
        </w:tc>
        <w:tc>
          <w:tcPr>
            <w:tcW w:w="1840" w:type="dxa"/>
            <w:vAlign w:val="bottom"/>
            <w:gridSpan w:val="2"/>
          </w:tcPr>
          <w:p>
            <w:pPr>
              <w:jc w:val="right"/>
              <w:ind w:right="296"/>
              <w:spacing w:after="0"/>
              <w:rPr>
                <w:sz w:val="20"/>
                <w:szCs w:val="20"/>
                <w:color w:val="auto"/>
              </w:rPr>
            </w:pPr>
            <w:r>
              <w:rPr>
                <w:rFonts w:ascii="Arial" w:cs="Arial" w:eastAsia="Arial" w:hAnsi="Arial"/>
                <w:sz w:val="14"/>
                <w:szCs w:val="14"/>
                <w:color w:val="auto"/>
              </w:rPr>
              <w:t>Nine Months Ended</w:t>
            </w:r>
          </w:p>
        </w:tc>
        <w:tc>
          <w:tcPr>
            <w:tcW w:w="1020" w:type="dxa"/>
            <w:vAlign w:val="bottom"/>
          </w:tcPr>
          <w:p>
            <w:pPr>
              <w:jc w:val="right"/>
              <w:ind w:right="199"/>
              <w:spacing w:after="0"/>
              <w:rPr>
                <w:sz w:val="20"/>
                <w:szCs w:val="20"/>
                <w:color w:val="auto"/>
              </w:rPr>
            </w:pPr>
            <w:r>
              <w:rPr>
                <w:rFonts w:ascii="Arial" w:cs="Arial" w:eastAsia="Arial" w:hAnsi="Arial"/>
                <w:sz w:val="14"/>
                <w:szCs w:val="14"/>
                <w:color w:val="auto"/>
              </w:rPr>
              <w:t>Increase/</w:t>
            </w:r>
          </w:p>
        </w:tc>
      </w:tr>
      <w:tr>
        <w:trPr>
          <w:trHeight w:val="159"/>
        </w:trPr>
        <w:tc>
          <w:tcPr>
            <w:tcW w:w="5460" w:type="dxa"/>
            <w:vAlign w:val="bottom"/>
          </w:tcPr>
          <w:p>
            <w:pPr>
              <w:spacing w:after="0"/>
              <w:rPr>
                <w:sz w:val="13"/>
                <w:szCs w:val="13"/>
                <w:color w:val="auto"/>
              </w:rPr>
            </w:pPr>
          </w:p>
        </w:tc>
        <w:tc>
          <w:tcPr>
            <w:tcW w:w="196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1140" w:type="dxa"/>
            <w:vAlign w:val="bottom"/>
            <w:tcBorders>
              <w:bottom w:val="single" w:sz="8" w:color="auto"/>
            </w:tcBorders>
          </w:tcPr>
          <w:p>
            <w:pPr>
              <w:jc w:val="right"/>
              <w:ind w:right="279"/>
              <w:spacing w:after="0" w:line="159" w:lineRule="exact"/>
              <w:rPr>
                <w:sz w:val="20"/>
                <w:szCs w:val="20"/>
                <w:color w:val="auto"/>
              </w:rPr>
            </w:pPr>
            <w:r>
              <w:rPr>
                <w:rFonts w:ascii="Arial" w:cs="Arial" w:eastAsia="Arial" w:hAnsi="Arial"/>
                <w:sz w:val="14"/>
                <w:szCs w:val="14"/>
                <w:color w:val="auto"/>
              </w:rPr>
              <w:t>(Decrease)</w:t>
            </w:r>
          </w:p>
        </w:tc>
        <w:tc>
          <w:tcPr>
            <w:tcW w:w="1840" w:type="dxa"/>
            <w:vAlign w:val="bottom"/>
            <w:tcBorders>
              <w:bottom w:val="single" w:sz="8" w:color="auto"/>
            </w:tcBorders>
            <w:gridSpan w:val="2"/>
          </w:tcPr>
          <w:p>
            <w:pPr>
              <w:jc w:val="right"/>
              <w:ind w:right="476"/>
              <w:spacing w:after="0" w:line="159" w:lineRule="exact"/>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jc w:val="right"/>
              <w:ind w:right="159"/>
              <w:spacing w:after="0" w:line="159" w:lineRule="exact"/>
              <w:rPr>
                <w:sz w:val="20"/>
                <w:szCs w:val="20"/>
                <w:color w:val="auto"/>
              </w:rPr>
            </w:pPr>
            <w:r>
              <w:rPr>
                <w:rFonts w:ascii="Arial" w:cs="Arial" w:eastAsia="Arial" w:hAnsi="Arial"/>
                <w:sz w:val="14"/>
                <w:szCs w:val="14"/>
                <w:color w:val="auto"/>
              </w:rPr>
              <w:t>(Decrease)</w:t>
            </w:r>
          </w:p>
        </w:tc>
      </w:tr>
      <w:tr>
        <w:trPr>
          <w:trHeight w:val="237"/>
        </w:trPr>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2016</w:t>
            </w: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rPr>
              <w:t>2015</w:t>
            </w:r>
          </w:p>
        </w:tc>
        <w:tc>
          <w:tcPr>
            <w:tcW w:w="1020" w:type="dxa"/>
            <w:vAlign w:val="bottom"/>
            <w:tcBorders>
              <w:bottom w:val="single" w:sz="8" w:color="auto"/>
            </w:tcBorders>
          </w:tcPr>
          <w:p>
            <w:pPr>
              <w:spacing w:after="0"/>
              <w:rPr>
                <w:sz w:val="20"/>
                <w:szCs w:val="20"/>
                <w:color w:val="auto"/>
              </w:rPr>
            </w:pPr>
          </w:p>
        </w:tc>
      </w:tr>
      <w:tr>
        <w:trPr>
          <w:trHeight w:val="210"/>
        </w:trPr>
        <w:tc>
          <w:tcPr>
            <w:tcW w:w="546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w:t>
            </w:r>
          </w:p>
        </w:tc>
        <w:tc>
          <w:tcPr>
            <w:tcW w:w="102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$ 1,929</w:t>
            </w:r>
          </w:p>
        </w:tc>
        <w:tc>
          <w:tcPr>
            <w:tcW w:w="9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$ 1,782</w:t>
            </w:r>
          </w:p>
        </w:tc>
        <w:tc>
          <w:tcPr>
            <w:tcW w:w="1140" w:type="dxa"/>
            <w:vAlign w:val="bottom"/>
            <w:shd w:val="clear" w:color="auto" w:fill="E5E5E5"/>
          </w:tcPr>
          <w:p>
            <w:pPr>
              <w:jc w:val="right"/>
              <w:ind w:right="119"/>
              <w:spacing w:after="0"/>
              <w:rPr>
                <w:sz w:val="20"/>
                <w:szCs w:val="20"/>
                <w:color w:val="auto"/>
              </w:rPr>
            </w:pPr>
            <w:r>
              <w:rPr>
                <w:rFonts w:ascii="Arial" w:cs="Arial" w:eastAsia="Arial" w:hAnsi="Arial"/>
                <w:sz w:val="18"/>
                <w:szCs w:val="18"/>
                <w:color w:val="auto"/>
              </w:rPr>
              <w:t>8.2%</w:t>
            </w:r>
          </w:p>
        </w:tc>
        <w:tc>
          <w:tcPr>
            <w:tcW w:w="900" w:type="dxa"/>
            <w:vAlign w:val="bottom"/>
            <w:shd w:val="clear" w:color="auto" w:fill="E5E5E5"/>
          </w:tcPr>
          <w:p>
            <w:pPr>
              <w:jc w:val="right"/>
              <w:ind w:right="101"/>
              <w:spacing w:after="0"/>
              <w:rPr>
                <w:sz w:val="20"/>
                <w:szCs w:val="20"/>
                <w:color w:val="auto"/>
              </w:rPr>
            </w:pPr>
            <w:r>
              <w:rPr>
                <w:rFonts w:ascii="Arial" w:cs="Arial" w:eastAsia="Arial" w:hAnsi="Arial"/>
                <w:sz w:val="18"/>
                <w:szCs w:val="18"/>
                <w:color w:val="auto"/>
              </w:rPr>
              <w:t>$ 5,676</w:t>
            </w:r>
          </w:p>
        </w:tc>
        <w:tc>
          <w:tcPr>
            <w:tcW w:w="9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$ 5,194</w:t>
            </w:r>
          </w:p>
        </w:tc>
        <w:tc>
          <w:tcPr>
            <w:tcW w:w="10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NBCUniversal</w:t>
            </w:r>
          </w:p>
        </w:tc>
        <w:tc>
          <w:tcPr>
            <w:tcW w:w="1020" w:type="dxa"/>
            <w:vAlign w:val="bottom"/>
          </w:tcPr>
          <w:p>
            <w:pPr>
              <w:jc w:val="right"/>
              <w:ind w:right="121"/>
              <w:spacing w:after="0"/>
              <w:rPr>
                <w:sz w:val="20"/>
                <w:szCs w:val="20"/>
                <w:color w:val="auto"/>
              </w:rPr>
            </w:pPr>
            <w:r>
              <w:rPr>
                <w:rFonts w:ascii="Arial" w:cs="Arial" w:eastAsia="Arial" w:hAnsi="Arial"/>
                <w:sz w:val="18"/>
                <w:szCs w:val="18"/>
                <w:color w:val="auto"/>
              </w:rPr>
              <w:t>445</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380</w:t>
            </w:r>
          </w:p>
        </w:tc>
        <w:tc>
          <w:tcPr>
            <w:tcW w:w="1140" w:type="dxa"/>
            <w:vAlign w:val="bottom"/>
          </w:tcPr>
          <w:p>
            <w:pPr>
              <w:jc w:val="right"/>
              <w:ind w:right="279"/>
              <w:spacing w:after="0"/>
              <w:rPr>
                <w:sz w:val="20"/>
                <w:szCs w:val="20"/>
                <w:color w:val="auto"/>
              </w:rPr>
            </w:pPr>
            <w:r>
              <w:rPr>
                <w:rFonts w:ascii="Arial" w:cs="Arial" w:eastAsia="Arial" w:hAnsi="Arial"/>
                <w:sz w:val="18"/>
                <w:szCs w:val="18"/>
                <w:color w:val="auto"/>
              </w:rPr>
              <w:t>17.6</w:t>
            </w:r>
          </w:p>
        </w:tc>
        <w:tc>
          <w:tcPr>
            <w:tcW w:w="900" w:type="dxa"/>
            <w:vAlign w:val="bottom"/>
          </w:tcPr>
          <w:p>
            <w:pPr>
              <w:jc w:val="right"/>
              <w:ind w:right="101"/>
              <w:spacing w:after="0"/>
              <w:rPr>
                <w:sz w:val="20"/>
                <w:szCs w:val="20"/>
                <w:color w:val="auto"/>
              </w:rPr>
            </w:pPr>
            <w:r>
              <w:rPr>
                <w:rFonts w:ascii="Arial" w:cs="Arial" w:eastAsia="Arial" w:hAnsi="Arial"/>
                <w:sz w:val="18"/>
                <w:szCs w:val="18"/>
                <w:color w:val="auto"/>
              </w:rPr>
              <w:t>1,324</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1,149</w:t>
            </w: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15.3</w:t>
            </w:r>
          </w:p>
        </w:tc>
      </w:tr>
      <w:tr>
        <w:trPr>
          <w:trHeight w:val="216"/>
        </w:trPr>
        <w:tc>
          <w:tcPr>
            <w:tcW w:w="5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Corporate and Other</w:t>
            </w:r>
          </w:p>
        </w:tc>
        <w:tc>
          <w:tcPr>
            <w:tcW w:w="102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auto"/>
            </w:tcBorders>
            <w:shd w:val="clear" w:color="auto" w:fill="E5E5E5"/>
          </w:tcPr>
          <w:p>
            <w:pPr>
              <w:jc w:val="right"/>
              <w:ind w:right="219"/>
              <w:spacing w:after="0"/>
              <w:rPr>
                <w:sz w:val="20"/>
                <w:szCs w:val="20"/>
                <w:color w:val="auto"/>
              </w:rPr>
            </w:pPr>
            <w:r>
              <w:rPr>
                <w:rFonts w:ascii="Arial" w:cs="Arial" w:eastAsia="Arial" w:hAnsi="Arial"/>
                <w:sz w:val="18"/>
                <w:szCs w:val="18"/>
                <w:color w:val="auto"/>
              </w:rPr>
              <w:t>(2.5)</w:t>
            </w:r>
          </w:p>
        </w:tc>
        <w:tc>
          <w:tcPr>
            <w:tcW w:w="900" w:type="dxa"/>
            <w:vAlign w:val="bottom"/>
            <w:tcBorders>
              <w:bottom w:val="single" w:sz="8" w:color="auto"/>
            </w:tcBorders>
            <w:shd w:val="clear" w:color="auto" w:fill="E5E5E5"/>
          </w:tcPr>
          <w:p>
            <w:pPr>
              <w:jc w:val="right"/>
              <w:ind w:right="101"/>
              <w:spacing w:after="0"/>
              <w:rPr>
                <w:sz w:val="20"/>
                <w:szCs w:val="20"/>
                <w:color w:val="auto"/>
              </w:rPr>
            </w:pPr>
            <w:r>
              <w:rPr>
                <w:rFonts w:ascii="Arial" w:cs="Arial" w:eastAsia="Arial" w:hAnsi="Arial"/>
                <w:sz w:val="18"/>
                <w:szCs w:val="18"/>
                <w:color w:val="auto"/>
              </w:rPr>
              <w:t>62</w:t>
            </w:r>
          </w:p>
        </w:tc>
        <w:tc>
          <w:tcPr>
            <w:tcW w:w="94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67</w:t>
            </w:r>
          </w:p>
        </w:tc>
        <w:tc>
          <w:tcPr>
            <w:tcW w:w="1020" w:type="dxa"/>
            <w:vAlign w:val="bottom"/>
            <w:tcBorders>
              <w:bottom w:val="single" w:sz="8" w:color="auto"/>
            </w:tcBorders>
            <w:shd w:val="clear" w:color="auto" w:fill="E5E5E5"/>
          </w:tcPr>
          <w:p>
            <w:pPr>
              <w:jc w:val="right"/>
              <w:ind w:right="99"/>
              <w:spacing w:after="0"/>
              <w:rPr>
                <w:sz w:val="20"/>
                <w:szCs w:val="20"/>
                <w:color w:val="auto"/>
              </w:rPr>
            </w:pPr>
            <w:r>
              <w:rPr>
                <w:rFonts w:ascii="Arial" w:cs="Arial" w:eastAsia="Arial" w:hAnsi="Arial"/>
                <w:sz w:val="18"/>
                <w:szCs w:val="18"/>
                <w:color w:val="auto"/>
              </w:rPr>
              <w:t>(6.6)</w:t>
            </w:r>
          </w:p>
        </w:tc>
      </w:tr>
      <w:tr>
        <w:trPr>
          <w:trHeight w:val="217"/>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Comcast Consolidated</w:t>
            </w: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$ 2,395</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$ 2,183</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b w:val="1"/>
                <w:bCs w:val="1"/>
                <w:color w:val="auto"/>
              </w:rPr>
              <w:t>9.7%</w:t>
            </w: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$ 7,062</w:t>
            </w:r>
          </w:p>
        </w:tc>
        <w:tc>
          <w:tcPr>
            <w:tcW w:w="9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$ 6,410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r>
    </w:tbl>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Consolidated depreciation and amortization expenses increased for the three and nine months ended September 30, 2016 primarily due to increases in capital expenditures, as well as expenditures for software, in our Cable Communications segment in recent years, and the acquisition of a 51% interest in Universal Studios Japan in NBCUniversal’s Theme Parks segment. We continue to invest in customer premise equipment, primarily for our X1 platform, wireless gateways and cloud DVR technology, and in equipment to increase our network capacity. In addition, because these assets generally have shorter estimated useful lives, our depreciation expenses increased for the three and nine months ended September 30, 2016.</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the business segment footnote to our condensed consolidated financial statements (see Note 13 to Comcast’s condensed consolidated financial statements and Note 11 to NBCUniversal’s condensed consolidated financial statements). This measure should not be considered a substitute for operating income (loss), net income (loss) attributable to Comcast Corporation or NBCUniversal, net cash provided by operating activities, or other measures of performance or liquidity we have reported in accordance with GAAP.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adjusted prior period segment operating results to reflect certain changes in our management reporting presentation. See Note 13 to Comcast’s condensed consolidated financial statements and Note 11 to NBCUniversal’s condensed consolidated financial statements for additional information on these changes.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ind w:right="353"/>
              <w:spacing w:after="0"/>
              <w:rPr>
                <w:sz w:val="20"/>
                <w:szCs w:val="20"/>
                <w:color w:val="auto"/>
              </w:rPr>
            </w:pPr>
            <w:r>
              <w:rPr>
                <w:rFonts w:ascii="Arial" w:cs="Arial" w:eastAsia="Arial" w:hAnsi="Arial"/>
                <w:sz w:val="14"/>
                <w:szCs w:val="14"/>
                <w:color w:val="auto"/>
                <w:w w:val="99"/>
              </w:rPr>
              <w:t>Three Months Ended</w:t>
            </w:r>
          </w:p>
        </w:tc>
        <w:tc>
          <w:tcPr>
            <w:tcW w:w="280" w:type="dxa"/>
            <w:vAlign w:val="bottom"/>
          </w:tcPr>
          <w:p>
            <w:pPr>
              <w:spacing w:after="0"/>
              <w:rPr>
                <w:sz w:val="14"/>
                <w:szCs w:val="14"/>
                <w:color w:val="auto"/>
              </w:rPr>
            </w:pPr>
          </w:p>
        </w:tc>
        <w:tc>
          <w:tcPr>
            <w:tcW w:w="1320" w:type="dxa"/>
            <w:vAlign w:val="bottom"/>
            <w:gridSpan w:val="2"/>
          </w:tcPr>
          <w:p>
            <w:pPr>
              <w:jc w:val="right"/>
              <w:ind w:right="413"/>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55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73"/>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color w:val="auto"/>
                <w:w w:val="96"/>
              </w:rPr>
              <w:t>2016</w:t>
            </w: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w w:val="96"/>
              </w:rPr>
              <w:t>2015</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160" w:type="dxa"/>
            <w:vAlign w:val="bottom"/>
            <w:gridSpan w:val="3"/>
            <w:shd w:val="clear" w:color="auto" w:fill="E5E5E5"/>
          </w:tcPr>
          <w:p>
            <w:pPr>
              <w:ind w:left="30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5,591</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5,348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w w:val="99"/>
              </w:rPr>
              <w:t>$243</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3,405</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3,129</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276</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900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(22)</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1,399</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1,211</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188</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15.5</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650</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575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75</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13.0</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w w:val="83"/>
              </w:rPr>
              <w:t>12,557</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b w:val="1"/>
                <w:bCs w:val="1"/>
                <w:color w:val="auto"/>
                <w:w w:val="83"/>
              </w:rPr>
              <w:t>11,751</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b w:val="1"/>
                <w:bCs w:val="1"/>
                <w:color w:val="auto"/>
              </w:rPr>
              <w:t>806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2,905</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2,607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298</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1"/>
              </w:rPr>
              <w:t>11.4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1,611</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1,518</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93</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628</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20</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8"/>
                <w:szCs w:val="18"/>
                <w:color w:val="auto"/>
              </w:rPr>
              <w:t>371</w:t>
            </w:r>
          </w:p>
        </w:tc>
        <w:tc>
          <w:tcPr>
            <w:tcW w:w="4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760" w:type="dxa"/>
            <w:vAlign w:val="bottom"/>
          </w:tcPr>
          <w:p>
            <w:pPr>
              <w:jc w:val="right"/>
              <w:ind w:right="256"/>
              <w:spacing w:after="0"/>
              <w:rPr>
                <w:sz w:val="20"/>
                <w:szCs w:val="20"/>
                <w:color w:val="auto"/>
              </w:rPr>
            </w:pPr>
            <w:r>
              <w:rPr>
                <w:rFonts w:ascii="Arial" w:cs="Arial" w:eastAsia="Arial" w:hAnsi="Arial"/>
                <w:sz w:val="18"/>
                <w:szCs w:val="18"/>
                <w:color w:val="auto"/>
              </w:rPr>
              <w:t>24</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935</w:t>
            </w: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873</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62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1,121</w:t>
            </w: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1,072</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250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7,571</w:t>
            </w:r>
          </w:p>
        </w:tc>
        <w:tc>
          <w:tcPr>
            <w:tcW w:w="4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7,025</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546</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160" w:type="dxa"/>
            <w:vAlign w:val="bottom"/>
            <w:tcBorders>
              <w:bottom w:val="single" w:sz="8" w:color="auto"/>
            </w:tcBorders>
            <w:gridSpan w:val="3"/>
          </w:tcPr>
          <w:p>
            <w:pPr>
              <w:ind w:left="306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4,986</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4,726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w w:val="99"/>
              </w:rPr>
              <w:t>$260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5"/>
        </w:trPr>
        <w:tc>
          <w:tcPr>
            <w:tcW w:w="49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gridSpan w:val="3"/>
          </w:tcPr>
          <w:p>
            <w:pPr>
              <w:jc w:val="center"/>
              <w:ind w:right="493"/>
              <w:spacing w:after="0"/>
              <w:rPr>
                <w:sz w:val="20"/>
                <w:szCs w:val="20"/>
                <w:color w:val="auto"/>
              </w:rPr>
            </w:pPr>
            <w:r>
              <w:rPr>
                <w:rFonts w:ascii="Arial" w:cs="Arial" w:eastAsia="Arial" w:hAnsi="Arial"/>
                <w:sz w:val="14"/>
                <w:szCs w:val="14"/>
                <w:color w:val="auto"/>
                <w:w w:val="89"/>
              </w:rPr>
              <w:t>Nine Months Ended</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49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0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gridSpan w:val="2"/>
          </w:tcPr>
          <w:p>
            <w:pPr>
              <w:ind w:left="340"/>
              <w:spacing w:after="0" w:line="142" w:lineRule="exact"/>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96"/>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0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Video</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$16,710</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$16,110</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600</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High-speed Internet</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10,049</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9,274</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775</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880"/>
              <w:spacing w:after="0"/>
              <w:rPr>
                <w:sz w:val="20"/>
                <w:szCs w:val="20"/>
                <w:color w:val="auto"/>
              </w:rPr>
            </w:pPr>
            <w:r>
              <w:rPr>
                <w:rFonts w:ascii="Arial" w:cs="Arial" w:eastAsia="Arial" w:hAnsi="Arial"/>
                <w:sz w:val="18"/>
                <w:szCs w:val="18"/>
                <w:color w:val="auto"/>
              </w:rPr>
              <w:t>Voice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2,667</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2,709</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(42)</w:t>
            </w:r>
          </w:p>
        </w:tc>
        <w:tc>
          <w:tcPr>
            <w:tcW w:w="56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Business services</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4,070</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3,490</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580</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w w:val="91"/>
              </w:rPr>
              <w:t>16.6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1,790</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1,664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1,919</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color w:val="auto"/>
              </w:rPr>
              <w:t>1,685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234</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1"/>
              </w:rPr>
              <w:t>13.8</w:t>
            </w:r>
          </w:p>
        </w:tc>
        <w:tc>
          <w:tcPr>
            <w:tcW w:w="0" w:type="dxa"/>
            <w:vAlign w:val="bottom"/>
          </w:tcPr>
          <w:p>
            <w:pPr>
              <w:spacing w:after="0"/>
              <w:rPr>
                <w:sz w:val="1"/>
                <w:szCs w:val="1"/>
                <w:color w:val="auto"/>
              </w:rPr>
            </w:pPr>
          </w:p>
        </w:tc>
      </w:tr>
      <w:tr>
        <w:trPr>
          <w:trHeight w:val="210"/>
        </w:trPr>
        <w:tc>
          <w:tcPr>
            <w:tcW w:w="49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b w:val="1"/>
                <w:bCs w:val="1"/>
                <w:color w:val="auto"/>
              </w:rPr>
              <w:t>37,205</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b w:val="1"/>
                <w:bCs w:val="1"/>
                <w:color w:val="auto"/>
              </w:rPr>
              <w:t>34,932</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b w:val="1"/>
                <w:bCs w:val="1"/>
                <w:color w:val="auto"/>
                <w:w w:val="84"/>
              </w:rPr>
              <w:t>2,273</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Programming</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8,659</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7,917</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742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Technical and product support</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4,709</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4,437</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272</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Customer service</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1,872</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1,770</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102</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Franchise and other regulatory fees</w:t>
            </w:r>
          </w:p>
        </w:tc>
        <w:tc>
          <w:tcPr>
            <w:tcW w:w="3820" w:type="dxa"/>
            <w:vAlign w:val="bottom"/>
            <w:gridSpan w:val="4"/>
          </w:tcPr>
          <w:p>
            <w:pPr>
              <w:jc w:val="right"/>
              <w:ind w:right="237"/>
              <w:spacing w:after="0"/>
              <w:rPr>
                <w:sz w:val="20"/>
                <w:szCs w:val="20"/>
                <w:color w:val="auto"/>
              </w:rPr>
            </w:pPr>
            <w:r>
              <w:rPr>
                <w:rFonts w:ascii="Arial" w:cs="Arial" w:eastAsia="Arial" w:hAnsi="Arial"/>
                <w:sz w:val="18"/>
                <w:szCs w:val="18"/>
                <w:color w:val="auto"/>
              </w:rPr>
              <w:t>1,106</w:t>
            </w:r>
          </w:p>
        </w:tc>
        <w:tc>
          <w:tcPr>
            <w:tcW w:w="1100" w:type="dxa"/>
            <w:vAlign w:val="bottom"/>
            <w:gridSpan w:val="2"/>
          </w:tcPr>
          <w:p>
            <w:pPr>
              <w:jc w:val="right"/>
              <w:ind w:right="253"/>
              <w:spacing w:after="0"/>
              <w:rPr>
                <w:sz w:val="20"/>
                <w:szCs w:val="20"/>
                <w:color w:val="auto"/>
              </w:rPr>
            </w:pPr>
            <w:r>
              <w:rPr>
                <w:rFonts w:ascii="Arial" w:cs="Arial" w:eastAsia="Arial" w:hAnsi="Arial"/>
                <w:sz w:val="18"/>
                <w:szCs w:val="18"/>
                <w:color w:val="auto"/>
              </w:rPr>
              <w:t>1,028</w:t>
            </w:r>
          </w:p>
        </w:tc>
        <w:tc>
          <w:tcPr>
            <w:tcW w:w="280" w:type="dxa"/>
            <w:vAlign w:val="bottom"/>
          </w:tcPr>
          <w:p>
            <w:pPr>
              <w:spacing w:after="0"/>
              <w:rPr>
                <w:sz w:val="18"/>
                <w:szCs w:val="18"/>
                <w:color w:val="auto"/>
              </w:rPr>
            </w:pP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78</w:t>
            </w:r>
          </w:p>
        </w:tc>
        <w:tc>
          <w:tcPr>
            <w:tcW w:w="560" w:type="dxa"/>
            <w:vAlign w:val="bottom"/>
          </w:tcPr>
          <w:p>
            <w:pPr>
              <w:jc w:val="right"/>
              <w:ind w:right="13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 marketing and promotion</w:t>
            </w:r>
          </w:p>
        </w:tc>
        <w:tc>
          <w:tcPr>
            <w:tcW w:w="3820" w:type="dxa"/>
            <w:vAlign w:val="bottom"/>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2,651</w:t>
            </w:r>
          </w:p>
        </w:tc>
        <w:tc>
          <w:tcPr>
            <w:tcW w:w="1100" w:type="dxa"/>
            <w:vAlign w:val="bottom"/>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2,504</w:t>
            </w:r>
          </w:p>
        </w:tc>
        <w:tc>
          <w:tcPr>
            <w:tcW w:w="28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6"/>
              <w:spacing w:after="0"/>
              <w:rPr>
                <w:sz w:val="20"/>
                <w:szCs w:val="20"/>
                <w:color w:val="auto"/>
              </w:rPr>
            </w:pPr>
            <w:r>
              <w:rPr>
                <w:rFonts w:ascii="Arial" w:cs="Arial" w:eastAsia="Arial" w:hAnsi="Arial"/>
                <w:sz w:val="18"/>
                <w:szCs w:val="18"/>
                <w:color w:val="auto"/>
              </w:rPr>
              <w:t>147</w:t>
            </w:r>
          </w:p>
        </w:tc>
        <w:tc>
          <w:tcPr>
            <w:tcW w:w="5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3,285</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color w:val="auto"/>
              </w:rPr>
              <w:t>3,115</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170</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3820" w:type="dxa"/>
            <w:vAlign w:val="bottom"/>
            <w:tcBorders>
              <w:bottom w:val="single" w:sz="8" w:color="auto"/>
            </w:tcBorders>
            <w:gridSpan w:val="4"/>
            <w:shd w:val="clear" w:color="auto" w:fill="E5E5E5"/>
          </w:tcPr>
          <w:p>
            <w:pPr>
              <w:jc w:val="right"/>
              <w:ind w:right="237"/>
              <w:spacing w:after="0"/>
              <w:rPr>
                <w:sz w:val="20"/>
                <w:szCs w:val="20"/>
                <w:color w:val="auto"/>
              </w:rPr>
            </w:pPr>
            <w:r>
              <w:rPr>
                <w:rFonts w:ascii="Arial" w:cs="Arial" w:eastAsia="Arial" w:hAnsi="Arial"/>
                <w:sz w:val="18"/>
                <w:szCs w:val="18"/>
                <w:color w:val="auto"/>
              </w:rPr>
              <w:t>22,282</w:t>
            </w:r>
          </w:p>
        </w:tc>
        <w:tc>
          <w:tcPr>
            <w:tcW w:w="1100" w:type="dxa"/>
            <w:vAlign w:val="bottom"/>
            <w:tcBorders>
              <w:bottom w:val="single" w:sz="8" w:color="auto"/>
            </w:tcBorders>
            <w:gridSpan w:val="2"/>
            <w:shd w:val="clear" w:color="auto" w:fill="E5E5E5"/>
          </w:tcPr>
          <w:p>
            <w:pPr>
              <w:jc w:val="right"/>
              <w:ind w:right="253"/>
              <w:spacing w:after="0"/>
              <w:rPr>
                <w:sz w:val="20"/>
                <w:szCs w:val="20"/>
                <w:color w:val="auto"/>
              </w:rPr>
            </w:pPr>
            <w:r>
              <w:rPr>
                <w:rFonts w:ascii="Arial" w:cs="Arial" w:eastAsia="Arial" w:hAnsi="Arial"/>
                <w:sz w:val="18"/>
                <w:szCs w:val="18"/>
                <w:color w:val="auto"/>
              </w:rPr>
              <w:t>20,771</w:t>
            </w:r>
          </w:p>
        </w:tc>
        <w:tc>
          <w:tcPr>
            <w:tcW w:w="28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6"/>
              <w:spacing w:after="0"/>
              <w:rPr>
                <w:sz w:val="20"/>
                <w:szCs w:val="20"/>
                <w:color w:val="auto"/>
              </w:rPr>
            </w:pPr>
            <w:r>
              <w:rPr>
                <w:rFonts w:ascii="Arial" w:cs="Arial" w:eastAsia="Arial" w:hAnsi="Arial"/>
                <w:sz w:val="18"/>
                <w:szCs w:val="18"/>
                <w:color w:val="auto"/>
                <w:w w:val="84"/>
              </w:rPr>
              <w:t>1,511</w:t>
            </w:r>
          </w:p>
        </w:tc>
        <w:tc>
          <w:tcPr>
            <w:tcW w:w="5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8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b w:val="1"/>
                <w:bCs w:val="1"/>
                <w:color w:val="auto"/>
              </w:rPr>
              <w:t>$14,923</w:t>
            </w:r>
          </w:p>
        </w:tc>
        <w:tc>
          <w:tcPr>
            <w:tcW w:w="110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8"/>
                <w:szCs w:val="18"/>
                <w:b w:val="1"/>
                <w:bCs w:val="1"/>
                <w:color w:val="auto"/>
              </w:rPr>
              <w:t>$14,161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762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363"/>
        </w:trPr>
        <w:tc>
          <w:tcPr>
            <w:tcW w:w="4900" w:type="dxa"/>
            <w:vAlign w:val="bottom"/>
          </w:tcPr>
          <w:p>
            <w:pPr>
              <w:spacing w:after="0"/>
              <w:rPr>
                <w:sz w:val="24"/>
                <w:szCs w:val="24"/>
                <w:color w:val="auto"/>
              </w:rPr>
            </w:pPr>
          </w:p>
        </w:tc>
        <w:tc>
          <w:tcPr>
            <w:tcW w:w="2500" w:type="dxa"/>
            <w:vAlign w:val="bottom"/>
          </w:tcPr>
          <w:p>
            <w:pPr>
              <w:jc w:val="right"/>
              <w:ind w:right="14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2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4"/>
                <w:szCs w:val="14"/>
                <w:color w:val="auto"/>
              </w:rPr>
              <w:t>Total Customers</w:t>
            </w:r>
          </w:p>
        </w:tc>
        <w:tc>
          <w:tcPr>
            <w:tcW w:w="7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4"/>
                <w:szCs w:val="14"/>
                <w:color w:val="auto"/>
                <w:w w:val="96"/>
              </w:rPr>
              <w:t>Net Additional Customers</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40" w:type="dxa"/>
            <w:vAlign w:val="bottom"/>
            <w:gridSpan w:val="2"/>
          </w:tcPr>
          <w:p>
            <w:pPr>
              <w:jc w:val="right"/>
              <w:ind w:right="297"/>
              <w:spacing w:after="0" w:line="131" w:lineRule="exact"/>
              <w:rPr>
                <w:sz w:val="20"/>
                <w:szCs w:val="20"/>
                <w:color w:val="auto"/>
              </w:rPr>
            </w:pPr>
            <w:r>
              <w:rPr>
                <w:rFonts w:ascii="Arial" w:cs="Arial" w:eastAsia="Arial" w:hAnsi="Arial"/>
                <w:sz w:val="14"/>
                <w:szCs w:val="14"/>
                <w:color w:val="auto"/>
              </w:rPr>
              <w:t>Three Months Ended</w:t>
            </w:r>
          </w:p>
        </w:tc>
        <w:tc>
          <w:tcPr>
            <w:tcW w:w="1560" w:type="dxa"/>
            <w:vAlign w:val="bottom"/>
            <w:gridSpan w:val="2"/>
          </w:tcPr>
          <w:p>
            <w:pPr>
              <w:jc w:val="right"/>
              <w:ind w:right="175"/>
              <w:spacing w:after="0" w:line="131"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820" w:type="dxa"/>
            <w:vAlign w:val="bottom"/>
            <w:tcBorders>
              <w:bottom w:val="single" w:sz="8" w:color="auto"/>
            </w:tcBorders>
            <w:gridSpan w:val="2"/>
          </w:tcPr>
          <w:p>
            <w:pPr>
              <w:jc w:val="right"/>
              <w:ind w:right="455"/>
              <w:spacing w:after="0" w:line="159" w:lineRule="exact"/>
              <w:rPr>
                <w:sz w:val="20"/>
                <w:szCs w:val="20"/>
                <w:color w:val="auto"/>
              </w:rPr>
            </w:pPr>
            <w:r>
              <w:rPr>
                <w:rFonts w:ascii="Arial" w:cs="Arial" w:eastAsia="Arial" w:hAnsi="Arial"/>
                <w:sz w:val="14"/>
                <w:szCs w:val="14"/>
                <w:color w:val="auto"/>
              </w:rPr>
              <w:t>September 30</w:t>
            </w:r>
          </w:p>
        </w:tc>
        <w:tc>
          <w:tcPr>
            <w:tcW w:w="174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rPr>
              <w:t>September 30</w:t>
            </w:r>
          </w:p>
        </w:tc>
        <w:tc>
          <w:tcPr>
            <w:tcW w:w="1560" w:type="dxa"/>
            <w:vAlign w:val="bottom"/>
            <w:tcBorders>
              <w:bottom w:val="single" w:sz="8" w:color="auto"/>
            </w:tcBorders>
            <w:gridSpan w:val="2"/>
          </w:tcPr>
          <w:p>
            <w:pPr>
              <w:jc w:val="right"/>
              <w:ind w:right="35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rPr>
              <w:t>2015</w:t>
            </w:r>
          </w:p>
        </w:tc>
        <w:tc>
          <w:tcPr>
            <w:tcW w:w="78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2016</w:t>
            </w:r>
          </w:p>
        </w:tc>
        <w:tc>
          <w:tcPr>
            <w:tcW w:w="96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2015</w:t>
            </w:r>
          </w:p>
        </w:tc>
        <w:tc>
          <w:tcPr>
            <w:tcW w:w="82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color w:val="auto"/>
              </w:rPr>
              <w:t>2016</w:t>
            </w: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Total customer relationships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28,301</w:t>
            </w:r>
          </w:p>
        </w:tc>
        <w:tc>
          <w:tcPr>
            <w:tcW w:w="9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27,421</w:t>
            </w:r>
          </w:p>
        </w:tc>
        <w:tc>
          <w:tcPr>
            <w:tcW w:w="7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216</w:t>
            </w:r>
          </w:p>
        </w:tc>
        <w:tc>
          <w:tcPr>
            <w:tcW w:w="9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156</w:t>
            </w:r>
          </w:p>
        </w:tc>
        <w:tc>
          <w:tcPr>
            <w:tcW w:w="8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600</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6300" w:type="dxa"/>
            <w:vAlign w:val="bottom"/>
          </w:tcPr>
          <w:p>
            <w:pPr>
              <w:ind w:left="440"/>
              <w:spacing w:after="0"/>
              <w:rPr>
                <w:sz w:val="20"/>
                <w:szCs w:val="20"/>
                <w:color w:val="auto"/>
              </w:rPr>
            </w:pPr>
            <w:r>
              <w:rPr>
                <w:rFonts w:ascii="Arial" w:cs="Arial" w:eastAsia="Arial" w:hAnsi="Arial"/>
                <w:sz w:val="18"/>
                <w:szCs w:val="18"/>
                <w:color w:val="auto"/>
              </w:rPr>
              <w:t>Single product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8,488</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8,367</w:t>
            </w:r>
          </w:p>
        </w:tc>
        <w:tc>
          <w:tcPr>
            <w:tcW w:w="780" w:type="dxa"/>
            <w:vAlign w:val="bottom"/>
          </w:tcPr>
          <w:p>
            <w:pPr>
              <w:jc w:val="right"/>
              <w:ind w:right="78"/>
              <w:spacing w:after="0"/>
              <w:rPr>
                <w:sz w:val="20"/>
                <w:szCs w:val="20"/>
                <w:color w:val="auto"/>
              </w:rPr>
            </w:pPr>
            <w:r>
              <w:rPr>
                <w:rFonts w:ascii="Arial" w:cs="Arial" w:eastAsia="Arial" w:hAnsi="Arial"/>
                <w:sz w:val="18"/>
                <w:szCs w:val="18"/>
                <w:color w:val="auto"/>
              </w:rPr>
              <w:t>72</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24</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122</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3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Double product customers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9,540</w:t>
            </w:r>
          </w:p>
        </w:tc>
        <w:tc>
          <w:tcPr>
            <w:tcW w:w="9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9,066</w:t>
            </w:r>
          </w:p>
        </w:tc>
        <w:tc>
          <w:tcPr>
            <w:tcW w:w="7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141</w:t>
            </w:r>
          </w:p>
        </w:tc>
        <w:tc>
          <w:tcPr>
            <w:tcW w:w="96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130</w:t>
            </w:r>
          </w:p>
        </w:tc>
        <w:tc>
          <w:tcPr>
            <w:tcW w:w="8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319</w:t>
            </w:r>
          </w:p>
        </w:tc>
        <w:tc>
          <w:tcPr>
            <w:tcW w:w="7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Triple product customers</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10,273</w:t>
            </w: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9,988</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159</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630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920" w:type="dxa"/>
            <w:vAlign w:val="bottom"/>
            <w:shd w:val="clear" w:color="auto" w:fill="E5E5E5"/>
          </w:tcPr>
          <w:p>
            <w:pPr>
              <w:jc w:val="right"/>
              <w:ind w:right="98"/>
              <w:spacing w:after="0"/>
              <w:rPr>
                <w:sz w:val="20"/>
                <w:szCs w:val="20"/>
                <w:color w:val="auto"/>
              </w:rPr>
            </w:pPr>
            <w:r>
              <w:rPr>
                <w:rFonts w:ascii="Arial" w:cs="Arial" w:eastAsia="Arial" w:hAnsi="Arial"/>
                <w:sz w:val="18"/>
                <w:szCs w:val="18"/>
                <w:color w:val="auto"/>
              </w:rPr>
              <w:t>22,428</w:t>
            </w:r>
          </w:p>
        </w:tc>
        <w:tc>
          <w:tcPr>
            <w:tcW w:w="90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22,258</w:t>
            </w:r>
          </w:p>
        </w:tc>
        <w:tc>
          <w:tcPr>
            <w:tcW w:w="78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32</w:t>
            </w:r>
          </w:p>
        </w:tc>
        <w:tc>
          <w:tcPr>
            <w:tcW w:w="9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(48)</w:t>
            </w:r>
          </w:p>
        </w:tc>
        <w:tc>
          <w:tcPr>
            <w:tcW w:w="8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81</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920" w:type="dxa"/>
            <w:vAlign w:val="bottom"/>
          </w:tcPr>
          <w:p>
            <w:pPr>
              <w:jc w:val="right"/>
              <w:ind w:right="98"/>
              <w:spacing w:after="0"/>
              <w:rPr>
                <w:sz w:val="20"/>
                <w:szCs w:val="20"/>
                <w:color w:val="auto"/>
              </w:rPr>
            </w:pPr>
            <w:r>
              <w:rPr>
                <w:rFonts w:ascii="Arial" w:cs="Arial" w:eastAsia="Arial" w:hAnsi="Arial"/>
                <w:sz w:val="18"/>
                <w:szCs w:val="18"/>
                <w:color w:val="auto"/>
              </w:rPr>
              <w:t>24,316</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22,868</w:t>
            </w:r>
          </w:p>
        </w:tc>
        <w:tc>
          <w:tcPr>
            <w:tcW w:w="780" w:type="dxa"/>
            <w:vAlign w:val="bottom"/>
          </w:tcPr>
          <w:p>
            <w:pPr>
              <w:jc w:val="right"/>
              <w:ind w:right="78"/>
              <w:spacing w:after="0"/>
              <w:rPr>
                <w:sz w:val="20"/>
                <w:szCs w:val="20"/>
                <w:color w:val="auto"/>
              </w:rPr>
            </w:pPr>
            <w:r>
              <w:rPr>
                <w:rFonts w:ascii="Arial" w:cs="Arial" w:eastAsia="Arial" w:hAnsi="Arial"/>
                <w:sz w:val="18"/>
                <w:szCs w:val="18"/>
                <w:color w:val="auto"/>
              </w:rPr>
              <w:t>330</w:t>
            </w:r>
          </w:p>
        </w:tc>
        <w:tc>
          <w:tcPr>
            <w:tcW w:w="960" w:type="dxa"/>
            <w:vAlign w:val="bottom"/>
          </w:tcPr>
          <w:p>
            <w:pPr>
              <w:jc w:val="right"/>
              <w:ind w:right="177"/>
              <w:spacing w:after="0"/>
              <w:rPr>
                <w:sz w:val="20"/>
                <w:szCs w:val="20"/>
                <w:color w:val="auto"/>
              </w:rPr>
            </w:pPr>
            <w:r>
              <w:rPr>
                <w:rFonts w:ascii="Arial" w:cs="Arial" w:eastAsia="Arial" w:hAnsi="Arial"/>
                <w:sz w:val="18"/>
                <w:szCs w:val="18"/>
                <w:color w:val="auto"/>
              </w:rPr>
              <w:t>320</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988</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9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11,643</w:t>
            </w:r>
          </w:p>
        </w:tc>
        <w:tc>
          <w:tcPr>
            <w:tcW w:w="90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11,336</w:t>
            </w:r>
          </w:p>
        </w:tc>
        <w:tc>
          <w:tcPr>
            <w:tcW w:w="78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2</w:t>
            </w:r>
          </w:p>
        </w:tc>
        <w:tc>
          <w:tcPr>
            <w:tcW w:w="96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17</w:t>
            </w:r>
          </w:p>
        </w:tc>
        <w:tc>
          <w:tcPr>
            <w:tcW w:w="8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168</w:t>
            </w:r>
          </w:p>
        </w:tc>
        <w:tc>
          <w:tcPr>
            <w:tcW w:w="7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Customer metrics include residential and business customers and are presented based on actual amounts. Minor differences may exist due to rounding. Customer relationships represent the number of residential and business customers that subscribe to at least one of our cable services. Single product, double product and triple product customers represent customers that subscribe to one, two or three of our cable services,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total revenue per customer relationship for the three and nine months ended September 30, 2016 was $148.47 and $147.63,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Average monthly total revenue per customer relationship for the three and nine months ended September 30, 2015 was $143.26 and $142.55, respectively.</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Communications segment operating margin is operating income before depreciation and amortization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Video revenue increased 4.5% and 3.7% for the three and nine months ended September 30, 2016, respectively, compared to the same periods in 2015. The primary contributors to revenue growth were rate adjustments and, to a lesser extent, increases in the number of residential customers subscribing to additional services such as premium channels and advanced services. These contributors accounted for increases in revenue of 4.3% and 3.8% for the three and nine months ended September 30, 2016, respectively. The increase for the nine months ended September 30, 2016 was partially offset by additional revenue in the prior year period associated with a boxing event available on pay-per-view. All of the increase in net additional video customers was attributable to reduced customer churn, which we believe is a result of our continued deployment of our X1 platform as well as improvements we have made more broadly in enhancing the customer experience. We have in the past, and may in the future, experience declines in the number of residential video customers due to competitive pressures and the impact of rate adjustments.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High-speed Internet revenue increased 8.8% and 8.4% for the three and nine months ended September 30, 2016, respectively, compared to the same periods in 2015. Increases in the number of residential customers receiving our high-speed Internet service accounted for increases in revenue of 6.1% and 6.0% for the three and nine months ended September 30, 2016, respectively. The remaining increases in revenue for the three and nine months ended September 30, 2016 were primarily due to increases in the number of customers receiving higher levels of service and rate adjustments. Our customer base continues to grow as consumers continue to choose our high-speed Internet service and seek higher-speed offerings.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Voice revenue decreased 2.4% and 1.5% for the three and nine months ended September 30, 2016, respectively, compared to the same periods in 2015. While the number of residential customers receiving voice services through our discounted bundled service offerings increased for the three and nine months ended September 30, 2016, revenue was negatively impacted by the allocation of voice revenue for our customers who receive bundled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services compared to the same periods in 2015. The amount allocated to voice revenue in the rate charged for bundled services decreased for the three and nine months ended September 30, 2016 because video and high-speed Internet rates increased while voice rates remained relatively flat.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Business services revenue increased 15.5% and 16.6% for the three and nine months ended September 30, 2016, respectively, compared to the same periods in 2015. The increases were primarily due to increases in the number of small business customers, as well as continued growth in our medium-sized business services, including Ethernet network and advanced voice services. We believe the increases in the number of business customers are primarily the result of our efforts to gain market share from competitors by offering competitive services and pricing.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Advertising revenue increased 7.7% and 7.6% for the three and nine months ended September 30, 2016, respectively, compared to the same periods in 2015 primarily due to increases in political advertising revenue. Excluding political advertising revenue, advertising revenue decreased slightly for the three months ended September 30, 2016 and increased slightly for the nine months ended September 30, 2016 compared to the same periods in 2015.</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both the three and nine months ended September 30, 2016, 5% of our Cable Communications segment advertising revenue was generated from our NBCUniversal segments. For the three and nine months ended September 30, 2015, 8% and 6%,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Other revenue increased 13.0% and 13.8% for the three and nine months ended September 30, 2016, respectively, compared to the same periods in 2015 primarily due to increases in cable franchise and other regulatory fees and increases in revenue from our home security and automation services.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Programming expenses increased for the three and nine months ended September 30, 2016 compared to the same periods in 2015 primarily due to increases in programming license fees, including contract renewals, retransmission consent fees, sports programming costs and fees to secure rights for additional programming for our customers across an increasing number of platforms. The increase in programming expenses for the nine months ended September 30, 2016 was partially offset by fees in the prior year period associated with a boxing event available on pay-per-view.</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Technical and product support expenses increased for the three and nine months ended September 30, 2016 compared to the same periods in 2015 primarily due to expenses related to the development, delivery and support of our enhanced devices and services, including our X1 platform, cloud DVR technology and wireless gateways, and continued growth in business services and home security and automation services. The increases were also due to expenses related to investments to improve the customer experience.</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Customer service expenses increased for the three and nine months ended September 30, 2016 compared to the same periods in 2015 primarily due to increased support for improving the customer experience and increases in total labor costs, which reflect sales and support activities associated with the continued deployment of our enhanced devices and services, including our X1 platform, wireless gateways, and home security and automation services, and continued growth in business services.</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Franchise and other regulatory fees increased for the three and nine months ended September 30, 2016 compared to the same periods in 2015 primarily due to increases in the revenue to which the fees apply.</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marketing and promotion expenses increased for the three and nine months ended September 30, 2016 compared to the same periods in 2015 primarily due to increases in spending associated with attracting new residential and business services customers and encouraging existing customers to add additional or higher-tier services.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costs and expenses increased for the three and nine months ended September 30, 2016 compared to the same periods in 2015 primarily due to increases in costs to support our advertising sales business, as well as increases in other administrative costs.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4"/>
                <w:szCs w:val="14"/>
                <w:color w:val="auto"/>
                <w:w w:val="87"/>
              </w:rPr>
              <w:t>Three Months Ended September 30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color w:val="auto"/>
              </w:rPr>
              <w:t>Increase/(Decrease)</w:t>
            </w:r>
          </w:p>
        </w:tc>
      </w:tr>
      <w:tr>
        <w:trPr>
          <w:trHeight w:val="142"/>
        </w:trPr>
        <w:tc>
          <w:tcPr>
            <w:tcW w:w="478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2"/>
          </w:tcPr>
          <w:p>
            <w:pPr>
              <w:ind w:left="46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82"/>
              <w:spacing w:after="0" w:line="142" w:lineRule="exact"/>
              <w:rPr>
                <w:sz w:val="20"/>
                <w:szCs w:val="20"/>
                <w:color w:val="auto"/>
              </w:rPr>
            </w:pPr>
            <w:r>
              <w:rPr>
                <w:rFonts w:ascii="Arial" w:cs="Arial" w:eastAsia="Arial" w:hAnsi="Arial"/>
                <w:sz w:val="14"/>
                <w:szCs w:val="14"/>
                <w:color w:val="auto"/>
                <w:w w:val="96"/>
              </w:rPr>
              <w:t>%</w:t>
            </w:r>
          </w:p>
        </w:tc>
      </w:tr>
      <w:tr>
        <w:trPr>
          <w:trHeight w:val="115"/>
        </w:trPr>
        <w:tc>
          <w:tcPr>
            <w:tcW w:w="4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jc w:val="right"/>
              <w:ind w:right="98"/>
              <w:spacing w:after="0" w:line="115" w:lineRule="exact"/>
              <w:rPr>
                <w:sz w:val="20"/>
                <w:szCs w:val="20"/>
                <w:color w:val="auto"/>
              </w:rPr>
            </w:pPr>
            <w:r>
              <w:rPr>
                <w:rFonts w:ascii="Arial" w:cs="Arial" w:eastAsia="Arial" w:hAnsi="Arial"/>
                <w:sz w:val="12"/>
                <w:szCs w:val="12"/>
                <w:color w:val="auto"/>
                <w:w w:val="98"/>
              </w:rPr>
              <w:t>Pro Forma</w:t>
            </w:r>
          </w:p>
        </w:tc>
        <w:tc>
          <w:tcPr>
            <w:tcW w:w="300" w:type="dxa"/>
            <w:vAlign w:val="bottom"/>
          </w:tcPr>
          <w:p>
            <w:pPr>
              <w:spacing w:after="0"/>
              <w:rPr>
                <w:sz w:val="10"/>
                <w:szCs w:val="10"/>
                <w:color w:val="auto"/>
              </w:rPr>
            </w:pPr>
          </w:p>
        </w:tc>
        <w:tc>
          <w:tcPr>
            <w:tcW w:w="740" w:type="dxa"/>
            <w:vAlign w:val="bottom"/>
            <w:gridSpan w:val="3"/>
          </w:tcPr>
          <w:p>
            <w:pPr>
              <w:ind w:left="60"/>
              <w:spacing w:after="0" w:line="115" w:lineRule="exact"/>
              <w:rPr>
                <w:sz w:val="20"/>
                <w:szCs w:val="20"/>
                <w:color w:val="auto"/>
              </w:rPr>
            </w:pPr>
            <w:r>
              <w:rPr>
                <w:rFonts w:ascii="Arial" w:cs="Arial" w:eastAsia="Arial" w:hAnsi="Arial"/>
                <w:sz w:val="12"/>
                <w:szCs w:val="12"/>
                <w:color w:val="auto"/>
              </w:rPr>
              <w:t>Pro Forma</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82"/>
              <w:spacing w:after="0" w:line="115" w:lineRule="exact"/>
              <w:rPr>
                <w:sz w:val="20"/>
                <w:szCs w:val="20"/>
                <w:color w:val="auto"/>
              </w:rPr>
            </w:pPr>
            <w:r>
              <w:rPr>
                <w:rFonts w:ascii="Arial" w:cs="Arial" w:eastAsia="Arial" w:hAnsi="Arial"/>
                <w:sz w:val="12"/>
                <w:szCs w:val="12"/>
                <w:color w:val="auto"/>
                <w:w w:val="98"/>
              </w:rPr>
              <w:t>Pro Forma</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(in millions)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Actual</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Actual</w:t>
            </w:r>
          </w:p>
        </w:tc>
        <w:tc>
          <w:tcPr>
            <w:tcW w:w="1260" w:type="dxa"/>
            <w:vAlign w:val="bottom"/>
            <w:gridSpan w:val="2"/>
          </w:tcPr>
          <w:p>
            <w:pPr>
              <w:ind w:left="400"/>
              <w:spacing w:after="0" w:line="176" w:lineRule="exact"/>
              <w:rPr>
                <w:sz w:val="20"/>
                <w:szCs w:val="20"/>
                <w:color w:val="auto"/>
              </w:rPr>
            </w:pPr>
            <w:r>
              <w:rPr>
                <w:rFonts w:ascii="Arial" w:cs="Arial" w:eastAsia="Arial" w:hAnsi="Arial"/>
                <w:sz w:val="13"/>
                <w:szCs w:val="13"/>
                <w:color w:val="auto"/>
                <w:w w:val="95"/>
              </w:rPr>
              <w:t>Adjustments</w:t>
            </w:r>
            <w:r>
              <w:rPr>
                <w:rFonts w:ascii="Arial" w:cs="Arial" w:eastAsia="Arial" w:hAnsi="Arial"/>
                <w:sz w:val="20"/>
                <w:szCs w:val="20"/>
                <w:color w:val="auto"/>
                <w:w w:val="95"/>
                <w:vertAlign w:val="superscript"/>
              </w:rPr>
              <w:t>(a)</w:t>
            </w:r>
          </w:p>
        </w:tc>
        <w:tc>
          <w:tcPr>
            <w:tcW w:w="300" w:type="dxa"/>
            <w:vAlign w:val="bottom"/>
          </w:tcPr>
          <w:p>
            <w:pPr>
              <w:spacing w:after="0"/>
              <w:rPr>
                <w:sz w:val="15"/>
                <w:szCs w:val="15"/>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color w:val="auto"/>
              </w:rPr>
              <w:t>Combined</w:t>
            </w:r>
          </w:p>
        </w:tc>
        <w:tc>
          <w:tcPr>
            <w:tcW w:w="120" w:type="dxa"/>
            <w:vAlign w:val="bottom"/>
          </w:tcPr>
          <w:p>
            <w:pPr>
              <w:spacing w:after="0"/>
              <w:rPr>
                <w:sz w:val="15"/>
                <w:szCs w:val="15"/>
                <w:color w:val="auto"/>
              </w:rPr>
            </w:pPr>
          </w:p>
        </w:tc>
        <w:tc>
          <w:tcPr>
            <w:tcW w:w="900" w:type="dxa"/>
            <w:vAlign w:val="bottom"/>
          </w:tcPr>
          <w:p>
            <w:pPr>
              <w:jc w:val="right"/>
              <w:ind w:right="241"/>
              <w:spacing w:after="0"/>
              <w:rPr>
                <w:sz w:val="20"/>
                <w:szCs w:val="20"/>
                <w:color w:val="auto"/>
              </w:rPr>
            </w:pPr>
            <w:r>
              <w:rPr>
                <w:rFonts w:ascii="Arial" w:cs="Arial" w:eastAsia="Arial" w:hAnsi="Arial"/>
                <w:sz w:val="14"/>
                <w:szCs w:val="14"/>
                <w:color w:val="auto"/>
              </w:rPr>
              <w:t>Actual</w:t>
            </w:r>
          </w:p>
        </w:tc>
        <w:tc>
          <w:tcPr>
            <w:tcW w:w="880" w:type="dxa"/>
            <w:vAlign w:val="bottom"/>
          </w:tcPr>
          <w:p>
            <w:pPr>
              <w:jc w:val="center"/>
              <w:ind w:right="82"/>
              <w:spacing w:after="0"/>
              <w:rPr>
                <w:sz w:val="20"/>
                <w:szCs w:val="20"/>
                <w:color w:val="auto"/>
              </w:rPr>
            </w:pPr>
            <w:r>
              <w:rPr>
                <w:rFonts w:ascii="Arial" w:cs="Arial" w:eastAsia="Arial" w:hAnsi="Arial"/>
                <w:sz w:val="14"/>
                <w:szCs w:val="14"/>
                <w:color w:val="auto"/>
                <w:w w:val="87"/>
              </w:rPr>
              <w:t>Combined</w:t>
            </w:r>
          </w:p>
        </w:tc>
      </w:tr>
      <w:tr>
        <w:trPr>
          <w:trHeight w:val="210"/>
        </w:trPr>
        <w:tc>
          <w:tcPr>
            <w:tcW w:w="4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E5E5E5"/>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E5E5E5"/>
            </w:tcBorders>
            <w:shd w:val="clear" w:color="auto" w:fill="E5E5E5"/>
          </w:tcPr>
          <w:p>
            <w:pPr>
              <w:spacing w:after="0"/>
              <w:rPr>
                <w:sz w:val="18"/>
                <w:szCs w:val="18"/>
                <w:color w:val="auto"/>
              </w:rPr>
            </w:pPr>
          </w:p>
        </w:tc>
        <w:tc>
          <w:tcPr>
            <w:tcW w:w="160" w:type="dxa"/>
            <w:vAlign w:val="bottom"/>
            <w:tcBorders>
              <w:top w:val="single" w:sz="8" w:color="E5E5E5"/>
            </w:tcBorders>
            <w:shd w:val="clear" w:color="auto" w:fill="E5E5E5"/>
          </w:tcPr>
          <w:p>
            <w:pPr>
              <w:spacing w:after="0"/>
              <w:rPr>
                <w:sz w:val="18"/>
                <w:szCs w:val="18"/>
                <w:color w:val="auto"/>
              </w:rPr>
            </w:pPr>
          </w:p>
        </w:tc>
        <w:tc>
          <w:tcPr>
            <w:tcW w:w="12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$2,412</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w w:val="93"/>
              </w:rPr>
              <w:t>2,412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22.0%</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86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3,087</w:t>
            </w: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1,971</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6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w w:val="93"/>
              </w:rPr>
              <w:t>1,971</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81"/>
              <w:spacing w:after="0"/>
              <w:rPr>
                <w:sz w:val="20"/>
                <w:szCs w:val="20"/>
                <w:color w:val="auto"/>
              </w:rPr>
            </w:pPr>
            <w:r>
              <w:rPr>
                <w:rFonts w:ascii="Arial" w:cs="Arial" w:eastAsia="Arial" w:hAnsi="Arial"/>
                <w:sz w:val="18"/>
                <w:szCs w:val="18"/>
                <w:color w:val="auto"/>
              </w:rPr>
              <w:t>56.6</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1,946</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w w:val="93"/>
              </w:rPr>
              <w:t>1,946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(7.9)</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86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1,440</w:t>
            </w: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896</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60" w:type="dxa"/>
            <w:vAlign w:val="bottom"/>
            <w:gridSpan w:val="2"/>
            <w:shd w:val="clear" w:color="auto" w:fill="E5E5E5"/>
          </w:tcPr>
          <w:p>
            <w:pPr>
              <w:jc w:val="right"/>
              <w:ind w:right="32"/>
              <w:spacing w:after="0"/>
              <w:rPr>
                <w:sz w:val="20"/>
                <w:szCs w:val="20"/>
                <w:color w:val="auto"/>
              </w:rPr>
            </w:pPr>
            <w:r>
              <w:rPr>
                <w:rFonts w:ascii="Arial" w:cs="Arial" w:eastAsia="Arial" w:hAnsi="Arial"/>
                <w:sz w:val="18"/>
                <w:szCs w:val="18"/>
                <w:color w:val="auto"/>
                <w:w w:val="93"/>
              </w:rPr>
              <w:t>1,239</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81"/>
              <w:spacing w:after="0"/>
              <w:rPr>
                <w:sz w:val="20"/>
                <w:szCs w:val="20"/>
                <w:color w:val="auto"/>
              </w:rPr>
            </w:pPr>
            <w:r>
              <w:rPr>
                <w:rFonts w:ascii="Arial" w:cs="Arial" w:eastAsia="Arial" w:hAnsi="Arial"/>
                <w:sz w:val="18"/>
                <w:szCs w:val="18"/>
                <w:color w:val="auto"/>
              </w:rPr>
              <w:t>60.6</w:t>
            </w:r>
          </w:p>
        </w:tc>
        <w:tc>
          <w:tcPr>
            <w:tcW w:w="88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16.1%</w:t>
            </w:r>
          </w:p>
        </w:tc>
      </w:tr>
      <w:tr>
        <w:trPr>
          <w:trHeight w:val="216"/>
        </w:trPr>
        <w:tc>
          <w:tcPr>
            <w:tcW w:w="4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8"/>
                <w:szCs w:val="18"/>
                <w:color w:val="auto"/>
              </w:rPr>
              <w:t>(74)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(73)</w:t>
            </w:r>
          </w:p>
        </w:tc>
        <w:tc>
          <w:tcPr>
            <w:tcW w:w="220" w:type="dxa"/>
            <w:vAlign w:val="bottom"/>
            <w:tcBorders>
              <w:bottom w:val="single" w:sz="8" w:color="E5E5E5"/>
            </w:tcBorders>
          </w:tcPr>
          <w:p>
            <w:pPr>
              <w:spacing w:after="0"/>
              <w:rPr>
                <w:sz w:val="18"/>
                <w:szCs w:val="18"/>
                <w:color w:val="auto"/>
              </w:rPr>
            </w:pPr>
          </w:p>
        </w:tc>
        <w:tc>
          <w:tcPr>
            <w:tcW w:w="160" w:type="dxa"/>
            <w:vAlign w:val="bottom"/>
            <w:tcBorders>
              <w:bottom w:val="single" w:sz="8" w:color="E5E5E5"/>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NM</w:t>
            </w:r>
          </w:p>
        </w:tc>
        <w:tc>
          <w:tcPr>
            <w:tcW w:w="880" w:type="dxa"/>
            <w:vAlign w:val="bottom"/>
            <w:tcBorders>
              <w:bottom w:val="single" w:sz="8" w:color="auto"/>
            </w:tcBorders>
          </w:tcPr>
          <w:p>
            <w:pPr>
              <w:spacing w:after="0"/>
              <w:rPr>
                <w:sz w:val="18"/>
                <w:szCs w:val="18"/>
                <w:color w:val="auto"/>
              </w:rPr>
            </w:pPr>
          </w:p>
        </w:tc>
      </w:tr>
      <w:tr>
        <w:trPr>
          <w:trHeight w:val="217"/>
        </w:trPr>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86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$9,178</w:t>
            </w:r>
          </w:p>
        </w:tc>
        <w:tc>
          <w:tcPr>
            <w:tcW w:w="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$7,151</w:t>
            </w:r>
          </w:p>
        </w:tc>
        <w:tc>
          <w:tcPr>
            <w:tcW w:w="50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344</w:t>
            </w:r>
          </w:p>
        </w:tc>
        <w:tc>
          <w:tcPr>
            <w:tcW w:w="30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w w:val="93"/>
              </w:rPr>
              <w:t>7,495</w:t>
            </w:r>
          </w:p>
        </w:tc>
        <w:tc>
          <w:tcPr>
            <w:tcW w:w="22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E5E5E5"/>
            </w:tcBorders>
            <w:shd w:val="clear" w:color="auto" w:fill="E5E5E5"/>
          </w:tcPr>
          <w:p>
            <w:pPr>
              <w:spacing w:after="0"/>
              <w:rPr>
                <w:sz w:val="18"/>
                <w:szCs w:val="18"/>
                <w:color w:val="auto"/>
              </w:rPr>
            </w:pPr>
          </w:p>
        </w:tc>
        <w:tc>
          <w:tcPr>
            <w:tcW w:w="1020" w:type="dxa"/>
            <w:vAlign w:val="bottom"/>
            <w:tcBorders>
              <w:bottom w:val="single" w:sz="8" w:color="auto"/>
            </w:tcBorders>
            <w:gridSpan w:val="2"/>
            <w:shd w:val="clear" w:color="auto" w:fill="E5E5E5"/>
          </w:tcPr>
          <w:p>
            <w:pPr>
              <w:jc w:val="right"/>
              <w:ind w:right="21"/>
              <w:spacing w:after="0"/>
              <w:rPr>
                <w:sz w:val="20"/>
                <w:szCs w:val="20"/>
                <w:color w:val="auto"/>
              </w:rPr>
            </w:pPr>
            <w:r>
              <w:rPr>
                <w:rFonts w:ascii="Arial" w:cs="Arial" w:eastAsia="Arial" w:hAnsi="Arial"/>
                <w:sz w:val="18"/>
                <w:szCs w:val="18"/>
                <w:b w:val="1"/>
                <w:bCs w:val="1"/>
                <w:color w:val="auto"/>
              </w:rPr>
              <w:t>28.3%</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22.5%</w:t>
            </w: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8"/>
              </w:rPr>
              <w:t>Operating Income Before Depreciation and Amortization</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  893</w:t>
            </w: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  835</w:t>
            </w: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79"/>
              </w:rPr>
              <w:t>835</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41"/>
              <w:spacing w:after="0"/>
              <w:rPr>
                <w:sz w:val="20"/>
                <w:szCs w:val="20"/>
                <w:color w:val="auto"/>
              </w:rPr>
            </w:pPr>
            <w:r>
              <w:rPr>
                <w:rFonts w:ascii="Arial" w:cs="Arial" w:eastAsia="Arial" w:hAnsi="Arial"/>
                <w:sz w:val="18"/>
                <w:szCs w:val="18"/>
                <w:color w:val="auto"/>
              </w:rPr>
              <w:t>7.0%</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w w:val="79"/>
              </w:rPr>
              <w:t>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151.5</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86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353</w:t>
            </w:r>
          </w:p>
        </w:tc>
        <w:tc>
          <w:tcPr>
            <w:tcW w:w="2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376</w:t>
            </w:r>
          </w:p>
        </w:tc>
        <w:tc>
          <w:tcPr>
            <w:tcW w:w="5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79"/>
              </w:rPr>
              <w:t>376</w:t>
            </w:r>
          </w:p>
        </w:tc>
        <w:tc>
          <w:tcPr>
            <w:tcW w:w="22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21"/>
              <w:spacing w:after="0"/>
              <w:rPr>
                <w:sz w:val="20"/>
                <w:szCs w:val="20"/>
                <w:color w:val="auto"/>
              </w:rPr>
            </w:pPr>
            <w:r>
              <w:rPr>
                <w:rFonts w:ascii="Arial" w:cs="Arial" w:eastAsia="Arial" w:hAnsi="Arial"/>
                <w:sz w:val="18"/>
                <w:szCs w:val="18"/>
                <w:color w:val="auto"/>
              </w:rPr>
              <w:t>(6.1)</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w w:val="79"/>
              </w:rPr>
              <w:t>603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62.4</w:t>
            </w: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17.1%</w:t>
            </w:r>
          </w:p>
        </w:tc>
      </w:tr>
      <w:tr>
        <w:trPr>
          <w:trHeight w:val="216"/>
        </w:trPr>
        <w:tc>
          <w:tcPr>
            <w:tcW w:w="4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8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(184)</w:t>
            </w:r>
          </w:p>
        </w:tc>
        <w:tc>
          <w:tcPr>
            <w:tcW w:w="2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E5E5E5"/>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gridSpan w:val="3"/>
            <w:shd w:val="clear" w:color="auto" w:fill="E5E5E5"/>
          </w:tcPr>
          <w:p>
            <w:pPr>
              <w:jc w:val="right"/>
              <w:ind w:right="374"/>
              <w:spacing w:after="0"/>
              <w:rPr>
                <w:sz w:val="20"/>
                <w:szCs w:val="20"/>
                <w:color w:val="auto"/>
              </w:rPr>
            </w:pPr>
            <w:r>
              <w:rPr>
                <w:rFonts w:ascii="Arial" w:cs="Arial" w:eastAsia="Arial" w:hAnsi="Arial"/>
                <w:sz w:val="18"/>
                <w:szCs w:val="18"/>
                <w:color w:val="auto"/>
              </w:rPr>
              <w:t>(162)</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E5E5E5"/>
            </w:tcBorders>
            <w:shd w:val="clear" w:color="auto" w:fill="E5E5E5"/>
          </w:tcPr>
          <w:p>
            <w:pPr>
              <w:spacing w:after="0"/>
              <w:rPr>
                <w:sz w:val="18"/>
                <w:szCs w:val="18"/>
                <w:color w:val="auto"/>
              </w:rPr>
            </w:pPr>
          </w:p>
        </w:tc>
        <w:tc>
          <w:tcPr>
            <w:tcW w:w="16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NM</w:t>
            </w:r>
          </w:p>
        </w:tc>
        <w:tc>
          <w:tcPr>
            <w:tcW w:w="880" w:type="dxa"/>
            <w:vAlign w:val="bottom"/>
            <w:tcBorders>
              <w:bottom w:val="single" w:sz="8" w:color="auto"/>
            </w:tcBorders>
            <w:shd w:val="clear" w:color="auto" w:fill="E5E5E5"/>
          </w:tcPr>
          <w:p>
            <w:pPr>
              <w:spacing w:after="0"/>
              <w:rPr>
                <w:sz w:val="18"/>
                <w:szCs w:val="18"/>
                <w:color w:val="auto"/>
              </w:rPr>
            </w:pPr>
          </w:p>
        </w:tc>
      </w:tr>
      <w:tr>
        <w:trPr>
          <w:trHeight w:val="21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Total operating income before depreciation and amortization</w:t>
            </w:r>
          </w:p>
        </w:tc>
        <w:tc>
          <w:tcPr>
            <w:tcW w:w="8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$2,146</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$1,633</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w w:val="93"/>
              </w:rPr>
              <w:t>1,801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8"/>
                <w:szCs w:val="18"/>
                <w:b w:val="1"/>
                <w:bCs w:val="1"/>
                <w:color w:val="auto"/>
              </w:rPr>
              <w:t>31.5%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r>
      <w:tr>
        <w:trPr>
          <w:trHeight w:val="216"/>
        </w:trPr>
        <w:tc>
          <w:tcPr>
            <w:tcW w:w="4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color w:val="auto"/>
                <w:w w:val="97"/>
              </w:rPr>
              <w:t>Nine Months Ended September 30</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Increase/(Decrease)</w:t>
            </w:r>
          </w:p>
        </w:tc>
      </w:tr>
      <w:tr>
        <w:trPr>
          <w:trHeight w:val="142"/>
        </w:trPr>
        <w:tc>
          <w:tcPr>
            <w:tcW w:w="4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83"/>
              </w:rPr>
              <w:t>2016</w:t>
            </w:r>
          </w:p>
        </w:tc>
        <w:tc>
          <w:tcPr>
            <w:tcW w:w="1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right="82"/>
              <w:spacing w:after="0" w:line="142" w:lineRule="exact"/>
              <w:rPr>
                <w:sz w:val="20"/>
                <w:szCs w:val="20"/>
                <w:color w:val="auto"/>
              </w:rPr>
            </w:pPr>
            <w:r>
              <w:rPr>
                <w:rFonts w:ascii="Arial" w:cs="Arial" w:eastAsia="Arial" w:hAnsi="Arial"/>
                <w:sz w:val="14"/>
                <w:szCs w:val="14"/>
                <w:color w:val="auto"/>
                <w:w w:val="96"/>
              </w:rPr>
              <w:t>%</w:t>
            </w:r>
          </w:p>
        </w:tc>
      </w:tr>
      <w:tr>
        <w:trPr>
          <w:trHeight w:val="115"/>
        </w:trPr>
        <w:tc>
          <w:tcPr>
            <w:tcW w:w="4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jc w:val="right"/>
              <w:ind w:right="72"/>
              <w:spacing w:after="0" w:line="115" w:lineRule="exact"/>
              <w:rPr>
                <w:sz w:val="20"/>
                <w:szCs w:val="20"/>
                <w:color w:val="auto"/>
              </w:rPr>
            </w:pPr>
            <w:r>
              <w:rPr>
                <w:rFonts w:ascii="Arial" w:cs="Arial" w:eastAsia="Arial" w:hAnsi="Arial"/>
                <w:sz w:val="12"/>
                <w:szCs w:val="12"/>
                <w:color w:val="auto"/>
              </w:rPr>
              <w:t>Pro Forma</w:t>
            </w:r>
          </w:p>
        </w:tc>
        <w:tc>
          <w:tcPr>
            <w:tcW w:w="180" w:type="dxa"/>
            <w:vAlign w:val="bottom"/>
          </w:tcPr>
          <w:p>
            <w:pPr>
              <w:spacing w:after="0"/>
              <w:rPr>
                <w:sz w:val="10"/>
                <w:szCs w:val="10"/>
                <w:color w:val="auto"/>
              </w:rPr>
            </w:pPr>
          </w:p>
        </w:tc>
        <w:tc>
          <w:tcPr>
            <w:tcW w:w="780" w:type="dxa"/>
            <w:vAlign w:val="bottom"/>
            <w:gridSpan w:val="3"/>
          </w:tcPr>
          <w:p>
            <w:pPr>
              <w:ind w:left="80"/>
              <w:spacing w:after="0" w:line="115" w:lineRule="exact"/>
              <w:rPr>
                <w:sz w:val="20"/>
                <w:szCs w:val="20"/>
                <w:color w:val="auto"/>
              </w:rPr>
            </w:pPr>
            <w:r>
              <w:rPr>
                <w:rFonts w:ascii="Arial" w:cs="Arial" w:eastAsia="Arial" w:hAnsi="Arial"/>
                <w:sz w:val="12"/>
                <w:szCs w:val="12"/>
                <w:color w:val="auto"/>
              </w:rPr>
              <w:t>Pro Forma</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82"/>
              <w:spacing w:after="0" w:line="115" w:lineRule="exact"/>
              <w:rPr>
                <w:sz w:val="20"/>
                <w:szCs w:val="20"/>
                <w:color w:val="auto"/>
              </w:rPr>
            </w:pPr>
            <w:r>
              <w:rPr>
                <w:rFonts w:ascii="Arial" w:cs="Arial" w:eastAsia="Arial" w:hAnsi="Arial"/>
                <w:sz w:val="12"/>
                <w:szCs w:val="12"/>
                <w:color w:val="auto"/>
                <w:w w:val="98"/>
              </w:rPr>
              <w:t>Pro Forma</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5"/>
                <w:szCs w:val="15"/>
                <w:color w:val="auto"/>
              </w:rPr>
            </w:pPr>
          </w:p>
        </w:tc>
        <w:tc>
          <w:tcPr>
            <w:tcW w:w="900" w:type="dxa"/>
            <w:vAlign w:val="bottom"/>
            <w:gridSpan w:val="4"/>
          </w:tcPr>
          <w:p>
            <w:pPr>
              <w:jc w:val="center"/>
              <w:ind w:left="32"/>
              <w:spacing w:after="0"/>
              <w:rPr>
                <w:sz w:val="20"/>
                <w:szCs w:val="20"/>
                <w:color w:val="auto"/>
              </w:rPr>
            </w:pPr>
            <w:r>
              <w:rPr>
                <w:rFonts w:ascii="Arial" w:cs="Arial" w:eastAsia="Arial" w:hAnsi="Arial"/>
                <w:sz w:val="14"/>
                <w:szCs w:val="14"/>
                <w:color w:val="auto"/>
                <w:w w:val="92"/>
              </w:rPr>
              <w:t>Actual</w:t>
            </w:r>
          </w:p>
        </w:tc>
        <w:tc>
          <w:tcPr>
            <w:tcW w:w="280" w:type="dxa"/>
            <w:vAlign w:val="bottom"/>
          </w:tcPr>
          <w:p>
            <w:pPr>
              <w:spacing w:after="0"/>
              <w:rPr>
                <w:sz w:val="15"/>
                <w:szCs w:val="15"/>
                <w:color w:val="auto"/>
              </w:rPr>
            </w:pPr>
          </w:p>
        </w:tc>
        <w:tc>
          <w:tcPr>
            <w:tcW w:w="880" w:type="dxa"/>
            <w:vAlign w:val="bottom"/>
            <w:gridSpan w:val="2"/>
          </w:tcPr>
          <w:p>
            <w:pPr>
              <w:jc w:val="right"/>
              <w:ind w:right="114"/>
              <w:spacing w:after="0"/>
              <w:rPr>
                <w:sz w:val="20"/>
                <w:szCs w:val="20"/>
                <w:color w:val="auto"/>
              </w:rPr>
            </w:pPr>
            <w:r>
              <w:rPr>
                <w:rFonts w:ascii="Arial" w:cs="Arial" w:eastAsia="Arial" w:hAnsi="Arial"/>
                <w:sz w:val="14"/>
                <w:szCs w:val="14"/>
                <w:color w:val="auto"/>
              </w:rPr>
              <w:t>Actual</w:t>
            </w:r>
          </w:p>
        </w:tc>
        <w:tc>
          <w:tcPr>
            <w:tcW w:w="1060" w:type="dxa"/>
            <w:vAlign w:val="bottom"/>
            <w:gridSpan w:val="2"/>
          </w:tcPr>
          <w:p>
            <w:pPr>
              <w:ind w:left="220"/>
              <w:spacing w:after="0" w:line="176" w:lineRule="exact"/>
              <w:rPr>
                <w:sz w:val="20"/>
                <w:szCs w:val="20"/>
                <w:color w:val="auto"/>
              </w:rPr>
            </w:pPr>
            <w:r>
              <w:rPr>
                <w:rFonts w:ascii="Arial" w:cs="Arial" w:eastAsia="Arial" w:hAnsi="Arial"/>
                <w:sz w:val="13"/>
                <w:szCs w:val="13"/>
                <w:color w:val="auto"/>
                <w:w w:val="93"/>
              </w:rPr>
              <w:t>Adjustments</w:t>
            </w:r>
            <w:r>
              <w:rPr>
                <w:rFonts w:ascii="Arial" w:cs="Arial" w:eastAsia="Arial" w:hAnsi="Arial"/>
                <w:sz w:val="20"/>
                <w:szCs w:val="20"/>
                <w:color w:val="auto"/>
                <w:w w:val="93"/>
                <w:vertAlign w:val="superscript"/>
              </w:rPr>
              <w:t>(a)</w:t>
            </w:r>
          </w:p>
        </w:tc>
        <w:tc>
          <w:tcPr>
            <w:tcW w:w="180" w:type="dxa"/>
            <w:vAlign w:val="bottom"/>
          </w:tcPr>
          <w:p>
            <w:pPr>
              <w:spacing w:after="0"/>
              <w:rPr>
                <w:sz w:val="15"/>
                <w:szCs w:val="15"/>
                <w:color w:val="auto"/>
              </w:rPr>
            </w:pPr>
          </w:p>
        </w:tc>
        <w:tc>
          <w:tcPr>
            <w:tcW w:w="940" w:type="dxa"/>
            <w:vAlign w:val="bottom"/>
            <w:gridSpan w:val="4"/>
          </w:tcPr>
          <w:p>
            <w:pPr>
              <w:ind w:left="100"/>
              <w:spacing w:after="0"/>
              <w:rPr>
                <w:sz w:val="20"/>
                <w:szCs w:val="20"/>
                <w:color w:val="auto"/>
              </w:rPr>
            </w:pPr>
            <w:r>
              <w:rPr>
                <w:rFonts w:ascii="Arial" w:cs="Arial" w:eastAsia="Arial" w:hAnsi="Arial"/>
                <w:sz w:val="14"/>
                <w:szCs w:val="14"/>
                <w:color w:val="auto"/>
              </w:rPr>
              <w:t>Combined</w:t>
            </w:r>
          </w:p>
        </w:tc>
        <w:tc>
          <w:tcPr>
            <w:tcW w:w="120" w:type="dxa"/>
            <w:vAlign w:val="bottom"/>
          </w:tcPr>
          <w:p>
            <w:pPr>
              <w:spacing w:after="0"/>
              <w:rPr>
                <w:sz w:val="15"/>
                <w:szCs w:val="15"/>
                <w:color w:val="auto"/>
              </w:rPr>
            </w:pPr>
          </w:p>
        </w:tc>
        <w:tc>
          <w:tcPr>
            <w:tcW w:w="900" w:type="dxa"/>
            <w:vAlign w:val="bottom"/>
          </w:tcPr>
          <w:p>
            <w:pPr>
              <w:jc w:val="right"/>
              <w:ind w:right="221"/>
              <w:spacing w:after="0"/>
              <w:rPr>
                <w:sz w:val="20"/>
                <w:szCs w:val="20"/>
                <w:color w:val="auto"/>
              </w:rPr>
            </w:pPr>
            <w:r>
              <w:rPr>
                <w:rFonts w:ascii="Arial" w:cs="Arial" w:eastAsia="Arial" w:hAnsi="Arial"/>
                <w:sz w:val="14"/>
                <w:szCs w:val="14"/>
                <w:color w:val="auto"/>
              </w:rPr>
              <w:t>Actual</w:t>
            </w:r>
          </w:p>
        </w:tc>
        <w:tc>
          <w:tcPr>
            <w:tcW w:w="880" w:type="dxa"/>
            <w:vAlign w:val="bottom"/>
          </w:tcPr>
          <w:p>
            <w:pPr>
              <w:jc w:val="center"/>
              <w:ind w:right="82"/>
              <w:spacing w:after="0"/>
              <w:rPr>
                <w:sz w:val="20"/>
                <w:szCs w:val="20"/>
                <w:color w:val="auto"/>
              </w:rPr>
            </w:pPr>
            <w:r>
              <w:rPr>
                <w:rFonts w:ascii="Arial" w:cs="Arial" w:eastAsia="Arial" w:hAnsi="Arial"/>
                <w:sz w:val="14"/>
                <w:szCs w:val="14"/>
                <w:color w:val="auto"/>
                <w:w w:val="87"/>
              </w:rPr>
              <w:t>Combined</w:t>
            </w:r>
          </w:p>
        </w:tc>
      </w:tr>
      <w:tr>
        <w:trPr>
          <w:trHeight w:val="210"/>
        </w:trPr>
        <w:tc>
          <w:tcPr>
            <w:tcW w:w="4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E5E5E5"/>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220" w:type="dxa"/>
            <w:vAlign w:val="bottom"/>
            <w:tcBorders>
              <w:top w:val="single" w:sz="8" w:color="auto"/>
            </w:tcBorders>
            <w:shd w:val="clear" w:color="auto" w:fill="E5E5E5"/>
          </w:tcPr>
          <w:p>
            <w:pPr>
              <w:spacing w:after="0"/>
              <w:rPr>
                <w:sz w:val="18"/>
                <w:szCs w:val="18"/>
                <w:color w:val="auto"/>
              </w:rPr>
            </w:pPr>
          </w:p>
        </w:tc>
        <w:tc>
          <w:tcPr>
            <w:tcW w:w="160" w:type="dxa"/>
            <w:vAlign w:val="bottom"/>
            <w:tcBorders>
              <w:top w:val="single" w:sz="8" w:color="E5E5E5"/>
            </w:tcBorders>
            <w:shd w:val="clear" w:color="auto" w:fill="E5E5E5"/>
          </w:tcPr>
          <w:p>
            <w:pPr>
              <w:spacing w:after="0"/>
              <w:rPr>
                <w:sz w:val="18"/>
                <w:szCs w:val="18"/>
                <w:color w:val="auto"/>
              </w:rPr>
            </w:pPr>
          </w:p>
        </w:tc>
        <w:tc>
          <w:tcPr>
            <w:tcW w:w="120" w:type="dxa"/>
            <w:vAlign w:val="bottom"/>
            <w:tcBorders>
              <w:top w:val="single" w:sz="8" w:color="E5E5E5"/>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7,961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7,221</w:t>
            </w:r>
          </w:p>
        </w:tc>
        <w:tc>
          <w:tcPr>
            <w:tcW w:w="760" w:type="dxa"/>
            <w:vAlign w:val="bottom"/>
          </w:tcPr>
          <w:p>
            <w:pPr>
              <w:ind w:left="2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7,221</w:t>
            </w:r>
          </w:p>
        </w:tc>
        <w:tc>
          <w:tcPr>
            <w:tcW w:w="1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10.2%</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gridSpan w:val="3"/>
            <w:shd w:val="clear" w:color="auto" w:fill="E5E5E5"/>
          </w:tcPr>
          <w:p>
            <w:pPr>
              <w:jc w:val="right"/>
              <w:ind w:right="32"/>
              <w:spacing w:after="0"/>
              <w:rPr>
                <w:sz w:val="20"/>
                <w:szCs w:val="20"/>
                <w:color w:val="auto"/>
              </w:rPr>
            </w:pPr>
            <w:r>
              <w:rPr>
                <w:rFonts w:ascii="Arial" w:cs="Arial" w:eastAsia="Arial" w:hAnsi="Arial"/>
                <w:sz w:val="18"/>
                <w:szCs w:val="18"/>
                <w:color w:val="auto"/>
                <w:w w:val="93"/>
              </w:rPr>
              <w:t>7,299</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6,032</w:t>
            </w: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6,032</w:t>
            </w: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81"/>
              <w:spacing w:after="0"/>
              <w:rPr>
                <w:sz w:val="20"/>
                <w:szCs w:val="20"/>
                <w:color w:val="auto"/>
              </w:rPr>
            </w:pPr>
            <w:r>
              <w:rPr>
                <w:rFonts w:ascii="Arial" w:cs="Arial" w:eastAsia="Arial" w:hAnsi="Arial"/>
                <w:sz w:val="18"/>
                <w:szCs w:val="18"/>
                <w:color w:val="auto"/>
              </w:rPr>
              <w:t>21.0</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4,526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5,658</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5,658</w:t>
            </w:r>
          </w:p>
        </w:tc>
        <w:tc>
          <w:tcPr>
            <w:tcW w:w="16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gridSpan w:val="3"/>
            <w:shd w:val="clear" w:color="auto" w:fill="E5E5E5"/>
          </w:tcPr>
          <w:p>
            <w:pPr>
              <w:jc w:val="right"/>
              <w:ind w:right="32"/>
              <w:spacing w:after="0"/>
              <w:rPr>
                <w:sz w:val="20"/>
                <w:szCs w:val="20"/>
                <w:color w:val="auto"/>
              </w:rPr>
            </w:pPr>
            <w:r>
              <w:rPr>
                <w:rFonts w:ascii="Arial" w:cs="Arial" w:eastAsia="Arial" w:hAnsi="Arial"/>
                <w:sz w:val="18"/>
                <w:szCs w:val="18"/>
                <w:color w:val="auto"/>
                <w:w w:val="93"/>
              </w:rPr>
              <w:t>3,602</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2,320</w:t>
            </w: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882</w:t>
            </w:r>
          </w:p>
        </w:tc>
        <w:tc>
          <w:tcPr>
            <w:tcW w:w="1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81"/>
              <w:spacing w:after="0"/>
              <w:rPr>
                <w:sz w:val="20"/>
                <w:szCs w:val="20"/>
                <w:color w:val="auto"/>
              </w:rPr>
            </w:pPr>
            <w:r>
              <w:rPr>
                <w:rFonts w:ascii="Arial" w:cs="Arial" w:eastAsia="Arial" w:hAnsi="Arial"/>
                <w:sz w:val="18"/>
                <w:szCs w:val="18"/>
                <w:color w:val="auto"/>
              </w:rPr>
              <w:t>55.2</w:t>
            </w:r>
          </w:p>
        </w:tc>
        <w:tc>
          <w:tcPr>
            <w:tcW w:w="88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12.5%</w:t>
            </w:r>
          </w:p>
        </w:tc>
      </w:tr>
      <w:tr>
        <w:trPr>
          <w:trHeight w:val="216"/>
        </w:trPr>
        <w:tc>
          <w:tcPr>
            <w:tcW w:w="4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bottom w:val="single" w:sz="8" w:color="E5E5E5"/>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E5E5E5"/>
            </w:tcBorders>
          </w:tcPr>
          <w:p>
            <w:pPr>
              <w:spacing w:after="0"/>
              <w:rPr>
                <w:sz w:val="18"/>
                <w:szCs w:val="18"/>
                <w:color w:val="auto"/>
              </w:rPr>
            </w:pPr>
          </w:p>
        </w:tc>
        <w:tc>
          <w:tcPr>
            <w:tcW w:w="12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NM</w:t>
            </w:r>
          </w:p>
        </w:tc>
        <w:tc>
          <w:tcPr>
            <w:tcW w:w="880" w:type="dxa"/>
            <w:vAlign w:val="bottom"/>
            <w:tcBorders>
              <w:bottom w:val="single" w:sz="8" w:color="auto"/>
            </w:tcBorders>
          </w:tcPr>
          <w:p>
            <w:pPr>
              <w:spacing w:after="0"/>
              <w:rPr>
                <w:sz w:val="18"/>
                <w:szCs w:val="18"/>
                <w:color w:val="auto"/>
              </w:rPr>
            </w:pPr>
          </w:p>
        </w:tc>
      </w:tr>
      <w:tr>
        <w:trPr>
          <w:trHeight w:val="217"/>
        </w:trPr>
        <w:tc>
          <w:tcPr>
            <w:tcW w:w="4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400" w:type="dxa"/>
            <w:vAlign w:val="bottom"/>
            <w:tcBorders>
              <w:bottom w:val="single" w:sz="8" w:color="auto"/>
            </w:tcBorders>
            <w:gridSpan w:val="5"/>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$23,142</w:t>
            </w:r>
          </w:p>
        </w:tc>
        <w:tc>
          <w:tcPr>
            <w:tcW w:w="280" w:type="dxa"/>
            <w:vAlign w:val="bottom"/>
            <w:tcBorders>
              <w:bottom w:val="single" w:sz="8" w:color="E5E5E5"/>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$20,985</w:t>
            </w:r>
          </w:p>
        </w:tc>
        <w:tc>
          <w:tcPr>
            <w:tcW w:w="7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882</w:t>
            </w:r>
          </w:p>
        </w:tc>
        <w:tc>
          <w:tcPr>
            <w:tcW w:w="1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w w:val="83"/>
              </w:rPr>
              <w:t>21,867</w:t>
            </w:r>
          </w:p>
        </w:tc>
        <w:tc>
          <w:tcPr>
            <w:tcW w:w="160" w:type="dxa"/>
            <w:vAlign w:val="bottom"/>
            <w:tcBorders>
              <w:bottom w:val="single" w:sz="8" w:color="E5E5E5"/>
            </w:tcBorders>
            <w:shd w:val="clear" w:color="auto" w:fill="E5E5E5"/>
          </w:tcPr>
          <w:p>
            <w:pPr>
              <w:spacing w:after="0"/>
              <w:rPr>
                <w:sz w:val="18"/>
                <w:szCs w:val="18"/>
                <w:color w:val="auto"/>
              </w:rPr>
            </w:pPr>
          </w:p>
        </w:tc>
        <w:tc>
          <w:tcPr>
            <w:tcW w:w="120" w:type="dxa"/>
            <w:vAlign w:val="bottom"/>
            <w:tcBorders>
              <w:bottom w:val="single" w:sz="8" w:color="E5E5E5"/>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1"/>
              <w:spacing w:after="0"/>
              <w:rPr>
                <w:sz w:val="20"/>
                <w:szCs w:val="20"/>
                <w:color w:val="auto"/>
              </w:rPr>
            </w:pPr>
            <w:r>
              <w:rPr>
                <w:rFonts w:ascii="Arial" w:cs="Arial" w:eastAsia="Arial" w:hAnsi="Arial"/>
                <w:sz w:val="18"/>
                <w:szCs w:val="18"/>
                <w:b w:val="1"/>
                <w:bCs w:val="1"/>
                <w:color w:val="auto"/>
              </w:rPr>
              <w:t>10.3%</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5.8%</w:t>
            </w: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w w:val="98"/>
              </w:rPr>
              <w:t>Operating Income Before Depreciation and Amortization</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8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5E5E5"/>
          </w:tcPr>
          <w:p>
            <w:pPr>
              <w:jc w:val="right"/>
              <w:ind w:right="32"/>
              <w:spacing w:after="0"/>
              <w:rPr>
                <w:sz w:val="20"/>
                <w:szCs w:val="20"/>
                <w:color w:val="auto"/>
              </w:rPr>
            </w:pPr>
            <w:r>
              <w:rPr>
                <w:rFonts w:ascii="Arial" w:cs="Arial" w:eastAsia="Arial" w:hAnsi="Arial"/>
                <w:sz w:val="18"/>
                <w:szCs w:val="18"/>
                <w:color w:val="auto"/>
                <w:w w:val="93"/>
              </w:rPr>
              <w:t>2,793</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2,605</w:t>
            </w:r>
          </w:p>
        </w:tc>
        <w:tc>
          <w:tcPr>
            <w:tcW w:w="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180" w:type="dxa"/>
            <w:vAlign w:val="bottom"/>
            <w:shd w:val="clear" w:color="auto" w:fill="E5E5E5"/>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2,605</w:t>
            </w: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41"/>
              <w:spacing w:after="0"/>
              <w:rPr>
                <w:sz w:val="20"/>
                <w:szCs w:val="20"/>
                <w:color w:val="auto"/>
              </w:rPr>
            </w:pPr>
            <w:r>
              <w:rPr>
                <w:rFonts w:ascii="Arial" w:cs="Arial" w:eastAsia="Arial" w:hAnsi="Arial"/>
                <w:sz w:val="18"/>
                <w:szCs w:val="18"/>
                <w:color w:val="auto"/>
              </w:rPr>
              <w:t>7.2%</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1,056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563</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87.6</w:t>
            </w:r>
          </w:p>
        </w:tc>
        <w:tc>
          <w:tcPr>
            <w:tcW w:w="880" w:type="dxa"/>
            <w:vAlign w:val="bottom"/>
          </w:tcPr>
          <w:p>
            <w:pPr>
              <w:spacing w:after="0"/>
              <w:rPr>
                <w:sz w:val="18"/>
                <w:szCs w:val="18"/>
                <w:color w:val="auto"/>
              </w:rPr>
            </w:pPr>
          </w:p>
        </w:tc>
      </w:tr>
      <w:tr>
        <w:trPr>
          <w:trHeight w:val="216"/>
        </w:trPr>
        <w:tc>
          <w:tcPr>
            <w:tcW w:w="4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5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540" w:type="dxa"/>
            <w:vAlign w:val="bottom"/>
            <w:gridSpan w:val="3"/>
            <w:shd w:val="clear" w:color="auto" w:fill="E5E5E5"/>
          </w:tcPr>
          <w:p>
            <w:pPr>
              <w:jc w:val="right"/>
              <w:ind w:right="32"/>
              <w:spacing w:after="0"/>
              <w:rPr>
                <w:sz w:val="20"/>
                <w:szCs w:val="20"/>
                <w:color w:val="auto"/>
              </w:rPr>
            </w:pPr>
            <w:r>
              <w:rPr>
                <w:rFonts w:ascii="Arial" w:cs="Arial" w:eastAsia="Arial" w:hAnsi="Arial"/>
                <w:sz w:val="18"/>
                <w:szCs w:val="18"/>
                <w:color w:val="auto"/>
              </w:rPr>
              <w:t>576</w:t>
            </w:r>
          </w:p>
        </w:tc>
        <w:tc>
          <w:tcPr>
            <w:tcW w:w="2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1,091</w:t>
            </w:r>
          </w:p>
        </w:tc>
        <w:tc>
          <w:tcPr>
            <w:tcW w:w="760" w:type="dxa"/>
            <w:vAlign w:val="bottom"/>
            <w:shd w:val="clear" w:color="auto" w:fill="E5E5E5"/>
          </w:tcPr>
          <w:p>
            <w:pPr>
              <w:spacing w:after="0"/>
              <w:rPr>
                <w:sz w:val="18"/>
                <w:szCs w:val="18"/>
                <w:color w:val="auto"/>
              </w:rPr>
            </w:pP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E5E5E5"/>
          </w:tcPr>
          <w:p>
            <w:pPr>
              <w:spacing w:after="0"/>
              <w:rPr>
                <w:sz w:val="18"/>
                <w:szCs w:val="18"/>
                <w:color w:val="auto"/>
              </w:rPr>
            </w:pPr>
          </w:p>
        </w:tc>
        <w:tc>
          <w:tcPr>
            <w:tcW w:w="1020" w:type="dxa"/>
            <w:vAlign w:val="bottom"/>
            <w:gridSpan w:val="2"/>
            <w:shd w:val="clear" w:color="auto" w:fill="E5E5E5"/>
          </w:tcPr>
          <w:p>
            <w:pPr>
              <w:jc w:val="right"/>
              <w:ind w:right="121"/>
              <w:spacing w:after="0"/>
              <w:rPr>
                <w:sz w:val="20"/>
                <w:szCs w:val="20"/>
                <w:color w:val="auto"/>
              </w:rPr>
            </w:pPr>
            <w:r>
              <w:rPr>
                <w:rFonts w:ascii="Arial" w:cs="Arial" w:eastAsia="Arial" w:hAnsi="Arial"/>
                <w:sz w:val="18"/>
                <w:szCs w:val="18"/>
                <w:color w:val="auto"/>
              </w:rPr>
              <w:t>(47.2)</w:t>
            </w:r>
          </w:p>
        </w:tc>
        <w:tc>
          <w:tcPr>
            <w:tcW w:w="880" w:type="dxa"/>
            <w:vAlign w:val="bottom"/>
            <w:shd w:val="clear" w:color="auto" w:fill="E5E5E5"/>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3"/>
          </w:tcPr>
          <w:p>
            <w:pPr>
              <w:jc w:val="right"/>
              <w:ind w:right="32"/>
              <w:spacing w:after="0"/>
              <w:rPr>
                <w:sz w:val="20"/>
                <w:szCs w:val="20"/>
                <w:color w:val="auto"/>
              </w:rPr>
            </w:pPr>
            <w:r>
              <w:rPr>
                <w:rFonts w:ascii="Arial" w:cs="Arial" w:eastAsia="Arial" w:hAnsi="Arial"/>
                <w:sz w:val="18"/>
                <w:szCs w:val="18"/>
                <w:color w:val="auto"/>
                <w:w w:val="93"/>
              </w:rPr>
              <w:t>1,550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1,012</w:t>
            </w: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399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53.1</w:t>
            </w:r>
          </w:p>
        </w:tc>
        <w:tc>
          <w:tcPr>
            <w:tcW w:w="880" w:type="dxa"/>
            <w:vAlign w:val="bottom"/>
          </w:tcPr>
          <w:p>
            <w:pPr>
              <w:jc w:val="right"/>
              <w:ind w:right="2"/>
              <w:spacing w:after="0"/>
              <w:rPr>
                <w:sz w:val="20"/>
                <w:szCs w:val="20"/>
                <w:color w:val="auto"/>
              </w:rPr>
            </w:pPr>
            <w:r>
              <w:rPr>
                <w:rFonts w:ascii="Arial" w:cs="Arial" w:eastAsia="Arial" w:hAnsi="Arial"/>
                <w:sz w:val="18"/>
                <w:szCs w:val="18"/>
                <w:color w:val="auto"/>
              </w:rPr>
              <w:t>9.8%</w:t>
            </w:r>
          </w:p>
        </w:tc>
      </w:tr>
      <w:tr>
        <w:trPr>
          <w:trHeight w:val="216"/>
        </w:trPr>
        <w:tc>
          <w:tcPr>
            <w:tcW w:w="4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Headquarters, other and eliminations</w:t>
            </w:r>
          </w:p>
        </w:tc>
        <w:tc>
          <w:tcPr>
            <w:tcW w:w="50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(471)</w:t>
            </w:r>
          </w:p>
        </w:tc>
        <w:tc>
          <w:tcPr>
            <w:tcW w:w="76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NM</w:t>
            </w:r>
          </w:p>
        </w:tc>
        <w:tc>
          <w:tcPr>
            <w:tcW w:w="880" w:type="dxa"/>
            <w:vAlign w:val="bottom"/>
            <w:tcBorders>
              <w:bottom w:val="single" w:sz="8" w:color="auto"/>
            </w:tcBorders>
            <w:shd w:val="clear" w:color="auto" w:fill="E5E5E5"/>
          </w:tcPr>
          <w:p>
            <w:pPr>
              <w:spacing w:after="0"/>
              <w:rPr>
                <w:sz w:val="18"/>
                <w:szCs w:val="18"/>
                <w:color w:val="auto"/>
              </w:rPr>
            </w:pPr>
          </w:p>
        </w:tc>
      </w:tr>
      <w:tr>
        <w:trPr>
          <w:trHeight w:val="21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Total operating income before depreciation and amortization</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w w:val="93"/>
              </w:rPr>
              <w:t>5,457</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4,800</w:t>
            </w: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399</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5,199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13.7%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55" w:lineRule="exact"/>
        <w:rPr>
          <w:sz w:val="20"/>
          <w:szCs w:val="20"/>
          <w:color w:val="auto"/>
        </w:rPr>
      </w:pPr>
    </w:p>
    <w:p>
      <w:pPr>
        <w:jc w:val="both"/>
        <w:ind w:left="34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 forma adjustments are presented as if the acquisition of the 51% interest of Universal Studios Japan occurred on January 1, 2014. Pro forma information does not include adjustments for transaction-related costs, costs related to integration activities, or cost savings or synergies that have been or may be achieved by the combined businesses. The pro forma amounts are primarily based on historical results of operations and are subject to change as valuations are finalized. Pro forma amounts are not necessarily indicative of what our results would have been had we operated Universal Studios Japan since January 1, 2014, nor of our future results.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040" w:type="dxa"/>
            <w:vAlign w:val="bottom"/>
            <w:gridSpan w:val="3"/>
          </w:tcPr>
          <w:p>
            <w:pPr>
              <w:jc w:val="center"/>
              <w:ind w:left="17"/>
              <w:spacing w:after="0"/>
              <w:rPr>
                <w:sz w:val="20"/>
                <w:szCs w:val="20"/>
                <w:color w:val="auto"/>
              </w:rPr>
            </w:pPr>
            <w:r>
              <w:rPr>
                <w:rFonts w:ascii="Arial" w:cs="Arial" w:eastAsia="Arial" w:hAnsi="Arial"/>
                <w:sz w:val="14"/>
                <w:szCs w:val="14"/>
                <w:color w:val="auto"/>
                <w:w w:val="87"/>
              </w:rPr>
              <w:t>Three Months Ended</w:t>
            </w:r>
          </w:p>
        </w:tc>
        <w:tc>
          <w:tcPr>
            <w:tcW w:w="138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3"/>
          </w:tcPr>
          <w:p>
            <w:pPr>
              <w:jc w:val="center"/>
              <w:ind w:left="37"/>
              <w:spacing w:after="0" w:line="159" w:lineRule="exact"/>
              <w:rPr>
                <w:sz w:val="20"/>
                <w:szCs w:val="20"/>
                <w:color w:val="auto"/>
              </w:rPr>
            </w:pPr>
            <w:r>
              <w:rPr>
                <w:rFonts w:ascii="Arial" w:cs="Arial" w:eastAsia="Arial" w:hAnsi="Arial"/>
                <w:sz w:val="14"/>
                <w:szCs w:val="14"/>
                <w:color w:val="auto"/>
                <w:w w:val="86"/>
              </w:rPr>
              <w:t>September 30</w:t>
            </w:r>
          </w:p>
        </w:tc>
        <w:tc>
          <w:tcPr>
            <w:tcW w:w="13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108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2016</w:t>
            </w:r>
          </w:p>
        </w:tc>
        <w:tc>
          <w:tcPr>
            <w:tcW w:w="32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2015</w:t>
            </w: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$ 1,772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1,392</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$380</w:t>
            </w: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943</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813</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130</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227</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207</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20</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2,942</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2,412</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530</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1,572</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1,127</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445</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320</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24</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130</w:t>
            </w:r>
          </w:p>
        </w:tc>
        <w:tc>
          <w:tcPr>
            <w:tcW w:w="7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3</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2,049</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1,577</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472</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893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835</w:t>
            </w:r>
          </w:p>
        </w:tc>
        <w:tc>
          <w:tcPr>
            <w:tcW w:w="7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$ 58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2040" w:type="dxa"/>
            <w:vAlign w:val="bottom"/>
            <w:gridSpan w:val="3"/>
          </w:tcPr>
          <w:p>
            <w:pPr>
              <w:jc w:val="center"/>
              <w:ind w:left="37"/>
              <w:spacing w:after="0"/>
              <w:rPr>
                <w:sz w:val="20"/>
                <w:szCs w:val="20"/>
                <w:color w:val="auto"/>
              </w:rPr>
            </w:pPr>
            <w:r>
              <w:rPr>
                <w:rFonts w:ascii="Arial" w:cs="Arial" w:eastAsia="Arial" w:hAnsi="Arial"/>
                <w:sz w:val="14"/>
                <w:szCs w:val="14"/>
                <w:color w:val="auto"/>
                <w:w w:val="87"/>
              </w:rPr>
              <w:t>Nine Months Ended</w:t>
            </w:r>
          </w:p>
        </w:tc>
        <w:tc>
          <w:tcPr>
            <w:tcW w:w="1380" w:type="dxa"/>
            <w:vAlign w:val="bottom"/>
            <w:gridSpan w:val="2"/>
          </w:tcPr>
          <w:p>
            <w:pPr>
              <w:jc w:val="center"/>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80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color w:val="auto"/>
                <w:w w:val="86"/>
              </w:rPr>
              <w:t>September 30</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8000" w:type="dxa"/>
            <w:vAlign w:val="bottom"/>
            <w:gridSpan w:val="2"/>
            <w:vMerge w:val="continue"/>
          </w:tcPr>
          <w:p>
            <w:pPr>
              <w:spacing w:after="0"/>
              <w:rPr>
                <w:sz w:val="12"/>
                <w:szCs w:val="12"/>
                <w:color w:val="auto"/>
              </w:rPr>
            </w:pPr>
          </w:p>
        </w:tc>
        <w:tc>
          <w:tcPr>
            <w:tcW w:w="1080" w:type="dxa"/>
            <w:vAlign w:val="bottom"/>
          </w:tcPr>
          <w:p>
            <w:pPr>
              <w:jc w:val="right"/>
              <w:ind w:right="257"/>
              <w:spacing w:after="0" w:line="142" w:lineRule="exact"/>
              <w:rPr>
                <w:sz w:val="20"/>
                <w:szCs w:val="20"/>
                <w:color w:val="auto"/>
              </w:rPr>
            </w:pPr>
            <w:r>
              <w:rPr>
                <w:rFonts w:ascii="Arial" w:cs="Arial" w:eastAsia="Arial" w:hAnsi="Arial"/>
                <w:sz w:val="14"/>
                <w:szCs w:val="14"/>
                <w:color w:val="auto"/>
              </w:rPr>
              <w:t>2016</w:t>
            </w:r>
          </w:p>
        </w:tc>
        <w:tc>
          <w:tcPr>
            <w:tcW w:w="32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color w:val="auto"/>
                <w:w w:val="89"/>
              </w:rPr>
              <w:t>2015</w:t>
            </w: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Distribution</w:t>
            </w: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$ 4,644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w w:val="88"/>
              </w:rPr>
              <w:t>4,091</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$553</w:t>
            </w: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2,708</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2,581</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127</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Content licensing and other</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609</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549</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7,961</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7,221</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740</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08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w w:val="88"/>
              </w:rPr>
              <w:t>3,275</w:t>
            </w:r>
          </w:p>
        </w:tc>
        <w:tc>
          <w:tcPr>
            <w:tcW w:w="7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549</w:t>
            </w:r>
          </w:p>
        </w:tc>
        <w:tc>
          <w:tcPr>
            <w:tcW w:w="64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964</w:t>
            </w:r>
          </w:p>
        </w:tc>
        <w:tc>
          <w:tcPr>
            <w:tcW w:w="320" w:type="dxa"/>
            <w:vAlign w:val="bottom"/>
          </w:tcPr>
          <w:p>
            <w:pPr>
              <w:spacing w:after="0"/>
              <w:rPr>
                <w:sz w:val="18"/>
                <w:szCs w:val="18"/>
                <w:color w:val="auto"/>
              </w:rPr>
            </w:pP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945</w:t>
            </w: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19</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380</w:t>
            </w:r>
          </w:p>
        </w:tc>
        <w:tc>
          <w:tcPr>
            <w:tcW w:w="3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396</w:t>
            </w:r>
          </w:p>
        </w:tc>
        <w:tc>
          <w:tcPr>
            <w:tcW w:w="740" w:type="dxa"/>
            <w:vAlign w:val="bottom"/>
            <w:tcBorders>
              <w:bottom w:val="single" w:sz="8" w:color="auto"/>
            </w:tcBorders>
            <w:shd w:val="clear" w:color="auto" w:fill="E5E5E5"/>
          </w:tcPr>
          <w:p>
            <w:pPr>
              <w:jc w:val="right"/>
              <w:ind w:right="37"/>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5,168</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8"/>
              </w:rPr>
              <w:t>4,616</w:t>
            </w: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552</w:t>
            </w: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08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b w:val="1"/>
                <w:bCs w:val="1"/>
                <w:color w:val="auto"/>
              </w:rPr>
              <w:t>$ 2,793</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b w:val="1"/>
                <w:bCs w:val="1"/>
                <w:color w:val="auto"/>
                <w:w w:val="88"/>
              </w:rPr>
              <w:t>2,605</w:t>
            </w:r>
          </w:p>
        </w:tc>
        <w:tc>
          <w:tcPr>
            <w:tcW w:w="7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$188</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Cable Networks revenue increased for the three and nine months ended September 30, 2016 compared to the same periods in 2015 due to increases in distribution revenue, advertising revenue and content licensing and other revenue. The increases in distribution revenue were primarily due to our broadcast of the 2016 Rio Olympics in August 2016, as well as increases in the contractual rates charged under distribution agreements and contract renewals, which were partially offset by declines in the number of subscribers at our cable networks. The increases in advertising revenue were primarily due to our broadcast of the 2016 Rio Olympics. In addition, while we continued to experience declines in audience ratings at our networks that negatively affected advertising revenue, the impact of audience ratings was partially offset by higher prices for advertising units sold. The increases in content licensing and other revenue were primarily due to the timing of content provided under our licensing agreements. Excluding $432 million of revenue associated with our broadcast of the 2016 Rio Olympics, Cable Networks segment revenue increased 4.1% and 4.3% for the three and nine months ended September 30, 2016, respectively.</w:t>
      </w:r>
    </w:p>
    <w:p>
      <w:pPr>
        <w:spacing w:after="0" w:line="2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For both the three and nine months ended September 30, 2016, 14% of our Cable Networks segment revenue was generated from our Cable Communications segment. For both the three and nine months ended September 30, 2015, 13% of our Cable Networks segment revenue was generated from our Cable Communications segment. These amounts are eliminated in our condensed consolidated financial statements but are included in the amounts presented above.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Operating costs and expenses increased for the three and nine months ended September 30, 2016 compared to the same periods in 2015 primarily due to increases in programming and production costs associated with the 2016 Rio Olympics, as well as increases in sports programming rights costs.</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260" w:type="dxa"/>
            <w:vAlign w:val="bottom"/>
            <w:gridSpan w:val="3"/>
          </w:tcPr>
          <w:p>
            <w:pPr>
              <w:jc w:val="center"/>
              <w:ind w:left="77"/>
              <w:spacing w:after="0"/>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4"/>
                <w:szCs w:val="14"/>
                <w:color w:val="auto"/>
              </w:rPr>
            </w:pPr>
          </w:p>
        </w:tc>
        <w:tc>
          <w:tcPr>
            <w:tcW w:w="14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gridSpan w:val="2"/>
          </w:tcPr>
          <w:p>
            <w:pPr>
              <w:jc w:val="center"/>
              <w:ind w:left="737"/>
              <w:spacing w:after="0" w:line="159" w:lineRule="exact"/>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54"/>
              <w:spacing w:after="0" w:line="159" w:lineRule="exact"/>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22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2016</w:t>
            </w:r>
          </w:p>
        </w:tc>
        <w:tc>
          <w:tcPr>
            <w:tcW w:w="380" w:type="dxa"/>
            <w:vAlign w:val="bottom"/>
          </w:tcPr>
          <w:p>
            <w:pPr>
              <w:spacing w:after="0"/>
              <w:rPr>
                <w:sz w:val="12"/>
                <w:szCs w:val="12"/>
                <w:color w:val="auto"/>
              </w:rPr>
            </w:pPr>
          </w:p>
        </w:tc>
        <w:tc>
          <w:tcPr>
            <w:tcW w:w="66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Pr>
          <w:p>
            <w:pPr>
              <w:spacing w:after="0"/>
              <w:rPr>
                <w:sz w:val="12"/>
                <w:szCs w:val="12"/>
                <w:color w:val="auto"/>
              </w:rPr>
            </w:pPr>
          </w:p>
        </w:tc>
        <w:tc>
          <w:tcPr>
            <w:tcW w:w="620" w:type="dxa"/>
            <w:vAlign w:val="bottom"/>
          </w:tcPr>
          <w:p>
            <w:pPr>
              <w:jc w:val="right"/>
              <w:ind w:right="358"/>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$ 2,281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1,185</w:t>
            </w:r>
          </w:p>
        </w:tc>
        <w:tc>
          <w:tcPr>
            <w:tcW w:w="980" w:type="dxa"/>
            <w:vAlign w:val="bottom"/>
            <w:gridSpan w:val="2"/>
          </w:tcPr>
          <w:p>
            <w:pPr>
              <w:jc w:val="right"/>
              <w:ind w:right="138"/>
              <w:spacing w:after="0"/>
              <w:rPr>
                <w:sz w:val="20"/>
                <w:szCs w:val="20"/>
                <w:color w:val="auto"/>
              </w:rPr>
            </w:pPr>
            <w:r>
              <w:rPr>
                <w:rFonts w:ascii="Arial" w:cs="Arial" w:eastAsia="Arial" w:hAnsi="Arial"/>
                <w:sz w:val="18"/>
                <w:szCs w:val="18"/>
                <w:color w:val="auto"/>
              </w:rPr>
              <w:t>$1,096</w:t>
            </w:r>
          </w:p>
        </w:tc>
        <w:tc>
          <w:tcPr>
            <w:tcW w:w="78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365</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537</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8"/>
              <w:spacing w:after="0"/>
              <w:rPr>
                <w:sz w:val="20"/>
                <w:szCs w:val="20"/>
                <w:color w:val="auto"/>
              </w:rPr>
            </w:pPr>
            <w:r>
              <w:rPr>
                <w:rFonts w:ascii="Arial" w:cs="Arial" w:eastAsia="Arial" w:hAnsi="Arial"/>
                <w:sz w:val="18"/>
                <w:szCs w:val="18"/>
                <w:color w:val="auto"/>
              </w:rPr>
              <w:t>(172)</w:t>
            </w:r>
          </w:p>
        </w:tc>
        <w:tc>
          <w:tcPr>
            <w:tcW w:w="7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 and other</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441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249</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192</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3,087</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4"/>
              </w:rPr>
              <w:t>1,971</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8"/>
              <w:spacing w:after="0"/>
              <w:rPr>
                <w:sz w:val="20"/>
                <w:szCs w:val="20"/>
                <w:color w:val="auto"/>
              </w:rPr>
            </w:pPr>
            <w:r>
              <w:rPr>
                <w:rFonts w:ascii="Arial" w:cs="Arial" w:eastAsia="Arial" w:hAnsi="Arial"/>
                <w:sz w:val="18"/>
                <w:szCs w:val="18"/>
                <w:b w:val="1"/>
                <w:bCs w:val="1"/>
                <w:color w:val="auto"/>
                <w:w w:val="84"/>
              </w:rPr>
              <w:t>1,116</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2,205</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4"/>
              </w:rPr>
              <w:t>1,357</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848</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371</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326</w:t>
            </w:r>
          </w:p>
        </w:tc>
        <w:tc>
          <w:tcPr>
            <w:tcW w:w="360" w:type="dxa"/>
            <w:vAlign w:val="bottom"/>
          </w:tcPr>
          <w:p>
            <w:pPr>
              <w:spacing w:after="0"/>
              <w:rPr>
                <w:sz w:val="18"/>
                <w:szCs w:val="18"/>
                <w:color w:val="auto"/>
              </w:rPr>
            </w:pPr>
          </w:p>
        </w:tc>
        <w:tc>
          <w:tcPr>
            <w:tcW w:w="620" w:type="dxa"/>
            <w:vAlign w:val="bottom"/>
          </w:tcPr>
          <w:p>
            <w:pPr>
              <w:jc w:val="right"/>
              <w:ind w:right="138"/>
              <w:spacing w:after="0"/>
              <w:rPr>
                <w:sz w:val="20"/>
                <w:szCs w:val="20"/>
                <w:color w:val="auto"/>
              </w:rPr>
            </w:pPr>
            <w:r>
              <w:rPr>
                <w:rFonts w:ascii="Arial" w:cs="Arial" w:eastAsia="Arial" w:hAnsi="Arial"/>
                <w:sz w:val="18"/>
                <w:szCs w:val="18"/>
                <w:color w:val="auto"/>
              </w:rPr>
              <w:t>45</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133</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(5)</w:t>
            </w:r>
          </w:p>
        </w:tc>
        <w:tc>
          <w:tcPr>
            <w:tcW w:w="7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2,709</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4"/>
              </w:rPr>
              <w:t>1,821</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888</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378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150</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b w:val="1"/>
                <w:bCs w:val="1"/>
                <w:color w:val="auto"/>
              </w:rPr>
              <w:t>228</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151.5%</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2260" w:type="dxa"/>
            <w:vAlign w:val="bottom"/>
            <w:gridSpan w:val="3"/>
          </w:tcPr>
          <w:p>
            <w:pPr>
              <w:jc w:val="center"/>
              <w:ind w:left="77"/>
              <w:spacing w:after="0"/>
              <w:rPr>
                <w:sz w:val="20"/>
                <w:szCs w:val="20"/>
                <w:color w:val="auto"/>
              </w:rPr>
            </w:pPr>
            <w:r>
              <w:rPr>
                <w:rFonts w:ascii="Arial" w:cs="Arial" w:eastAsia="Arial" w:hAnsi="Arial"/>
                <w:sz w:val="14"/>
                <w:szCs w:val="14"/>
                <w:color w:val="auto"/>
                <w:w w:val="89"/>
              </w:rPr>
              <w:t>Nine Months Ended</w:t>
            </w:r>
          </w:p>
        </w:tc>
        <w:tc>
          <w:tcPr>
            <w:tcW w:w="360" w:type="dxa"/>
            <w:vAlign w:val="bottom"/>
          </w:tcPr>
          <w:p>
            <w:pPr>
              <w:spacing w:after="0"/>
              <w:rPr>
                <w:sz w:val="23"/>
                <w:szCs w:val="23"/>
                <w:color w:val="auto"/>
              </w:rPr>
            </w:pPr>
          </w:p>
        </w:tc>
        <w:tc>
          <w:tcPr>
            <w:tcW w:w="1400" w:type="dxa"/>
            <w:vAlign w:val="bottom"/>
            <w:gridSpan w:val="2"/>
          </w:tcPr>
          <w:p>
            <w:pPr>
              <w:jc w:val="center"/>
              <w:ind w:right="23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74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gridSpan w:val="2"/>
          </w:tcPr>
          <w:p>
            <w:pPr>
              <w:jc w:val="center"/>
              <w:ind w:left="737"/>
              <w:spacing w:after="0"/>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54"/>
              <w:spacing w:after="0"/>
              <w:rPr>
                <w:sz w:val="20"/>
                <w:szCs w:val="20"/>
                <w:color w:val="auto"/>
              </w:rPr>
            </w:pPr>
            <w:r>
              <w:rPr>
                <w:rFonts w:ascii="Arial" w:cs="Arial" w:eastAsia="Arial" w:hAnsi="Arial"/>
                <w:sz w:val="14"/>
                <w:szCs w:val="14"/>
                <w:color w:val="auto"/>
                <w:w w:val="83"/>
              </w:rPr>
              <w:t>(Decrease)</w:t>
            </w: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220" w:type="dxa"/>
            <w:vAlign w:val="bottom"/>
          </w:tcPr>
          <w:p>
            <w:pPr>
              <w:jc w:val="right"/>
              <w:ind w:right="317"/>
              <w:spacing w:after="0" w:line="142" w:lineRule="exact"/>
              <w:rPr>
                <w:sz w:val="20"/>
                <w:szCs w:val="20"/>
                <w:color w:val="auto"/>
              </w:rPr>
            </w:pPr>
            <w:r>
              <w:rPr>
                <w:rFonts w:ascii="Arial" w:cs="Arial" w:eastAsia="Arial" w:hAnsi="Arial"/>
                <w:sz w:val="14"/>
                <w:szCs w:val="14"/>
                <w:color w:val="auto"/>
              </w:rPr>
              <w:t>2016</w:t>
            </w:r>
          </w:p>
        </w:tc>
        <w:tc>
          <w:tcPr>
            <w:tcW w:w="380" w:type="dxa"/>
            <w:vAlign w:val="bottom"/>
          </w:tcPr>
          <w:p>
            <w:pPr>
              <w:spacing w:after="0"/>
              <w:rPr>
                <w:sz w:val="12"/>
                <w:szCs w:val="12"/>
                <w:color w:val="auto"/>
              </w:rPr>
            </w:pPr>
          </w:p>
        </w:tc>
        <w:tc>
          <w:tcPr>
            <w:tcW w:w="660" w:type="dxa"/>
            <w:vAlign w:val="bottom"/>
          </w:tcPr>
          <w:p>
            <w:pPr>
              <w:jc w:val="right"/>
              <w:ind w:right="294"/>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Pr>
          <w:p>
            <w:pPr>
              <w:spacing w:after="0"/>
              <w:rPr>
                <w:sz w:val="12"/>
                <w:szCs w:val="12"/>
                <w:color w:val="auto"/>
              </w:rPr>
            </w:pPr>
          </w:p>
        </w:tc>
        <w:tc>
          <w:tcPr>
            <w:tcW w:w="620" w:type="dxa"/>
            <w:vAlign w:val="bottom"/>
          </w:tcPr>
          <w:p>
            <w:pPr>
              <w:jc w:val="right"/>
              <w:ind w:right="358"/>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$ 4,841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3,974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8"/>
              <w:spacing w:after="0"/>
              <w:rPr>
                <w:sz w:val="20"/>
                <w:szCs w:val="20"/>
                <w:color w:val="auto"/>
              </w:rPr>
            </w:pPr>
            <w:r>
              <w:rPr>
                <w:rFonts w:ascii="Arial" w:cs="Arial" w:eastAsia="Arial" w:hAnsi="Arial"/>
                <w:sz w:val="18"/>
                <w:szCs w:val="18"/>
                <w:color w:val="auto"/>
              </w:rPr>
              <w:t>867</w:t>
            </w: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Content licensing</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1,367</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4"/>
              </w:rPr>
              <w:t>1,342</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25</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Distribution and other</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1,091</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716</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375</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7,299</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w w:val="84"/>
              </w:rPr>
              <w:t>6,032</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8"/>
              <w:spacing w:after="0"/>
              <w:rPr>
                <w:sz w:val="20"/>
                <w:szCs w:val="20"/>
                <w:color w:val="auto"/>
              </w:rPr>
            </w:pPr>
            <w:r>
              <w:rPr>
                <w:rFonts w:ascii="Arial" w:cs="Arial" w:eastAsia="Arial" w:hAnsi="Arial"/>
                <w:sz w:val="18"/>
                <w:szCs w:val="18"/>
                <w:b w:val="1"/>
                <w:bCs w:val="1"/>
                <w:color w:val="auto"/>
                <w:w w:val="84"/>
              </w:rPr>
              <w:t>1,267</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22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4,872</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4"/>
              </w:rPr>
              <w:t>4,133</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8"/>
              <w:spacing w:after="0"/>
              <w:rPr>
                <w:sz w:val="20"/>
                <w:szCs w:val="20"/>
                <w:color w:val="auto"/>
              </w:rPr>
            </w:pPr>
            <w:r>
              <w:rPr>
                <w:rFonts w:ascii="Arial" w:cs="Arial" w:eastAsia="Arial" w:hAnsi="Arial"/>
                <w:sz w:val="18"/>
                <w:szCs w:val="18"/>
                <w:color w:val="auto"/>
              </w:rPr>
              <w:t>739</w:t>
            </w:r>
          </w:p>
        </w:tc>
        <w:tc>
          <w:tcPr>
            <w:tcW w:w="78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957</w:t>
            </w:r>
          </w:p>
        </w:tc>
        <w:tc>
          <w:tcPr>
            <w:tcW w:w="360" w:type="dxa"/>
            <w:vAlign w:val="bottom"/>
          </w:tcPr>
          <w:p>
            <w:pPr>
              <w:spacing w:after="0"/>
              <w:rPr>
                <w:sz w:val="18"/>
                <w:szCs w:val="18"/>
                <w:color w:val="auto"/>
              </w:rPr>
            </w:pPr>
          </w:p>
        </w:tc>
        <w:tc>
          <w:tcPr>
            <w:tcW w:w="620" w:type="dxa"/>
            <w:vAlign w:val="bottom"/>
          </w:tcPr>
          <w:p>
            <w:pPr>
              <w:jc w:val="right"/>
              <w:ind w:right="138"/>
              <w:spacing w:after="0"/>
              <w:rPr>
                <w:sz w:val="20"/>
                <w:szCs w:val="20"/>
                <w:color w:val="auto"/>
              </w:rPr>
            </w:pPr>
            <w:r>
              <w:rPr>
                <w:rFonts w:ascii="Arial" w:cs="Arial" w:eastAsia="Arial" w:hAnsi="Arial"/>
                <w:sz w:val="18"/>
                <w:szCs w:val="18"/>
                <w:color w:val="auto"/>
              </w:rPr>
              <w:t>67</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347</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379</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8"/>
              <w:spacing w:after="0"/>
              <w:rPr>
                <w:sz w:val="20"/>
                <w:szCs w:val="20"/>
                <w:color w:val="auto"/>
              </w:rPr>
            </w:pPr>
            <w:r>
              <w:rPr>
                <w:rFonts w:ascii="Arial" w:cs="Arial" w:eastAsia="Arial" w:hAnsi="Arial"/>
                <w:sz w:val="18"/>
                <w:szCs w:val="18"/>
                <w:color w:val="auto"/>
              </w:rPr>
              <w:t>(32)</w:t>
            </w:r>
          </w:p>
        </w:tc>
        <w:tc>
          <w:tcPr>
            <w:tcW w:w="7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6,243</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4"/>
              </w:rPr>
              <w:t>5,469</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774</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22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b w:val="1"/>
                <w:bCs w:val="1"/>
                <w:color w:val="auto"/>
              </w:rPr>
              <w:t>$ 1,056</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563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b w:val="1"/>
                <w:bCs w:val="1"/>
                <w:color w:val="auto"/>
              </w:rPr>
              <w:t>493</w:t>
            </w: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87.6%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Broadcast Television revenue increased for the three months ended September 30, 2016 compared to the same period in 2015 due to increases in advertising revenue and distribution and other revenue, which were partially offset by a decrease in content licensing revenue. Broadcast Television revenue increased for the nine months ended September 30, 2016 compared to the same period in 2015 due to increases in advertising revenue, distribution and other revenue, and content licensing revenue. The increases in advertising revenue were primarily due to our broadcast of the 2016 Rio Olympics. Advertising revenue also increased due to higher prices for advertising units sold, which was partially offset by declines in audience ratings. The increase in advertising revenue for the nine months ended September 30, 2016 was partially offset by additional advertising revenue in the prior year period associated with our broadcast of the 2015 Super Bowl. The increases in distribution and other revenue for the three and nine months ended September 30, 2016 were primarily due to our broadcast of the 2016 Rio Olympics, as well as increases in fees recognized under our retransmission consent agreements. The decrease in content licensing revenue for the three months ended September 30, 2016 was primarily due to the timing of content provided under our licensing agreements. Excluding $1.2 billion of revenue associated with our broadcast of the 2016 Rio Olympics, revenue decreased 3.6% for the three months ended September 30, 2016. Excluding the revenue associated with our broadcast of the 2016 Rio Olympics in the current year period and $376 million of revenue associated with our broadcast of the 2015 Super Bowl in the prior year period, revenue increased 8.0% for the nine months ended September 30, 2016.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costs and expenses increased for the three and nine months ended September 30, 2016 compared to the same periods in 2015 primarily due to increases in programming and production costs associated with our broadcast of the 2016 Rio Olympics. The increase for the nine months ended September 30, 2016 was partially offset by programming and production costs in the prior year period associated with our broadcast of the 2015 Super Bowl.</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3"/>
          </w:tcPr>
          <w:p>
            <w:pPr>
              <w:jc w:val="center"/>
              <w:ind w:right="274"/>
              <w:spacing w:after="0"/>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4"/>
                <w:szCs w:val="14"/>
                <w:color w:val="auto"/>
              </w:rPr>
            </w:pPr>
          </w:p>
        </w:tc>
        <w:tc>
          <w:tcPr>
            <w:tcW w:w="1440" w:type="dxa"/>
            <w:vAlign w:val="bottom"/>
            <w:gridSpan w:val="2"/>
          </w:tcPr>
          <w:p>
            <w:pPr>
              <w:jc w:val="center"/>
              <w:ind w:right="35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59"/>
        </w:trPr>
        <w:tc>
          <w:tcPr>
            <w:tcW w:w="7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left="217"/>
              <w:spacing w:after="0" w:line="159" w:lineRule="exact"/>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354"/>
              <w:spacing w:after="0" w:line="159" w:lineRule="exact"/>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700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886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(186)</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595</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99</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379</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(112)</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45</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b w:val="1"/>
                <w:bCs w:val="1"/>
                <w:color w:val="auto"/>
                <w:w w:val="93"/>
              </w:rPr>
              <w:t>1,792</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b w:val="1"/>
                <w:bCs w:val="1"/>
                <w:color w:val="auto"/>
                <w:w w:val="84"/>
              </w:rPr>
              <w:t>1,946</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b w:val="1"/>
                <w:bCs w:val="1"/>
                <w:color w:val="auto"/>
              </w:rPr>
              <w:t>(154)</w:t>
            </w:r>
          </w:p>
        </w:tc>
        <w:tc>
          <w:tcPr>
            <w:tcW w:w="820" w:type="dxa"/>
            <w:vAlign w:val="bottom"/>
          </w:tcPr>
          <w:p>
            <w:pPr>
              <w:jc w:val="right"/>
              <w:ind w:right="194"/>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rPr>
              <w:t>911</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(111)</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314</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221</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93</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325</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438</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(113)</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93"/>
              </w:rPr>
              <w:t>1,439</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84"/>
              </w:rPr>
              <w:t>1,570</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(131)</w:t>
            </w:r>
          </w:p>
        </w:tc>
        <w:tc>
          <w:tcPr>
            <w:tcW w:w="8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7"/>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353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376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(23)</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73"/>
        </w:trPr>
        <w:tc>
          <w:tcPr>
            <w:tcW w:w="7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gridSpan w:val="3"/>
          </w:tcPr>
          <w:p>
            <w:pPr>
              <w:jc w:val="center"/>
              <w:ind w:right="274"/>
              <w:spacing w:after="0"/>
              <w:rPr>
                <w:sz w:val="20"/>
                <w:szCs w:val="20"/>
                <w:color w:val="auto"/>
              </w:rPr>
            </w:pPr>
            <w:r>
              <w:rPr>
                <w:rFonts w:ascii="Arial" w:cs="Arial" w:eastAsia="Arial" w:hAnsi="Arial"/>
                <w:sz w:val="14"/>
                <w:szCs w:val="14"/>
                <w:color w:val="auto"/>
                <w:w w:val="89"/>
              </w:rPr>
              <w:t>Nine Months Ended</w:t>
            </w:r>
          </w:p>
        </w:tc>
        <w:tc>
          <w:tcPr>
            <w:tcW w:w="360" w:type="dxa"/>
            <w:vAlign w:val="bottom"/>
          </w:tcPr>
          <w:p>
            <w:pPr>
              <w:spacing w:after="0"/>
              <w:rPr>
                <w:sz w:val="23"/>
                <w:szCs w:val="23"/>
                <w:color w:val="auto"/>
              </w:rPr>
            </w:pPr>
          </w:p>
        </w:tc>
        <w:tc>
          <w:tcPr>
            <w:tcW w:w="1440" w:type="dxa"/>
            <w:vAlign w:val="bottom"/>
            <w:gridSpan w:val="2"/>
          </w:tcPr>
          <w:p>
            <w:pPr>
              <w:jc w:val="center"/>
              <w:ind w:right="354"/>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73"/>
        </w:trPr>
        <w:tc>
          <w:tcPr>
            <w:tcW w:w="73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left="217"/>
              <w:spacing w:after="0"/>
              <w:rPr>
                <w:sz w:val="20"/>
                <w:szCs w:val="20"/>
                <w:color w:val="auto"/>
              </w:rPr>
            </w:pPr>
            <w:r>
              <w:rPr>
                <w:rFonts w:ascii="Arial" w:cs="Arial" w:eastAsia="Arial" w:hAnsi="Arial"/>
                <w:sz w:val="14"/>
                <w:szCs w:val="14"/>
                <w:color w:val="auto"/>
                <w:w w:val="84"/>
              </w:rPr>
              <w:t>September 30</w:t>
            </w:r>
          </w:p>
        </w:tc>
        <w:tc>
          <w:tcPr>
            <w:tcW w:w="6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54"/>
              <w:spacing w:after="0"/>
              <w:rPr>
                <w:sz w:val="20"/>
                <w:szCs w:val="20"/>
                <w:color w:val="auto"/>
              </w:rPr>
            </w:pPr>
            <w:r>
              <w:rPr>
                <w:rFonts w:ascii="Arial" w:cs="Arial" w:eastAsia="Arial" w:hAnsi="Arial"/>
                <w:sz w:val="14"/>
                <w:szCs w:val="14"/>
                <w:color w:val="auto"/>
                <w:w w:val="86"/>
              </w:rPr>
              <w:t>(Decrease)</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color w:val="auto"/>
                <w:w w:val="83"/>
              </w:rPr>
              <w:t>2015</w:t>
            </w: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7"/>
              <w:spacing w:after="0"/>
              <w:rPr>
                <w:sz w:val="20"/>
                <w:szCs w:val="20"/>
                <w:color w:val="auto"/>
              </w:rPr>
            </w:pPr>
            <w:r>
              <w:rPr>
                <w:rFonts w:ascii="Arial" w:cs="Arial" w:eastAsia="Arial" w:hAnsi="Arial"/>
                <w:sz w:val="18"/>
                <w:szCs w:val="18"/>
                <w:color w:val="auto"/>
                <w:w w:val="93"/>
              </w:rPr>
              <w:t>1,233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2,663</w:t>
            </w:r>
          </w:p>
        </w:tc>
        <w:tc>
          <w:tcPr>
            <w:tcW w:w="980" w:type="dxa"/>
            <w:vAlign w:val="bottom"/>
            <w:gridSpan w:val="2"/>
          </w:tcPr>
          <w:p>
            <w:pPr>
              <w:jc w:val="right"/>
              <w:ind w:right="17"/>
              <w:spacing w:after="0"/>
              <w:rPr>
                <w:sz w:val="20"/>
                <w:szCs w:val="20"/>
                <w:color w:val="auto"/>
              </w:rPr>
            </w:pPr>
            <w:r>
              <w:rPr>
                <w:rFonts w:ascii="Arial" w:cs="Arial" w:eastAsia="Arial" w:hAnsi="Arial"/>
                <w:sz w:val="18"/>
                <w:szCs w:val="18"/>
                <w:color w:val="auto"/>
              </w:rPr>
              <w:t>$(1,430)</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w w:val="93"/>
              </w:rPr>
              <w:t>1,845</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w w:val="84"/>
              </w:rPr>
              <w:t>1,401</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444</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rPr>
              <w:t>783</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1,065</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(282)</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665</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529</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136</w:t>
            </w:r>
          </w:p>
        </w:tc>
        <w:tc>
          <w:tcPr>
            <w:tcW w:w="820" w:type="dxa"/>
            <w:vAlign w:val="bottom"/>
            <w:tcBorders>
              <w:bottom w:val="single" w:sz="8" w:color="auto"/>
            </w:tcBorders>
            <w:shd w:val="clear" w:color="auto" w:fill="E5E5E5"/>
          </w:tcPr>
          <w:p>
            <w:pPr>
              <w:jc w:val="right"/>
              <w:ind w:right="254"/>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b w:val="1"/>
                <w:bCs w:val="1"/>
                <w:color w:val="auto"/>
                <w:w w:val="93"/>
              </w:rPr>
              <w:t>4,526</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b w:val="1"/>
                <w:bCs w:val="1"/>
                <w:color w:val="auto"/>
                <w:w w:val="84"/>
              </w:rPr>
              <w:t>5,658</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b w:val="1"/>
                <w:bCs w:val="1"/>
                <w:color w:val="auto"/>
                <w:w w:val="87"/>
              </w:rPr>
              <w:t>(1,132)</w:t>
            </w:r>
          </w:p>
        </w:tc>
        <w:tc>
          <w:tcPr>
            <w:tcW w:w="820" w:type="dxa"/>
            <w:vAlign w:val="bottom"/>
          </w:tcPr>
          <w:p>
            <w:pPr>
              <w:jc w:val="right"/>
              <w:ind w:right="194"/>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costs and expenses</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Programming and production</w:t>
            </w:r>
          </w:p>
        </w:tc>
        <w:tc>
          <w:tcPr>
            <w:tcW w:w="520" w:type="dxa"/>
            <w:vAlign w:val="bottom"/>
          </w:tcPr>
          <w:p>
            <w:pPr>
              <w:spacing w:after="0"/>
              <w:rPr>
                <w:sz w:val="18"/>
                <w:szCs w:val="18"/>
                <w:color w:val="auto"/>
              </w:rPr>
            </w:pPr>
          </w:p>
        </w:tc>
        <w:tc>
          <w:tcPr>
            <w:tcW w:w="700" w:type="dxa"/>
            <w:vAlign w:val="bottom"/>
          </w:tcPr>
          <w:p>
            <w:pPr>
              <w:jc w:val="right"/>
              <w:ind w:right="177"/>
              <w:spacing w:after="0"/>
              <w:rPr>
                <w:sz w:val="20"/>
                <w:szCs w:val="20"/>
                <w:color w:val="auto"/>
              </w:rPr>
            </w:pPr>
            <w:r>
              <w:rPr>
                <w:rFonts w:ascii="Arial" w:cs="Arial" w:eastAsia="Arial" w:hAnsi="Arial"/>
                <w:sz w:val="18"/>
                <w:szCs w:val="18"/>
                <w:color w:val="auto"/>
                <w:w w:val="93"/>
              </w:rPr>
              <w:t>2,050</w:t>
            </w:r>
          </w:p>
        </w:tc>
        <w:tc>
          <w:tcPr>
            <w:tcW w:w="380" w:type="dxa"/>
            <w:vAlign w:val="bottom"/>
          </w:tcPr>
          <w:p>
            <w:pPr>
              <w:spacing w:after="0"/>
              <w:rPr>
                <w:sz w:val="18"/>
                <w:szCs w:val="18"/>
                <w:color w:val="auto"/>
              </w:rPr>
            </w:pPr>
          </w:p>
        </w:tc>
        <w:tc>
          <w:tcPr>
            <w:tcW w:w="660" w:type="dxa"/>
            <w:vAlign w:val="bottom"/>
          </w:tcPr>
          <w:p>
            <w:pPr>
              <w:jc w:val="right"/>
              <w:ind w:right="174"/>
              <w:spacing w:after="0"/>
              <w:rPr>
                <w:sz w:val="20"/>
                <w:szCs w:val="20"/>
                <w:color w:val="auto"/>
              </w:rPr>
            </w:pPr>
            <w:r>
              <w:rPr>
                <w:rFonts w:ascii="Arial" w:cs="Arial" w:eastAsia="Arial" w:hAnsi="Arial"/>
                <w:sz w:val="18"/>
                <w:szCs w:val="18"/>
                <w:color w:val="auto"/>
                <w:w w:val="84"/>
              </w:rPr>
              <w:t>2,671</w:t>
            </w:r>
          </w:p>
        </w:tc>
        <w:tc>
          <w:tcPr>
            <w:tcW w:w="36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(621)</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73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Other operating and administrative</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631</w:t>
            </w:r>
          </w:p>
        </w:tc>
        <w:tc>
          <w:tcPr>
            <w:tcW w:w="36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119</w:t>
            </w:r>
          </w:p>
        </w:tc>
        <w:tc>
          <w:tcPr>
            <w:tcW w:w="82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Advertising, marketing and promotion</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3"/>
              </w:rPr>
              <w:t>1,150</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4"/>
              </w:rPr>
              <w:t>1,265</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(115)</w:t>
            </w: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w w:val="93"/>
              </w:rPr>
              <w:t>3,950</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w w:val="84"/>
              </w:rPr>
              <w:t>4,567</w:t>
            </w:r>
          </w:p>
        </w:tc>
        <w:tc>
          <w:tcPr>
            <w:tcW w:w="3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(617)</w:t>
            </w:r>
          </w:p>
        </w:tc>
        <w:tc>
          <w:tcPr>
            <w:tcW w:w="82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7"/>
        </w:trPr>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576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4"/>
              </w:rPr>
              <w:t>1,091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(515)</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Filmed Entertainment revenue decreased for the three and nine months ended September 30, 2016 compared to the same periods in 2015 due to decreases in theatrical revenue and home entertainment revenue, which were partially offset by increases in content licensing revenue and other revenue. Total revenue included amounts attributable to DreamWorks for the period from August 22, 2016 through September 30, 2016. The decrease in theatrical revenue for the three months ended September 30, 2016 was primarily due to the strong performances of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xml:space="preserve"> in the prior year period, which were partially offset by the strong performance of </w:t>
      </w:r>
      <w:r>
        <w:rPr>
          <w:rFonts w:ascii="Arial" w:cs="Arial" w:eastAsia="Arial" w:hAnsi="Arial"/>
          <w:sz w:val="16"/>
          <w:szCs w:val="16"/>
          <w:i w:val="1"/>
          <w:iCs w:val="1"/>
          <w:color w:val="auto"/>
        </w:rPr>
        <w:t>The Secret Life of Pets</w:t>
      </w:r>
      <w:r>
        <w:rPr>
          <w:rFonts w:ascii="Arial" w:cs="Arial" w:eastAsia="Arial" w:hAnsi="Arial"/>
          <w:sz w:val="16"/>
          <w:szCs w:val="16"/>
          <w:color w:val="auto"/>
        </w:rPr>
        <w:t xml:space="preserve"> in the current year period. The decrease in theatrical revenue for the nine months ended September 30, 2016 was due to the strong performance in the prior year period of our larger film slate, which included </w:t>
      </w:r>
      <w:r>
        <w:rPr>
          <w:rFonts w:ascii="Arial" w:cs="Arial" w:eastAsia="Arial" w:hAnsi="Arial"/>
          <w:sz w:val="16"/>
          <w:szCs w:val="16"/>
          <w:i w:val="1"/>
          <w:iCs w:val="1"/>
          <w:color w:val="auto"/>
        </w:rPr>
        <w:t>Furious 7</w:t>
      </w:r>
      <w:r>
        <w:rPr>
          <w:rFonts w:ascii="Arial" w:cs="Arial" w:eastAsia="Arial" w:hAnsi="Arial"/>
          <w:sz w:val="16"/>
          <w:szCs w:val="16"/>
          <w:color w:val="auto"/>
        </w:rPr>
        <w:t xml:space="preserve">, </w:t>
      </w:r>
      <w:r>
        <w:rPr>
          <w:rFonts w:ascii="Arial" w:cs="Arial" w:eastAsia="Arial" w:hAnsi="Arial"/>
          <w:sz w:val="16"/>
          <w:szCs w:val="16"/>
          <w:i w:val="1"/>
          <w:iCs w:val="1"/>
          <w:color w:val="auto"/>
        </w:rPr>
        <w:t>Jurassic World</w:t>
      </w:r>
      <w:r>
        <w:rPr>
          <w:rFonts w:ascii="Arial" w:cs="Arial" w:eastAsia="Arial" w:hAnsi="Arial"/>
          <w:sz w:val="16"/>
          <w:szCs w:val="16"/>
          <w:color w:val="auto"/>
        </w:rPr>
        <w:t xml:space="preserve"> and </w:t>
      </w:r>
      <w:r>
        <w:rPr>
          <w:rFonts w:ascii="Arial" w:cs="Arial" w:eastAsia="Arial" w:hAnsi="Arial"/>
          <w:sz w:val="16"/>
          <w:szCs w:val="16"/>
          <w:i w:val="1"/>
          <w:iCs w:val="1"/>
          <w:color w:val="auto"/>
        </w:rPr>
        <w:t>Minions</w:t>
      </w:r>
      <w:r>
        <w:rPr>
          <w:rFonts w:ascii="Arial" w:cs="Arial" w:eastAsia="Arial" w:hAnsi="Arial"/>
          <w:sz w:val="16"/>
          <w:szCs w:val="16"/>
          <w:color w:val="auto"/>
        </w:rPr>
        <w:t>. The decreases in home entertainment revenue were primarily due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to the strong performance of several releases in the prior year period, including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w:t>
      </w:r>
      <w:r>
        <w:rPr>
          <w:rFonts w:ascii="Arial" w:cs="Arial" w:eastAsia="Arial" w:hAnsi="Arial"/>
          <w:sz w:val="18"/>
          <w:szCs w:val="18"/>
          <w:i w:val="1"/>
          <w:iCs w:val="1"/>
          <w:color w:val="auto"/>
        </w:rPr>
        <w:t>Pitch Perfect 2</w:t>
      </w:r>
      <w:r>
        <w:rPr>
          <w:rFonts w:ascii="Arial" w:cs="Arial" w:eastAsia="Arial" w:hAnsi="Arial"/>
          <w:sz w:val="18"/>
          <w:szCs w:val="18"/>
          <w:color w:val="auto"/>
        </w:rPr>
        <w:t>. The increases in content licensing revenue were primarily due to the timing of when content related to our 2015 film slate was made available under licensing agreements. The increases in other revenue were primarily due to increases in revenue from Fandango.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Operating costs and expenses decreased for the three and nine months ended September 30, 2016 compared to the same periods in 2015 primarily due to decreases in programming and production costs and advertising, marketing and promotion expenses, which were partially offset by increases in other operating and administrative expenses. Total operating costs and expenses included amounts attributable to DreamWorks for the period from August 22, 2016 through September 30, 2016, including $50 million related to severance costs. The decreases in programming and production costs were primarily due to lower amortization of film production costs in the current year periods due to our larger film slate in 2015, which included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Minions</w:t>
      </w:r>
      <w:r>
        <w:rPr>
          <w:rFonts w:ascii="Arial" w:cs="Arial" w:eastAsia="Arial" w:hAnsi="Arial"/>
          <w:sz w:val="18"/>
          <w:szCs w:val="18"/>
          <w:color w:val="auto"/>
        </w:rPr>
        <w:t>. The decreases in advertising, marketing and promotion expenses were primarily due to higher promotional costs associated with our larger film slate in the prior year periods.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Actual and Pro Forma Results of Operations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color w:val="auto"/>
                <w:w w:val="88"/>
              </w:rPr>
              <w:t>Three Months Ended September 30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w w:val="97"/>
              </w:rPr>
              <w:t>Increase/(Decrease)</w:t>
            </w:r>
          </w:p>
        </w:tc>
        <w:tc>
          <w:tcPr>
            <w:tcW w:w="640" w:type="dxa"/>
            <w:vAlign w:val="bottom"/>
            <w:tcBorders>
              <w:bottom w:val="single" w:sz="8" w:color="auto"/>
            </w:tcBorders>
          </w:tcPr>
          <w:p>
            <w:pPr>
              <w:spacing w:after="0"/>
              <w:rPr>
                <w:sz w:val="14"/>
                <w:szCs w:val="14"/>
                <w:color w:val="auto"/>
              </w:rPr>
            </w:pPr>
          </w:p>
        </w:tc>
      </w:tr>
      <w:tr>
        <w:trPr>
          <w:trHeight w:val="131"/>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Pro Forma</w:t>
            </w:r>
          </w:p>
        </w:tc>
      </w:tr>
      <w:tr>
        <w:trPr>
          <w:trHeight w:val="173"/>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42"/>
              <w:spacing w:after="0"/>
              <w:rPr>
                <w:sz w:val="20"/>
                <w:szCs w:val="20"/>
                <w:color w:val="auto"/>
              </w:rPr>
            </w:pPr>
            <w:r>
              <w:rPr>
                <w:rFonts w:ascii="Arial" w:cs="Arial" w:eastAsia="Arial" w:hAnsi="Arial"/>
                <w:sz w:val="14"/>
                <w:szCs w:val="14"/>
                <w:color w:val="auto"/>
                <w:w w:val="96"/>
              </w:rPr>
              <w:t>2016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ind w:left="360"/>
              <w:spacing w:after="0"/>
              <w:rPr>
                <w:sz w:val="20"/>
                <w:szCs w:val="20"/>
                <w:color w:val="auto"/>
              </w:rPr>
            </w:pPr>
            <w:r>
              <w:rPr>
                <w:rFonts w:ascii="Arial" w:cs="Arial" w:eastAsia="Arial" w:hAnsi="Arial"/>
                <w:sz w:val="14"/>
                <w:szCs w:val="14"/>
                <w:color w:val="auto"/>
              </w:rPr>
              <w:t>Actual</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Combined</w:t>
            </w:r>
          </w:p>
        </w:tc>
      </w:tr>
      <w:tr>
        <w:trPr>
          <w:trHeight w:val="131"/>
        </w:trPr>
        <w:tc>
          <w:tcPr>
            <w:tcW w:w="5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57"/>
              <w:spacing w:after="0" w:line="131" w:lineRule="exact"/>
              <w:rPr>
                <w:sz w:val="20"/>
                <w:szCs w:val="20"/>
                <w:color w:val="auto"/>
              </w:rPr>
            </w:pPr>
            <w:r>
              <w:rPr>
                <w:rFonts w:ascii="Arial" w:cs="Arial" w:eastAsia="Arial" w:hAnsi="Arial"/>
                <w:sz w:val="14"/>
                <w:szCs w:val="14"/>
                <w:color w:val="auto"/>
              </w:rPr>
              <w:t>Pro Forma</w:t>
            </w:r>
          </w:p>
        </w:tc>
        <w:tc>
          <w:tcPr>
            <w:tcW w:w="78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4"/>
                <w:szCs w:val="14"/>
                <w:color w:val="auto"/>
                <w:w w:val="99"/>
              </w:rPr>
              <w:t>Pro Forma</w:t>
            </w:r>
          </w:p>
        </w:tc>
        <w:tc>
          <w:tcPr>
            <w:tcW w:w="1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9"/>
        </w:trPr>
        <w:tc>
          <w:tcPr>
            <w:tcW w:w="554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3"/>
                <w:szCs w:val="13"/>
                <w:color w:val="auto"/>
              </w:rPr>
            </w:pP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rPr>
              <w:t>Actual</w:t>
            </w:r>
          </w:p>
        </w:tc>
        <w:tc>
          <w:tcPr>
            <w:tcW w:w="560" w:type="dxa"/>
            <w:vAlign w:val="bottom"/>
          </w:tcPr>
          <w:p>
            <w:pPr>
              <w:jc w:val="right"/>
              <w:ind w:right="17"/>
              <w:spacing w:after="0" w:line="159" w:lineRule="exact"/>
              <w:rPr>
                <w:sz w:val="20"/>
                <w:szCs w:val="20"/>
                <w:color w:val="auto"/>
              </w:rPr>
            </w:pPr>
            <w:r>
              <w:rPr>
                <w:rFonts w:ascii="Arial" w:cs="Arial" w:eastAsia="Arial" w:hAnsi="Arial"/>
                <w:sz w:val="14"/>
                <w:szCs w:val="14"/>
                <w:color w:val="auto"/>
              </w:rPr>
              <w:t>Actual</w:t>
            </w:r>
          </w:p>
        </w:tc>
        <w:tc>
          <w:tcPr>
            <w:tcW w:w="86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8"/>
              </w:rPr>
              <w:t>Adjustments</w:t>
            </w:r>
          </w:p>
        </w:tc>
        <w:tc>
          <w:tcPr>
            <w:tcW w:w="9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Combined</w:t>
            </w:r>
          </w:p>
        </w:tc>
        <w:tc>
          <w:tcPr>
            <w:tcW w:w="560" w:type="dxa"/>
            <w:vAlign w:val="bottom"/>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8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7"/>
              <w:spacing w:after="0" w:line="159" w:lineRule="exact"/>
              <w:rPr>
                <w:sz w:val="20"/>
                <w:szCs w:val="20"/>
                <w:color w:val="auto"/>
              </w:rPr>
            </w:pPr>
            <w:r>
              <w:rPr>
                <w:rFonts w:ascii="Arial" w:cs="Arial" w:eastAsia="Arial" w:hAnsi="Arial"/>
                <w:sz w:val="14"/>
                <w:szCs w:val="14"/>
                <w:color w:val="auto"/>
              </w:rPr>
              <w:t>%</w:t>
            </w:r>
          </w:p>
        </w:tc>
      </w:tr>
      <w:tr>
        <w:trPr>
          <w:trHeight w:val="210"/>
        </w:trPr>
        <w:tc>
          <w:tcPr>
            <w:tcW w:w="5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w w:val="93"/>
              </w:rPr>
              <w:t>1,440</w:t>
            </w:r>
          </w:p>
        </w:tc>
        <w:tc>
          <w:tcPr>
            <w:tcW w:w="180" w:type="dxa"/>
            <w:vAlign w:val="bottom"/>
            <w:tcBorders>
              <w:top w:val="single" w:sz="8" w:color="E5E5E5"/>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color w:val="auto"/>
              </w:rPr>
              <w:t>$896</w:t>
            </w:r>
          </w:p>
        </w:tc>
        <w:tc>
          <w:tcPr>
            <w:tcW w:w="28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3"/>
              </w:rPr>
              <w:t>1,239</w:t>
            </w:r>
          </w:p>
        </w:tc>
        <w:tc>
          <w:tcPr>
            <w:tcW w:w="180" w:type="dxa"/>
            <w:vAlign w:val="bottom"/>
            <w:tcBorders>
              <w:top w:val="single" w:sz="8" w:color="E5E5E5"/>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$544</w:t>
            </w:r>
          </w:p>
        </w:tc>
        <w:tc>
          <w:tcPr>
            <w:tcW w:w="6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7"/>
              </w:rPr>
              <w:t>60.6%</w:t>
            </w:r>
          </w:p>
        </w:tc>
        <w:tc>
          <w:tcPr>
            <w:tcW w:w="18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$201</w:t>
            </w:r>
          </w:p>
        </w:tc>
        <w:tc>
          <w:tcPr>
            <w:tcW w:w="640" w:type="dxa"/>
            <w:vAlign w:val="bottom"/>
            <w:tcBorders>
              <w:top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16.1%</w:t>
            </w:r>
          </w:p>
        </w:tc>
      </w:tr>
      <w:tr>
        <w:trPr>
          <w:trHeight w:val="216"/>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734</w:t>
            </w:r>
          </w:p>
        </w:tc>
        <w:tc>
          <w:tcPr>
            <w:tcW w:w="180" w:type="dxa"/>
            <w:vAlign w:val="bottom"/>
            <w:tcBorders>
              <w:bottom w:val="single" w:sz="8" w:color="E5E5E5"/>
            </w:tcBorders>
          </w:tcPr>
          <w:p>
            <w:pPr>
              <w:spacing w:after="0"/>
              <w:rPr>
                <w:sz w:val="18"/>
                <w:szCs w:val="18"/>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636</w:t>
            </w:r>
          </w:p>
        </w:tc>
        <w:tc>
          <w:tcPr>
            <w:tcW w:w="180" w:type="dxa"/>
            <w:vAlign w:val="bottom"/>
            <w:tcBorders>
              <w:bottom w:val="single" w:sz="8" w:color="E5E5E5"/>
            </w:tcBorders>
          </w:tcPr>
          <w:p>
            <w:pPr>
              <w:spacing w:after="0"/>
              <w:rPr>
                <w:sz w:val="18"/>
                <w:szCs w:val="18"/>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272</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59.0</w:t>
            </w:r>
          </w:p>
        </w:tc>
        <w:tc>
          <w:tcPr>
            <w:tcW w:w="180" w:type="dxa"/>
            <w:vAlign w:val="bottom"/>
            <w:tcBorders>
              <w:bottom w:val="single" w:sz="8" w:color="E5E5E5"/>
            </w:tcBorders>
          </w:tcPr>
          <w:p>
            <w:pPr>
              <w:spacing w:after="0"/>
              <w:rPr>
                <w:sz w:val="18"/>
                <w:szCs w:val="18"/>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98</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15.3</w:t>
            </w:r>
          </w:p>
        </w:tc>
      </w:tr>
      <w:tr>
        <w:trPr>
          <w:trHeight w:val="217"/>
        </w:trPr>
        <w:tc>
          <w:tcPr>
            <w:tcW w:w="5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1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706</w:t>
            </w:r>
          </w:p>
        </w:tc>
        <w:tc>
          <w:tcPr>
            <w:tcW w:w="180" w:type="dxa"/>
            <w:vAlign w:val="bottom"/>
            <w:tcBorders>
              <w:bottom w:val="single" w:sz="8" w:color="E5E5E5"/>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$434</w:t>
            </w:r>
          </w:p>
        </w:tc>
        <w:tc>
          <w:tcPr>
            <w:tcW w:w="28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169</w:t>
            </w:r>
          </w:p>
        </w:tc>
        <w:tc>
          <w:tcPr>
            <w:tcW w:w="2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603</w:t>
            </w:r>
          </w:p>
        </w:tc>
        <w:tc>
          <w:tcPr>
            <w:tcW w:w="180" w:type="dxa"/>
            <w:vAlign w:val="bottom"/>
            <w:tcBorders>
              <w:bottom w:val="single" w:sz="8" w:color="E5E5E5"/>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272</w:t>
            </w:r>
          </w:p>
        </w:tc>
        <w:tc>
          <w:tcPr>
            <w:tcW w:w="6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7"/>
              </w:rPr>
              <w:t>62.4%</w:t>
            </w:r>
          </w:p>
        </w:tc>
        <w:tc>
          <w:tcPr>
            <w:tcW w:w="180" w:type="dxa"/>
            <w:vAlign w:val="bottom"/>
            <w:tcBorders>
              <w:bottom w:val="single" w:sz="8" w:color="E5E5E5"/>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rPr>
              <w:t>$103</w:t>
            </w:r>
          </w:p>
        </w:tc>
        <w:tc>
          <w:tcPr>
            <w:tcW w:w="64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17.1%</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Increase/(Decrease)</w:t>
            </w:r>
          </w:p>
        </w:tc>
        <w:tc>
          <w:tcPr>
            <w:tcW w:w="640" w:type="dxa"/>
            <w:vAlign w:val="bottom"/>
            <w:tcBorders>
              <w:bottom w:val="single" w:sz="8" w:color="auto"/>
            </w:tcBorders>
          </w:tcPr>
          <w:p>
            <w:pPr>
              <w:spacing w:after="0"/>
              <w:rPr>
                <w:sz w:val="14"/>
                <w:szCs w:val="14"/>
                <w:color w:val="auto"/>
              </w:rPr>
            </w:pPr>
          </w:p>
        </w:tc>
      </w:tr>
      <w:tr>
        <w:trPr>
          <w:trHeight w:val="131"/>
        </w:trPr>
        <w:tc>
          <w:tcPr>
            <w:tcW w:w="5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Pro Forma</w:t>
            </w:r>
          </w:p>
        </w:tc>
      </w:tr>
      <w:tr>
        <w:trPr>
          <w:trHeight w:val="173"/>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02"/>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37"/>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ind w:left="420"/>
              <w:spacing w:after="0"/>
              <w:rPr>
                <w:sz w:val="20"/>
                <w:szCs w:val="20"/>
                <w:color w:val="auto"/>
              </w:rPr>
            </w:pPr>
            <w:r>
              <w:rPr>
                <w:rFonts w:ascii="Arial" w:cs="Arial" w:eastAsia="Arial" w:hAnsi="Arial"/>
                <w:sz w:val="14"/>
                <w:szCs w:val="14"/>
                <w:color w:val="auto"/>
              </w:rPr>
              <w:t>Actual</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Combined</w:t>
            </w:r>
          </w:p>
        </w:tc>
      </w:tr>
      <w:tr>
        <w:trPr>
          <w:trHeight w:val="131"/>
        </w:trPr>
        <w:tc>
          <w:tcPr>
            <w:tcW w:w="5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37"/>
              <w:spacing w:after="0" w:line="131" w:lineRule="exact"/>
              <w:rPr>
                <w:sz w:val="20"/>
                <w:szCs w:val="20"/>
                <w:color w:val="auto"/>
              </w:rPr>
            </w:pPr>
            <w:r>
              <w:rPr>
                <w:rFonts w:ascii="Arial" w:cs="Arial" w:eastAsia="Arial" w:hAnsi="Arial"/>
                <w:sz w:val="14"/>
                <w:szCs w:val="14"/>
                <w:color w:val="auto"/>
              </w:rPr>
              <w:t>Pro Forma</w:t>
            </w:r>
          </w:p>
        </w:tc>
        <w:tc>
          <w:tcPr>
            <w:tcW w:w="68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w w:val="96"/>
              </w:rPr>
              <w:t>Pro Forma</w:t>
            </w: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59"/>
        </w:trPr>
        <w:tc>
          <w:tcPr>
            <w:tcW w:w="52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3"/>
                <w:szCs w:val="13"/>
                <w:color w:val="auto"/>
              </w:rPr>
            </w:pPr>
          </w:p>
        </w:tc>
        <w:tc>
          <w:tcPr>
            <w:tcW w:w="78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Actual</w:t>
            </w:r>
          </w:p>
        </w:tc>
        <w:tc>
          <w:tcPr>
            <w:tcW w:w="660" w:type="dxa"/>
            <w:vAlign w:val="bottom"/>
          </w:tcPr>
          <w:p>
            <w:pPr>
              <w:jc w:val="right"/>
              <w:ind w:right="77"/>
              <w:spacing w:after="0" w:line="159" w:lineRule="exact"/>
              <w:rPr>
                <w:sz w:val="20"/>
                <w:szCs w:val="20"/>
                <w:color w:val="auto"/>
              </w:rPr>
            </w:pPr>
            <w:r>
              <w:rPr>
                <w:rFonts w:ascii="Arial" w:cs="Arial" w:eastAsia="Arial" w:hAnsi="Arial"/>
                <w:sz w:val="14"/>
                <w:szCs w:val="14"/>
                <w:color w:val="auto"/>
              </w:rPr>
              <w:t>Actual</w:t>
            </w:r>
          </w:p>
        </w:tc>
        <w:tc>
          <w:tcPr>
            <w:tcW w:w="940" w:type="dxa"/>
            <w:vAlign w:val="bottom"/>
            <w:gridSpan w:val="2"/>
          </w:tcPr>
          <w:p>
            <w:pPr>
              <w:jc w:val="right"/>
              <w:ind w:right="77"/>
              <w:spacing w:after="0" w:line="159" w:lineRule="exact"/>
              <w:rPr>
                <w:sz w:val="20"/>
                <w:szCs w:val="20"/>
                <w:color w:val="auto"/>
              </w:rPr>
            </w:pPr>
            <w:r>
              <w:rPr>
                <w:rFonts w:ascii="Arial" w:cs="Arial" w:eastAsia="Arial" w:hAnsi="Arial"/>
                <w:sz w:val="14"/>
                <w:szCs w:val="14"/>
                <w:color w:val="auto"/>
                <w:w w:val="98"/>
              </w:rPr>
              <w:t>Adjustments</w:t>
            </w:r>
          </w:p>
        </w:tc>
        <w:tc>
          <w:tcPr>
            <w:tcW w:w="86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Combined</w:t>
            </w:r>
          </w:p>
        </w:tc>
        <w:tc>
          <w:tcPr>
            <w:tcW w:w="680" w:type="dxa"/>
            <w:vAlign w:val="bottom"/>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8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77"/>
              <w:spacing w:after="0" w:line="159" w:lineRule="exact"/>
              <w:rPr>
                <w:sz w:val="20"/>
                <w:szCs w:val="20"/>
                <w:color w:val="auto"/>
              </w:rPr>
            </w:pPr>
            <w:r>
              <w:rPr>
                <w:rFonts w:ascii="Arial" w:cs="Arial" w:eastAsia="Arial" w:hAnsi="Arial"/>
                <w:sz w:val="14"/>
                <w:szCs w:val="14"/>
                <w:color w:val="auto"/>
              </w:rPr>
              <w:t>%</w:t>
            </w:r>
          </w:p>
        </w:tc>
      </w:tr>
      <w:tr>
        <w:trPr>
          <w:trHeight w:val="210"/>
        </w:trPr>
        <w:tc>
          <w:tcPr>
            <w:tcW w:w="52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3,602</w:t>
            </w:r>
          </w:p>
        </w:tc>
        <w:tc>
          <w:tcPr>
            <w:tcW w:w="160" w:type="dxa"/>
            <w:vAlign w:val="bottom"/>
            <w:tcBorders>
              <w:top w:val="single" w:sz="8" w:color="E5E5E5"/>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$2,320</w:t>
            </w:r>
          </w:p>
        </w:tc>
        <w:tc>
          <w:tcPr>
            <w:tcW w:w="260" w:type="dxa"/>
            <w:vAlign w:val="bottom"/>
            <w:tcBorders>
              <w:top w:val="single" w:sz="8" w:color="auto"/>
            </w:tcBorders>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color w:val="auto"/>
              </w:rPr>
              <w:t>882</w:t>
            </w:r>
          </w:p>
        </w:tc>
        <w:tc>
          <w:tcPr>
            <w:tcW w:w="16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3,202</w:t>
            </w:r>
          </w:p>
        </w:tc>
        <w:tc>
          <w:tcPr>
            <w:tcW w:w="180" w:type="dxa"/>
            <w:vAlign w:val="bottom"/>
            <w:tcBorders>
              <w:top w:val="single" w:sz="8" w:color="E5E5E5"/>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$1,282</w:t>
            </w:r>
          </w:p>
        </w:tc>
        <w:tc>
          <w:tcPr>
            <w:tcW w:w="64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8"/>
                <w:szCs w:val="18"/>
                <w:color w:val="auto"/>
                <w:w w:val="97"/>
              </w:rPr>
              <w:t>55.2%</w:t>
            </w:r>
          </w:p>
        </w:tc>
        <w:tc>
          <w:tcPr>
            <w:tcW w:w="180" w:type="dxa"/>
            <w:vAlign w:val="bottom"/>
            <w:tcBorders>
              <w:top w:val="single" w:sz="8" w:color="E5E5E5"/>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color w:val="auto"/>
              </w:rPr>
              <w:t>$400</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2,052</w:t>
            </w:r>
          </w:p>
        </w:tc>
        <w:tc>
          <w:tcPr>
            <w:tcW w:w="160" w:type="dxa"/>
            <w:vAlign w:val="bottom"/>
            <w:tcBorders>
              <w:bottom w:val="single" w:sz="8" w:color="E5E5E5"/>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483</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1,791</w:t>
            </w:r>
          </w:p>
        </w:tc>
        <w:tc>
          <w:tcPr>
            <w:tcW w:w="180" w:type="dxa"/>
            <w:vAlign w:val="bottom"/>
            <w:tcBorders>
              <w:bottom w:val="single" w:sz="8" w:color="E5E5E5"/>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56.9</w:t>
            </w:r>
          </w:p>
        </w:tc>
        <w:tc>
          <w:tcPr>
            <w:tcW w:w="180" w:type="dxa"/>
            <w:vAlign w:val="bottom"/>
            <w:tcBorders>
              <w:bottom w:val="single" w:sz="8" w:color="E5E5E5"/>
            </w:tcBorders>
          </w:tcPr>
          <w:p>
            <w:pPr>
              <w:spacing w:after="0"/>
              <w:rPr>
                <w:sz w:val="18"/>
                <w:szCs w:val="18"/>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261</w:t>
            </w: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14.6</w:t>
            </w:r>
          </w:p>
        </w:tc>
      </w:tr>
      <w:tr>
        <w:trPr>
          <w:trHeight w:val="217"/>
        </w:trPr>
        <w:tc>
          <w:tcPr>
            <w:tcW w:w="5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2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1,550</w:t>
            </w:r>
          </w:p>
        </w:tc>
        <w:tc>
          <w:tcPr>
            <w:tcW w:w="160" w:type="dxa"/>
            <w:vAlign w:val="bottom"/>
            <w:tcBorders>
              <w:bottom w:val="single" w:sz="8" w:color="E5E5E5"/>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$1,012</w:t>
            </w:r>
          </w:p>
        </w:tc>
        <w:tc>
          <w:tcPr>
            <w:tcW w:w="260" w:type="dxa"/>
            <w:vAlign w:val="bottom"/>
            <w:tcBorders>
              <w:bottom w:val="single" w:sz="8" w:color="auto"/>
            </w:tcBorders>
            <w:shd w:val="clear" w:color="auto" w:fill="E5E5E5"/>
          </w:tcPr>
          <w:p>
            <w:pPr>
              <w:jc w:val="right"/>
              <w:ind w:right="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399</w:t>
            </w:r>
          </w:p>
        </w:tc>
        <w:tc>
          <w:tcPr>
            <w:tcW w:w="1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1,411</w:t>
            </w:r>
          </w:p>
        </w:tc>
        <w:tc>
          <w:tcPr>
            <w:tcW w:w="180" w:type="dxa"/>
            <w:vAlign w:val="bottom"/>
            <w:tcBorders>
              <w:bottom w:val="single" w:sz="8" w:color="E5E5E5"/>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538</w:t>
            </w:r>
          </w:p>
        </w:tc>
        <w:tc>
          <w:tcPr>
            <w:tcW w:w="6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7"/>
              </w:rPr>
              <w:t>53.1%</w:t>
            </w:r>
          </w:p>
        </w:tc>
        <w:tc>
          <w:tcPr>
            <w:tcW w:w="180" w:type="dxa"/>
            <w:vAlign w:val="bottom"/>
            <w:tcBorders>
              <w:bottom w:val="single" w:sz="8" w:color="E5E5E5"/>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rPr>
              <w:t>$139</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9.8%</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Theme Parks revenue increased for the three and nine months ended September 30, 2016 compared to the pro forma combined revenue in the same periods in 2015 primarily due to increases in guest spending and higher guest attendance driven by the successful opening of </w:t>
      </w:r>
      <w:r>
        <w:rPr>
          <w:rFonts w:ascii="Arial" w:cs="Arial" w:eastAsia="Arial" w:hAnsi="Arial"/>
          <w:sz w:val="16"/>
          <w:szCs w:val="16"/>
          <w:i w:val="1"/>
          <w:iCs w:val="1"/>
          <w:color w:val="auto"/>
        </w:rPr>
        <w:t>The Wizarding World of Harry Potter</w:t>
      </w:r>
      <w:r>
        <w:rPr>
          <w:rFonts w:ascii="Arial" w:cs="Arial" w:eastAsia="Arial" w:hAnsi="Arial"/>
          <w:sz w:val="16"/>
          <w:szCs w:val="16"/>
          <w:color w:val="auto"/>
        </w:rPr>
        <w:t>™ attraction in Hollywood in April 2016, as well as the positive impact of foreign currency translation due to the strengthening of the Japanese yen. The strengthening of the Japanese yen accounted for approximately one-third of the increases in revenue for the three and nine months ended September 30,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Operating costs and expenses increased for the three and nine months ended September 30, 2016 compared to the pro forma combined operating costs and expenses in the same periods in 2015 primarily due to additional costs associated with newer attractions, such as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and </w:t>
      </w:r>
      <w:r>
        <w:rPr>
          <w:rFonts w:ascii="Arial" w:cs="Arial" w:eastAsia="Arial" w:hAnsi="Arial"/>
          <w:sz w:val="18"/>
          <w:szCs w:val="18"/>
          <w:i w:val="1"/>
          <w:iCs w:val="1"/>
          <w:color w:val="auto"/>
        </w:rPr>
        <w:t>Skull Island: Reign of Kong</w:t>
      </w:r>
      <w:r>
        <w:rPr>
          <w:rFonts w:ascii="Arial" w:cs="Arial" w:eastAsia="Arial" w:hAnsi="Arial"/>
          <w:sz w:val="18"/>
          <w:szCs w:val="18"/>
          <w:color w:val="auto"/>
        </w:rPr>
        <w:t>™ attraction in Orlando, as well as the impact of foreign currency translation due to the strengthening of the Japanese yen.</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strengthening of the Japanese yen accounted for approximately one-third of the increases in operating income before depreciation and amortization for the three and nine months ended September 30, 2016.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3"/>
          </w:tcPr>
          <w:p>
            <w:pPr>
              <w:jc w:val="center"/>
              <w:ind w:right="297"/>
              <w:spacing w:after="0"/>
              <w:rPr>
                <w:sz w:val="20"/>
                <w:szCs w:val="20"/>
                <w:color w:val="auto"/>
              </w:rPr>
            </w:pPr>
            <w:r>
              <w:rPr>
                <w:rFonts w:ascii="Arial" w:cs="Arial" w:eastAsia="Arial" w:hAnsi="Arial"/>
                <w:sz w:val="14"/>
                <w:szCs w:val="14"/>
                <w:color w:val="auto"/>
                <w:w w:val="87"/>
              </w:rPr>
              <w:t>Three Months Ended</w:t>
            </w:r>
          </w:p>
        </w:tc>
        <w:tc>
          <w:tcPr>
            <w:tcW w:w="1460" w:type="dxa"/>
            <w:vAlign w:val="bottom"/>
            <w:gridSpan w:val="2"/>
          </w:tcPr>
          <w:p>
            <w:pPr>
              <w:jc w:val="right"/>
              <w:ind w:right="45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left="242"/>
              <w:spacing w:after="0" w:line="159" w:lineRule="exact"/>
              <w:rPr>
                <w:sz w:val="20"/>
                <w:szCs w:val="20"/>
                <w:color w:val="auto"/>
              </w:rPr>
            </w:pPr>
            <w:r>
              <w:rPr>
                <w:rFonts w:ascii="Arial" w:cs="Arial" w:eastAsia="Arial" w:hAnsi="Arial"/>
                <w:sz w:val="14"/>
                <w:szCs w:val="14"/>
                <w:color w:val="auto"/>
                <w:w w:val="86"/>
              </w:rPr>
              <w:t>September 30</w:t>
            </w:r>
          </w:p>
        </w:tc>
        <w:tc>
          <w:tcPr>
            <w:tcW w:w="7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9"/>
              </w:rPr>
              <w:t>2016</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2015</w:t>
            </w:r>
          </w:p>
        </w:tc>
        <w:tc>
          <w:tcPr>
            <w:tcW w:w="74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167</w:t>
            </w: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  1</w:t>
            </w:r>
          </w:p>
        </w:tc>
        <w:tc>
          <w:tcPr>
            <w:tcW w:w="7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rPr>
              <w:t>391</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378</w:t>
            </w: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b w:val="1"/>
                <w:bCs w:val="1"/>
                <w:color w:val="auto"/>
              </w:rPr>
              <w:t>(223)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(211)</w:t>
            </w:r>
          </w:p>
        </w:tc>
        <w:tc>
          <w:tcPr>
            <w:tcW w:w="74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rPr>
              <w:t>$(12)</w:t>
            </w:r>
          </w:p>
        </w:tc>
        <w:tc>
          <w:tcPr>
            <w:tcW w:w="7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73"/>
        </w:trPr>
        <w:tc>
          <w:tcPr>
            <w:tcW w:w="7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0" w:type="dxa"/>
            <w:vAlign w:val="bottom"/>
            <w:gridSpan w:val="3"/>
          </w:tcPr>
          <w:p>
            <w:pPr>
              <w:jc w:val="center"/>
              <w:ind w:right="317"/>
              <w:spacing w:after="0"/>
              <w:rPr>
                <w:sz w:val="20"/>
                <w:szCs w:val="20"/>
                <w:color w:val="auto"/>
              </w:rPr>
            </w:pPr>
            <w:r>
              <w:rPr>
                <w:rFonts w:ascii="Arial" w:cs="Arial" w:eastAsia="Arial" w:hAnsi="Arial"/>
                <w:sz w:val="14"/>
                <w:szCs w:val="14"/>
                <w:color w:val="auto"/>
                <w:w w:val="87"/>
              </w:rPr>
              <w:t>Nine Months Ended</w:t>
            </w:r>
          </w:p>
        </w:tc>
        <w:tc>
          <w:tcPr>
            <w:tcW w:w="1460" w:type="dxa"/>
            <w:vAlign w:val="bottom"/>
            <w:gridSpan w:val="2"/>
          </w:tcPr>
          <w:p>
            <w:pPr>
              <w:jc w:val="right"/>
              <w:ind w:right="457"/>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59"/>
        </w:trPr>
        <w:tc>
          <w:tcPr>
            <w:tcW w:w="76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left="242"/>
              <w:spacing w:after="0" w:line="159" w:lineRule="exact"/>
              <w:rPr>
                <w:sz w:val="20"/>
                <w:szCs w:val="20"/>
                <w:color w:val="auto"/>
              </w:rPr>
            </w:pPr>
            <w:r>
              <w:rPr>
                <w:rFonts w:ascii="Arial" w:cs="Arial" w:eastAsia="Arial" w:hAnsi="Arial"/>
                <w:sz w:val="14"/>
                <w:szCs w:val="14"/>
                <w:color w:val="auto"/>
                <w:w w:val="86"/>
              </w:rPr>
              <w:t>September 30</w:t>
            </w:r>
          </w:p>
        </w:tc>
        <w:tc>
          <w:tcPr>
            <w:tcW w:w="7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9"/>
              </w:rPr>
              <w:t>2016</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color w:val="auto"/>
                <w:w w:val="83"/>
              </w:rPr>
              <w:t>2015</w:t>
            </w:r>
          </w:p>
        </w:tc>
        <w:tc>
          <w:tcPr>
            <w:tcW w:w="74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547</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524</w:t>
            </w:r>
          </w:p>
        </w:tc>
        <w:tc>
          <w:tcPr>
            <w:tcW w:w="740" w:type="dxa"/>
            <w:vAlign w:val="bottom"/>
            <w:shd w:val="clear" w:color="auto" w:fill="E5E5E5"/>
          </w:tcPr>
          <w:p>
            <w:pPr>
              <w:jc w:val="right"/>
              <w:ind w:right="102"/>
              <w:spacing w:after="0"/>
              <w:rPr>
                <w:sz w:val="20"/>
                <w:szCs w:val="20"/>
                <w:color w:val="auto"/>
              </w:rPr>
            </w:pPr>
            <w:r>
              <w:rPr>
                <w:rFonts w:ascii="Arial" w:cs="Arial" w:eastAsia="Arial" w:hAnsi="Arial"/>
                <w:sz w:val="18"/>
                <w:szCs w:val="18"/>
                <w:color w:val="auto"/>
              </w:rPr>
              <w:t>$ 23</w:t>
            </w:r>
          </w:p>
        </w:tc>
        <w:tc>
          <w:tcPr>
            <w:tcW w:w="7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color w:val="auto"/>
                <w:w w:val="93"/>
              </w:rPr>
              <w:t>1,215</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88"/>
              </w:rPr>
              <w:t>1,175</w:t>
            </w: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40</w:t>
            </w: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7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loss before depreciation and amortization</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42"/>
              <w:spacing w:after="0"/>
              <w:rPr>
                <w:sz w:val="20"/>
                <w:szCs w:val="20"/>
                <w:color w:val="auto"/>
              </w:rPr>
            </w:pPr>
            <w:r>
              <w:rPr>
                <w:rFonts w:ascii="Arial" w:cs="Arial" w:eastAsia="Arial" w:hAnsi="Arial"/>
                <w:sz w:val="18"/>
                <w:szCs w:val="18"/>
                <w:b w:val="1"/>
                <w:bCs w:val="1"/>
                <w:color w:val="auto"/>
              </w:rPr>
              <w:t>(668)</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b w:val="1"/>
                <w:bCs w:val="1"/>
                <w:color w:val="auto"/>
              </w:rPr>
              <w:t>(651)</w:t>
            </w:r>
          </w:p>
        </w:tc>
        <w:tc>
          <w:tcPr>
            <w:tcW w:w="740" w:type="dxa"/>
            <w:vAlign w:val="bottom"/>
            <w:tcBorders>
              <w:bottom w:val="single" w:sz="8" w:color="auto"/>
            </w:tcBorders>
            <w:shd w:val="clear" w:color="auto" w:fill="E5E5E5"/>
          </w:tcPr>
          <w:p>
            <w:pPr>
              <w:jc w:val="right"/>
              <w:ind w:right="42"/>
              <w:spacing w:after="0"/>
              <w:rPr>
                <w:sz w:val="20"/>
                <w:szCs w:val="20"/>
                <w:color w:val="auto"/>
              </w:rPr>
            </w:pPr>
            <w:r>
              <w:rPr>
                <w:rFonts w:ascii="Arial" w:cs="Arial" w:eastAsia="Arial" w:hAnsi="Arial"/>
                <w:sz w:val="18"/>
                <w:szCs w:val="18"/>
                <w:b w:val="1"/>
                <w:bCs w:val="1"/>
                <w:color w:val="auto"/>
              </w:rPr>
              <w:t>$(17)</w:t>
            </w:r>
          </w:p>
        </w:tc>
        <w:tc>
          <w:tcPr>
            <w:tcW w:w="7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Other revenue increased for the nine months ended September 30, 2016 compared to the same period in 2015 primarily due to increases in revenue from several of our Comcast Spectacor businesses.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and Other operating costs and expenses primarily includes overhead, personnel costs, the costs of corporate initiatives and branding, and operating costs and expenses associated with Comcast Spectacor.</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Corporate and Other operating costs and expenses increased for the three and nine months ended September 30, 2016 due to an increase in expenses related to corporate activities and initiatives. Corporate and Other operating costs and expenses for the nine months ended September 30, 2015 included $178 million of transaction-related costs associated with the Time Warner Cable merger and related divestiture transactions.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tcPr>
          <w:p>
            <w:pPr>
              <w:jc w:val="right"/>
              <w:ind w:right="356"/>
              <w:spacing w:after="0"/>
              <w:rPr>
                <w:sz w:val="20"/>
                <w:szCs w:val="20"/>
                <w:color w:val="auto"/>
              </w:rPr>
            </w:pPr>
            <w:r>
              <w:rPr>
                <w:rFonts w:ascii="Arial" w:cs="Arial" w:eastAsia="Arial" w:hAnsi="Arial"/>
                <w:sz w:val="14"/>
                <w:szCs w:val="14"/>
                <w:color w:val="auto"/>
                <w:w w:val="91"/>
              </w:rPr>
              <w:t>Three Months Ended</w:t>
            </w:r>
          </w:p>
        </w:tc>
        <w:tc>
          <w:tcPr>
            <w:tcW w:w="1720" w:type="dxa"/>
            <w:vAlign w:val="bottom"/>
            <w:gridSpan w:val="2"/>
          </w:tcPr>
          <w:p>
            <w:pPr>
              <w:jc w:val="right"/>
              <w:ind w:right="1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6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56"/>
              <w:spacing w:after="0" w:line="159" w:lineRule="exact"/>
              <w:rPr>
                <w:sz w:val="20"/>
                <w:szCs w:val="20"/>
                <w:color w:val="auto"/>
              </w:rPr>
            </w:pPr>
            <w:r>
              <w:rPr>
                <w:rFonts w:ascii="Arial" w:cs="Arial" w:eastAsia="Arial" w:hAnsi="Arial"/>
                <w:sz w:val="14"/>
                <w:szCs w:val="14"/>
                <w:color w:val="auto"/>
              </w:rPr>
              <w:t>September 30</w:t>
            </w:r>
          </w:p>
        </w:tc>
        <w:tc>
          <w:tcPr>
            <w:tcW w:w="1720" w:type="dxa"/>
            <w:vAlign w:val="bottom"/>
            <w:tcBorders>
              <w:bottom w:val="single" w:sz="8" w:color="auto"/>
            </w:tcBorders>
            <w:gridSpan w:val="2"/>
          </w:tcPr>
          <w:p>
            <w:pPr>
              <w:jc w:val="right"/>
              <w:ind w:right="376"/>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color w:val="auto"/>
                <w:w w:val="89"/>
              </w:rPr>
              <w:t>2016</w:t>
            </w: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color w:val="auto"/>
                <w:w w:val="89"/>
              </w:rPr>
              <w:t>2015</w:t>
            </w:r>
          </w:p>
        </w:tc>
        <w:tc>
          <w:tcPr>
            <w:tcW w:w="92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2016</w:t>
            </w:r>
          </w:p>
        </w:tc>
        <w:tc>
          <w:tcPr>
            <w:tcW w:w="8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62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00"/>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(659)</w:t>
            </w: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$(2,186)</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420" w:type="dxa"/>
            <w:vAlign w:val="bottom"/>
          </w:tcPr>
          <w:p>
            <w:pPr>
              <w:spacing w:after="0"/>
              <w:rPr>
                <w:sz w:val="18"/>
                <w:szCs w:val="18"/>
                <w:color w:val="auto"/>
              </w:rPr>
            </w:pPr>
          </w:p>
        </w:tc>
        <w:tc>
          <w:tcPr>
            <w:tcW w:w="680" w:type="dxa"/>
            <w:vAlign w:val="bottom"/>
          </w:tcPr>
          <w:p>
            <w:pPr>
              <w:jc w:val="right"/>
              <w:ind w:right="16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(26)</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168</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62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4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0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w:t>
            </w:r>
          </w:p>
        </w:tc>
        <w:tc>
          <w:tcPr>
            <w:tcW w:w="920" w:type="dxa"/>
            <w:vAlign w:val="bottom"/>
            <w:shd w:val="clear" w:color="auto" w:fill="E5E5E5"/>
          </w:tcPr>
          <w:p>
            <w:pPr>
              <w:jc w:val="right"/>
              <w:ind w:right="4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(53)</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104</w:t>
            </w: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7"/>
        </w:trPr>
        <w:tc>
          <w:tcPr>
            <w:tcW w:w="7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(716)</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(737)</w:t>
            </w:r>
          </w:p>
        </w:tc>
        <w:tc>
          <w:tcPr>
            <w:tcW w:w="920" w:type="dxa"/>
            <w:vAlign w:val="bottom"/>
            <w:tcBorders>
              <w:bottom w:val="single" w:sz="8" w:color="auto"/>
            </w:tcBorders>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$(1,978)</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$(1,842)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increased for the three and nine months ended September 30, 2016 compared to the same periods in 2015 primarily due to increases in our debt outstanding, including the Universal Studios Japan term loans. Interest expense for the nine months ended September 30, 2015 included $47 million of additional interest expense associated with the early redemption in June 2015 of our $750 million aggregate principal amount of 5.85% senior notes due November 2015 and our $1.0 billion aggregate principal amount of 5.90% senior notes due March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and nine months ended September 30, 2016 and 2015 are presented in a table in Note 6 to Comcast’s condensed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change in equity in net income (losses) of investees, net for the three months ended September 30, 2016 compared to the same period in 2015 was primarily due to an increase in our proportionate share of losses 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Hulu, LLC (“Hulu”), which was driven by Hulu’s higher programming and marketing costs. The change in equity in net income (losses) of investees, net for the nine months ended September 30, 2016 compared to the same period in 2015 was primarily due to an impairment charge related to goodwill recorded by The Weather Channel in the prior year period. We recorded an expense of $252 million in the prior year period representing NBCUniversal’s proportionate share of this impairment charge, which was partially offset by an increase in our proportionate share of net losses of Hulu and Atairos Group, Inc. in the current year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income (expense), net for the three months ended September 30, 2015 included a gain of $43 million related to an equity method investment, which was more than offset by $100 million of expenses related to fair value adjustments to contractual obligations.</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net for the nine months ended September 30, 2016 included a gain of $108 million related to the sale of our investment in The Weather Channel’s product and technology businesses. Other income (expense), net for the nine months ended September 30, 2015 included gains of $335 million on the sales of a business and an investment, $240 million on the settlement of a contingent consideration liability with General Electric Company related to the acquisition of NBCUniversal and $43 million related to an equity method investment, which were partially offset by $236 million of expenses related to fair value adjustments to contractual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and nine months ended September 30, 2016 and 2015 reflects an effective income tax rate that differs from the federal statutory rate primarily due to state income taxes and adjustments associated with uncertain tax positions. We expect our 2016 annual effective tax rate to be in the range of 37% to 39%, absent changes in tax laws or significant changes in uncertain tax positions.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60" w:type="dxa"/>
            <w:vAlign w:val="bottom"/>
            <w:gridSpan w:val="3"/>
          </w:tcPr>
          <w:p>
            <w:pPr>
              <w:jc w:val="right"/>
              <w:ind w:right="29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380" w:type="dxa"/>
            <w:vAlign w:val="bottom"/>
          </w:tcPr>
          <w:p>
            <w:pPr>
              <w:spacing w:after="0"/>
              <w:rPr>
                <w:sz w:val="13"/>
                <w:szCs w:val="13"/>
                <w:color w:val="auto"/>
              </w:rPr>
            </w:pPr>
          </w:p>
        </w:tc>
        <w:tc>
          <w:tcPr>
            <w:tcW w:w="2060" w:type="dxa"/>
            <w:vAlign w:val="bottom"/>
            <w:tcBorders>
              <w:bottom w:val="single" w:sz="8" w:color="auto"/>
            </w:tcBorders>
            <w:gridSpan w:val="3"/>
          </w:tcPr>
          <w:p>
            <w:pPr>
              <w:jc w:val="right"/>
              <w:ind w:right="45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auto"/>
            </w:tcBorders>
            <w:vMerge w:val="continue"/>
          </w:tcPr>
          <w:p>
            <w:pPr>
              <w:spacing w:after="0"/>
              <w:rPr>
                <w:sz w:val="12"/>
                <w:szCs w:val="12"/>
                <w:color w:val="auto"/>
              </w:rPr>
            </w:pPr>
          </w:p>
        </w:tc>
        <w:tc>
          <w:tcPr>
            <w:tcW w:w="4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color w:val="auto"/>
              </w:rPr>
              <w:t>2016</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5540" w:type="dxa"/>
            <w:vAlign w:val="bottom"/>
            <w:gridSpan w:val="2"/>
            <w:shd w:val="clear" w:color="auto" w:fill="E5E5E5"/>
          </w:tcPr>
          <w:p>
            <w:pPr>
              <w:jc w:val="right"/>
              <w:ind w:right="132"/>
              <w:spacing w:after="0"/>
              <w:rPr>
                <w:sz w:val="20"/>
                <w:szCs w:val="20"/>
                <w:color w:val="auto"/>
              </w:rPr>
            </w:pPr>
            <w:r>
              <w:rPr>
                <w:rFonts w:ascii="Arial" w:cs="Arial" w:eastAsia="Arial" w:hAnsi="Arial"/>
                <w:sz w:val="18"/>
                <w:szCs w:val="18"/>
                <w:color w:val="auto"/>
              </w:rPr>
              <w:t>$ 12,595</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4"/>
              </w:rPr>
              <w:t>11,996</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55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7,062</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0"/>
        </w:trPr>
        <w:tc>
          <w:tcPr>
            <w:tcW w:w="49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5540" w:type="dxa"/>
            <w:vAlign w:val="bottom"/>
            <w:gridSpan w:val="2"/>
            <w:shd w:val="clear" w:color="auto" w:fill="E5E5E5"/>
          </w:tcPr>
          <w:p>
            <w:pPr>
              <w:jc w:val="right"/>
              <w:ind w:right="132"/>
              <w:spacing w:after="0"/>
              <w:rPr>
                <w:sz w:val="20"/>
                <w:szCs w:val="20"/>
                <w:color w:val="auto"/>
              </w:rPr>
            </w:pPr>
            <w:r>
              <w:rPr>
                <w:rFonts w:ascii="Arial" w:cs="Arial" w:eastAsia="Arial" w:hAnsi="Arial"/>
                <w:sz w:val="18"/>
                <w:szCs w:val="18"/>
                <w:color w:val="auto"/>
              </w:rPr>
              <w:t>19,657</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4"/>
              </w:rPr>
              <w:t>18,406</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5540" w:type="dxa"/>
            <w:vAlign w:val="bottom"/>
            <w:gridSpan w:val="2"/>
          </w:tcPr>
          <w:p>
            <w:pPr>
              <w:jc w:val="right"/>
              <w:ind w:right="132"/>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5540" w:type="dxa"/>
            <w:vAlign w:val="bottom"/>
            <w:tcBorders>
              <w:bottom w:val="single" w:sz="8" w:color="auto"/>
            </w:tcBorders>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(1,874)</w:t>
            </w:r>
          </w:p>
        </w:tc>
        <w:tc>
          <w:tcPr>
            <w:tcW w:w="2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498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5540" w:type="dxa"/>
            <w:vAlign w:val="bottom"/>
            <w:gridSpan w:val="2"/>
          </w:tcPr>
          <w:p>
            <w:pPr>
              <w:jc w:val="right"/>
              <w:ind w:right="132"/>
              <w:spacing w:after="0"/>
              <w:rPr>
                <w:sz w:val="20"/>
                <w:szCs w:val="20"/>
                <w:color w:val="auto"/>
              </w:rPr>
            </w:pPr>
            <w:r>
              <w:rPr>
                <w:rFonts w:ascii="Arial" w:cs="Arial" w:eastAsia="Arial" w:hAnsi="Arial"/>
                <w:sz w:val="18"/>
                <w:szCs w:val="18"/>
                <w:color w:val="auto"/>
              </w:rPr>
              <w:t>18,278</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18,944</w:t>
            </w:r>
          </w:p>
        </w:tc>
        <w:tc>
          <w:tcPr>
            <w:tcW w:w="0" w:type="dxa"/>
            <w:vAlign w:val="bottom"/>
          </w:tcPr>
          <w:p>
            <w:pPr>
              <w:spacing w:after="0"/>
              <w:rPr>
                <w:sz w:val="1"/>
                <w:szCs w:val="1"/>
                <w:color w:val="auto"/>
              </w:rPr>
            </w:pPr>
          </w:p>
        </w:tc>
      </w:tr>
      <w:tr>
        <w:trPr>
          <w:trHeight w:val="216"/>
        </w:trPr>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5540" w:type="dxa"/>
            <w:vAlign w:val="bottom"/>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(2,043)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5540" w:type="dxa"/>
            <w:vAlign w:val="bottom"/>
            <w:gridSpan w:val="2"/>
          </w:tcPr>
          <w:p>
            <w:pPr>
              <w:jc w:val="right"/>
              <w:ind w:right="72"/>
              <w:spacing w:after="0"/>
              <w:rPr>
                <w:sz w:val="20"/>
                <w:szCs w:val="20"/>
                <w:color w:val="auto"/>
              </w:rPr>
            </w:pPr>
            <w:r>
              <w:rPr>
                <w:rFonts w:ascii="Arial" w:cs="Arial" w:eastAsia="Arial" w:hAnsi="Arial"/>
                <w:sz w:val="18"/>
                <w:szCs w:val="18"/>
                <w:color w:val="auto"/>
              </w:rPr>
              <w:t>(2,716)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4980" w:type="dxa"/>
            <w:vAlign w:val="bottom"/>
            <w:shd w:val="clear" w:color="auto" w:fill="E5E5E5"/>
          </w:tcPr>
          <w:p>
            <w:pPr>
              <w:spacing w:after="0"/>
              <w:rPr>
                <w:sz w:val="20"/>
                <w:szCs w:val="20"/>
                <w:color w:val="auto"/>
              </w:rPr>
            </w:pPr>
            <w:r>
              <w:rPr>
                <w:rFonts w:ascii="Arial" w:cs="Arial" w:eastAsia="Arial" w:hAnsi="Arial"/>
                <w:sz w:val="18"/>
                <w:szCs w:val="18"/>
                <w:color w:val="auto"/>
              </w:rPr>
              <w:t>Excess tax benefits under share-based compensation</w:t>
            </w:r>
          </w:p>
        </w:tc>
        <w:tc>
          <w:tcPr>
            <w:tcW w:w="5540" w:type="dxa"/>
            <w:vAlign w:val="bottom"/>
            <w:gridSpan w:val="2"/>
            <w:shd w:val="clear" w:color="auto" w:fill="E5E5E5"/>
          </w:tcPr>
          <w:p>
            <w:pPr>
              <w:jc w:val="right"/>
              <w:ind w:right="72"/>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55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4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540" w:type="dxa"/>
            <w:vAlign w:val="bottom"/>
            <w:tcBorders>
              <w:bottom w:val="single" w:sz="8" w:color="auto"/>
            </w:tcBorders>
            <w:gridSpan w:val="2"/>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$ 13,497</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94"/>
              </w:rPr>
              <w:t>13,813</w:t>
            </w:r>
          </w:p>
        </w:tc>
        <w:tc>
          <w:tcPr>
            <w:tcW w:w="0" w:type="dxa"/>
            <w:vAlign w:val="bottom"/>
          </w:tcPr>
          <w:p>
            <w:pPr>
              <w:spacing w:after="0"/>
              <w:rPr>
                <w:sz w:val="1"/>
                <w:szCs w:val="1"/>
                <w:color w:val="auto"/>
              </w:rPr>
            </w:pPr>
          </w:p>
        </w:tc>
      </w:tr>
      <w:tr>
        <w:trPr>
          <w:trHeight w:val="363"/>
        </w:trPr>
        <w:tc>
          <w:tcPr>
            <w:tcW w:w="4980" w:type="dxa"/>
            <w:vAlign w:val="bottom"/>
          </w:tcPr>
          <w:p>
            <w:pPr>
              <w:spacing w:after="0"/>
              <w:rPr>
                <w:sz w:val="24"/>
                <w:szCs w:val="24"/>
                <w:color w:val="auto"/>
              </w:rPr>
            </w:pPr>
          </w:p>
        </w:tc>
        <w:tc>
          <w:tcPr>
            <w:tcW w:w="4380" w:type="dxa"/>
            <w:vAlign w:val="bottom"/>
          </w:tcPr>
          <w:p>
            <w:pPr>
              <w:jc w:val="right"/>
              <w:ind w:right="3452"/>
              <w:spacing w:after="0"/>
              <w:rPr>
                <w:sz w:val="20"/>
                <w:szCs w:val="20"/>
                <w:color w:val="auto"/>
              </w:rPr>
            </w:pPr>
            <w:r>
              <w:rPr>
                <w:rFonts w:ascii="Arial" w:cs="Arial" w:eastAsia="Arial" w:hAnsi="Arial"/>
                <w:sz w:val="18"/>
                <w:szCs w:val="18"/>
                <w:color w:val="auto"/>
              </w:rPr>
              <w:t>41</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variance in changes in operating assets and liabilities for the nine months ended September 30, 2016 compared to the same period in 2015 was primarily due to the timing of collections on our receivables and recognition of deferred revenue associated with the broadcast of the 2016 Rio Olympics in August 2016; the timing of film and television production spending and related costs, net of amortization, including certain sports programming obligations; an increase in certain benefit payments; and the payment of a tax receivable agreement that DreamWorks previously entered into with one of its former stockholders in the current year period.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cash used in investing activities for the nine months ended September 30, 2016 consisted primarily of cash paid for capital expenditures, acquisitions, deposits, intangible assets and purchases of investments. Capital expenditures increased for the nine months ended September 30, 2016 compared to the same period in 2015 primarily due to increased spending in our Cable Communications segment associated with continued investment in scalable infrastructure to increase network capacity, increased investment in line extensions, and continued spending on customer premise equipment related to the deployment of our X1 platform and wireless gateways. Capital expenditures in our NBCUniversal segments also increased primarily due to continued investment in our Universal theme parks, including Universal Studios Japan. Acquisitions, net of cash acquired, increased for the nine months ended September 30, 2016 compared to the same period in 2015 primarily due to the acquisition of DreamWorks in August 2016. Purchases of investments decreased for the nine months ended September 30, 2016 compared to the same period in 2015. Purchases of investments included capital contributions of $399 million to Atairos Group, Inc. in the current year period and NBCUniversal’s additional investment in Vox Media, Inc. and acquisition of an interest in BuzzFeed, Inc. for $200 million each in the prior year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provided by financing activities for the nine months ended September 30, 2016 consisted primarily of proceeds from borrowings, which were partially offset by repurchases of our common stock, repayments of debt and dividend payments.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8 to Comcast’s condensed consolidated financial statements for additional information on our financing activities, including details of our debt repayments and borrowings.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8 to Comcast’s condensed consolidated financial statements for additional information on the new Comcast and NBCUniversal Enterprise revolving credit facilities.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2016, amounts available under the new consolidated revolving credit facilities, net of amounts outstanding under our commercial paper programs and outstanding letters of credit, totaled $6.6 billion, which included $408 million available under the NBCUniversal Enterprise revolving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January 1, 2016, our Board of Directors increased our share repurchase program authorization to $10 billion, which does not have an expiration date. Under the authorization, we may repurchase shares in the open market or in private transactions. During the nine months ended September 30, 2016, we repurchased a total of 61 million shares of our Class A common stock for approximately $3.8 billion. We expect to make $1.2 billion more in repurchases during the remainder of 2016, subject to market conditions.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our Board of Directors approved a 10.0% increase in our dividend to $1.10 per share on an annualized basis. In each of February, May and July 2016, our Board of Directors approved a quarterly dividend of $0.275 per share as part of our planned annual dividend. We expect to continue to pay quarterly dividends, although each dividend is subject to approval by our Board of Directors.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Dividends Declared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960" w:type="dxa"/>
            <w:vAlign w:val="bottom"/>
            <w:tcBorders>
              <w:bottom w:val="single" w:sz="8" w:color="auto"/>
            </w:tcBorders>
            <w:gridSpan w:val="2"/>
          </w:tcPr>
          <w:p>
            <w:pPr>
              <w:ind w:left="3140"/>
              <w:spacing w:after="0"/>
              <w:rPr>
                <w:sz w:val="20"/>
                <w:szCs w:val="20"/>
                <w:color w:val="auto"/>
              </w:rPr>
            </w:pPr>
            <w:r>
              <w:rPr>
                <w:rFonts w:ascii="Arial" w:cs="Arial" w:eastAsia="Arial" w:hAnsi="Arial"/>
                <w:sz w:val="14"/>
                <w:szCs w:val="14"/>
                <w:color w:val="auto"/>
              </w:rPr>
              <w:t>Amount</w:t>
            </w:r>
          </w:p>
        </w:tc>
        <w:tc>
          <w:tcPr>
            <w:tcW w:w="1400" w:type="dxa"/>
            <w:vAlign w:val="bottom"/>
            <w:tcBorders>
              <w:bottom w:val="single" w:sz="8" w:color="auto"/>
            </w:tcBorders>
          </w:tcPr>
          <w:p>
            <w:pPr>
              <w:jc w:val="center"/>
              <w:ind w:left="297"/>
              <w:spacing w:after="0"/>
              <w:rPr>
                <w:sz w:val="20"/>
                <w:szCs w:val="20"/>
                <w:color w:val="auto"/>
              </w:rPr>
            </w:pPr>
            <w:r>
              <w:rPr>
                <w:rFonts w:ascii="Arial" w:cs="Arial" w:eastAsia="Arial" w:hAnsi="Arial"/>
                <w:sz w:val="14"/>
                <w:szCs w:val="14"/>
                <w:color w:val="auto"/>
                <w:w w:val="89"/>
              </w:rPr>
              <w:t>Month of Payment</w:t>
            </w:r>
          </w:p>
        </w:tc>
      </w:tr>
      <w:tr>
        <w:trPr>
          <w:trHeight w:val="210"/>
        </w:trPr>
        <w:tc>
          <w:tcPr>
            <w:tcW w:w="6060" w:type="dxa"/>
            <w:vAlign w:val="bottom"/>
            <w:shd w:val="clear" w:color="auto" w:fill="E5E5E5"/>
          </w:tcPr>
          <w:p>
            <w:pPr>
              <w:spacing w:after="0"/>
              <w:rPr>
                <w:sz w:val="20"/>
                <w:szCs w:val="20"/>
                <w:color w:val="auto"/>
              </w:rPr>
            </w:pPr>
            <w:r>
              <w:rPr>
                <w:rFonts w:ascii="Arial" w:cs="Arial" w:eastAsia="Arial" w:hAnsi="Arial"/>
                <w:sz w:val="18"/>
                <w:szCs w:val="18"/>
                <w:color w:val="auto"/>
              </w:rPr>
              <w:t>Three months ended March 31, 2016</w:t>
            </w:r>
          </w:p>
        </w:tc>
        <w:tc>
          <w:tcPr>
            <w:tcW w:w="3280" w:type="dxa"/>
            <w:vAlign w:val="bottom"/>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w w:val="99"/>
              </w:rPr>
              <w:t>670</w:t>
            </w:r>
          </w:p>
        </w:tc>
        <w:tc>
          <w:tcPr>
            <w:tcW w:w="1400" w:type="dxa"/>
            <w:vAlign w:val="bottom"/>
            <w:shd w:val="clear" w:color="auto" w:fill="E5E5E5"/>
          </w:tcPr>
          <w:p>
            <w:pPr>
              <w:jc w:val="center"/>
              <w:ind w:left="297"/>
              <w:spacing w:after="0"/>
              <w:rPr>
                <w:sz w:val="20"/>
                <w:szCs w:val="20"/>
                <w:color w:val="auto"/>
              </w:rPr>
            </w:pPr>
            <w:r>
              <w:rPr>
                <w:rFonts w:ascii="Arial" w:cs="Arial" w:eastAsia="Arial" w:hAnsi="Arial"/>
                <w:sz w:val="18"/>
                <w:szCs w:val="18"/>
                <w:color w:val="auto"/>
              </w:rPr>
              <w:t>April</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Three months ended June 30, 2016</w:t>
            </w:r>
          </w:p>
        </w:tc>
        <w:tc>
          <w:tcPr>
            <w:tcW w:w="3280" w:type="dxa"/>
            <w:vAlign w:val="bottom"/>
          </w:tcPr>
          <w:p>
            <w:pPr>
              <w:ind w:left="3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72"/>
              <w:spacing w:after="0"/>
              <w:rPr>
                <w:sz w:val="20"/>
                <w:szCs w:val="20"/>
                <w:color w:val="auto"/>
              </w:rPr>
            </w:pPr>
            <w:r>
              <w:rPr>
                <w:rFonts w:ascii="Arial" w:cs="Arial" w:eastAsia="Arial" w:hAnsi="Arial"/>
                <w:sz w:val="18"/>
                <w:szCs w:val="18"/>
                <w:color w:val="auto"/>
                <w:w w:val="99"/>
              </w:rPr>
              <w:t>663</w:t>
            </w:r>
          </w:p>
        </w:tc>
        <w:tc>
          <w:tcPr>
            <w:tcW w:w="1400" w:type="dxa"/>
            <w:vAlign w:val="bottom"/>
          </w:tcPr>
          <w:p>
            <w:pPr>
              <w:jc w:val="center"/>
              <w:ind w:left="297"/>
              <w:spacing w:after="0"/>
              <w:rPr>
                <w:sz w:val="20"/>
                <w:szCs w:val="20"/>
                <w:color w:val="auto"/>
              </w:rPr>
            </w:pPr>
            <w:r>
              <w:rPr>
                <w:rFonts w:ascii="Arial" w:cs="Arial" w:eastAsia="Arial" w:hAnsi="Arial"/>
                <w:sz w:val="18"/>
                <w:szCs w:val="18"/>
                <w:color w:val="auto"/>
                <w:w w:val="93"/>
              </w:rPr>
              <w:t>July</w:t>
            </w:r>
          </w:p>
        </w:tc>
      </w:tr>
      <w:tr>
        <w:trPr>
          <w:trHeight w:val="216"/>
        </w:trPr>
        <w:tc>
          <w:tcPr>
            <w:tcW w:w="60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Three months ended September 30, 2016</w:t>
            </w:r>
          </w:p>
        </w:tc>
        <w:tc>
          <w:tcPr>
            <w:tcW w:w="3280" w:type="dxa"/>
            <w:vAlign w:val="bottom"/>
            <w:tcBorders>
              <w:bottom w:val="single" w:sz="8" w:color="auto"/>
            </w:tcBorders>
            <w:shd w:val="clear" w:color="auto" w:fill="E5E5E5"/>
          </w:tcPr>
          <w:p>
            <w:pPr>
              <w:ind w:left="3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w w:val="99"/>
              </w:rPr>
              <w:t>658</w:t>
            </w:r>
          </w:p>
        </w:tc>
        <w:tc>
          <w:tcPr>
            <w:tcW w:w="1400" w:type="dxa"/>
            <w:vAlign w:val="bottom"/>
            <w:tcBorders>
              <w:bottom w:val="single" w:sz="8" w:color="auto"/>
            </w:tcBorders>
            <w:shd w:val="clear" w:color="auto" w:fill="E5E5E5"/>
          </w:tcPr>
          <w:p>
            <w:pPr>
              <w:jc w:val="center"/>
              <w:ind w:left="317"/>
              <w:spacing w:after="0"/>
              <w:rPr>
                <w:sz w:val="20"/>
                <w:szCs w:val="20"/>
                <w:color w:val="auto"/>
              </w:rPr>
            </w:pPr>
            <w:r>
              <w:rPr>
                <w:rFonts w:ascii="Arial" w:cs="Arial" w:eastAsia="Arial" w:hAnsi="Arial"/>
                <w:sz w:val="18"/>
                <w:szCs w:val="18"/>
                <w:color w:val="auto"/>
                <w:w w:val="87"/>
              </w:rPr>
              <w:t>October</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judgments and related estimates associated with the valuation and impairment testing of our cable franchise rights and accounting for film and television costs are critical in the preparation of our condensed consolidated financial statements. We performed our annual impairment testing of our cable franchise rights as of July 1, 2016 and no impairment charge was required.</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2015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12 to Comcast’s condensed consolidated financial statements included in this Quarterly Report on Form 10-Q for a discussion of legal proceedings.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2015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table below summarizes Comcast’s common stock repurchases under its Board-authorized share repurchase program during the three months ended September 30, 2016.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center"/>
              <w:ind w:right="283"/>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920" w:type="dxa"/>
            <w:vAlign w:val="bottom"/>
          </w:tcPr>
          <w:p>
            <w:pPr>
              <w:spacing w:after="0"/>
              <w:rPr>
                <w:sz w:val="12"/>
                <w:szCs w:val="12"/>
                <w:color w:val="auto"/>
              </w:rPr>
            </w:pPr>
          </w:p>
        </w:tc>
        <w:tc>
          <w:tcPr>
            <w:tcW w:w="2400" w:type="dxa"/>
            <w:vAlign w:val="bottom"/>
          </w:tcPr>
          <w:p>
            <w:pPr>
              <w:jc w:val="center"/>
              <w:ind w:left="962"/>
              <w:spacing w:after="0" w:line="149" w:lineRule="exact"/>
              <w:rPr>
                <w:sz w:val="20"/>
                <w:szCs w:val="20"/>
                <w:color w:val="auto"/>
              </w:rPr>
            </w:pPr>
            <w:r>
              <w:rPr>
                <w:rFonts w:ascii="Arial" w:cs="Arial" w:eastAsia="Arial" w:hAnsi="Arial"/>
                <w:sz w:val="14"/>
                <w:szCs w:val="14"/>
                <w:color w:val="auto"/>
                <w:w w:val="89"/>
              </w:rPr>
              <w:t>Total</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 of</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920" w:type="dxa"/>
            <w:vAlign w:val="bottom"/>
          </w:tcPr>
          <w:p>
            <w:pPr>
              <w:spacing w:after="0"/>
              <w:rPr>
                <w:sz w:val="12"/>
                <w:szCs w:val="12"/>
                <w:color w:val="auto"/>
              </w:rPr>
            </w:pPr>
          </w:p>
        </w:tc>
        <w:tc>
          <w:tcPr>
            <w:tcW w:w="2400" w:type="dxa"/>
            <w:vAlign w:val="bottom"/>
          </w:tcPr>
          <w:p>
            <w:pPr>
              <w:jc w:val="center"/>
              <w:ind w:left="942"/>
              <w:spacing w:after="0" w:line="149" w:lineRule="exact"/>
              <w:rPr>
                <w:sz w:val="20"/>
                <w:szCs w:val="20"/>
                <w:color w:val="auto"/>
              </w:rPr>
            </w:pPr>
            <w:r>
              <w:rPr>
                <w:rFonts w:ascii="Arial" w:cs="Arial" w:eastAsia="Arial" w:hAnsi="Arial"/>
                <w:sz w:val="14"/>
                <w:szCs w:val="14"/>
                <w:color w:val="auto"/>
                <w:w w:val="88"/>
              </w:rPr>
              <w:t>Number of</w:t>
            </w:r>
          </w:p>
        </w:tc>
        <w:tc>
          <w:tcPr>
            <w:tcW w:w="360" w:type="dxa"/>
            <w:vAlign w:val="bottom"/>
          </w:tcPr>
          <w:p>
            <w:pPr>
              <w:spacing w:after="0"/>
              <w:rPr>
                <w:sz w:val="12"/>
                <w:szCs w:val="12"/>
                <w:color w:val="auto"/>
              </w:rPr>
            </w:pPr>
          </w:p>
        </w:tc>
        <w:tc>
          <w:tcPr>
            <w:tcW w:w="680" w:type="dxa"/>
            <w:vAlign w:val="bottom"/>
          </w:tcPr>
          <w:p>
            <w:pPr>
              <w:jc w:val="center"/>
              <w:ind w:right="281"/>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w:t>
            </w:r>
          </w:p>
        </w:tc>
        <w:tc>
          <w:tcPr>
            <w:tcW w:w="360" w:type="dxa"/>
            <w:vAlign w:val="bottom"/>
          </w:tcPr>
          <w:p>
            <w:pPr>
              <w:spacing w:after="0"/>
              <w:rPr>
                <w:sz w:val="12"/>
                <w:szCs w:val="12"/>
                <w:color w:val="auto"/>
              </w:rPr>
            </w:pPr>
          </w:p>
        </w:tc>
        <w:tc>
          <w:tcPr>
            <w:tcW w:w="1280" w:type="dxa"/>
            <w:vAlign w:val="bottom"/>
          </w:tcPr>
          <w:p>
            <w:pPr>
              <w:jc w:val="center"/>
              <w:ind w:right="28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2920" w:type="dxa"/>
            <w:vAlign w:val="bottom"/>
          </w:tcPr>
          <w:p>
            <w:pPr>
              <w:spacing w:after="0"/>
              <w:rPr>
                <w:sz w:val="12"/>
                <w:szCs w:val="12"/>
                <w:color w:val="auto"/>
              </w:rPr>
            </w:pPr>
          </w:p>
        </w:tc>
        <w:tc>
          <w:tcPr>
            <w:tcW w:w="2400" w:type="dxa"/>
            <w:vAlign w:val="bottom"/>
          </w:tcPr>
          <w:p>
            <w:pPr>
              <w:jc w:val="center"/>
              <w:ind w:left="962"/>
              <w:spacing w:after="0" w:line="146" w:lineRule="exact"/>
              <w:rPr>
                <w:sz w:val="20"/>
                <w:szCs w:val="20"/>
                <w:color w:val="auto"/>
              </w:rPr>
            </w:pPr>
            <w:r>
              <w:rPr>
                <w:rFonts w:ascii="Arial" w:cs="Arial" w:eastAsia="Arial" w:hAnsi="Arial"/>
                <w:sz w:val="14"/>
                <w:szCs w:val="14"/>
                <w:color w:val="auto"/>
                <w:w w:val="81"/>
              </w:rPr>
              <w:t>Shares</w:t>
            </w:r>
          </w:p>
        </w:tc>
        <w:tc>
          <w:tcPr>
            <w:tcW w:w="360" w:type="dxa"/>
            <w:vAlign w:val="bottom"/>
          </w:tcPr>
          <w:p>
            <w:pPr>
              <w:spacing w:after="0"/>
              <w:rPr>
                <w:sz w:val="12"/>
                <w:szCs w:val="12"/>
                <w:color w:val="auto"/>
              </w:rPr>
            </w:pPr>
          </w:p>
        </w:tc>
        <w:tc>
          <w:tcPr>
            <w:tcW w:w="680" w:type="dxa"/>
            <w:vAlign w:val="bottom"/>
          </w:tcPr>
          <w:p>
            <w:pPr>
              <w:jc w:val="center"/>
              <w:ind w:right="301"/>
              <w:spacing w:after="0" w:line="146"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46" w:lineRule="exact"/>
              <w:rPr>
                <w:sz w:val="20"/>
                <w:szCs w:val="20"/>
                <w:color w:val="auto"/>
              </w:rPr>
            </w:pPr>
            <w:r>
              <w:rPr>
                <w:rFonts w:ascii="Arial" w:cs="Arial" w:eastAsia="Arial" w:hAnsi="Arial"/>
                <w:sz w:val="14"/>
                <w:szCs w:val="14"/>
                <w:color w:val="auto"/>
                <w:w w:val="90"/>
              </w:rPr>
              <w:t>as Part of Publicly</w:t>
            </w:r>
          </w:p>
        </w:tc>
        <w:tc>
          <w:tcPr>
            <w:tcW w:w="360" w:type="dxa"/>
            <w:vAlign w:val="bottom"/>
          </w:tcPr>
          <w:p>
            <w:pPr>
              <w:spacing w:after="0"/>
              <w:rPr>
                <w:sz w:val="12"/>
                <w:szCs w:val="12"/>
                <w:color w:val="auto"/>
              </w:rPr>
            </w:pPr>
          </w:p>
        </w:tc>
        <w:tc>
          <w:tcPr>
            <w:tcW w:w="1280" w:type="dxa"/>
            <w:vAlign w:val="bottom"/>
          </w:tcPr>
          <w:p>
            <w:pPr>
              <w:jc w:val="center"/>
              <w:ind w:right="303"/>
              <w:spacing w:after="0" w:line="146"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400" w:type="dxa"/>
            <w:vAlign w:val="bottom"/>
            <w:tcBorders>
              <w:bottom w:val="single" w:sz="8" w:color="auto"/>
            </w:tcBorders>
          </w:tcPr>
          <w:p>
            <w:pPr>
              <w:jc w:val="center"/>
              <w:ind w:left="962"/>
              <w:spacing w:after="0"/>
              <w:rPr>
                <w:sz w:val="20"/>
                <w:szCs w:val="20"/>
                <w:color w:val="auto"/>
              </w:rPr>
            </w:pPr>
            <w:r>
              <w:rPr>
                <w:rFonts w:ascii="Arial" w:cs="Arial" w:eastAsia="Arial" w:hAnsi="Arial"/>
                <w:sz w:val="14"/>
                <w:szCs w:val="14"/>
                <w:color w:val="auto"/>
                <w:w w:val="83"/>
              </w:rPr>
              <w:t>Purchased</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July 1-31, 2016</w:t>
            </w:r>
          </w:p>
        </w:tc>
        <w:tc>
          <w:tcPr>
            <w:tcW w:w="240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01"/>
              <w:spacing w:after="0"/>
              <w:rPr>
                <w:sz w:val="20"/>
                <w:szCs w:val="20"/>
                <w:color w:val="auto"/>
              </w:rPr>
            </w:pPr>
            <w:r>
              <w:rPr>
                <w:rFonts w:ascii="Arial" w:cs="Arial" w:eastAsia="Arial" w:hAnsi="Arial"/>
                <w:sz w:val="18"/>
                <w:szCs w:val="18"/>
                <w:color w:val="auto"/>
              </w:rPr>
              <w:t>—</w:t>
            </w:r>
          </w:p>
        </w:tc>
        <w:tc>
          <w:tcPr>
            <w:tcW w:w="1920" w:type="dxa"/>
            <w:vAlign w:val="bottom"/>
            <w:shd w:val="clear" w:color="auto" w:fill="E5E5E5"/>
          </w:tcPr>
          <w:p>
            <w:pPr>
              <w:jc w:val="right"/>
              <w:ind w:right="18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$ 7,614,882,661</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August 1-31, 2016</w:t>
            </w:r>
          </w:p>
        </w:tc>
        <w:tc>
          <w:tcPr>
            <w:tcW w:w="2400" w:type="dxa"/>
            <w:vAlign w:val="bottom"/>
          </w:tcPr>
          <w:p>
            <w:pPr>
              <w:jc w:val="right"/>
              <w:ind w:right="182"/>
              <w:spacing w:after="0"/>
              <w:rPr>
                <w:sz w:val="20"/>
                <w:szCs w:val="20"/>
                <w:color w:val="auto"/>
              </w:rPr>
            </w:pPr>
            <w:r>
              <w:rPr>
                <w:rFonts w:ascii="Arial" w:cs="Arial" w:eastAsia="Arial" w:hAnsi="Arial"/>
                <w:sz w:val="18"/>
                <w:szCs w:val="18"/>
                <w:color w:val="auto"/>
              </w:rPr>
              <w:t>10,333,595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01"/>
              <w:spacing w:after="0"/>
              <w:rPr>
                <w:sz w:val="20"/>
                <w:szCs w:val="20"/>
                <w:color w:val="auto"/>
              </w:rPr>
            </w:pPr>
            <w:r>
              <w:rPr>
                <w:rFonts w:ascii="Arial" w:cs="Arial" w:eastAsia="Arial" w:hAnsi="Arial"/>
                <w:sz w:val="18"/>
                <w:szCs w:val="18"/>
                <w:color w:val="auto"/>
                <w:w w:val="84"/>
              </w:rPr>
              <w:t>66.42</w:t>
            </w:r>
          </w:p>
        </w:tc>
        <w:tc>
          <w:tcPr>
            <w:tcW w:w="1920" w:type="dxa"/>
            <w:vAlign w:val="bottom"/>
          </w:tcPr>
          <w:p>
            <w:pPr>
              <w:jc w:val="right"/>
              <w:ind w:right="182"/>
              <w:spacing w:after="0"/>
              <w:rPr>
                <w:sz w:val="20"/>
                <w:szCs w:val="20"/>
                <w:color w:val="auto"/>
              </w:rPr>
            </w:pPr>
            <w:r>
              <w:rPr>
                <w:rFonts w:ascii="Arial" w:cs="Arial" w:eastAsia="Arial" w:hAnsi="Arial"/>
                <w:sz w:val="18"/>
                <w:szCs w:val="18"/>
                <w:color w:val="auto"/>
              </w:rPr>
              <w:t>10,333,595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83"/>
              <w:spacing w:after="0"/>
              <w:rPr>
                <w:sz w:val="20"/>
                <w:szCs w:val="20"/>
                <w:color w:val="auto"/>
              </w:rPr>
            </w:pPr>
            <w:r>
              <w:rPr>
                <w:rFonts w:ascii="Arial" w:cs="Arial" w:eastAsia="Arial" w:hAnsi="Arial"/>
                <w:sz w:val="18"/>
                <w:szCs w:val="18"/>
                <w:color w:val="auto"/>
                <w:w w:val="99"/>
              </w:rPr>
              <w:t>686,364,257</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$ 6,928,518,404</w:t>
            </w:r>
          </w:p>
        </w:tc>
      </w:tr>
      <w:tr>
        <w:trPr>
          <w:trHeight w:val="216"/>
        </w:trPr>
        <w:tc>
          <w:tcPr>
            <w:tcW w:w="2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September 1-30, 2016</w:t>
            </w:r>
          </w:p>
        </w:tc>
        <w:tc>
          <w:tcPr>
            <w:tcW w:w="240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10,502,806</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jc w:val="right"/>
              <w:ind w:right="201"/>
              <w:spacing w:after="0"/>
              <w:rPr>
                <w:sz w:val="20"/>
                <w:szCs w:val="20"/>
                <w:color w:val="auto"/>
              </w:rPr>
            </w:pPr>
            <w:r>
              <w:rPr>
                <w:rFonts w:ascii="Arial" w:cs="Arial" w:eastAsia="Arial" w:hAnsi="Arial"/>
                <w:sz w:val="18"/>
                <w:szCs w:val="18"/>
                <w:color w:val="auto"/>
                <w:w w:val="84"/>
              </w:rPr>
              <w:t>65.72</w:t>
            </w:r>
          </w:p>
        </w:tc>
        <w:tc>
          <w:tcPr>
            <w:tcW w:w="1920" w:type="dxa"/>
            <w:vAlign w:val="bottom"/>
            <w:tcBorders>
              <w:bottom w:val="single" w:sz="8" w:color="auto"/>
            </w:tcBorders>
            <w:shd w:val="clear" w:color="auto" w:fill="E5E5E5"/>
          </w:tcPr>
          <w:p>
            <w:pPr>
              <w:jc w:val="right"/>
              <w:ind w:right="182"/>
              <w:spacing w:after="0"/>
              <w:rPr>
                <w:sz w:val="20"/>
                <w:szCs w:val="20"/>
                <w:color w:val="auto"/>
              </w:rPr>
            </w:pPr>
            <w:r>
              <w:rPr>
                <w:rFonts w:ascii="Arial" w:cs="Arial" w:eastAsia="Arial" w:hAnsi="Arial"/>
                <w:sz w:val="18"/>
                <w:szCs w:val="18"/>
                <w:color w:val="auto"/>
              </w:rPr>
              <w:t>10,502,693</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99"/>
              </w:rPr>
              <w:t>690,211,481</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$ 6,238,306,923</w:t>
            </w:r>
          </w:p>
        </w:tc>
      </w:tr>
      <w:tr>
        <w:trPr>
          <w:trHeight w:val="21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40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20,836,401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w w:val="84"/>
              </w:rPr>
              <w:t>66.07</w:t>
            </w:r>
          </w:p>
        </w:tc>
        <w:tc>
          <w:tcPr>
            <w:tcW w:w="1920" w:type="dxa"/>
            <w:vAlign w:val="bottom"/>
            <w:tcBorders>
              <w:bottom w:val="single" w:sz="8" w:color="auto"/>
            </w:tcBorders>
          </w:tcPr>
          <w:p>
            <w:pPr>
              <w:jc w:val="right"/>
              <w:ind w:right="182"/>
              <w:spacing w:after="0"/>
              <w:rPr>
                <w:sz w:val="20"/>
                <w:szCs w:val="20"/>
                <w:color w:val="auto"/>
              </w:rPr>
            </w:pPr>
            <w:r>
              <w:rPr>
                <w:rFonts w:ascii="Arial" w:cs="Arial" w:eastAsia="Arial" w:hAnsi="Arial"/>
                <w:sz w:val="18"/>
                <w:szCs w:val="18"/>
                <w:b w:val="1"/>
                <w:bCs w:val="1"/>
                <w:color w:val="auto"/>
              </w:rPr>
              <w:t>20,836,288</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6"/>
              </w:rPr>
              <w:t>1,376,575,738</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$ 6,238,306,923</w:t>
            </w:r>
          </w:p>
        </w:tc>
      </w:tr>
    </w:tbl>
    <w:p>
      <w:pPr>
        <w:spacing w:after="0" w:line="57" w:lineRule="exact"/>
        <w:rPr>
          <w:sz w:val="20"/>
          <w:szCs w:val="20"/>
          <w:color w:val="auto"/>
        </w:rPr>
      </w:pPr>
    </w:p>
    <w:p>
      <w:pPr>
        <w:ind w:left="340" w:hanging="332"/>
        <w:spacing w:after="0" w:line="31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Effective January 1, 2016, our Board of Directors increased our share repurchase authorization to $10 billion, which does not have an expiration date. Under this authorization, we may repurchase shares in the open market or in private transactions. We expect to make $1.2 billion more in repurchases during the remainder of 2016, subject to market conditions.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shares purchased during the three months ended September 30, 2016 includes 113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w:t>
      </w:r>
      <w:r>
        <w:rPr>
          <w:rFonts w:ascii="Arial" w:cs="Arial" w:eastAsia="Arial" w:hAnsi="Arial"/>
          <w:sz w:val="16"/>
          <w:szCs w:val="16"/>
          <w:i w:val="1"/>
          <w:iCs w:val="1"/>
          <w:color w:val="auto"/>
        </w:rPr>
        <w:t>de minimis</w:t>
      </w:r>
      <w:r>
        <w:rPr>
          <w:rFonts w:ascii="Arial" w:cs="Arial" w:eastAsia="Arial" w:hAnsi="Arial"/>
          <w:sz w:val="16"/>
          <w:szCs w:val="16"/>
          <w:color w:val="auto"/>
        </w:rPr>
        <w:t>. As of the date of this report, we are not aware of any activity, transaction or dealing during the three months ended September 30, 2016 that requires disclosure under the Act, except with respect to a January 2016 licensing agreement by a non-U.S. subsidiary of DreamWorks prior to our August 2016 DreamWorks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conducted its licensing activity in compliance with applicable laws and that the license is for the permissible exportation of informational materials pursuant to certain statutory and regulatory exemptions from U.S. sanctions.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Exhibit</w:t>
      </w:r>
    </w:p>
    <w:p>
      <w:pPr>
        <w:ind w:left="20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hanging="722"/>
        <w:spacing w:after="0" w:line="249"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3 to Employment Agreement with Stephen B. Burke, dated as of July 25, 2016 (incorporated by reference to exhibit 99.1 to Comcast’s Current Report on Form 8-K filed on July 28, 2016).</w:t>
      </w:r>
    </w:p>
    <w:p>
      <w:pPr>
        <w:spacing w:after="0" w:line="1"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and Chief Financial Officer pursuant to Section 302 of the Sarbanes-Oxley Act of 2002.</w:t>
      </w:r>
    </w:p>
    <w:p>
      <w:pPr>
        <w:spacing w:after="0" w:line="9"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724"/>
        <w:spacing w:after="0" w:line="292" w:lineRule="auto"/>
        <w:tabs>
          <w:tab w:leader="none" w:pos="8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nine months ended September 30, 2016, filed with the Securities and Exchange Commission on October 26, 2016,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10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w:t>
      </w:r>
      <w:r>
        <w:rPr>
          <w:rFonts w:ascii="Arial" w:cs="Arial" w:eastAsia="Arial" w:hAnsi="Arial"/>
          <w:sz w:val="12"/>
          <w:szCs w:val="12"/>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Executive Officer and Principal Financial Officer pursuant to Section 302 of the Sarbanes-Oxley Act of 2002.</w:t>
      </w:r>
    </w:p>
    <w:p>
      <w:pPr>
        <w:spacing w:after="0" w:line="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20" w:hanging="724"/>
        <w:spacing w:after="0" w:line="281"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nine months ended September 30, 2016, filed with the Securities and Exchange Commission on October 26, 2016, formatted in XBRL (eXtensible Business Reporting Language):</w:t>
      </w:r>
    </w:p>
    <w:p>
      <w:pPr>
        <w:spacing w:after="0" w:line="1" w:lineRule="exact"/>
        <w:rPr>
          <w:rFonts w:ascii="Arial" w:cs="Arial" w:eastAsia="Arial" w:hAnsi="Arial"/>
          <w:sz w:val="16"/>
          <w:szCs w:val="16"/>
          <w:color w:val="auto"/>
        </w:rPr>
      </w:pPr>
    </w:p>
    <w:p>
      <w:pPr>
        <w:jc w:val="both"/>
        <w:ind w:left="820"/>
        <w:spacing w:after="0" w:line="255" w:lineRule="auto"/>
        <w:rPr>
          <w:rFonts w:ascii="Arial" w:cs="Arial" w:eastAsia="Arial" w:hAnsi="Arial"/>
          <w:sz w:val="16"/>
          <w:szCs w:val="16"/>
          <w:color w:val="auto"/>
        </w:rPr>
      </w:pPr>
      <w:r>
        <w:rPr>
          <w:rFonts w:ascii="Arial" w:cs="Arial" w:eastAsia="Arial" w:hAnsi="Arial"/>
          <w:sz w:val="18"/>
          <w:szCs w:val="18"/>
          <w:color w:val="auto"/>
        </w:rPr>
        <w:t>(i)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2016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10795</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auto"/>
            </w:tcBorders>
            <w:gridSpan w:val="7"/>
          </w:tcPr>
          <w:p>
            <w:pPr>
              <w:spacing w:after="0"/>
              <w:rPr>
                <w:sz w:val="20"/>
                <w:szCs w:val="20"/>
                <w:color w:val="auto"/>
              </w:rPr>
            </w:pPr>
            <w:r>
              <w:rPr>
                <w:rFonts w:ascii="Arial" w:cs="Arial" w:eastAsia="Arial" w:hAnsi="Arial"/>
                <w:sz w:val="14"/>
                <w:szCs w:val="14"/>
                <w:color w:val="auto"/>
              </w:rPr>
              <w:t>Index</w:t>
            </w:r>
          </w:p>
        </w:tc>
        <w:tc>
          <w:tcPr>
            <w:tcW w:w="6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Page</w:t>
            </w:r>
          </w:p>
        </w:tc>
      </w:tr>
      <w:tr>
        <w:trPr>
          <w:trHeight w:val="169"/>
        </w:trPr>
        <w:tc>
          <w:tcPr>
            <w:tcW w:w="5020" w:type="dxa"/>
            <w:vAlign w:val="bottom"/>
            <w:gridSpan w:val="7"/>
          </w:tcPr>
          <w:p>
            <w:pPr>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Condensed Consolidated Balance Sheet</w:t>
              </w:r>
            </w:hyperlink>
          </w:p>
        </w:tc>
        <w:tc>
          <w:tcPr>
            <w:tcW w:w="6400" w:type="dxa"/>
            <w:vAlign w:val="bottom"/>
          </w:tcPr>
          <w:p>
            <w:pPr>
              <w:jc w:val="right"/>
              <w:ind w:right="15"/>
              <w:spacing w:after="0" w:line="170" w:lineRule="exact"/>
              <w:rPr>
                <w:sz w:val="20"/>
                <w:szCs w:val="20"/>
                <w:color w:val="auto"/>
              </w:rPr>
            </w:pPr>
            <w:r>
              <w:rPr>
                <w:rFonts w:ascii="Arial" w:cs="Arial" w:eastAsia="Arial" w:hAnsi="Arial"/>
                <w:sz w:val="18"/>
                <w:szCs w:val="18"/>
                <w:color w:val="auto"/>
              </w:rPr>
              <w:t>48</w:t>
            </w:r>
          </w:p>
        </w:tc>
      </w:tr>
      <w:tr>
        <w:trPr>
          <w:trHeight w:val="20"/>
        </w:trPr>
        <w:tc>
          <w:tcPr>
            <w:tcW w:w="28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Condensed Consolidated Statement of Income</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49</w:t>
            </w: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Condensed Consolidated Statement of Comprehensive Income</w:t>
              </w:r>
            </w:hyperlink>
          </w:p>
        </w:tc>
        <w:tc>
          <w:tcPr>
            <w:tcW w:w="600" w:type="dxa"/>
            <w:vAlign w:val="bottom"/>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50</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Condensed Consolidated Statement of Cash Flows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51</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Condensed Consolidated Statement of Changes in Equity</w:t>
              </w:r>
            </w:hyperlink>
          </w:p>
        </w:tc>
        <w:tc>
          <w:tcPr>
            <w:tcW w:w="980" w:type="dxa"/>
            <w:vAlign w:val="bottom"/>
            <w:gridSpan w:val="2"/>
          </w:tcPr>
          <w:p>
            <w:pPr>
              <w:spacing w:after="0"/>
              <w:rPr>
                <w:sz w:val="17"/>
                <w:szCs w:val="17"/>
                <w:color w:val="auto"/>
              </w:rPr>
            </w:pPr>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52</w:t>
            </w:r>
          </w:p>
        </w:tc>
      </w:tr>
      <w:tr>
        <w:trPr>
          <w:trHeight w:val="196"/>
        </w:trPr>
        <w:tc>
          <w:tcPr>
            <w:tcW w:w="502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Condensed Consolidated Financial Statements</w:t>
              </w:r>
            </w:hyperlink>
          </w:p>
        </w:tc>
        <w:tc>
          <w:tcPr>
            <w:tcW w:w="6400" w:type="dxa"/>
            <w:vAlign w:val="bottom"/>
          </w:tcPr>
          <w:p>
            <w:pPr>
              <w:jc w:val="right"/>
              <w:ind w:right="15"/>
              <w:spacing w:after="0" w:line="196" w:lineRule="exact"/>
              <w:rPr>
                <w:sz w:val="20"/>
                <w:szCs w:val="20"/>
                <w:color w:val="auto"/>
              </w:rPr>
            </w:pPr>
            <w:r>
              <w:rPr>
                <w:rFonts w:ascii="Arial" w:cs="Arial" w:eastAsia="Arial" w:hAnsi="Arial"/>
                <w:sz w:val="18"/>
                <w:szCs w:val="18"/>
                <w:color w:val="auto"/>
              </w:rPr>
              <w:t>53</w:t>
            </w:r>
          </w:p>
        </w:tc>
      </w:tr>
      <w:tr>
        <w:trPr>
          <w:trHeight w:val="61"/>
        </w:trPr>
        <w:tc>
          <w:tcPr>
            <w:tcW w:w="280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300" w:type="dxa"/>
            <w:vAlign w:val="bottom"/>
            <w:tcBorders>
              <w:top w:val="single" w:sz="8" w:color="0000EE"/>
              <w:bottom w:val="single" w:sz="8" w:color="auto"/>
            </w:tcBorders>
          </w:tcPr>
          <w:p>
            <w:pPr>
              <w:spacing w:after="0"/>
              <w:rPr>
                <w:sz w:val="5"/>
                <w:szCs w:val="5"/>
                <w:color w:val="auto"/>
              </w:rPr>
            </w:pPr>
          </w:p>
        </w:tc>
        <w:tc>
          <w:tcPr>
            <w:tcW w:w="340" w:type="dxa"/>
            <w:vAlign w:val="bottom"/>
            <w:tcBorders>
              <w:top w:val="single" w:sz="8" w:color="0000EE"/>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400" w:type="dxa"/>
            <w:vAlign w:val="bottom"/>
            <w:tcBorders>
              <w:bottom w:val="single" w:sz="8" w:color="auto"/>
            </w:tcBorders>
          </w:tcPr>
          <w:p>
            <w:pPr>
              <w:spacing w:after="0"/>
              <w:rPr>
                <w:sz w:val="5"/>
                <w:szCs w:val="5"/>
                <w:color w:val="auto"/>
              </w:rPr>
            </w:pPr>
          </w:p>
        </w:tc>
      </w:tr>
      <w:tr>
        <w:trPr>
          <w:trHeight w:val="383"/>
        </w:trPr>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0" w:type="dxa"/>
            <w:vAlign w:val="bottom"/>
          </w:tcPr>
          <w:p>
            <w:pPr>
              <w:jc w:val="right"/>
              <w:ind w:right="5515"/>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880" w:type="dxa"/>
            <w:vAlign w:val="bottom"/>
            <w:gridSpan w:val="2"/>
          </w:tcPr>
          <w:p>
            <w:pPr>
              <w:ind w:left="1720"/>
              <w:spacing w:after="0"/>
              <w:rPr>
                <w:sz w:val="20"/>
                <w:szCs w:val="20"/>
                <w:color w:val="auto"/>
              </w:rPr>
            </w:pPr>
            <w:r>
              <w:rPr>
                <w:rFonts w:ascii="Arial" w:cs="Arial" w:eastAsia="Arial" w:hAnsi="Arial"/>
                <w:sz w:val="14"/>
                <w:szCs w:val="14"/>
                <w:color w:val="auto"/>
              </w:rPr>
              <w:t>September 30,</w:t>
            </w: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730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880" w:type="dxa"/>
            <w:vAlign w:val="bottom"/>
          </w:tcPr>
          <w:p>
            <w:pPr>
              <w:spacing w:after="0"/>
              <w:rPr>
                <w:sz w:val="13"/>
                <w:szCs w:val="13"/>
                <w:color w:val="auto"/>
              </w:rPr>
            </w:pPr>
          </w:p>
        </w:tc>
        <w:tc>
          <w:tcPr>
            <w:tcW w:w="1000" w:type="dxa"/>
            <w:vAlign w:val="bottom"/>
          </w:tcPr>
          <w:p>
            <w:pPr>
              <w:jc w:val="right"/>
              <w:ind w:right="553"/>
              <w:spacing w:after="0" w:line="159" w:lineRule="exact"/>
              <w:rPr>
                <w:sz w:val="20"/>
                <w:szCs w:val="20"/>
                <w:color w:val="auto"/>
              </w:rPr>
            </w:pPr>
            <w:r>
              <w:rPr>
                <w:rFonts w:ascii="Arial" w:cs="Arial" w:eastAsia="Arial" w:hAnsi="Arial"/>
                <w:sz w:val="14"/>
                <w:szCs w:val="14"/>
                <w:color w:val="auto"/>
              </w:rPr>
              <w:t>2016</w:t>
            </w:r>
          </w:p>
        </w:tc>
        <w:tc>
          <w:tcPr>
            <w:tcW w:w="540" w:type="dxa"/>
            <w:vAlign w:val="bottom"/>
          </w:tcPr>
          <w:p>
            <w:pPr>
              <w:spacing w:after="0"/>
              <w:rPr>
                <w:sz w:val="13"/>
                <w:szCs w:val="13"/>
                <w:color w:val="auto"/>
              </w:rPr>
            </w:pPr>
          </w:p>
        </w:tc>
        <w:tc>
          <w:tcPr>
            <w:tcW w:w="70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tcBorders>
              <w:top w:val="single" w:sz="8" w:color="auto"/>
            </w:tcBorders>
            <w:shd w:val="clear" w:color="auto" w:fill="E5E5E5"/>
          </w:tcPr>
          <w:p>
            <w:pPr>
              <w:spacing w:after="0"/>
              <w:rPr>
                <w:sz w:val="18"/>
                <w:szCs w:val="18"/>
                <w:color w:val="auto"/>
              </w:rPr>
            </w:pPr>
          </w:p>
        </w:tc>
        <w:tc>
          <w:tcPr>
            <w:tcW w:w="1000" w:type="dxa"/>
            <w:vAlign w:val="bottom"/>
            <w:tcBorders>
              <w:top w:val="single" w:sz="8" w:color="auto"/>
            </w:tcBorders>
            <w:shd w:val="clear" w:color="auto" w:fill="E5E5E5"/>
          </w:tcPr>
          <w:p>
            <w:pPr>
              <w:spacing w:after="0"/>
              <w:rPr>
                <w:sz w:val="18"/>
                <w:szCs w:val="18"/>
                <w:color w:val="auto"/>
              </w:rPr>
            </w:pPr>
          </w:p>
        </w:tc>
        <w:tc>
          <w:tcPr>
            <w:tcW w:w="5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E5E5E5"/>
          </w:tcPr>
          <w:p>
            <w:pPr>
              <w:ind w:left="1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1,890</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6,050</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1,362</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1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858</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10,160</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7,145</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1,151</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$3,253 and $2,779</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10,377</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24,004</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$6,355 and $5,654</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14,001</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net</w:t>
            </w:r>
          </w:p>
        </w:tc>
        <w:tc>
          <w:tcPr>
            <w:tcW w:w="18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1,392</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68,230</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880" w:type="dxa"/>
            <w:vAlign w:val="bottom"/>
            <w:shd w:val="clear" w:color="auto" w:fill="E5E5E5"/>
          </w:tcPr>
          <w:p>
            <w:pPr>
              <w:ind w:left="17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1,517</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1,570</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637</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1,196</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1,712</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Note payable to Comcast</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2,882</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18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164</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9,678</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11,928</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88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1,182</w:t>
            </w:r>
          </w:p>
        </w:tc>
        <w:tc>
          <w:tcPr>
            <w:tcW w:w="5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4,186</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427</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Equity:</w:t>
            </w:r>
          </w:p>
        </w:tc>
        <w:tc>
          <w:tcPr>
            <w:tcW w:w="1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Member’s capital</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38,406</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116</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188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38,522</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18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2,307</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188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293"/>
              <w:spacing w:after="0"/>
              <w:rPr>
                <w:sz w:val="20"/>
                <w:szCs w:val="20"/>
                <w:color w:val="auto"/>
              </w:rPr>
            </w:pPr>
            <w:r>
              <w:rPr>
                <w:rFonts w:ascii="Arial" w:cs="Arial" w:eastAsia="Arial" w:hAnsi="Arial"/>
                <w:sz w:val="18"/>
                <w:szCs w:val="18"/>
                <w:color w:val="auto"/>
              </w:rPr>
              <w:t>40,829</w:t>
            </w:r>
          </w:p>
        </w:tc>
        <w:tc>
          <w:tcPr>
            <w:tcW w:w="5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34,303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88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rPr>
              <w:t>68,230</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60,690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080" w:type="dxa"/>
            <w:vAlign w:val="bottom"/>
            <w:gridSpan w:val="3"/>
          </w:tcPr>
          <w:p>
            <w:pPr>
              <w:jc w:val="right"/>
              <w:ind w:right="353"/>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500" w:type="dxa"/>
            <w:vAlign w:val="bottom"/>
            <w:gridSpan w:val="3"/>
          </w:tcPr>
          <w:p>
            <w:pPr>
              <w:jc w:val="right"/>
              <w:ind w:right="213"/>
              <w:spacing w:after="0"/>
              <w:rPr>
                <w:sz w:val="20"/>
                <w:szCs w:val="20"/>
                <w:color w:val="auto"/>
              </w:rPr>
            </w:pPr>
            <w:r>
              <w:rPr>
                <w:rFonts w:ascii="Arial" w:cs="Arial" w:eastAsia="Arial" w:hAnsi="Arial"/>
                <w:sz w:val="14"/>
                <w:szCs w:val="14"/>
                <w:color w:val="auto"/>
                <w:w w:val="95"/>
              </w:rPr>
              <w:t>Nine Months Ended</w:t>
            </w:r>
          </w:p>
        </w:tc>
        <w:tc>
          <w:tcPr>
            <w:tcW w:w="0" w:type="dxa"/>
            <w:vAlign w:val="bottom"/>
          </w:tcPr>
          <w:p>
            <w:pPr>
              <w:spacing w:after="0"/>
              <w:rPr>
                <w:sz w:val="1"/>
                <w:szCs w:val="1"/>
                <w:color w:val="auto"/>
              </w:rPr>
            </w:pPr>
          </w:p>
        </w:tc>
      </w:tr>
      <w:tr>
        <w:trPr>
          <w:trHeight w:val="159"/>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080" w:type="dxa"/>
            <w:vAlign w:val="bottom"/>
            <w:tcBorders>
              <w:bottom w:val="single" w:sz="8" w:color="auto"/>
            </w:tcBorders>
            <w:gridSpan w:val="3"/>
          </w:tcPr>
          <w:p>
            <w:pPr>
              <w:jc w:val="right"/>
              <w:ind w:right="533"/>
              <w:spacing w:after="0" w:line="159" w:lineRule="exact"/>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1100" w:type="dxa"/>
            <w:vAlign w:val="bottom"/>
          </w:tcPr>
          <w:p>
            <w:pPr>
              <w:jc w:val="right"/>
              <w:ind w:right="295"/>
              <w:spacing w:after="0" w:line="142" w:lineRule="exact"/>
              <w:rPr>
                <w:sz w:val="20"/>
                <w:szCs w:val="20"/>
                <w:color w:val="auto"/>
              </w:rPr>
            </w:pPr>
            <w:r>
              <w:rPr>
                <w:rFonts w:ascii="Arial" w:cs="Arial" w:eastAsia="Arial" w:hAnsi="Arial"/>
                <w:sz w:val="14"/>
                <w:szCs w:val="14"/>
                <w:color w:val="auto"/>
              </w:rPr>
              <w:t>2016</w:t>
            </w:r>
          </w:p>
        </w:tc>
        <w:tc>
          <w:tcPr>
            <w:tcW w:w="300" w:type="dxa"/>
            <w:vAlign w:val="bottom"/>
          </w:tcPr>
          <w:p>
            <w:pPr>
              <w:spacing w:after="0"/>
              <w:rPr>
                <w:sz w:val="12"/>
                <w:szCs w:val="12"/>
                <w:color w:val="auto"/>
              </w:rPr>
            </w:pPr>
          </w:p>
        </w:tc>
        <w:tc>
          <w:tcPr>
            <w:tcW w:w="680" w:type="dxa"/>
            <w:vAlign w:val="bottom"/>
          </w:tcPr>
          <w:p>
            <w:pPr>
              <w:jc w:val="right"/>
              <w:ind w:right="293"/>
              <w:spacing w:after="0" w:line="142" w:lineRule="exact"/>
              <w:rPr>
                <w:sz w:val="20"/>
                <w:szCs w:val="20"/>
                <w:color w:val="auto"/>
              </w:rPr>
            </w:pPr>
            <w:r>
              <w:rPr>
                <w:rFonts w:ascii="Arial" w:cs="Arial" w:eastAsia="Arial" w:hAnsi="Arial"/>
                <w:sz w:val="14"/>
                <w:szCs w:val="14"/>
                <w:color w:val="auto"/>
                <w:w w:val="89"/>
              </w:rPr>
              <w:t>2015</w:t>
            </w:r>
          </w:p>
        </w:tc>
        <w:tc>
          <w:tcPr>
            <w:tcW w:w="280" w:type="dxa"/>
            <w:vAlign w:val="bottom"/>
          </w:tcPr>
          <w:p>
            <w:pPr>
              <w:spacing w:after="0"/>
              <w:rPr>
                <w:sz w:val="12"/>
                <w:szCs w:val="12"/>
                <w:color w:val="auto"/>
              </w:rPr>
            </w:pPr>
          </w:p>
        </w:tc>
        <w:tc>
          <w:tcPr>
            <w:tcW w:w="680" w:type="dxa"/>
            <w:vAlign w:val="bottom"/>
          </w:tcPr>
          <w:p>
            <w:pPr>
              <w:jc w:val="right"/>
              <w:ind w:right="255"/>
              <w:spacing w:after="0" w:line="142" w:lineRule="exact"/>
              <w:rPr>
                <w:sz w:val="20"/>
                <w:szCs w:val="20"/>
                <w:color w:val="auto"/>
              </w:rPr>
            </w:pPr>
            <w:r>
              <w:rPr>
                <w:rFonts w:ascii="Arial" w:cs="Arial" w:eastAsia="Arial" w:hAnsi="Arial"/>
                <w:sz w:val="14"/>
                <w:szCs w:val="14"/>
                <w:color w:val="auto"/>
              </w:rPr>
              <w:t>2016</w:t>
            </w:r>
          </w:p>
        </w:tc>
        <w:tc>
          <w:tcPr>
            <w:tcW w:w="22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100" w:type="dxa"/>
            <w:vAlign w:val="bottom"/>
            <w:tcBorders>
              <w:top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$ 9,178</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3"/>
              </w:rPr>
              <w:t>7,151</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w w:val="83"/>
              </w:rPr>
              <w:t>23,142</w:t>
            </w:r>
          </w:p>
        </w:tc>
        <w:tc>
          <w:tcPr>
            <w:tcW w:w="2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20,985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Costs and Expenses: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and production</w:t>
            </w:r>
          </w:p>
        </w:tc>
        <w:tc>
          <w:tcPr>
            <w:tcW w:w="11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4,501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3,312</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w w:val="83"/>
              </w:rPr>
              <w:t>10,503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Other operating and administrative</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w w:val="93"/>
              </w:rPr>
              <w:t>1,534</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5,159</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 marketing and promotion</w:t>
            </w:r>
          </w:p>
        </w:tc>
        <w:tc>
          <w:tcPr>
            <w:tcW w:w="11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619</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704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auto"/>
            </w:tcBorders>
            <w:shd w:val="clear" w:color="auto" w:fill="E5E5E5"/>
          </w:tcPr>
          <w:p>
            <w:pPr>
              <w:jc w:val="right"/>
              <w:ind w:right="155"/>
              <w:spacing w:after="0"/>
              <w:rPr>
                <w:sz w:val="20"/>
                <w:szCs w:val="20"/>
                <w:color w:val="auto"/>
              </w:rPr>
            </w:pPr>
            <w:r>
              <w:rPr>
                <w:rFonts w:ascii="Arial" w:cs="Arial" w:eastAsia="Arial" w:hAnsi="Arial"/>
                <w:sz w:val="18"/>
                <w:szCs w:val="18"/>
                <w:color w:val="auto"/>
              </w:rPr>
              <w:t>236</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700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7,477</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3"/>
              </w:rPr>
              <w:t>5,930</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83"/>
              </w:rPr>
              <w:t>19,009</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17,327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shd w:val="clear" w:color="auto" w:fill="E5E5E5"/>
          </w:tcPr>
          <w:p>
            <w:pPr>
              <w:jc w:val="right"/>
              <w:ind w:right="155"/>
              <w:spacing w:after="0"/>
              <w:rPr>
                <w:sz w:val="20"/>
                <w:szCs w:val="20"/>
                <w:color w:val="auto"/>
              </w:rPr>
            </w:pPr>
            <w:r>
              <w:rPr>
                <w:rFonts w:ascii="Arial" w:cs="Arial" w:eastAsia="Arial" w:hAnsi="Arial"/>
                <w:sz w:val="18"/>
                <w:szCs w:val="18"/>
                <w:color w:val="auto"/>
              </w:rPr>
              <w:t>1,701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3"/>
              </w:rPr>
              <w:t>1,221</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Income (Expense):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110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(14)</w:t>
            </w: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(55)</w:t>
            </w:r>
          </w:p>
        </w:tc>
        <w:tc>
          <w:tcPr>
            <w:tcW w:w="22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(195)</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(199)</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1,506</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w w:val="93"/>
              </w:rPr>
              <w:t>1,022</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3,735</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(139)</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155"/>
              <w:spacing w:after="0"/>
              <w:rPr>
                <w:sz w:val="20"/>
                <w:szCs w:val="20"/>
                <w:color w:val="auto"/>
              </w:rPr>
            </w:pPr>
            <w:r>
              <w:rPr>
                <w:rFonts w:ascii="Arial" w:cs="Arial" w:eastAsia="Arial" w:hAnsi="Arial"/>
                <w:sz w:val="18"/>
                <w:szCs w:val="18"/>
                <w:color w:val="auto"/>
              </w:rPr>
              <w:t>1,367</w:t>
            </w:r>
          </w:p>
        </w:tc>
        <w:tc>
          <w:tcPr>
            <w:tcW w:w="300" w:type="dxa"/>
            <w:vAlign w:val="bottom"/>
          </w:tcPr>
          <w:p>
            <w:pPr>
              <w:spacing w:after="0"/>
              <w:rPr>
                <w:sz w:val="18"/>
                <w:szCs w:val="18"/>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8"/>
                <w:szCs w:val="18"/>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3,424</w:t>
            </w:r>
          </w:p>
        </w:tc>
        <w:tc>
          <w:tcPr>
            <w:tcW w:w="2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10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NBCUniversal</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$ 1,289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927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3,224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2,691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320" w:type="dxa"/>
            <w:vAlign w:val="bottom"/>
            <w:gridSpan w:val="3"/>
          </w:tcPr>
          <w:p>
            <w:pPr>
              <w:jc w:val="right"/>
              <w:ind w:right="434"/>
              <w:spacing w:after="0"/>
              <w:rPr>
                <w:sz w:val="20"/>
                <w:szCs w:val="20"/>
                <w:color w:val="auto"/>
              </w:rPr>
            </w:pPr>
            <w:r>
              <w:rPr>
                <w:rFonts w:ascii="Arial" w:cs="Arial" w:eastAsia="Arial" w:hAnsi="Arial"/>
                <w:sz w:val="14"/>
                <w:szCs w:val="14"/>
                <w:color w:val="auto"/>
              </w:rPr>
              <w:t>Three Months Ended</w:t>
            </w:r>
          </w:p>
        </w:tc>
        <w:tc>
          <w:tcPr>
            <w:tcW w:w="1840" w:type="dxa"/>
            <w:vAlign w:val="bottom"/>
            <w:gridSpan w:val="2"/>
          </w:tcPr>
          <w:p>
            <w:pPr>
              <w:jc w:val="right"/>
              <w:ind w:right="234"/>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7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6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394"/>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color w:val="auto"/>
                <w:w w:val="89"/>
              </w:rPr>
              <w:t>2015</w:t>
            </w:r>
          </w:p>
        </w:tc>
        <w:tc>
          <w:tcPr>
            <w:tcW w:w="1020" w:type="dxa"/>
            <w:vAlign w:val="bottom"/>
            <w:tcBorders>
              <w:bottom w:val="single" w:sz="8" w:color="auto"/>
            </w:tcBorders>
          </w:tcPr>
          <w:p>
            <w:pPr>
              <w:jc w:val="right"/>
              <w:ind w:right="298"/>
              <w:spacing w:after="0" w:line="142" w:lineRule="exact"/>
              <w:rPr>
                <w:sz w:val="20"/>
                <w:szCs w:val="20"/>
                <w:color w:val="auto"/>
              </w:rPr>
            </w:pPr>
            <w:r>
              <w:rPr>
                <w:rFonts w:ascii="Arial" w:cs="Arial" w:eastAsia="Arial" w:hAnsi="Arial"/>
                <w:sz w:val="14"/>
                <w:szCs w:val="14"/>
                <w:color w:val="auto"/>
              </w:rPr>
              <w:t>2016</w:t>
            </w:r>
          </w:p>
        </w:tc>
        <w:tc>
          <w:tcPr>
            <w:tcW w:w="8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$ 1,367</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962</w:t>
            </w:r>
          </w:p>
        </w:tc>
        <w:tc>
          <w:tcPr>
            <w:tcW w:w="10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$ 3,424</w:t>
            </w:r>
          </w:p>
        </w:tc>
        <w:tc>
          <w:tcPr>
            <w:tcW w:w="8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$ 2,824</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Deferred gains (losses) on cash flow hedges, net</w:t>
            </w:r>
          </w:p>
        </w:tc>
        <w:tc>
          <w:tcPr>
            <w:tcW w:w="1260" w:type="dxa"/>
            <w:vAlign w:val="bottom"/>
          </w:tcPr>
          <w:p>
            <w:pPr>
              <w:jc w:val="right"/>
              <w:ind w:right="218"/>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(6)</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w:t>
            </w:r>
          </w:p>
        </w:tc>
        <w:tc>
          <w:tcPr>
            <w:tcW w:w="12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22</w:t>
            </w:r>
          </w:p>
        </w:tc>
        <w:tc>
          <w:tcPr>
            <w:tcW w:w="10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4</w:t>
            </w:r>
          </w:p>
        </w:tc>
        <w:tc>
          <w:tcPr>
            <w:tcW w:w="8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w:t>
            </w:r>
          </w:p>
        </w:tc>
        <w:tc>
          <w:tcPr>
            <w:tcW w:w="126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652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726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5E5E5"/>
          </w:tcPr>
          <w:p>
            <w:pPr>
              <w:jc w:val="right"/>
              <w:ind w:right="218"/>
              <w:spacing w:after="0"/>
              <w:rPr>
                <w:sz w:val="20"/>
                <w:szCs w:val="20"/>
                <w:color w:val="auto"/>
              </w:rPr>
            </w:pPr>
            <w:r>
              <w:rPr>
                <w:rFonts w:ascii="Arial" w:cs="Arial" w:eastAsia="Arial" w:hAnsi="Arial"/>
                <w:sz w:val="18"/>
                <w:szCs w:val="18"/>
                <w:color w:val="auto"/>
              </w:rPr>
              <w:t>1,422</w:t>
            </w:r>
          </w:p>
        </w:tc>
        <w:tc>
          <w:tcPr>
            <w:tcW w:w="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921</w:t>
            </w:r>
          </w:p>
        </w:tc>
        <w:tc>
          <w:tcPr>
            <w:tcW w:w="1020" w:type="dxa"/>
            <w:vAlign w:val="bottom"/>
            <w:shd w:val="clear" w:color="auto" w:fill="E5E5E5"/>
          </w:tcPr>
          <w:p>
            <w:pPr>
              <w:jc w:val="right"/>
              <w:ind w:right="158"/>
              <w:spacing w:after="0"/>
              <w:rPr>
                <w:sz w:val="20"/>
                <w:szCs w:val="20"/>
                <w:color w:val="auto"/>
              </w:rPr>
            </w:pPr>
            <w:r>
              <w:rPr>
                <w:rFonts w:ascii="Arial" w:cs="Arial" w:eastAsia="Arial" w:hAnsi="Arial"/>
                <w:sz w:val="18"/>
                <w:szCs w:val="18"/>
                <w:color w:val="auto"/>
              </w:rPr>
              <w:t>4,073</w:t>
            </w:r>
          </w:p>
        </w:tc>
        <w:tc>
          <w:tcPr>
            <w:tcW w:w="8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60" w:type="dxa"/>
            <w:vAlign w:val="bottom"/>
          </w:tcPr>
          <w:p>
            <w:pPr>
              <w:jc w:val="right"/>
              <w:ind w:right="158"/>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8"/>
                <w:szCs w:val="18"/>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(200)</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260" w:type="dxa"/>
            <w:vAlign w:val="bottom"/>
            <w:tcBorders>
              <w:bottom w:val="single" w:sz="8" w:color="auto"/>
            </w:tcBorders>
            <w:shd w:val="clear" w:color="auto" w:fill="E5E5E5"/>
          </w:tcPr>
          <w:p>
            <w:pPr>
              <w:jc w:val="right"/>
              <w:ind w:right="158"/>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shd w:val="clear" w:color="auto" w:fill="E5E5E5"/>
          </w:tcPr>
          <w:p>
            <w:pPr>
              <w:jc w:val="right"/>
              <w:ind w:right="98"/>
              <w:spacing w:after="0"/>
              <w:rPr>
                <w:sz w:val="20"/>
                <w:szCs w:val="20"/>
                <w:color w:val="auto"/>
              </w:rPr>
            </w:pPr>
            <w:r>
              <w:rPr>
                <w:rFonts w:ascii="Arial" w:cs="Arial" w:eastAsia="Arial" w:hAnsi="Arial"/>
                <w:sz w:val="18"/>
                <w:szCs w:val="18"/>
                <w:color w:val="auto"/>
              </w:rPr>
              <w:t>(321)</w:t>
            </w:r>
          </w:p>
        </w:tc>
        <w:tc>
          <w:tcPr>
            <w:tcW w:w="8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7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126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$ 1,310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902</w:t>
            </w:r>
          </w:p>
        </w:tc>
        <w:tc>
          <w:tcPr>
            <w:tcW w:w="102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$ 3,552</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$ 2,639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2"/>
          </w:tcPr>
          <w:p>
            <w:pPr>
              <w:jc w:val="right"/>
              <w:ind w:right="29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9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100" w:type="dxa"/>
            <w:vAlign w:val="bottom"/>
            <w:tcBorders>
              <w:bottom w:val="single" w:sz="8" w:color="auto"/>
            </w:tcBorders>
            <w:gridSpan w:val="2"/>
          </w:tcPr>
          <w:p>
            <w:pPr>
              <w:jc w:val="right"/>
              <w:ind w:right="473"/>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$ 3,339</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$ 4,318</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(991)</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(181)</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of real estate properties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(78)</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Acquisitions, net of cash acquired</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(195)</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Note receivable from Comcast</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200" w:type="dxa"/>
            <w:vAlign w:val="bottom"/>
          </w:tcPr>
          <w:p>
            <w:pPr>
              <w:jc w:val="right"/>
              <w:ind w:right="115"/>
              <w:spacing w:after="0"/>
              <w:rPr>
                <w:sz w:val="20"/>
                <w:szCs w:val="20"/>
                <w:color w:val="auto"/>
              </w:rPr>
            </w:pPr>
            <w:r>
              <w:rPr>
                <w:rFonts w:ascii="Arial" w:cs="Arial" w:eastAsia="Arial" w:hAnsi="Arial"/>
                <w:sz w:val="18"/>
                <w:szCs w:val="18"/>
                <w:color w:val="auto"/>
              </w:rPr>
              <w:t>104</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(74)</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(41)</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0" w:type="dxa"/>
            <w:vAlign w:val="bottom"/>
            <w:tcBorders>
              <w:bottom w:val="single" w:sz="8" w:color="auto"/>
            </w:tcBorders>
            <w:shd w:val="clear" w:color="auto" w:fill="E5E5E5"/>
          </w:tcPr>
          <w:p>
            <w:pPr>
              <w:jc w:val="right"/>
              <w:ind w:right="55"/>
              <w:spacing w:after="0"/>
              <w:rPr>
                <w:sz w:val="20"/>
                <w:szCs w:val="20"/>
                <w:color w:val="auto"/>
              </w:rPr>
            </w:pPr>
            <w:r>
              <w:rPr>
                <w:rFonts w:ascii="Arial" w:cs="Arial" w:eastAsia="Arial" w:hAnsi="Arial"/>
                <w:sz w:val="18"/>
                <w:szCs w:val="18"/>
                <w:b w:val="1"/>
                <w:bCs w:val="1"/>
                <w:color w:val="auto"/>
              </w:rPr>
              <w:t>(1,456)</w:t>
            </w:r>
          </w:p>
        </w:tc>
        <w:tc>
          <w:tcPr>
            <w:tcW w:w="90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rPr>
              <w:t>(1,265)</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borrowings from Comcast, net</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1,132</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(1,515)</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9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shd w:val="clear" w:color="auto" w:fill="E5E5E5"/>
          </w:tcPr>
          <w:p>
            <w:pPr>
              <w:jc w:val="right"/>
              <w:ind w:right="55"/>
              <w:spacing w:after="0"/>
              <w:rPr>
                <w:sz w:val="20"/>
                <w:szCs w:val="20"/>
                <w:color w:val="auto"/>
              </w:rPr>
            </w:pPr>
            <w:r>
              <w:rPr>
                <w:rFonts w:ascii="Arial" w:cs="Arial" w:eastAsia="Arial" w:hAnsi="Arial"/>
                <w:sz w:val="18"/>
                <w:szCs w:val="18"/>
                <w:color w:val="auto"/>
              </w:rPr>
              <w:t>(161)</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Distributions to member</w:t>
            </w:r>
          </w:p>
        </w:tc>
        <w:tc>
          <w:tcPr>
            <w:tcW w:w="1200" w:type="dxa"/>
            <w:vAlign w:val="bottom"/>
          </w:tcPr>
          <w:p>
            <w:pPr>
              <w:jc w:val="right"/>
              <w:ind w:right="55"/>
              <w:spacing w:after="0"/>
              <w:rPr>
                <w:sz w:val="20"/>
                <w:szCs w:val="20"/>
                <w:color w:val="auto"/>
              </w:rPr>
            </w:pPr>
            <w:r>
              <w:rPr>
                <w:rFonts w:ascii="Arial" w:cs="Arial" w:eastAsia="Arial" w:hAnsi="Arial"/>
                <w:sz w:val="18"/>
                <w:szCs w:val="18"/>
                <w:color w:val="auto"/>
              </w:rPr>
              <w:t>(1,213)</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354</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(1,403)</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(3,232)</w:t>
            </w:r>
          </w:p>
        </w:tc>
        <w:tc>
          <w:tcPr>
            <w:tcW w:w="0" w:type="dxa"/>
            <w:vAlign w:val="bottom"/>
          </w:tcPr>
          <w:p>
            <w:pPr>
              <w:spacing w:after="0"/>
              <w:rPr>
                <w:sz w:val="1"/>
                <w:szCs w:val="1"/>
                <w:color w:val="auto"/>
              </w:rPr>
            </w:pPr>
          </w:p>
        </w:tc>
      </w:tr>
      <w:tr>
        <w:trPr>
          <w:trHeight w:val="210"/>
        </w:trPr>
        <w:tc>
          <w:tcPr>
            <w:tcW w:w="932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20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480</w:t>
            </w:r>
          </w:p>
        </w:tc>
        <w:tc>
          <w:tcPr>
            <w:tcW w:w="90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1,410</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7"/>
        </w:trPr>
        <w:tc>
          <w:tcPr>
            <w:tcW w:w="9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0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$ 1,890</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$ 1,069</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Changes in Equity</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720" w:type="dxa"/>
            <w:vAlign w:val="bottom"/>
            <w:tcBorders>
              <w:right w:val="single" w:sz="8" w:color="auto"/>
            </w:tcBorders>
            <w:gridSpan w:val="2"/>
          </w:tcPr>
          <w:p>
            <w:pPr>
              <w:jc w:val="right"/>
              <w:ind w:right="634"/>
              <w:spacing w:after="0" w:line="149" w:lineRule="exact"/>
              <w:rPr>
                <w:sz w:val="20"/>
                <w:szCs w:val="20"/>
                <w:color w:val="auto"/>
              </w:rPr>
            </w:pPr>
            <w:r>
              <w:rPr>
                <w:rFonts w:ascii="Arial" w:cs="Arial" w:eastAsia="Arial" w:hAnsi="Arial"/>
                <w:sz w:val="14"/>
                <w:szCs w:val="14"/>
                <w:color w:val="auto"/>
              </w:rPr>
              <w:t>Redeemable</w:t>
            </w: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ind w:right="375"/>
              <w:spacing w:after="0" w:line="149" w:lineRule="exact"/>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4820" w:type="dxa"/>
            <w:vAlign w:val="bottom"/>
          </w:tcPr>
          <w:p>
            <w:pPr>
              <w:spacing w:after="0"/>
              <w:rPr>
                <w:sz w:val="12"/>
                <w:szCs w:val="12"/>
                <w:color w:val="auto"/>
              </w:rPr>
            </w:pPr>
          </w:p>
        </w:tc>
        <w:tc>
          <w:tcPr>
            <w:tcW w:w="1720" w:type="dxa"/>
            <w:vAlign w:val="bottom"/>
            <w:tcBorders>
              <w:right w:val="single" w:sz="8" w:color="auto"/>
            </w:tcBorders>
            <w:gridSpan w:val="2"/>
          </w:tcPr>
          <w:p>
            <w:pPr>
              <w:ind w:left="240"/>
              <w:spacing w:after="0" w:line="149" w:lineRule="exact"/>
              <w:rPr>
                <w:sz w:val="20"/>
                <w:szCs w:val="20"/>
                <w:color w:val="auto"/>
              </w:rPr>
            </w:pPr>
            <w:r>
              <w:rPr>
                <w:rFonts w:ascii="Arial" w:cs="Arial" w:eastAsia="Arial" w:hAnsi="Arial"/>
                <w:sz w:val="14"/>
                <w:szCs w:val="14"/>
                <w:color w:val="auto"/>
              </w:rPr>
              <w:t>Noncontrolling</w:t>
            </w:r>
          </w:p>
        </w:tc>
        <w:tc>
          <w:tcPr>
            <w:tcW w:w="1220" w:type="dxa"/>
            <w:vAlign w:val="bottom"/>
          </w:tcPr>
          <w:p>
            <w:pPr>
              <w:jc w:val="right"/>
              <w:ind w:right="195"/>
              <w:spacing w:after="0" w:line="149" w:lineRule="exact"/>
              <w:rPr>
                <w:sz w:val="20"/>
                <w:szCs w:val="20"/>
                <w:color w:val="auto"/>
              </w:rPr>
            </w:pPr>
            <w:r>
              <w:rPr>
                <w:rFonts w:ascii="Arial" w:cs="Arial" w:eastAsia="Arial" w:hAnsi="Arial"/>
                <w:sz w:val="14"/>
                <w:szCs w:val="14"/>
                <w:color w:val="auto"/>
              </w:rPr>
              <w:t>Member’s</w:t>
            </w:r>
          </w:p>
        </w:tc>
        <w:tc>
          <w:tcPr>
            <w:tcW w:w="13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Comprehensive</w:t>
            </w:r>
          </w:p>
        </w:tc>
        <w:tc>
          <w:tcPr>
            <w:tcW w:w="1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Noncontrolling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9"/>
        </w:trPr>
        <w:tc>
          <w:tcPr>
            <w:tcW w:w="48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jc w:val="right"/>
              <w:ind w:right="754"/>
              <w:spacing w:after="0" w:line="159" w:lineRule="exact"/>
              <w:rPr>
                <w:sz w:val="20"/>
                <w:szCs w:val="20"/>
                <w:color w:val="auto"/>
              </w:rPr>
            </w:pPr>
            <w:r>
              <w:rPr>
                <w:rFonts w:ascii="Arial" w:cs="Arial" w:eastAsia="Arial" w:hAnsi="Arial"/>
                <w:sz w:val="14"/>
                <w:szCs w:val="14"/>
                <w:color w:val="auto"/>
                <w:w w:val="89"/>
              </w:rPr>
              <w:t>Interests</w:t>
            </w:r>
          </w:p>
        </w:tc>
        <w:tc>
          <w:tcPr>
            <w:tcW w:w="1220" w:type="dxa"/>
            <w:vAlign w:val="bottom"/>
            <w:tcBorders>
              <w:bottom w:val="single" w:sz="8" w:color="auto"/>
            </w:tcBorders>
          </w:tcPr>
          <w:p>
            <w:pPr>
              <w:jc w:val="right"/>
              <w:ind w:right="275"/>
              <w:spacing w:after="0" w:line="159" w:lineRule="exact"/>
              <w:rPr>
                <w:sz w:val="20"/>
                <w:szCs w:val="20"/>
                <w:color w:val="auto"/>
              </w:rPr>
            </w:pPr>
            <w:r>
              <w:rPr>
                <w:rFonts w:ascii="Arial" w:cs="Arial" w:eastAsia="Arial" w:hAnsi="Arial"/>
                <w:sz w:val="14"/>
                <w:szCs w:val="14"/>
                <w:color w:val="auto"/>
              </w:rPr>
              <w:t>Capital</w:t>
            </w:r>
          </w:p>
        </w:tc>
        <w:tc>
          <w:tcPr>
            <w:tcW w:w="134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Income (Loss)</w:t>
            </w: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4"/>
              <w:spacing w:after="0" w:line="159" w:lineRule="exact"/>
              <w:rPr>
                <w:sz w:val="20"/>
                <w:szCs w:val="20"/>
                <w:color w:val="auto"/>
              </w:rPr>
            </w:pPr>
            <w:r>
              <w:rPr>
                <w:rFonts w:ascii="Arial" w:cs="Arial" w:eastAsia="Arial" w:hAnsi="Arial"/>
                <w:sz w:val="14"/>
                <w:szCs w:val="14"/>
                <w:color w:val="auto"/>
                <w:w w:val="89"/>
              </w:rPr>
              <w:t>Interests</w:t>
            </w:r>
          </w:p>
        </w:tc>
        <w:tc>
          <w:tcPr>
            <w:tcW w:w="1000" w:type="dxa"/>
            <w:vAlign w:val="bottom"/>
            <w:tcBorders>
              <w:bottom w:val="single" w:sz="8" w:color="auto"/>
            </w:tcBorders>
            <w:gridSpan w:val="2"/>
          </w:tcPr>
          <w:p>
            <w:pPr>
              <w:ind w:left="220"/>
              <w:spacing w:after="0" w:line="159" w:lineRule="exact"/>
              <w:rPr>
                <w:sz w:val="20"/>
                <w:szCs w:val="20"/>
                <w:color w:val="auto"/>
              </w:rPr>
            </w:pPr>
            <w:r>
              <w:rPr>
                <w:rFonts w:ascii="Arial" w:cs="Arial" w:eastAsia="Arial" w:hAnsi="Arial"/>
                <w:sz w:val="14"/>
                <w:szCs w:val="14"/>
                <w:color w:val="auto"/>
              </w:rPr>
              <w:t>Total Equity</w:t>
            </w:r>
          </w:p>
        </w:tc>
      </w:tr>
      <w:tr>
        <w:trPr>
          <w:trHeight w:val="210"/>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2014</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330</w:t>
            </w:r>
          </w:p>
        </w:tc>
        <w:tc>
          <w:tcPr>
            <w:tcW w:w="12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$30,529</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(159)</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267</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30,637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(1,186)</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(19)</w:t>
            </w: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Contribution from member</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252</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(52)</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(26)</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340" w:type="dxa"/>
            <w:vAlign w:val="bottom"/>
            <w:tcBorders>
              <w:right w:val="single" w:sz="8" w:color="auto"/>
            </w:tcBorders>
          </w:tcPr>
          <w:p>
            <w:pPr>
              <w:jc w:val="right"/>
              <w:ind w:right="554"/>
              <w:spacing w:after="0"/>
              <w:rPr>
                <w:sz w:val="20"/>
                <w:szCs w:val="20"/>
                <w:color w:val="auto"/>
              </w:rPr>
            </w:pPr>
            <w:r>
              <w:rPr>
                <w:rFonts w:ascii="Arial" w:cs="Arial" w:eastAsia="Arial" w:hAnsi="Arial"/>
                <w:sz w:val="18"/>
                <w:szCs w:val="18"/>
                <w:color w:val="auto"/>
              </w:rPr>
              <w:t>28</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right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2,691</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2,796</w:t>
            </w:r>
          </w:p>
        </w:tc>
      </w:tr>
      <w:tr>
        <w:trPr>
          <w:trHeight w:val="21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2015</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367</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$32,316</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(211)</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221</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32,326</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372</w:t>
            </w:r>
          </w:p>
        </w:tc>
        <w:tc>
          <w:tcPr>
            <w:tcW w:w="122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$32,834</w:t>
            </w: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1,681</w:t>
            </w:r>
          </w:p>
        </w:tc>
        <w:tc>
          <w:tcPr>
            <w:tcW w:w="3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4"/>
              </w:rPr>
              <w:t>34,303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Dividends declared</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(1,213)</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w w:val="95"/>
              </w:rPr>
              <w:t>Contributions from (distributions to) noncontrolling interests, net</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jc w:val="right"/>
              <w:ind w:right="494"/>
              <w:spacing w:after="0"/>
              <w:rPr>
                <w:sz w:val="20"/>
                <w:szCs w:val="20"/>
                <w:color w:val="auto"/>
              </w:rPr>
            </w:pPr>
            <w:r>
              <w:rPr>
                <w:rFonts w:ascii="Arial" w:cs="Arial" w:eastAsia="Arial" w:hAnsi="Arial"/>
                <w:sz w:val="18"/>
                <w:szCs w:val="18"/>
                <w:color w:val="auto"/>
              </w:rPr>
              <w:t>(47)</w:t>
            </w: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DreamWorks contributions</w:t>
            </w:r>
          </w:p>
        </w:tc>
        <w:tc>
          <w:tcPr>
            <w:tcW w:w="38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3,558</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3,647</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shd w:val="clear" w:color="auto" w:fill="E5E5E5"/>
          </w:tcPr>
          <w:p>
            <w:pPr>
              <w:spacing w:after="0"/>
              <w:rPr>
                <w:sz w:val="18"/>
                <w:szCs w:val="18"/>
                <w:color w:val="auto"/>
              </w:rPr>
            </w:pPr>
          </w:p>
        </w:tc>
        <w:tc>
          <w:tcPr>
            <w:tcW w:w="1340" w:type="dxa"/>
            <w:vAlign w:val="bottom"/>
            <w:tcBorders>
              <w:right w:val="single" w:sz="8" w:color="auto"/>
            </w:tcBorders>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328</w:t>
            </w:r>
          </w:p>
        </w:tc>
        <w:tc>
          <w:tcPr>
            <w:tcW w:w="3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321</w:t>
            </w:r>
          </w:p>
        </w:tc>
        <w:tc>
          <w:tcPr>
            <w:tcW w:w="3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649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1340" w:type="dxa"/>
            <w:vAlign w:val="bottom"/>
            <w:tcBorders>
              <w:right w:val="single" w:sz="8" w:color="auto"/>
            </w:tcBorders>
          </w:tcPr>
          <w:p>
            <w:pPr>
              <w:jc w:val="right"/>
              <w:ind w:right="554"/>
              <w:spacing w:after="0"/>
              <w:rPr>
                <w:sz w:val="20"/>
                <w:szCs w:val="20"/>
                <w:color w:val="auto"/>
              </w:rPr>
            </w:pPr>
            <w:r>
              <w:rPr>
                <w:rFonts w:ascii="Arial" w:cs="Arial" w:eastAsia="Arial" w:hAnsi="Arial"/>
                <w:sz w:val="18"/>
                <w:szCs w:val="18"/>
                <w:color w:val="auto"/>
              </w:rPr>
              <w:t>72</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160</w:t>
            </w:r>
          </w:p>
        </w:tc>
        <w:tc>
          <w:tcPr>
            <w:tcW w:w="36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163</w:t>
            </w:r>
          </w:p>
        </w:tc>
      </w:tr>
      <w:tr>
        <w:trPr>
          <w:trHeight w:val="216"/>
        </w:trPr>
        <w:tc>
          <w:tcPr>
            <w:tcW w:w="4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right w:val="single" w:sz="8" w:color="auto"/>
            </w:tcBorders>
            <w:shd w:val="clear" w:color="auto" w:fill="E5E5E5"/>
          </w:tcPr>
          <w:p>
            <w:pPr>
              <w:jc w:val="right"/>
              <w:ind w:right="554"/>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3,224</w:t>
            </w:r>
          </w:p>
        </w:tc>
        <w:tc>
          <w:tcPr>
            <w:tcW w:w="4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170</w:t>
            </w:r>
          </w:p>
        </w:tc>
        <w:tc>
          <w:tcPr>
            <w:tcW w:w="3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3,394</w:t>
            </w:r>
          </w:p>
        </w:tc>
      </w:tr>
      <w:tr>
        <w:trPr>
          <w:trHeight w:val="217"/>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September 30, 2016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right w:val="single" w:sz="8" w:color="auto"/>
            </w:tcBorders>
          </w:tcPr>
          <w:p>
            <w:pPr>
              <w:jc w:val="right"/>
              <w:ind w:right="554"/>
              <w:spacing w:after="0"/>
              <w:rPr>
                <w:sz w:val="20"/>
                <w:szCs w:val="20"/>
                <w:color w:val="auto"/>
              </w:rPr>
            </w:pPr>
            <w:r>
              <w:rPr>
                <w:rFonts w:ascii="Arial" w:cs="Arial" w:eastAsia="Arial" w:hAnsi="Arial"/>
                <w:sz w:val="18"/>
                <w:szCs w:val="18"/>
                <w:b w:val="1"/>
                <w:bCs w:val="1"/>
                <w:color w:val="auto"/>
              </w:rPr>
              <w:t>427</w:t>
            </w:r>
          </w:p>
        </w:tc>
        <w:tc>
          <w:tcPr>
            <w:tcW w:w="12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$38,406</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116</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rPr>
              <w:t>2,307</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4"/>
              </w:rPr>
              <w:t>40,829</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53"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2015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guidance is effective for us as of January 1, 2018. The updated accounting guidance provides companies with alternative methods of adoption. We are currently in the process of determining the impact that the updated accounting guidance will have on our consolidated financial statements and our method of adoption.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the FASB updated the accounting guidance related to consolidation under the variable interest entity (“VIE”) and voting interest entity models. The updated accounting guidance modifies the consolidation guidance for VIEs, limited partnerships and similar legal entities. We have adopted this guidance as of January 1, 2016 and it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when the guidance is adopted with certain exceptions. We are currently in the process of determining the impact that the updated accounting guidance will have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For a lessee, the recognition, measurement and presentation of expenses and cash flows arising from a lease do not significantly change from previous guidance. For a lessor, the accounting applied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are under the current guidance. In addition, the updated guidance requires when an employer withholds shares upon exercise of options or the vesting of restricted stock for the purpose of meeting withholding tax requirements, that the cash paid for withholding taxes be classified as a financing activity. We currently record these amounts within operating activities.</w:t>
      </w:r>
    </w:p>
    <w:p>
      <w:pPr>
        <w:spacing w:after="0" w:line="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implement the updated guidance in the first quarter of 2017. As a limited liability company, we do not expect the updated accounting guidance related to the excess income tax benefits or deficiencies to be recognized in the statement of income to have an impact on our consolidated financial statements. In addition, we do not expect the updated accounting guidance to have a material impact on our statement of cash flows.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Comcast acquired all of the outstanding stock of DreamWorks Animation SKG, Inc. (“DreamWorks”) for $3.8 billion. DreamWorks’ stockholders received $41 in cash for each share of DreamWorks common stock. DreamWorks creates animated feature films, television series and specials, live entertainment and related consumer products.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acquisition, Comcast converted DreamWorks to a limited liability company and contributed its equity, as well as cash to settle a tax receivable agreement that DreamWorks had previously entered into with one of its former stockholders (the “tax receivable agreement”), to us as capital contributions. The net assets contributed to us excluded deferred income taxes and other tax-related items recorded by Comcast. The results of operations for DreamWorks are reported in our Filmed Entertainment segment following the acquisition date and are presented as if the equity contribution occurred on the date of Comcast’s acquisition.</w:t>
      </w:r>
    </w:p>
    <w:p>
      <w:pPr>
        <w:spacing w:after="0" w:line="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transaction is accounted for under the acquisition method of accounting and, accordingly, the assets and liabilities are to be recorded at their fair market values as of the acquisition date. Due to the limited amount of time since the acquisition date, the assets and liabilities of DreamWorks were recorded based primarily on their historical carrying values. We recorded the debt we assumed from DreamWorks at its estimated fair value of $381 million and we recorded a liability for the tax receivable agreement at its estimated fair value of $146 million. The fair value of the assumed debt was primarily based on quoted market values. The fair value of the tax receivable agreement was based on the contractual settlement provisions in the agreement and the value is subject to adjustment. The remaining assets and liabilities primarily consisted of goodwill and film and television costs. We will adjust the remaining assets and liabilities to fair value as valuations are completed and we obtain information necessary to complete the analyses, but no later than one year from the acquisition date. For purposes of the preliminary allocation of purchase price, the excess of the total transaction value over the recorded values of the net assets acquired has been recorded as goodwill.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condensed consolidated statement of cash flows. In addition, during the three months ended September 30, 2016, we repaid all of the assumed debt of DreamWorks (see Note 8).</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and net income attributable to the acquisition of DreamWorks were not material for the three and nine months ended September 30, 2016. During the three months ended September 30, 2016, we incurred severance costs of $50 million, which were recorded in operating costs and expenses in our Filmed Entertainment segment.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On November 13, 2015, we acquired a 51% economic interest in the Universal Studios theme park in Osaka, Japan (“Universal Studios Japan”) for $1.5 billion.</w:t>
      </w:r>
    </w:p>
    <w:p>
      <w:pPr>
        <w:spacing w:after="0" w:line="1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Universal Studios Japan is a VIE based on the governance structure and we consolidate Universal Studios Japan as we have the power to direct activities that most significantly impact its economic performance. There are no liquidity arrangements, guarantees, or other financial commitments between us and Universal Studios Japan, and therefore our maximum risk of financial loss is our 51% interest. Universal Studios Japan’s results of operations are reported in our Theme Parks segment following the acquisition date.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Allocation of Purchase Price</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assets and liabilities of Universal Studios Japan and the 49% noncontrolling interest were recorded at their estimated fair values. During the nine months ended September 30, 2016, we updated the preliminary allocation of purchase price for Universal Studios Japan based on valuation analyses, which primarily resulted in increases to property and equipment and intangible assets and a decrease in goodwill. The changes did not have a material impact on our consolidated financial statements. We may adjust these amounts further as valuations are finalized and we obtain information necessary to complete the analyses, but no later than one year from the acquisition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Universal Studios Japan.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300" w:type="dxa"/>
            <w:vAlign w:val="bottom"/>
          </w:tcPr>
          <w:p>
            <w:pPr>
              <w:jc w:val="right"/>
              <w:ind w:right="3312"/>
              <w:spacing w:after="0"/>
              <w:rPr>
                <w:sz w:val="20"/>
                <w:szCs w:val="20"/>
                <w:color w:val="auto"/>
              </w:rPr>
            </w:pPr>
            <w:r>
              <w:rPr>
                <w:rFonts w:ascii="Arial" w:cs="Arial" w:eastAsia="Arial" w:hAnsi="Arial"/>
                <w:sz w:val="18"/>
                <w:szCs w:val="18"/>
                <w:b w:val="1"/>
                <w:bCs w:val="1"/>
                <w:color w:val="auto"/>
              </w:rPr>
              <w:t>Preliminary Allocation of Purchase Price</w:t>
            </w:r>
          </w:p>
        </w:tc>
        <w:tc>
          <w:tcPr>
            <w:tcW w:w="620" w:type="dxa"/>
            <w:vAlign w:val="bottom"/>
          </w:tcPr>
          <w:p>
            <w:pPr>
              <w:spacing w:after="0"/>
              <w:rPr>
                <w:sz w:val="20"/>
                <w:szCs w:val="20"/>
                <w:color w:val="auto"/>
              </w:rPr>
            </w:pP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Property and equipment</w:t>
            </w:r>
          </w:p>
        </w:tc>
        <w:tc>
          <w:tcPr>
            <w:tcW w:w="7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780</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Intangible assets</w:t>
            </w:r>
          </w:p>
        </w:tc>
        <w:tc>
          <w:tcPr>
            <w:tcW w:w="730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Working capital</w:t>
            </w:r>
          </w:p>
        </w:tc>
        <w:tc>
          <w:tcPr>
            <w:tcW w:w="7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Debt</w:t>
            </w:r>
          </w:p>
        </w:tc>
        <w:tc>
          <w:tcPr>
            <w:tcW w:w="73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87"/>
              </w:rPr>
              <w:t>(3,271)</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 and liabilities</w:t>
            </w:r>
          </w:p>
        </w:tc>
        <w:tc>
          <w:tcPr>
            <w:tcW w:w="73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Identifiable net assets (liabilities) acquired</w:t>
            </w:r>
          </w:p>
        </w:tc>
        <w:tc>
          <w:tcPr>
            <w:tcW w:w="730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87"/>
              </w:rPr>
              <w:t>(2,179)</w:t>
            </w:r>
          </w:p>
        </w:tc>
      </w:tr>
      <w:tr>
        <w:trPr>
          <w:trHeight w:val="216"/>
        </w:trPr>
        <w:tc>
          <w:tcPr>
            <w:tcW w:w="20" w:type="dxa"/>
            <w:vAlign w:val="bottom"/>
          </w:tcPr>
          <w:p>
            <w:pPr>
              <w:spacing w:after="0"/>
              <w:rPr>
                <w:sz w:val="18"/>
                <w:szCs w:val="18"/>
                <w:color w:val="auto"/>
              </w:rPr>
            </w:pPr>
          </w:p>
        </w:tc>
        <w:tc>
          <w:tcPr>
            <w:tcW w:w="3480" w:type="dxa"/>
            <w:vAlign w:val="bottom"/>
            <w:shd w:val="clear" w:color="auto" w:fill="E5E5E5"/>
          </w:tcPr>
          <w:p>
            <w:pPr>
              <w:spacing w:after="0"/>
              <w:rPr>
                <w:sz w:val="20"/>
                <w:szCs w:val="20"/>
                <w:color w:val="auto"/>
              </w:rPr>
            </w:pPr>
            <w:r>
              <w:rPr>
                <w:rFonts w:ascii="Arial" w:cs="Arial" w:eastAsia="Arial" w:hAnsi="Arial"/>
                <w:sz w:val="18"/>
                <w:szCs w:val="18"/>
                <w:color w:val="auto"/>
              </w:rPr>
              <w:t>Noncontrolling interest</w:t>
            </w:r>
          </w:p>
        </w:tc>
        <w:tc>
          <w:tcPr>
            <w:tcW w:w="73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7"/>
              </w:rPr>
              <w:t>(1,440)</w:t>
            </w:r>
          </w:p>
        </w:tc>
      </w:tr>
      <w:tr>
        <w:trPr>
          <w:trHeight w:val="216"/>
        </w:trPr>
        <w:tc>
          <w:tcPr>
            <w:tcW w:w="20" w:type="dxa"/>
            <w:vAlign w:val="bottom"/>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7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5,118</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consideration transferred</w:t>
            </w:r>
          </w:p>
        </w:tc>
        <w:tc>
          <w:tcPr>
            <w:tcW w:w="7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1,499</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and Unaudited Pro Forma Results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revenue for the three and nine months ended September 30, 2016 included $424 million and $1.1 billion, respectively, from the acquisition of Universal Studios Japan. Our consolidated net income attributable to NBCUniversal for the three and nine months ended September 30, 2016 included $48 million and $76 million, respectively, from the acquisition of Universal Studios Japan.</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the acquisition of Universal Studios Japan occurred on January 1, 2014. This information is primarily based on historical results of operations and is subject to change as valuations are finalized. In addition, the unaudited pro forma accounting adjustments are not necessarily indicative of what our results would have been had we operated Universal Studios Japan since January 1, 2014. No pro forma adjustments have been made for our transaction-related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Results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240" w:type="dxa"/>
            <w:vAlign w:val="bottom"/>
            <w:gridSpan w:val="2"/>
          </w:tcPr>
          <w:p>
            <w:pPr>
              <w:ind w:left="2500"/>
              <w:spacing w:after="0"/>
              <w:rPr>
                <w:sz w:val="20"/>
                <w:szCs w:val="20"/>
                <w:color w:val="auto"/>
              </w:rPr>
            </w:pPr>
            <w:r>
              <w:rPr>
                <w:rFonts w:ascii="Arial" w:cs="Arial" w:eastAsia="Arial" w:hAnsi="Arial"/>
                <w:sz w:val="14"/>
                <w:szCs w:val="14"/>
                <w:color w:val="auto"/>
              </w:rPr>
              <w:t>Three Months Ended</w:t>
            </w:r>
          </w:p>
        </w:tc>
        <w:tc>
          <w:tcPr>
            <w:tcW w:w="1760" w:type="dxa"/>
            <w:vAlign w:val="bottom"/>
            <w:gridSpan w:val="2"/>
          </w:tcPr>
          <w:p>
            <w:pPr>
              <w:ind w:left="580"/>
              <w:spacing w:after="0"/>
              <w:rPr>
                <w:sz w:val="20"/>
                <w:szCs w:val="20"/>
                <w:color w:val="auto"/>
              </w:rPr>
            </w:pPr>
            <w:r>
              <w:rPr>
                <w:rFonts w:ascii="Arial" w:cs="Arial" w:eastAsia="Arial" w:hAnsi="Arial"/>
                <w:sz w:val="14"/>
                <w:szCs w:val="14"/>
                <w:color w:val="auto"/>
                <w:w w:val="94"/>
              </w:rPr>
              <w:t>Nine Months Ended</w:t>
            </w:r>
          </w:p>
        </w:tc>
      </w:tr>
      <w:tr>
        <w:trPr>
          <w:trHeight w:val="159"/>
        </w:trPr>
        <w:tc>
          <w:tcPr>
            <w:tcW w:w="5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240" w:type="dxa"/>
            <w:vAlign w:val="bottom"/>
            <w:tcBorders>
              <w:bottom w:val="single" w:sz="8" w:color="auto"/>
            </w:tcBorders>
            <w:gridSpan w:val="2"/>
          </w:tcPr>
          <w:p>
            <w:pPr>
              <w:ind w:left="2540"/>
              <w:spacing w:after="0" w:line="159" w:lineRule="exact"/>
              <w:rPr>
                <w:sz w:val="20"/>
                <w:szCs w:val="20"/>
                <w:color w:val="auto"/>
              </w:rPr>
            </w:pPr>
            <w:r>
              <w:rPr>
                <w:rFonts w:ascii="Arial" w:cs="Arial" w:eastAsia="Arial" w:hAnsi="Arial"/>
                <w:sz w:val="14"/>
                <w:szCs w:val="14"/>
                <w:color w:val="auto"/>
              </w:rPr>
              <w:t>September 30, 2015</w:t>
            </w:r>
          </w:p>
        </w:tc>
        <w:tc>
          <w:tcPr>
            <w:tcW w:w="1760" w:type="dxa"/>
            <w:vAlign w:val="bottom"/>
            <w:tcBorders>
              <w:bottom w:val="single" w:sz="8" w:color="auto"/>
            </w:tcBorders>
            <w:gridSpan w:val="2"/>
          </w:tcPr>
          <w:p>
            <w:pPr>
              <w:ind w:left="580"/>
              <w:spacing w:after="0" w:line="159" w:lineRule="exact"/>
              <w:rPr>
                <w:sz w:val="20"/>
                <w:szCs w:val="20"/>
                <w:color w:val="auto"/>
              </w:rPr>
            </w:pPr>
            <w:r>
              <w:rPr>
                <w:rFonts w:ascii="Arial" w:cs="Arial" w:eastAsia="Arial" w:hAnsi="Arial"/>
                <w:sz w:val="14"/>
                <w:szCs w:val="14"/>
                <w:color w:val="auto"/>
                <w:w w:val="91"/>
              </w:rPr>
              <w:t>September 30, 2015</w:t>
            </w:r>
          </w:p>
        </w:tc>
      </w:tr>
      <w:tr>
        <w:trPr>
          <w:trHeight w:val="210"/>
        </w:trPr>
        <w:tc>
          <w:tcPr>
            <w:tcW w:w="542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2920" w:type="dxa"/>
            <w:vAlign w:val="bottom"/>
            <w:shd w:val="clear" w:color="auto" w:fill="E5E5E5"/>
          </w:tcPr>
          <w:p>
            <w:pPr>
              <w:ind w:left="25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7,495</w:t>
            </w:r>
          </w:p>
        </w:tc>
        <w:tc>
          <w:tcPr>
            <w:tcW w:w="920" w:type="dxa"/>
            <w:vAlign w:val="bottom"/>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21,867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ind w:left="25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92"/>
              <w:spacing w:after="0"/>
              <w:rPr>
                <w:sz w:val="20"/>
                <w:szCs w:val="20"/>
                <w:color w:val="auto"/>
              </w:rPr>
            </w:pPr>
            <w:r>
              <w:rPr>
                <w:rFonts w:ascii="Arial" w:cs="Arial" w:eastAsia="Arial" w:hAnsi="Arial"/>
                <w:sz w:val="18"/>
                <w:szCs w:val="18"/>
                <w:color w:val="auto"/>
              </w:rPr>
              <w:t>1,034</w:t>
            </w:r>
          </w:p>
        </w:tc>
        <w:tc>
          <w:tcPr>
            <w:tcW w:w="920" w:type="dxa"/>
            <w:vAlign w:val="bottom"/>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2,965</w:t>
            </w:r>
          </w:p>
        </w:tc>
      </w:tr>
      <w:tr>
        <w:trPr>
          <w:trHeight w:val="216"/>
        </w:trPr>
        <w:tc>
          <w:tcPr>
            <w:tcW w:w="5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NBCUniversal</w:t>
            </w:r>
          </w:p>
        </w:tc>
        <w:tc>
          <w:tcPr>
            <w:tcW w:w="2920" w:type="dxa"/>
            <w:vAlign w:val="bottom"/>
            <w:tcBorders>
              <w:bottom w:val="single" w:sz="8" w:color="auto"/>
            </w:tcBorders>
            <w:shd w:val="clear" w:color="auto" w:fill="E5E5E5"/>
          </w:tcPr>
          <w:p>
            <w:pPr>
              <w:ind w:left="25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E5E5E5"/>
          </w:tcPr>
          <w:p>
            <w:pPr>
              <w:jc w:val="right"/>
              <w:ind w:right="492"/>
              <w:spacing w:after="0"/>
              <w:rPr>
                <w:sz w:val="20"/>
                <w:szCs w:val="20"/>
                <w:color w:val="auto"/>
              </w:rPr>
            </w:pPr>
            <w:r>
              <w:rPr>
                <w:rFonts w:ascii="Arial" w:cs="Arial" w:eastAsia="Arial" w:hAnsi="Arial"/>
                <w:sz w:val="18"/>
                <w:szCs w:val="18"/>
                <w:color w:val="auto"/>
              </w:rPr>
              <w:t>964</w:t>
            </w:r>
          </w:p>
        </w:tc>
        <w:tc>
          <w:tcPr>
            <w:tcW w:w="920" w:type="dxa"/>
            <w:vAlign w:val="bottom"/>
            <w:tcBorders>
              <w:bottom w:val="single" w:sz="8" w:color="auto"/>
            </w:tcBorders>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2,762</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2016, as part of the Comcast cash management process, we and Comcast amended and restated our revolving credit agreements to increase the amount that we can borrow from Comcast and that Comcast can borrow from us from $3 billion to $5 billion and extended the maturity date to 2026. Amounts owed by us to Comcast or to us by Comcast under the revolving credit agreement, including accrued interest, are presented under the captions “note payable to Comcast” and “note receivable from Comcast,” respectively, in our condensed consolidated balance sheet. The revolving credit agreements bear interest at floating rates equal to the interest rate calculation under Comcast’s revolving credit facility. The interest rate on Comcast’s revolving credit facility consists of a base rate plus a borrowing margin that is determined based on Comcast’s credit rating. As of September 30, 2016, the borrowing margin for our London Interbank Offered Rate-based borrowings was 1.00%.</w:t>
      </w:r>
    </w:p>
    <w:p>
      <w:pPr>
        <w:spacing w:after="0" w:line="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Comcast is also the counterparty to one of our contractual obligations. As of September 30, 2016, the carrying value of the liability associated with this contractual obligation was $383 million.</w:t>
      </w:r>
    </w:p>
    <w:p>
      <w:pPr>
        <w:spacing w:after="0" w:line="37"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The following tables present transactions with Comcast and its consolidated subsidiaries that are included in our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ind w:left="420"/>
              <w:spacing w:after="0"/>
              <w:rPr>
                <w:sz w:val="20"/>
                <w:szCs w:val="20"/>
                <w:color w:val="auto"/>
              </w:rPr>
            </w:pPr>
            <w:r>
              <w:rPr>
                <w:rFonts w:ascii="Arial" w:cs="Arial" w:eastAsia="Arial" w:hAnsi="Arial"/>
                <w:sz w:val="14"/>
                <w:szCs w:val="14"/>
                <w:color w:val="auto"/>
                <w:w w:val="87"/>
              </w:rPr>
              <w:t>September 30,</w:t>
            </w:r>
          </w:p>
        </w:tc>
        <w:tc>
          <w:tcPr>
            <w:tcW w:w="140" w:type="dxa"/>
            <w:vAlign w:val="bottom"/>
          </w:tcPr>
          <w:p>
            <w:pPr>
              <w:spacing w:after="0"/>
              <w:rPr>
                <w:sz w:val="14"/>
                <w:szCs w:val="14"/>
                <w:color w:val="auto"/>
              </w:rPr>
            </w:pPr>
          </w:p>
        </w:tc>
        <w:tc>
          <w:tcPr>
            <w:tcW w:w="1500" w:type="dxa"/>
            <w:vAlign w:val="bottom"/>
            <w:gridSpan w:val="3"/>
          </w:tcPr>
          <w:p>
            <w:pPr>
              <w:ind w:left="640"/>
              <w:spacing w:after="0"/>
              <w:rPr>
                <w:sz w:val="20"/>
                <w:szCs w:val="20"/>
                <w:color w:val="auto"/>
              </w:rPr>
            </w:pPr>
            <w:r>
              <w:rPr>
                <w:rFonts w:ascii="Arial" w:cs="Arial" w:eastAsia="Arial" w:hAnsi="Arial"/>
                <w:sz w:val="14"/>
                <w:szCs w:val="14"/>
                <w:color w:val="auto"/>
                <w:w w:val="95"/>
              </w:rPr>
              <w:t>December 31,</w:t>
            </w:r>
          </w:p>
        </w:tc>
      </w:tr>
      <w:tr>
        <w:trPr>
          <w:trHeight w:val="159"/>
        </w:trPr>
        <w:tc>
          <w:tcPr>
            <w:tcW w:w="768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color w:val="auto"/>
              </w:rPr>
              <w:t>2016</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768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239</w:t>
            </w:r>
          </w:p>
        </w:tc>
      </w:tr>
      <w:tr>
        <w:trPr>
          <w:trHeight w:val="216"/>
        </w:trPr>
        <w:tc>
          <w:tcPr>
            <w:tcW w:w="76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68</w:t>
            </w: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8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16"/>
        </w:trPr>
        <w:tc>
          <w:tcPr>
            <w:tcW w:w="76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Note payable to Comcast</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00" w:type="dxa"/>
            <w:vAlign w:val="bottom"/>
            <w:shd w:val="clear" w:color="auto" w:fill="E5E5E5"/>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2,882</w:t>
            </w: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1,750</w:t>
            </w:r>
          </w:p>
        </w:tc>
      </w:tr>
      <w:tr>
        <w:trPr>
          <w:trHeight w:val="216"/>
        </w:trPr>
        <w:tc>
          <w:tcPr>
            <w:tcW w:w="76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383</w:t>
            </w:r>
          </w:p>
        </w:tc>
      </w:tr>
      <w:tr>
        <w:trPr>
          <w:trHeight w:val="397"/>
        </w:trPr>
        <w:tc>
          <w:tcPr>
            <w:tcW w:w="7680" w:type="dxa"/>
            <w:vAlign w:val="bottom"/>
            <w:gridSpan w:val="2"/>
          </w:tcPr>
          <w:p>
            <w:pPr>
              <w:ind w:left="3760"/>
              <w:spacing w:after="0"/>
              <w:rPr>
                <w:sz w:val="20"/>
                <w:szCs w:val="20"/>
                <w:color w:val="auto"/>
              </w:rPr>
            </w:pPr>
            <w:r>
              <w:rPr>
                <w:rFonts w:ascii="Arial" w:cs="Arial" w:eastAsia="Arial" w:hAnsi="Arial"/>
                <w:sz w:val="18"/>
                <w:szCs w:val="18"/>
                <w:b w:val="1"/>
                <w:bCs w:val="1"/>
                <w:color w:val="auto"/>
                <w:w w:val="97"/>
              </w:rPr>
              <w:t>Condensed Consolidated Statement of Income</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1"/>
        </w:trPr>
        <w:tc>
          <w:tcPr>
            <w:tcW w:w="7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3"/>
          </w:tcPr>
          <w:p>
            <w:pPr>
              <w:jc w:val="center"/>
              <w:ind w:right="494"/>
              <w:spacing w:after="0"/>
              <w:rPr>
                <w:sz w:val="20"/>
                <w:szCs w:val="20"/>
                <w:color w:val="auto"/>
              </w:rPr>
            </w:pPr>
            <w:r>
              <w:rPr>
                <w:rFonts w:ascii="Arial" w:cs="Arial" w:eastAsia="Arial" w:hAnsi="Arial"/>
                <w:sz w:val="14"/>
                <w:szCs w:val="14"/>
                <w:color w:val="auto"/>
                <w:w w:val="87"/>
              </w:rPr>
              <w:t>Three Months Ended</w:t>
            </w:r>
          </w:p>
        </w:tc>
        <w:tc>
          <w:tcPr>
            <w:tcW w:w="140" w:type="dxa"/>
            <w:vAlign w:val="bottom"/>
          </w:tcPr>
          <w:p>
            <w:pPr>
              <w:spacing w:after="0"/>
              <w:rPr>
                <w:sz w:val="22"/>
                <w:szCs w:val="22"/>
                <w:color w:val="auto"/>
              </w:rPr>
            </w:pPr>
          </w:p>
        </w:tc>
        <w:tc>
          <w:tcPr>
            <w:tcW w:w="1500" w:type="dxa"/>
            <w:vAlign w:val="bottom"/>
            <w:gridSpan w:val="3"/>
          </w:tcPr>
          <w:p>
            <w:pPr>
              <w:jc w:val="right"/>
              <w:ind w:right="234"/>
              <w:spacing w:after="0"/>
              <w:rPr>
                <w:sz w:val="20"/>
                <w:szCs w:val="20"/>
                <w:color w:val="auto"/>
              </w:rPr>
            </w:pPr>
            <w:r>
              <w:rPr>
                <w:rFonts w:ascii="Arial" w:cs="Arial" w:eastAsia="Arial" w:hAnsi="Arial"/>
                <w:sz w:val="14"/>
                <w:szCs w:val="14"/>
                <w:color w:val="auto"/>
                <w:w w:val="94"/>
              </w:rPr>
              <w:t>Nine Months Ended</w:t>
            </w:r>
          </w:p>
        </w:tc>
      </w:tr>
      <w:tr>
        <w:trPr>
          <w:trHeight w:val="159"/>
        </w:trPr>
        <w:tc>
          <w:tcPr>
            <w:tcW w:w="7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62"/>
              <w:spacing w:after="0" w:line="159" w:lineRule="exact"/>
              <w:rPr>
                <w:sz w:val="20"/>
                <w:szCs w:val="20"/>
                <w:color w:val="auto"/>
              </w:rPr>
            </w:pPr>
            <w:r>
              <w:rPr>
                <w:rFonts w:ascii="Arial" w:cs="Arial" w:eastAsia="Arial" w:hAnsi="Arial"/>
                <w:sz w:val="14"/>
                <w:szCs w:val="14"/>
                <w:color w:val="auto"/>
                <w:w w:val="86"/>
              </w:rPr>
              <w:t>September 30</w:t>
            </w: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94"/>
              <w:spacing w:after="0" w:line="159" w:lineRule="exact"/>
              <w:rPr>
                <w:sz w:val="20"/>
                <w:szCs w:val="20"/>
                <w:color w:val="auto"/>
              </w:rPr>
            </w:pPr>
            <w:r>
              <w:rPr>
                <w:rFonts w:ascii="Arial" w:cs="Arial" w:eastAsia="Arial" w:hAnsi="Arial"/>
                <w:sz w:val="14"/>
                <w:szCs w:val="14"/>
                <w:color w:val="auto"/>
              </w:rPr>
              <w:t>September 30</w:t>
            </w:r>
          </w:p>
        </w:tc>
      </w:tr>
      <w:tr>
        <w:trPr>
          <w:trHeight w:val="142"/>
        </w:trPr>
        <w:tc>
          <w:tcPr>
            <w:tcW w:w="73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color w:val="auto"/>
                <w:w w:val="89"/>
              </w:rPr>
              <w:t>2016</w:t>
            </w:r>
          </w:p>
        </w:tc>
        <w:tc>
          <w:tcPr>
            <w:tcW w:w="1240" w:type="dxa"/>
            <w:vAlign w:val="bottom"/>
            <w:tcBorders>
              <w:bottom w:val="single" w:sz="8" w:color="auto"/>
            </w:tcBorders>
            <w:gridSpan w:val="2"/>
          </w:tcPr>
          <w:p>
            <w:pPr>
              <w:jc w:val="right"/>
              <w:ind w:right="534"/>
              <w:spacing w:after="0" w:line="142" w:lineRule="exact"/>
              <w:rPr>
                <w:sz w:val="20"/>
                <w:szCs w:val="20"/>
                <w:color w:val="auto"/>
              </w:rPr>
            </w:pPr>
            <w:r>
              <w:rPr>
                <w:rFonts w:ascii="Arial" w:cs="Arial" w:eastAsia="Arial" w:hAnsi="Arial"/>
                <w:sz w:val="14"/>
                <w:szCs w:val="14"/>
                <w:color w:val="auto"/>
              </w:rPr>
              <w:t>2015</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w w:val="89"/>
              </w:rPr>
              <w:t>2016</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2015</w:t>
            </w:r>
          </w:p>
        </w:tc>
      </w:tr>
      <w:tr>
        <w:trPr>
          <w:trHeight w:val="210"/>
        </w:trPr>
        <w:tc>
          <w:tcPr>
            <w:tcW w:w="768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14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r>
      <w:tr>
        <w:trPr>
          <w:trHeight w:val="216"/>
        </w:trPr>
        <w:tc>
          <w:tcPr>
            <w:tcW w:w="768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222"/>
              <w:spacing w:after="0"/>
              <w:rPr>
                <w:sz w:val="20"/>
                <w:szCs w:val="20"/>
                <w:color w:val="auto"/>
              </w:rPr>
            </w:pPr>
            <w:r>
              <w:rPr>
                <w:rFonts w:ascii="Arial" w:cs="Arial" w:eastAsia="Arial" w:hAnsi="Arial"/>
                <w:sz w:val="18"/>
                <w:szCs w:val="18"/>
                <w:color w:val="auto"/>
              </w:rPr>
              <w:t>522</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94"/>
              <w:spacing w:after="0"/>
              <w:rPr>
                <w:sz w:val="20"/>
                <w:szCs w:val="20"/>
                <w:color w:val="auto"/>
              </w:rPr>
            </w:pPr>
            <w:r>
              <w:rPr>
                <w:rFonts w:ascii="Arial" w:cs="Arial" w:eastAsia="Arial" w:hAnsi="Arial"/>
                <w:sz w:val="18"/>
                <w:szCs w:val="18"/>
                <w:color w:val="auto"/>
                <w:w w:val="79"/>
              </w:rPr>
              <w:t>334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$ 1,335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1,006</w:t>
            </w:r>
          </w:p>
        </w:tc>
      </w:tr>
      <w:tr>
        <w:trPr>
          <w:trHeight w:val="216"/>
        </w:trPr>
        <w:tc>
          <w:tcPr>
            <w:tcW w:w="768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right"/>
              <w:ind w:right="162"/>
              <w:spacing w:after="0"/>
              <w:rPr>
                <w:sz w:val="20"/>
                <w:szCs w:val="20"/>
                <w:color w:val="auto"/>
              </w:rPr>
            </w:pPr>
            <w:r>
              <w:rPr>
                <w:rFonts w:ascii="Arial" w:cs="Arial" w:eastAsia="Arial" w:hAnsi="Arial"/>
                <w:sz w:val="18"/>
                <w:szCs w:val="18"/>
                <w:color w:val="auto"/>
              </w:rPr>
              <w:t>(53)</w:t>
            </w:r>
          </w:p>
        </w:tc>
        <w:tc>
          <w:tcPr>
            <w:tcW w:w="5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w w:val="93"/>
              </w:rPr>
              <w:t>(71)</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right"/>
              <w:ind w:right="2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76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Other income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356"/>
        </w:trPr>
        <w:tc>
          <w:tcPr>
            <w:tcW w:w="7300" w:type="dxa"/>
            <w:vAlign w:val="bottom"/>
          </w:tcPr>
          <w:p>
            <w:pPr>
              <w:ind w:left="562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4100" w:type="dxa"/>
            <w:vAlign w:val="bottom"/>
            <w:gridSpan w:val="2"/>
          </w:tcPr>
          <w:p>
            <w:pPr>
              <w:ind w:left="29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60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4"/>
              <w:spacing w:after="0" w:line="159" w:lineRule="exact"/>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6040" w:type="dxa"/>
            <w:vAlign w:val="bottom"/>
            <w:shd w:val="clear" w:color="auto" w:fill="E5E5E5"/>
          </w:tcPr>
          <w:p>
            <w:pPr>
              <w:spacing w:after="0"/>
              <w:rPr>
                <w:sz w:val="20"/>
                <w:szCs w:val="20"/>
                <w:color w:val="auto"/>
              </w:rPr>
            </w:pPr>
            <w:r>
              <w:rPr>
                <w:rFonts w:ascii="Arial" w:cs="Arial" w:eastAsia="Arial" w:hAnsi="Arial"/>
                <w:sz w:val="18"/>
                <w:szCs w:val="18"/>
                <w:color w:val="auto"/>
              </w:rPr>
              <w:t>Film Costs:</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tcPr>
          <w:p>
            <w:pPr>
              <w:ind w:left="29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1,586</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1,275</w:t>
            </w: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222</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226</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1,402</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907</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3,210</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2,408</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Television Costs:</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1,839</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1,573</w:t>
            </w:r>
          </w:p>
        </w:tc>
      </w:tr>
      <w:tr>
        <w:trPr>
          <w:trHeight w:val="216"/>
        </w:trPr>
        <w:tc>
          <w:tcPr>
            <w:tcW w:w="60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886</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2,725</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2,310</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2,572</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2,329</w:t>
            </w:r>
          </w:p>
        </w:tc>
      </w:tr>
      <w:tr>
        <w:trPr>
          <w:trHeight w:val="210"/>
        </w:trPr>
        <w:tc>
          <w:tcPr>
            <w:tcW w:w="6040" w:type="dxa"/>
            <w:vAlign w:val="bottom"/>
            <w:shd w:val="clear" w:color="auto" w:fill="E5E5E5"/>
          </w:tcPr>
          <w:p>
            <w:pPr>
              <w:spacing w:after="0"/>
              <w:rPr>
                <w:sz w:val="18"/>
                <w:szCs w:val="18"/>
                <w:color w:val="auto"/>
              </w:rPr>
            </w:pPr>
          </w:p>
        </w:tc>
        <w:tc>
          <w:tcPr>
            <w:tcW w:w="30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14"/>
              <w:spacing w:after="0"/>
              <w:rPr>
                <w:sz w:val="20"/>
                <w:szCs w:val="20"/>
                <w:color w:val="auto"/>
              </w:rPr>
            </w:pPr>
            <w:r>
              <w:rPr>
                <w:rFonts w:ascii="Arial" w:cs="Arial" w:eastAsia="Arial" w:hAnsi="Arial"/>
                <w:sz w:val="18"/>
                <w:szCs w:val="18"/>
                <w:color w:val="auto"/>
              </w:rPr>
              <w:t>8,507</w:t>
            </w:r>
          </w:p>
        </w:tc>
        <w:tc>
          <w:tcPr>
            <w:tcW w:w="5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7,047</w:t>
            </w:r>
          </w:p>
        </w:tc>
      </w:tr>
      <w:tr>
        <w:trPr>
          <w:trHeight w:val="216"/>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3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1,362</w:t>
            </w:r>
          </w:p>
        </w:tc>
        <w:tc>
          <w:tcPr>
            <w:tcW w:w="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1,200</w:t>
            </w:r>
          </w:p>
        </w:tc>
      </w:tr>
      <w:tr>
        <w:trPr>
          <w:trHeight w:val="217"/>
        </w:trPr>
        <w:tc>
          <w:tcPr>
            <w:tcW w:w="6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3080" w:type="dxa"/>
            <w:vAlign w:val="bottom"/>
            <w:tcBorders>
              <w:bottom w:val="single" w:sz="8" w:color="auto"/>
            </w:tcBorders>
            <w:shd w:val="clear" w:color="auto" w:fill="E5E5E5"/>
          </w:tcPr>
          <w:p>
            <w:pPr>
              <w:ind w:left="29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E5E5E5"/>
          </w:tcPr>
          <w:p>
            <w:pPr>
              <w:jc w:val="right"/>
              <w:ind w:right="314"/>
              <w:spacing w:after="0"/>
              <w:rPr>
                <w:sz w:val="20"/>
                <w:szCs w:val="20"/>
                <w:color w:val="auto"/>
              </w:rPr>
            </w:pPr>
            <w:r>
              <w:rPr>
                <w:rFonts w:ascii="Arial" w:cs="Arial" w:eastAsia="Arial" w:hAnsi="Arial"/>
                <w:sz w:val="18"/>
                <w:szCs w:val="18"/>
                <w:b w:val="1"/>
                <w:bCs w:val="1"/>
                <w:color w:val="auto"/>
              </w:rPr>
              <w:t>7,145</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5,847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5020" w:type="dxa"/>
            <w:vAlign w:val="bottom"/>
            <w:gridSpan w:val="2"/>
          </w:tcPr>
          <w:p>
            <w:pPr>
              <w:ind w:left="3780"/>
              <w:spacing w:after="0"/>
              <w:rPr>
                <w:sz w:val="20"/>
                <w:szCs w:val="20"/>
                <w:color w:val="auto"/>
              </w:rPr>
            </w:pPr>
            <w:r>
              <w:rPr>
                <w:rFonts w:ascii="Arial" w:cs="Arial" w:eastAsia="Arial" w:hAnsi="Arial"/>
                <w:sz w:val="14"/>
                <w:szCs w:val="14"/>
                <w:color w:val="auto"/>
              </w:rPr>
              <w:t>September 30,</w:t>
            </w:r>
          </w:p>
        </w:tc>
        <w:tc>
          <w:tcPr>
            <w:tcW w:w="1320" w:type="dxa"/>
            <w:vAlign w:val="bottom"/>
            <w:gridSpan w:val="2"/>
          </w:tcPr>
          <w:p>
            <w:pPr>
              <w:ind w:left="460"/>
              <w:spacing w:after="0"/>
              <w:rPr>
                <w:sz w:val="20"/>
                <w:szCs w:val="20"/>
                <w:color w:val="auto"/>
              </w:rPr>
            </w:pPr>
            <w:r>
              <w:rPr>
                <w:rFonts w:ascii="Arial" w:cs="Arial" w:eastAsia="Arial" w:hAnsi="Arial"/>
                <w:sz w:val="14"/>
                <w:szCs w:val="14"/>
                <w:color w:val="auto"/>
                <w:w w:val="95"/>
              </w:rPr>
              <w:t>December 31,</w:t>
            </w:r>
          </w:p>
        </w:tc>
      </w:tr>
      <w:tr>
        <w:trPr>
          <w:trHeight w:val="159"/>
        </w:trPr>
        <w:tc>
          <w:tcPr>
            <w:tcW w:w="5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5"/>
              <w:spacing w:after="0" w:line="159" w:lineRule="exact"/>
              <w:rPr>
                <w:sz w:val="20"/>
                <w:szCs w:val="20"/>
                <w:color w:val="auto"/>
              </w:rPr>
            </w:pPr>
            <w:r>
              <w:rPr>
                <w:rFonts w:ascii="Arial" w:cs="Arial" w:eastAsia="Arial" w:hAnsi="Arial"/>
                <w:sz w:val="14"/>
                <w:szCs w:val="14"/>
                <w:color w:val="auto"/>
              </w:rPr>
              <w:t>2016</w:t>
            </w:r>
          </w:p>
        </w:tc>
        <w:tc>
          <w:tcPr>
            <w:tcW w:w="6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2015</w:t>
            </w:r>
          </w:p>
        </w:tc>
      </w:tr>
      <w:tr>
        <w:trPr>
          <w:trHeight w:val="210"/>
        </w:trPr>
        <w:tc>
          <w:tcPr>
            <w:tcW w:w="508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940" w:type="dxa"/>
            <w:vAlign w:val="bottom"/>
            <w:shd w:val="clear" w:color="auto" w:fill="E5E5E5"/>
          </w:tcPr>
          <w:p>
            <w:pPr>
              <w:ind w:left="3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5</w:t>
            </w:r>
          </w:p>
        </w:tc>
        <w:tc>
          <w:tcPr>
            <w:tcW w:w="62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Equity Method:</w:t>
            </w:r>
          </w:p>
        </w:tc>
        <w:tc>
          <w:tcPr>
            <w:tcW w:w="3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0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Hulu</w:t>
            </w:r>
          </w:p>
        </w:tc>
        <w:tc>
          <w:tcPr>
            <w:tcW w:w="39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286</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184</w:t>
            </w:r>
          </w:p>
        </w:tc>
      </w:tr>
      <w:tr>
        <w:trPr>
          <w:trHeight w:val="216"/>
        </w:trPr>
        <w:tc>
          <w:tcPr>
            <w:tcW w:w="5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367</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313</w:t>
            </w:r>
          </w:p>
        </w:tc>
      </w:tr>
      <w:tr>
        <w:trPr>
          <w:trHeight w:val="210"/>
        </w:trPr>
        <w:tc>
          <w:tcPr>
            <w:tcW w:w="5080" w:type="dxa"/>
            <w:vAlign w:val="bottom"/>
            <w:shd w:val="clear" w:color="auto" w:fill="E5E5E5"/>
          </w:tcPr>
          <w:p>
            <w:pPr>
              <w:spacing w:after="0"/>
              <w:rPr>
                <w:sz w:val="18"/>
                <w:szCs w:val="18"/>
                <w:color w:val="auto"/>
              </w:rPr>
            </w:pPr>
          </w:p>
        </w:tc>
        <w:tc>
          <w:tcPr>
            <w:tcW w:w="39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75"/>
              <w:spacing w:after="0"/>
              <w:rPr>
                <w:sz w:val="20"/>
                <w:szCs w:val="20"/>
                <w:color w:val="auto"/>
              </w:rPr>
            </w:pPr>
            <w:r>
              <w:rPr>
                <w:rFonts w:ascii="Arial" w:cs="Arial" w:eastAsia="Arial" w:hAnsi="Arial"/>
                <w:sz w:val="18"/>
                <w:szCs w:val="18"/>
                <w:color w:val="auto"/>
              </w:rPr>
              <w:t>653</w:t>
            </w:r>
          </w:p>
        </w:tc>
        <w:tc>
          <w:tcPr>
            <w:tcW w:w="6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497</w:t>
            </w:r>
          </w:p>
        </w:tc>
      </w:tr>
      <w:tr>
        <w:trPr>
          <w:trHeight w:val="21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3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color w:val="auto"/>
              </w:rPr>
              <w:t>493</w:t>
            </w: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458</w:t>
            </w:r>
          </w:p>
        </w:tc>
      </w:tr>
      <w:tr>
        <w:trPr>
          <w:trHeight w:val="217"/>
        </w:trPr>
        <w:tc>
          <w:tcPr>
            <w:tcW w:w="5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investments</w:t>
            </w:r>
          </w:p>
        </w:tc>
        <w:tc>
          <w:tcPr>
            <w:tcW w:w="3940" w:type="dxa"/>
            <w:vAlign w:val="bottom"/>
            <w:tcBorders>
              <w:bottom w:val="single" w:sz="8" w:color="auto"/>
            </w:tcBorders>
            <w:shd w:val="clear" w:color="auto" w:fill="E5E5E5"/>
          </w:tcPr>
          <w:p>
            <w:pPr>
              <w:ind w:left="378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375"/>
              <w:spacing w:after="0"/>
              <w:rPr>
                <w:sz w:val="20"/>
                <w:szCs w:val="20"/>
                <w:color w:val="auto"/>
              </w:rPr>
            </w:pPr>
            <w:r>
              <w:rPr>
                <w:rFonts w:ascii="Arial" w:cs="Arial" w:eastAsia="Arial" w:hAnsi="Arial"/>
                <w:sz w:val="18"/>
                <w:szCs w:val="18"/>
                <w:b w:val="1"/>
                <w:bCs w:val="1"/>
                <w:color w:val="auto"/>
              </w:rPr>
              <w:t>1,151</w:t>
            </w:r>
          </w:p>
        </w:tc>
        <w:tc>
          <w:tcPr>
            <w:tcW w:w="62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965</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29,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for the nine months ended September 30, 2016 of $108 million in other income (expense), net.</w:t>
      </w:r>
    </w:p>
    <w:p>
      <w:pPr>
        <w:spacing w:after="0" w:line="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nine months ended September 30, 2015, The Weather Channel recorded an impairment charge related to goodwill. We recorded an expense of $252 million that represents our proportionate share of this impairment charge in equity in net income (losses) of investees, net in our condensed consolidated statement of income.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Hulu</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August 2016, Time Warner Inc. acquired a 10% interest in Hulu, LLC (“Hulu”), which diluted our interest in Hulu from 33% to 30%. For a period not to exceed three years, Time Warner may put its shares to Hulu or Hulu may call Time Warner’s shares under certain limited circumstances arising from regulatory review. Given the contingent nature of the put and call options, we recorded a deferred gain of $159 million and a corresponding increase to our investment in Hulu as a result of the dilution. The deferred gain will be recognized in other income (expense), net if and when the options expire unexercised.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2016, we recognized our proportionate share of losses of $43 million and $108 million, respectively, related to our investment in Hulu. For the three and nine months ended September 30, 2015, we recognized our proportionate share of losses of $19 million and $43 million, respectively, related to our investment in Hulu.</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Goodwill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Arial" w:cs="Arial" w:eastAsia="Arial" w:hAnsi="Arial"/>
                <w:sz w:val="14"/>
                <w:szCs w:val="14"/>
                <w:color w:val="auto"/>
              </w:rPr>
              <w:t>Broadcast</w:t>
            </w:r>
          </w:p>
        </w:tc>
        <w:tc>
          <w:tcPr>
            <w:tcW w:w="460" w:type="dxa"/>
            <w:vAlign w:val="bottom"/>
          </w:tcPr>
          <w:p>
            <w:pPr>
              <w:spacing w:after="0"/>
              <w:rPr>
                <w:sz w:val="14"/>
                <w:szCs w:val="14"/>
                <w:color w:val="auto"/>
              </w:rPr>
            </w:pPr>
          </w:p>
        </w:tc>
        <w:tc>
          <w:tcPr>
            <w:tcW w:w="960" w:type="dxa"/>
            <w:vAlign w:val="bottom"/>
          </w:tcPr>
          <w:p>
            <w:pPr>
              <w:jc w:val="right"/>
              <w:ind w:right="436"/>
              <w:spacing w:after="0"/>
              <w:rPr>
                <w:sz w:val="20"/>
                <w:szCs w:val="20"/>
                <w:color w:val="auto"/>
              </w:rPr>
            </w:pPr>
            <w:r>
              <w:rPr>
                <w:rFonts w:ascii="Arial" w:cs="Arial" w:eastAsia="Arial" w:hAnsi="Arial"/>
                <w:sz w:val="14"/>
                <w:szCs w:val="14"/>
                <w:color w:val="auto"/>
                <w:w w:val="99"/>
              </w:rPr>
              <w:t>Filmed</w:t>
            </w: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37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740" w:type="dxa"/>
            <w:vAlign w:val="bottom"/>
            <w:tcBorders>
              <w:bottom w:val="single" w:sz="8" w:color="auto"/>
            </w:tcBorders>
            <w:gridSpan w:val="2"/>
          </w:tcPr>
          <w:p>
            <w:pPr>
              <w:ind w:left="1540"/>
              <w:spacing w:after="0" w:line="159" w:lineRule="exact"/>
              <w:rPr>
                <w:sz w:val="20"/>
                <w:szCs w:val="20"/>
                <w:color w:val="auto"/>
              </w:rPr>
            </w:pPr>
            <w:r>
              <w:rPr>
                <w:rFonts w:ascii="Arial" w:cs="Arial" w:eastAsia="Arial" w:hAnsi="Arial"/>
                <w:sz w:val="14"/>
                <w:szCs w:val="14"/>
                <w:color w:val="auto"/>
              </w:rPr>
              <w:t>Cable Networks</w:t>
            </w:r>
          </w:p>
        </w:tc>
        <w:tc>
          <w:tcPr>
            <w:tcW w:w="124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rPr>
              <w:t>Television</w:t>
            </w:r>
          </w:p>
        </w:tc>
        <w:tc>
          <w:tcPr>
            <w:tcW w:w="1420" w:type="dxa"/>
            <w:vAlign w:val="bottom"/>
            <w:tcBorders>
              <w:bottom w:val="single" w:sz="8" w:color="auto"/>
            </w:tcBorders>
            <w:gridSpan w:val="2"/>
          </w:tcPr>
          <w:p>
            <w:pPr>
              <w:ind w:left="320"/>
              <w:spacing w:after="0" w:line="159" w:lineRule="exact"/>
              <w:rPr>
                <w:sz w:val="20"/>
                <w:szCs w:val="20"/>
                <w:color w:val="auto"/>
              </w:rPr>
            </w:pPr>
            <w:r>
              <w:rPr>
                <w:rFonts w:ascii="Arial" w:cs="Arial" w:eastAsia="Arial" w:hAnsi="Arial"/>
                <w:sz w:val="14"/>
                <w:szCs w:val="14"/>
                <w:color w:val="auto"/>
              </w:rPr>
              <w:t>Entertainment</w:t>
            </w:r>
          </w:p>
        </w:tc>
        <w:tc>
          <w:tcPr>
            <w:tcW w:w="1320" w:type="dxa"/>
            <w:vAlign w:val="bottom"/>
            <w:tcBorders>
              <w:bottom w:val="single" w:sz="8" w:color="auto"/>
            </w:tcBorders>
            <w:gridSpan w:val="2"/>
          </w:tcPr>
          <w:p>
            <w:pPr>
              <w:ind w:left="340"/>
              <w:spacing w:after="0" w:line="159" w:lineRule="exact"/>
              <w:rPr>
                <w:sz w:val="20"/>
                <w:szCs w:val="20"/>
                <w:color w:val="auto"/>
              </w:rPr>
            </w:pPr>
            <w:r>
              <w:rPr>
                <w:rFonts w:ascii="Arial" w:cs="Arial" w:eastAsia="Arial" w:hAnsi="Arial"/>
                <w:sz w:val="14"/>
                <w:szCs w:val="14"/>
                <w:color w:val="auto"/>
              </w:rPr>
              <w:t>Theme Parks</w:t>
            </w:r>
          </w:p>
        </w:tc>
        <w:tc>
          <w:tcPr>
            <w:tcW w:w="1000" w:type="dxa"/>
            <w:vAlign w:val="bottom"/>
            <w:tcBorders>
              <w:bottom w:val="single" w:sz="8" w:color="auto"/>
            </w:tcBorders>
          </w:tcPr>
          <w:p>
            <w:pPr>
              <w:jc w:val="right"/>
              <w:ind w:right="2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2015</w:t>
            </w:r>
          </w:p>
        </w:tc>
        <w:tc>
          <w:tcPr>
            <w:tcW w:w="1780" w:type="dxa"/>
            <w:vAlign w:val="bottom"/>
            <w:shd w:val="clear" w:color="auto" w:fill="E5E5E5"/>
          </w:tcPr>
          <w:p>
            <w:pPr>
              <w:ind w:left="1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12,947</w:t>
            </w:r>
          </w:p>
        </w:tc>
        <w:tc>
          <w:tcPr>
            <w:tcW w:w="5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806</w:t>
            </w:r>
          </w:p>
        </w:tc>
        <w:tc>
          <w:tcPr>
            <w:tcW w:w="46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6,344</w:t>
            </w:r>
          </w:p>
        </w:tc>
        <w:tc>
          <w:tcPr>
            <w:tcW w:w="10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$20,364</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Acquisitions</w:t>
            </w:r>
          </w:p>
        </w:tc>
        <w:tc>
          <w:tcPr>
            <w:tcW w:w="17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247</w:t>
            </w:r>
          </w:p>
        </w:tc>
        <w:tc>
          <w:tcPr>
            <w:tcW w:w="540" w:type="dxa"/>
            <w:vAlign w:val="bottom"/>
          </w:tcPr>
          <w:p>
            <w:pPr>
              <w:spacing w:after="0"/>
              <w:rPr>
                <w:sz w:val="18"/>
                <w:szCs w:val="18"/>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ind w:right="236"/>
              <w:spacing w:after="0"/>
              <w:rPr>
                <w:sz w:val="20"/>
                <w:szCs w:val="20"/>
                <w:color w:val="auto"/>
              </w:rPr>
            </w:pPr>
            <w:r>
              <w:rPr>
                <w:rFonts w:ascii="Arial" w:cs="Arial" w:eastAsia="Arial" w:hAnsi="Arial"/>
                <w:sz w:val="18"/>
                <w:szCs w:val="18"/>
                <w:color w:val="auto"/>
              </w:rPr>
              <w:t>2,560</w:t>
            </w:r>
          </w:p>
        </w:tc>
        <w:tc>
          <w:tcPr>
            <w:tcW w:w="54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2,807</w:t>
            </w:r>
          </w:p>
        </w:tc>
      </w:tr>
      <w:tr>
        <w:trPr>
          <w:trHeight w:val="216"/>
        </w:trPr>
        <w:tc>
          <w:tcPr>
            <w:tcW w:w="3700" w:type="dxa"/>
            <w:vAlign w:val="bottom"/>
            <w:shd w:val="clear" w:color="auto" w:fill="E5E5E5"/>
          </w:tcPr>
          <w:p>
            <w:pPr>
              <w:spacing w:after="0"/>
              <w:rPr>
                <w:sz w:val="20"/>
                <w:szCs w:val="20"/>
                <w:color w:val="auto"/>
              </w:rPr>
            </w:pPr>
            <w:r>
              <w:rPr>
                <w:rFonts w:ascii="Arial" w:cs="Arial" w:eastAsia="Arial" w:hAnsi="Arial"/>
                <w:sz w:val="18"/>
                <w:szCs w:val="18"/>
                <w:color w:val="auto"/>
              </w:rPr>
              <w:t>Adjustments</w:t>
            </w:r>
          </w:p>
        </w:tc>
        <w:tc>
          <w:tcPr>
            <w:tcW w:w="178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spacing w:after="0"/>
              <w:rPr>
                <w:sz w:val="18"/>
                <w:szCs w:val="18"/>
                <w:color w:val="auto"/>
              </w:rPr>
            </w:pPr>
          </w:p>
        </w:tc>
        <w:tc>
          <w:tcPr>
            <w:tcW w:w="96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2</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(255)</w:t>
            </w:r>
          </w:p>
        </w:tc>
        <w:tc>
          <w:tcPr>
            <w:tcW w:w="1000" w:type="dxa"/>
            <w:vAlign w:val="bottom"/>
            <w:shd w:val="clear" w:color="auto" w:fill="E5E5E5"/>
          </w:tcPr>
          <w:p>
            <w:pPr>
              <w:jc w:val="right"/>
              <w:ind w:right="56"/>
              <w:spacing w:after="0"/>
              <w:rPr>
                <w:sz w:val="20"/>
                <w:szCs w:val="20"/>
                <w:color w:val="auto"/>
              </w:rPr>
            </w:pPr>
            <w:r>
              <w:rPr>
                <w:rFonts w:ascii="Arial" w:cs="Arial" w:eastAsia="Arial" w:hAnsi="Arial"/>
                <w:sz w:val="18"/>
                <w:szCs w:val="18"/>
                <w:color w:val="auto"/>
              </w:rPr>
              <w:t>(253)</w:t>
            </w:r>
          </w:p>
        </w:tc>
      </w:tr>
      <w:tr>
        <w:trPr>
          <w:trHeight w:val="216"/>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translation</w:t>
            </w:r>
          </w:p>
        </w:tc>
        <w:tc>
          <w:tcPr>
            <w:tcW w:w="1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1,071</w:t>
            </w: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1,086</w:t>
            </w:r>
          </w:p>
        </w:tc>
      </w:tr>
      <w:tr>
        <w:trPr>
          <w:trHeight w:val="217"/>
        </w:trPr>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September 30, 2016</w:t>
            </w:r>
          </w:p>
        </w:tc>
        <w:tc>
          <w:tcPr>
            <w:tcW w:w="1780" w:type="dxa"/>
            <w:vAlign w:val="bottom"/>
            <w:tcBorders>
              <w:bottom w:val="single" w:sz="8" w:color="auto"/>
            </w:tcBorders>
            <w:shd w:val="clear" w:color="auto" w:fill="E5E5E5"/>
          </w:tcPr>
          <w:p>
            <w:pPr>
              <w:ind w:left="154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rPr>
              <w:t>13,199</w:t>
            </w:r>
          </w:p>
        </w:tc>
        <w:tc>
          <w:tcPr>
            <w:tcW w:w="5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806</w:t>
            </w:r>
          </w:p>
        </w:tc>
        <w:tc>
          <w:tcPr>
            <w:tcW w:w="46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E5E5E5"/>
          </w:tcPr>
          <w:p>
            <w:pPr>
              <w:jc w:val="right"/>
              <w:ind w:right="236"/>
              <w:spacing w:after="0"/>
              <w:rPr>
                <w:sz w:val="20"/>
                <w:szCs w:val="20"/>
                <w:color w:val="auto"/>
              </w:rPr>
            </w:pPr>
            <w:r>
              <w:rPr>
                <w:rFonts w:ascii="Arial" w:cs="Arial" w:eastAsia="Arial" w:hAnsi="Arial"/>
                <w:sz w:val="18"/>
                <w:szCs w:val="18"/>
                <w:b w:val="1"/>
                <w:bCs w:val="1"/>
                <w:color w:val="auto"/>
              </w:rPr>
              <w:t>2,839</w:t>
            </w:r>
          </w:p>
        </w:tc>
        <w:tc>
          <w:tcPr>
            <w:tcW w:w="5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7,160</w:t>
            </w:r>
          </w:p>
        </w:tc>
        <w:tc>
          <w:tcPr>
            <w:tcW w:w="10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b w:val="1"/>
                <w:bCs w:val="1"/>
                <w:color w:val="auto"/>
              </w:rPr>
              <w:t>$24,004</w:t>
            </w: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Acquisitions during the nine months ended September 30, 2016 included the DreamWorks acquisition in our Filmed Entertainment segment (see Note 3 for additional information). Adjustments to goodwill during the nine months ended September 30, 2016 included the updated preliminary allocation of the purchase price for Universal Studios Japan in our Theme Parks segment.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Long-Term Debt</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September 30, 2016, our debt, excluding the note payable to Comcast, had a carrying value of $12.1 billion and an estimated fair value of $13.6 billion. The estimated fair value of our publicly traded debt is primarily based on Level 1 inputs that use quoted market values for the debt. The estimated fair value of debt for which there are no quoted market prices is based on Level 2 inputs that use interest rates available to us for debt with similar terms and remaining maturities.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Repayments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Comcast’s acquisition of DreamWorks, we paid $381 million to settle all of the debt we assumed in the DreamWorks acquisition. In April 2016, we repaid at maturity $1 billion aggregate principal amount of 2.875% senior notes due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September 30, 2016, we guaranteed $43.5 billion of outstanding debt securities of Comcast and CCCL Parent.</w:t>
      </w:r>
    </w:p>
    <w:p>
      <w:pPr>
        <w:spacing w:after="0" w:line="4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do not, however, guarantee the obligations of NBCUniversal Enterprise with respect to its $3.3 billion aggregate principal amount of senior notes, $1.5 billion revolving credit facility, commercial paper program, or $725 million liquidation preference of Series A cumulative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Share-Based Compensation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maintains share-based compensation plans that primarily consist of awards of restricted share units and stock options to certain employees and directors as part of its approach to long-term incentive compensation. Additionally, through its employee stock purchase plans, employees are able to purchase shares of Comcast Class A common stock at a discount through payroll deductions. Certain of our employees participate in these plans and the expense associated with their participation is settled in cash with Comcast.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3"/>
          </w:tcPr>
          <w:p>
            <w:pPr>
              <w:jc w:val="right"/>
              <w:ind w:right="476"/>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40" w:type="dxa"/>
            <w:vAlign w:val="bottom"/>
            <w:gridSpan w:val="3"/>
          </w:tcPr>
          <w:p>
            <w:pPr>
              <w:jc w:val="right"/>
              <w:ind w:right="29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9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2016</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color w:val="auto"/>
                <w:w w:val="83"/>
              </w:rPr>
              <w:t>2015</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w w:val="83"/>
              </w:rPr>
              <w:t>2016</w:t>
            </w: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Restricted share units</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19</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20</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1"/>
              <w:spacing w:after="0"/>
              <w:rPr>
                <w:sz w:val="20"/>
                <w:szCs w:val="20"/>
                <w:color w:val="auto"/>
              </w:rPr>
            </w:pPr>
            <w:r>
              <w:rPr>
                <w:rFonts w:ascii="Arial" w:cs="Arial" w:eastAsia="Arial" w:hAnsi="Arial"/>
                <w:sz w:val="18"/>
                <w:szCs w:val="18"/>
                <w:color w:val="auto"/>
              </w:rPr>
              <w:t>64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Stock options</w:t>
            </w:r>
          </w:p>
        </w:tc>
        <w:tc>
          <w:tcPr>
            <w:tcW w:w="6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720" w:type="dxa"/>
            <w:vAlign w:val="bottom"/>
          </w:tcPr>
          <w:p>
            <w:pPr>
              <w:jc w:val="right"/>
              <w:ind w:right="221"/>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6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16"/>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21"/>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23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24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77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40" w:type="dxa"/>
            <w:vAlign w:val="bottom"/>
            <w:gridSpan w:val="3"/>
          </w:tcPr>
          <w:p>
            <w:pPr>
              <w:ind w:left="620"/>
              <w:spacing w:after="0"/>
              <w:rPr>
                <w:sz w:val="20"/>
                <w:szCs w:val="20"/>
                <w:color w:val="auto"/>
              </w:rPr>
            </w:pPr>
            <w:r>
              <w:rPr>
                <w:rFonts w:ascii="Arial" w:cs="Arial" w:eastAsia="Arial" w:hAnsi="Arial"/>
                <w:sz w:val="14"/>
                <w:szCs w:val="14"/>
                <w:color w:val="auto"/>
                <w:w w:val="87"/>
              </w:rPr>
              <w:t>September 30,</w:t>
            </w:r>
          </w:p>
        </w:tc>
        <w:tc>
          <w:tcPr>
            <w:tcW w:w="1660" w:type="dxa"/>
            <w:vAlign w:val="bottom"/>
            <w:gridSpan w:val="2"/>
          </w:tcPr>
          <w:p>
            <w:pPr>
              <w:jc w:val="center"/>
              <w:ind w:left="617"/>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300"/>
              <w:spacing w:after="0" w:line="159" w:lineRule="exact"/>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5"/>
              <w:spacing w:after="0" w:line="15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32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720" w:type="dxa"/>
            <w:vAlign w:val="bottom"/>
            <w:shd w:val="clear" w:color="auto" w:fill="E5E5E5"/>
          </w:tcPr>
          <w:p>
            <w:pPr>
              <w:ind w:left="6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6,425</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7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9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7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89</w:t>
            </w:r>
          </w:p>
        </w:tc>
        <w:tc>
          <w:tcPr>
            <w:tcW w:w="9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7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6,050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5,411</w:t>
            </w:r>
          </w:p>
        </w:tc>
        <w:tc>
          <w:tcPr>
            <w:tcW w:w="0" w:type="dxa"/>
            <w:vAlign w:val="bottom"/>
          </w:tcPr>
          <w:p>
            <w:pPr>
              <w:spacing w:after="0"/>
              <w:rPr>
                <w:sz w:val="1"/>
                <w:szCs w:val="1"/>
                <w:color w:val="auto"/>
              </w:rPr>
            </w:pPr>
          </w:p>
        </w:tc>
      </w:tr>
      <w:tr>
        <w:trPr>
          <w:trHeight w:val="403"/>
        </w:trPr>
        <w:tc>
          <w:tcPr>
            <w:tcW w:w="8320" w:type="dxa"/>
            <w:vAlign w:val="bottom"/>
          </w:tcPr>
          <w:p>
            <w:pPr>
              <w:jc w:val="center"/>
              <w:ind w:left="3014"/>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320" w:type="dxa"/>
            <w:vAlign w:val="bottom"/>
          </w:tcPr>
          <w:p>
            <w:pPr>
              <w:spacing w:after="0"/>
              <w:rPr>
                <w:sz w:val="22"/>
                <w:szCs w:val="22"/>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color w:val="auto"/>
              </w:rPr>
              <w:t>September 30,</w:t>
            </w:r>
          </w:p>
        </w:tc>
        <w:tc>
          <w:tcPr>
            <w:tcW w:w="1660" w:type="dxa"/>
            <w:vAlign w:val="bottom"/>
            <w:gridSpan w:val="2"/>
          </w:tcPr>
          <w:p>
            <w:pPr>
              <w:jc w:val="center"/>
              <w:ind w:left="597"/>
              <w:spacing w:after="0"/>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59"/>
        </w:trPr>
        <w:tc>
          <w:tcPr>
            <w:tcW w:w="83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9"/>
              </w:rPr>
              <w:t>2016</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55"/>
              <w:spacing w:after="0" w:line="159"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832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w:t>
            </w:r>
          </w:p>
        </w:tc>
        <w:tc>
          <w:tcPr>
            <w:tcW w:w="72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7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7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121</w:t>
            </w:r>
          </w:p>
        </w:tc>
        <w:tc>
          <w:tcPr>
            <w:tcW w:w="9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116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403"/>
        </w:trPr>
        <w:tc>
          <w:tcPr>
            <w:tcW w:w="8320" w:type="dxa"/>
            <w:vAlign w:val="bottom"/>
          </w:tcPr>
          <w:p>
            <w:pPr>
              <w:jc w:val="center"/>
              <w:ind w:left="303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2"/>
          </w:tcPr>
          <w:p>
            <w:pPr>
              <w:jc w:val="right"/>
              <w:ind w:right="295"/>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83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55"/>
              <w:spacing w:after="0" w:line="15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42"/>
        </w:trPr>
        <w:tc>
          <w:tcPr>
            <w:tcW w:w="83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color w:val="auto"/>
              </w:rPr>
              <w:t>2016</w:t>
            </w:r>
          </w:p>
        </w:tc>
        <w:tc>
          <w:tcPr>
            <w:tcW w:w="760" w:type="dxa"/>
            <w:vAlign w:val="bottom"/>
            <w:tcBorders>
              <w:bottom w:val="single" w:sz="8" w:color="auto"/>
            </w:tcBorders>
          </w:tcPr>
          <w:p>
            <w:pPr>
              <w:jc w:val="center"/>
              <w:ind w:right="135"/>
              <w:spacing w:after="0" w:line="142" w:lineRule="exact"/>
              <w:rPr>
                <w:sz w:val="20"/>
                <w:szCs w:val="20"/>
                <w:color w:val="auto"/>
              </w:rPr>
            </w:pPr>
            <w:r>
              <w:rPr>
                <w:rFonts w:ascii="Arial" w:cs="Arial" w:eastAsia="Arial" w:hAnsi="Arial"/>
                <w:sz w:val="14"/>
                <w:szCs w:val="14"/>
                <w:color w:val="auto"/>
                <w:w w:val="83"/>
              </w:rPr>
              <w:t>2015</w:t>
            </w:r>
          </w:p>
        </w:tc>
        <w:tc>
          <w:tcPr>
            <w:tcW w:w="0" w:type="dxa"/>
            <w:vAlign w:val="bottom"/>
          </w:tcPr>
          <w:p>
            <w:pPr>
              <w:spacing w:after="0"/>
              <w:rPr>
                <w:sz w:val="1"/>
                <w:szCs w:val="1"/>
                <w:color w:val="auto"/>
              </w:rPr>
            </w:pPr>
          </w:p>
        </w:tc>
      </w:tr>
      <w:tr>
        <w:trPr>
          <w:trHeight w:val="210"/>
        </w:trPr>
        <w:tc>
          <w:tcPr>
            <w:tcW w:w="83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w w:val="93"/>
              </w:rPr>
              <w:t>$ 3,424</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w w:val="86"/>
              </w:rPr>
              <w:t>$ 2,824</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1,324</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55</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8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45</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color w:val="auto"/>
              </w:rPr>
              <w:t>(72)</w:t>
            </w:r>
          </w:p>
        </w:tc>
        <w:tc>
          <w:tcPr>
            <w:tcW w:w="760" w:type="dxa"/>
            <w:vAlign w:val="bottom"/>
          </w:tcPr>
          <w:p>
            <w:pPr>
              <w:jc w:val="right"/>
              <w:ind w:right="13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7"/>
              <w:spacing w:after="0"/>
              <w:rPr>
                <w:sz w:val="20"/>
                <w:szCs w:val="20"/>
                <w:color w:val="auto"/>
              </w:rPr>
            </w:pPr>
            <w:r>
              <w:rPr>
                <w:rFonts w:ascii="Arial" w:cs="Arial" w:eastAsia="Arial" w:hAnsi="Arial"/>
                <w:sz w:val="18"/>
                <w:szCs w:val="18"/>
                <w:color w:val="auto"/>
              </w:rPr>
              <w:t>139</w:t>
            </w:r>
          </w:p>
        </w:tc>
        <w:tc>
          <w:tcPr>
            <w:tcW w:w="7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Current and noncurrent receivables, net</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(338)</w:t>
            </w:r>
          </w:p>
        </w:tc>
        <w:tc>
          <w:tcPr>
            <w:tcW w:w="7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Film and television costs, net</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color w:val="auto"/>
              </w:rPr>
              <w:t>(600)</w:t>
            </w:r>
          </w:p>
        </w:tc>
        <w:tc>
          <w:tcPr>
            <w:tcW w:w="760" w:type="dxa"/>
            <w:vAlign w:val="bottom"/>
          </w:tcPr>
          <w:p>
            <w:pPr>
              <w:jc w:val="right"/>
              <w:ind w:right="7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3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(114)</w:t>
            </w:r>
          </w:p>
        </w:tc>
        <w:tc>
          <w:tcPr>
            <w:tcW w:w="7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operating assets and liabilities</w:t>
            </w: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(524)</w:t>
            </w: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8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tcBorders>
              <w:bottom w:val="single" w:sz="8" w:color="auto"/>
            </w:tcBorders>
            <w:shd w:val="clear" w:color="auto" w:fill="E5E5E5"/>
          </w:tcPr>
          <w:p>
            <w:pPr>
              <w:spacing w:after="0"/>
              <w:rPr>
                <w:sz w:val="18"/>
                <w:szCs w:val="18"/>
                <w:color w:val="auto"/>
              </w:rPr>
            </w:pPr>
          </w:p>
        </w:tc>
        <w:tc>
          <w:tcPr>
            <w:tcW w:w="32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7"/>
              <w:spacing w:after="0"/>
              <w:rPr>
                <w:sz w:val="20"/>
                <w:szCs w:val="20"/>
                <w:color w:val="auto"/>
              </w:rPr>
            </w:pPr>
            <w:r>
              <w:rPr>
                <w:rFonts w:ascii="Arial" w:cs="Arial" w:eastAsia="Arial" w:hAnsi="Arial"/>
                <w:sz w:val="18"/>
                <w:szCs w:val="18"/>
                <w:b w:val="1"/>
                <w:bCs w:val="1"/>
                <w:color w:val="auto"/>
                <w:w w:val="93"/>
              </w:rPr>
              <w:t>$ 3,339</w:t>
            </w:r>
          </w:p>
        </w:tc>
        <w:tc>
          <w:tcPr>
            <w:tcW w:w="7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w w:val="86"/>
              </w:rPr>
              <w:t>$ 4,318</w:t>
            </w:r>
          </w:p>
        </w:tc>
        <w:tc>
          <w:tcPr>
            <w:tcW w:w="0" w:type="dxa"/>
            <w:vAlign w:val="bottom"/>
          </w:tcPr>
          <w:p>
            <w:pPr>
              <w:spacing w:after="0"/>
              <w:rPr>
                <w:sz w:val="1"/>
                <w:szCs w:val="1"/>
                <w:color w:val="auto"/>
              </w:rPr>
            </w:pPr>
          </w:p>
        </w:tc>
      </w:tr>
      <w:tr>
        <w:trPr>
          <w:trHeight w:val="363"/>
        </w:trPr>
        <w:tc>
          <w:tcPr>
            <w:tcW w:w="8320" w:type="dxa"/>
            <w:vAlign w:val="bottom"/>
          </w:tcPr>
          <w:p>
            <w:pPr>
              <w:jc w:val="center"/>
              <w:ind w:left="3034"/>
              <w:spacing w:after="0"/>
              <w:rPr>
                <w:sz w:val="20"/>
                <w:szCs w:val="20"/>
                <w:color w:val="auto"/>
              </w:rPr>
            </w:pPr>
            <w:r>
              <w:rPr>
                <w:rFonts w:ascii="Arial" w:cs="Arial" w:eastAsia="Arial" w:hAnsi="Arial"/>
                <w:sz w:val="18"/>
                <w:szCs w:val="18"/>
                <w:color w:val="auto"/>
                <w:w w:val="99"/>
              </w:rPr>
              <w:t>59</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right"/>
              <w:ind w:right="499"/>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9"/>
        </w:trPr>
        <w:tc>
          <w:tcPr>
            <w:tcW w:w="6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360"/>
              <w:spacing w:after="0" w:line="159" w:lineRule="exact"/>
              <w:rPr>
                <w:sz w:val="20"/>
                <w:szCs w:val="20"/>
                <w:color w:val="auto"/>
              </w:rPr>
            </w:pPr>
            <w:r>
              <w:rPr>
                <w:rFonts w:ascii="Arial" w:cs="Arial" w:eastAsia="Arial" w:hAnsi="Arial"/>
                <w:sz w:val="14"/>
                <w:szCs w:val="14"/>
                <w:color w:val="auto"/>
                <w:w w:val="86"/>
              </w:rPr>
              <w:t>September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64"/>
              <w:spacing w:after="0" w:line="142" w:lineRule="exact"/>
              <w:rPr>
                <w:sz w:val="20"/>
                <w:szCs w:val="20"/>
                <w:color w:val="auto"/>
              </w:rPr>
            </w:pPr>
            <w:r>
              <w:rPr>
                <w:rFonts w:ascii="Arial" w:cs="Arial" w:eastAsia="Arial" w:hAnsi="Arial"/>
                <w:sz w:val="14"/>
                <w:szCs w:val="14"/>
                <w:color w:val="auto"/>
                <w:w w:val="83"/>
              </w:rPr>
              <w:t>2016</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color w:val="auto"/>
                <w:w w:val="89"/>
              </w:rPr>
              <w:t>2015</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color w:val="auto"/>
                <w:w w:val="89"/>
              </w:rPr>
              <w:t>2015</w:t>
            </w:r>
          </w:p>
        </w:tc>
        <w:tc>
          <w:tcPr>
            <w:tcW w:w="0" w:type="dxa"/>
            <w:vAlign w:val="bottom"/>
          </w:tcPr>
          <w:p>
            <w:pPr>
              <w:spacing w:after="0"/>
              <w:rPr>
                <w:sz w:val="1"/>
                <w:szCs w:val="1"/>
                <w:color w:val="auto"/>
              </w:rPr>
            </w:pPr>
          </w:p>
        </w:tc>
      </w:tr>
      <w:tr>
        <w:trPr>
          <w:trHeight w:val="210"/>
        </w:trPr>
        <w:tc>
          <w:tcPr>
            <w:tcW w:w="6880" w:type="dxa"/>
            <w:vAlign w:val="bottom"/>
            <w:shd w:val="clear" w:color="auto" w:fill="E5E5E5"/>
          </w:tcPr>
          <w:p>
            <w:pPr>
              <w:spacing w:after="0"/>
              <w:rPr>
                <w:sz w:val="20"/>
                <w:szCs w:val="20"/>
                <w:color w:val="auto"/>
              </w:rPr>
            </w:pPr>
            <w:r>
              <w:rPr>
                <w:rFonts w:ascii="Arial" w:cs="Arial" w:eastAsia="Arial" w:hAnsi="Arial"/>
                <w:sz w:val="18"/>
                <w:szCs w:val="18"/>
                <w:color w:val="auto"/>
              </w:rPr>
              <w:t>Interest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224"/>
              <w:spacing w:after="0"/>
              <w:rPr>
                <w:sz w:val="20"/>
                <w:szCs w:val="20"/>
                <w:color w:val="auto"/>
              </w:rPr>
            </w:pPr>
            <w:r>
              <w:rPr>
                <w:rFonts w:ascii="Arial" w:cs="Arial" w:eastAsia="Arial" w:hAnsi="Arial"/>
                <w:sz w:val="18"/>
                <w:szCs w:val="18"/>
                <w:color w:val="auto"/>
              </w:rPr>
              <w:t>69</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35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ind w:left="160"/>
              <w:spacing w:after="0"/>
              <w:rPr>
                <w:sz w:val="20"/>
                <w:szCs w:val="20"/>
                <w:color w:val="auto"/>
              </w:rPr>
            </w:pPr>
            <w:r>
              <w:rPr>
                <w:rFonts w:ascii="Arial" w:cs="Arial" w:eastAsia="Arial" w:hAnsi="Arial"/>
                <w:sz w:val="18"/>
                <w:szCs w:val="18"/>
                <w:color w:val="auto"/>
              </w:rPr>
              <w:t>354</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155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2016:</w:t>
      </w:r>
    </w:p>
    <w:p>
      <w:pPr>
        <w:spacing w:after="0" w:line="77" w:lineRule="exact"/>
        <w:rPr>
          <w:sz w:val="20"/>
          <w:szCs w:val="20"/>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acquired $211 million of property and equipment and intangible assets that were accrued but unpaid</w:t>
      </w:r>
    </w:p>
    <w:p>
      <w:pPr>
        <w:spacing w:after="0" w:line="76" w:lineRule="exact"/>
        <w:rPr>
          <w:rFonts w:ascii="Arial" w:cs="Arial" w:eastAsia="Arial" w:hAnsi="Arial"/>
          <w:sz w:val="18"/>
          <w:szCs w:val="18"/>
          <w:color w:val="auto"/>
        </w:rPr>
      </w:pPr>
    </w:p>
    <w:p>
      <w:pPr>
        <w:ind w:left="1020" w:hanging="21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Comcast contributed the net assets of DreamWorks to us, which was primarily a noncash transaction (see Note 3)</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cable networks and our cable television studio production operations.</w:t>
      </w:r>
    </w:p>
    <w:p>
      <w:pPr>
        <w:spacing w:after="0" w:line="25" w:lineRule="exact"/>
        <w:rPr>
          <w:rFonts w:ascii="Arial" w:cs="Arial" w:eastAsia="Arial" w:hAnsi="Arial"/>
          <w:sz w:val="18"/>
          <w:szCs w:val="18"/>
          <w:color w:val="auto"/>
        </w:rPr>
      </w:pPr>
    </w:p>
    <w:p>
      <w:pPr>
        <w:jc w:val="both"/>
        <w:ind w:left="1020" w:right="1240" w:hanging="215"/>
        <w:spacing w:after="0" w:line="262"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and our broadcast television studio production operations.</w:t>
      </w:r>
    </w:p>
    <w:p>
      <w:pPr>
        <w:spacing w:after="0" w:line="37" w:lineRule="exact"/>
        <w:rPr>
          <w:rFonts w:ascii="Arial" w:cs="Arial" w:eastAsia="Arial" w:hAnsi="Arial"/>
          <w:sz w:val="18"/>
          <w:szCs w:val="18"/>
          <w:color w:val="auto"/>
        </w:rPr>
      </w:pPr>
    </w:p>
    <w:p>
      <w:pPr>
        <w:jc w:val="both"/>
        <w:ind w:left="1020" w:right="1240" w:hanging="215"/>
        <w:spacing w:after="0" w:line="310"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distributes filmed entertainment worldwide. On August 22, 2016, Comcast acquired all of the outstanding stock of DreamWorks. The results of operations for DreamWorks are reported in our Filmed Entertainment segment following the acquisition date.</w:t>
      </w:r>
    </w:p>
    <w:p>
      <w:pPr>
        <w:spacing w:after="0" w:line="2" w:lineRule="exact"/>
        <w:rPr>
          <w:rFonts w:ascii="Arial" w:cs="Arial" w:eastAsia="Arial" w:hAnsi="Arial"/>
          <w:sz w:val="16"/>
          <w:szCs w:val="16"/>
          <w:color w:val="auto"/>
        </w:rPr>
      </w:pPr>
    </w:p>
    <w:p>
      <w:pPr>
        <w:ind w:left="1020" w:hanging="21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color w:val="auto"/>
              </w:rPr>
              <w:t>Three Months Ended September 30, 2016</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1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50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89"/>
              </w:rPr>
              <w:t>Amortization</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2,942</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893</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709</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3,087</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378</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351</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1,792</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340</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1,440</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706</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576</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91</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(274)</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(84)</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9,178</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2,146</w:t>
            </w:r>
          </w:p>
        </w:tc>
        <w:tc>
          <w:tcPr>
            <w:tcW w:w="4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445</w:t>
            </w:r>
          </w:p>
        </w:tc>
        <w:tc>
          <w:tcPr>
            <w:tcW w:w="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1,701</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336</w:t>
            </w:r>
          </w:p>
        </w:tc>
        <w:tc>
          <w:tcPr>
            <w:tcW w:w="0" w:type="dxa"/>
            <w:vAlign w:val="bottom"/>
          </w:tcPr>
          <w:p>
            <w:pPr>
              <w:spacing w:after="0"/>
              <w:rPr>
                <w:sz w:val="1"/>
                <w:szCs w:val="1"/>
                <w:color w:val="auto"/>
              </w:rPr>
            </w:pPr>
          </w:p>
        </w:tc>
      </w:tr>
      <w:tr>
        <w:trPr>
          <w:trHeight w:val="363"/>
        </w:trPr>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jc w:val="right"/>
              <w:ind w:right="937"/>
              <w:spacing w:after="0"/>
              <w:rPr>
                <w:sz w:val="20"/>
                <w:szCs w:val="20"/>
                <w:color w:val="auto"/>
              </w:rPr>
            </w:pPr>
            <w:r>
              <w:rPr>
                <w:rFonts w:ascii="Arial" w:cs="Arial" w:eastAsia="Arial" w:hAnsi="Arial"/>
                <w:sz w:val="18"/>
                <w:szCs w:val="18"/>
                <w:color w:val="auto"/>
              </w:rPr>
              <w:t>60</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color w:val="auto"/>
              </w:rPr>
              <w:t>Three Months Ended September 30, 2015</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20" w:type="dxa"/>
            <w:vAlign w:val="bottom"/>
            <w:gridSpan w:val="2"/>
          </w:tcPr>
          <w:p>
            <w:pPr>
              <w:ind w:left="340"/>
              <w:spacing w:after="0" w:line="131" w:lineRule="exact"/>
              <w:rPr>
                <w:sz w:val="20"/>
                <w:szCs w:val="20"/>
                <w:color w:val="auto"/>
              </w:rPr>
            </w:pPr>
            <w:r>
              <w:rPr>
                <w:rFonts w:ascii="Arial" w:cs="Arial" w:eastAsia="Arial" w:hAnsi="Arial"/>
                <w:sz w:val="14"/>
                <w:szCs w:val="14"/>
                <w:color w:val="auto"/>
              </w:rPr>
              <w:t>Operating Income (Loss)</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40" w:type="dxa"/>
            <w:vAlign w:val="bottom"/>
          </w:tcPr>
          <w:p>
            <w:pPr>
              <w:spacing w:after="0"/>
              <w:rPr>
                <w:sz w:val="11"/>
                <w:szCs w:val="11"/>
                <w:color w:val="auto"/>
              </w:rPr>
            </w:pPr>
          </w:p>
        </w:tc>
        <w:tc>
          <w:tcPr>
            <w:tcW w:w="1680" w:type="dxa"/>
            <w:vAlign w:val="bottom"/>
            <w:gridSpan w:val="2"/>
            <w:vMerge w:val="restart"/>
          </w:tcPr>
          <w:p>
            <w:pPr>
              <w:ind w:left="66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12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Before Depreciation and</w:t>
            </w:r>
          </w:p>
        </w:tc>
        <w:tc>
          <w:tcPr>
            <w:tcW w:w="1920" w:type="dxa"/>
            <w:vAlign w:val="bottom"/>
            <w:gridSpan w:val="2"/>
          </w:tcPr>
          <w:p>
            <w:pPr>
              <w:ind w:left="340"/>
              <w:spacing w:after="0" w:line="133" w:lineRule="exact"/>
              <w:rPr>
                <w:sz w:val="20"/>
                <w:szCs w:val="20"/>
                <w:color w:val="auto"/>
              </w:rPr>
            </w:pPr>
            <w:r>
              <w:rPr>
                <w:rFonts w:ascii="Arial" w:cs="Arial" w:eastAsia="Arial" w:hAnsi="Arial"/>
                <w:sz w:val="14"/>
                <w:szCs w:val="14"/>
                <w:color w:val="auto"/>
              </w:rPr>
              <w:t>Depreciation and</w:t>
            </w:r>
          </w:p>
        </w:tc>
        <w:tc>
          <w:tcPr>
            <w:tcW w:w="1500" w:type="dxa"/>
            <w:vAlign w:val="bottom"/>
            <w:gridSpan w:val="2"/>
          </w:tcPr>
          <w:p>
            <w:pPr>
              <w:ind w:left="120"/>
              <w:spacing w:after="0" w:line="133" w:lineRule="exact"/>
              <w:rPr>
                <w:sz w:val="20"/>
                <w:szCs w:val="20"/>
                <w:color w:val="auto"/>
              </w:rPr>
            </w:pPr>
            <w:r>
              <w:rPr>
                <w:rFonts w:ascii="Arial" w:cs="Arial" w:eastAsia="Arial" w:hAnsi="Arial"/>
                <w:sz w:val="14"/>
                <w:szCs w:val="14"/>
                <w:color w:val="auto"/>
              </w:rPr>
              <w:t>Operating Income</w:t>
            </w:r>
          </w:p>
        </w:tc>
        <w:tc>
          <w:tcPr>
            <w:tcW w:w="48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w w:val="89"/>
              </w:rPr>
              <w:t>Amortization</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(Loss)</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2,412</w:t>
            </w:r>
          </w:p>
        </w:tc>
        <w:tc>
          <w:tcPr>
            <w:tcW w:w="52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835</w:t>
            </w:r>
          </w:p>
        </w:tc>
        <w:tc>
          <w:tcPr>
            <w:tcW w:w="440" w:type="dxa"/>
            <w:vAlign w:val="bottom"/>
            <w:shd w:val="clear" w:color="auto" w:fill="E5E5E5"/>
          </w:tcPr>
          <w:p>
            <w:pPr>
              <w:ind w:left="34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642</w:t>
            </w:r>
          </w:p>
        </w:tc>
        <w:tc>
          <w:tcPr>
            <w:tcW w:w="48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Broadcast Television</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1,971</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1,946</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376</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368</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0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rPr>
              <w:t>896</w:t>
            </w:r>
          </w:p>
        </w:tc>
        <w:tc>
          <w:tcPr>
            <w:tcW w:w="52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434</w:t>
            </w:r>
          </w:p>
        </w:tc>
        <w:tc>
          <w:tcPr>
            <w:tcW w:w="44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8"/>
                <w:szCs w:val="18"/>
                <w:color w:val="auto"/>
              </w:rPr>
              <w:t>362</w:t>
            </w:r>
          </w:p>
        </w:tc>
        <w:tc>
          <w:tcPr>
            <w:tcW w:w="48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0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5</w:t>
            </w:r>
          </w:p>
        </w:tc>
        <w:tc>
          <w:tcPr>
            <w:tcW w:w="52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(164)</w:t>
            </w:r>
          </w:p>
        </w:tc>
        <w:tc>
          <w:tcPr>
            <w:tcW w:w="44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81</w:t>
            </w:r>
          </w:p>
        </w:tc>
        <w:tc>
          <w:tcPr>
            <w:tcW w:w="32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55"/>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(79)</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77"/>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(30)</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332"/>
              <w:spacing w:after="0"/>
              <w:rPr>
                <w:sz w:val="20"/>
                <w:szCs w:val="20"/>
                <w:color w:val="auto"/>
              </w:rPr>
            </w:pPr>
            <w:r>
              <w:rPr>
                <w:rFonts w:ascii="Arial" w:cs="Arial" w:eastAsia="Arial" w:hAnsi="Arial"/>
                <w:sz w:val="18"/>
                <w:szCs w:val="18"/>
                <w:b w:val="1"/>
                <w:bCs w:val="1"/>
                <w:color w:val="auto"/>
                <w:w w:val="97"/>
              </w:rPr>
              <w:t>7,151</w:t>
            </w:r>
          </w:p>
        </w:tc>
        <w:tc>
          <w:tcPr>
            <w:tcW w:w="52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1,601</w:t>
            </w:r>
          </w:p>
        </w:tc>
        <w:tc>
          <w:tcPr>
            <w:tcW w:w="44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380</w:t>
            </w:r>
          </w:p>
        </w:tc>
        <w:tc>
          <w:tcPr>
            <w:tcW w:w="320" w:type="dxa"/>
            <w:vAlign w:val="bottom"/>
            <w:tcBorders>
              <w:bottom w:val="single" w:sz="8" w:color="auto"/>
            </w:tcBorders>
            <w:shd w:val="clear" w:color="auto" w:fill="E5E5E5"/>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E5E5E5"/>
          </w:tcPr>
          <w:p>
            <w:pPr>
              <w:jc w:val="right"/>
              <w:ind w:right="315"/>
              <w:spacing w:after="0"/>
              <w:rPr>
                <w:sz w:val="20"/>
                <w:szCs w:val="20"/>
                <w:color w:val="auto"/>
              </w:rPr>
            </w:pPr>
            <w:r>
              <w:rPr>
                <w:rFonts w:ascii="Arial" w:cs="Arial" w:eastAsia="Arial" w:hAnsi="Arial"/>
                <w:sz w:val="18"/>
                <w:szCs w:val="18"/>
                <w:b w:val="1"/>
                <w:bCs w:val="1"/>
                <w:color w:val="auto"/>
              </w:rPr>
              <w:t>1,221</w:t>
            </w:r>
          </w:p>
        </w:tc>
        <w:tc>
          <w:tcPr>
            <w:tcW w:w="48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289</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2016</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5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7,961</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2,793</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2,232</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7,299</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1,056</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4,526</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576</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33</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543</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3,602</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1,550</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1,177</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10</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(518)</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268</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(786)</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(256)</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$ 23,142</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5,457</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1,324</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4,133</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991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color w:val="auto"/>
              </w:rPr>
              <w:t>Nine Months Ended September 30, 2015</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40" w:type="dxa"/>
            <w:vAlign w:val="bottom"/>
            <w:gridSpan w:val="2"/>
          </w:tcPr>
          <w:p>
            <w:pPr>
              <w:ind w:left="360"/>
              <w:spacing w:after="0" w:line="131" w:lineRule="exact"/>
              <w:rPr>
                <w:sz w:val="20"/>
                <w:szCs w:val="20"/>
                <w:color w:val="auto"/>
              </w:rPr>
            </w:pPr>
            <w:r>
              <w:rPr>
                <w:rFonts w:ascii="Arial" w:cs="Arial" w:eastAsia="Arial" w:hAnsi="Arial"/>
                <w:sz w:val="14"/>
                <w:szCs w:val="14"/>
                <w:color w:val="auto"/>
              </w:rPr>
              <w:t>Operating Income (Loss)</w:t>
            </w:r>
          </w:p>
        </w:tc>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700" w:type="dxa"/>
            <w:vAlign w:val="bottom"/>
            <w:gridSpan w:val="2"/>
            <w:vMerge w:val="restart"/>
          </w:tcPr>
          <w:p>
            <w:pPr>
              <w:ind w:left="68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(e)</w:t>
            </w:r>
          </w:p>
        </w:tc>
        <w:tc>
          <w:tcPr>
            <w:tcW w:w="2140" w:type="dxa"/>
            <w:vAlign w:val="bottom"/>
            <w:gridSpan w:val="2"/>
          </w:tcPr>
          <w:p>
            <w:pPr>
              <w:ind w:left="380"/>
              <w:spacing w:after="0" w:line="133" w:lineRule="exact"/>
              <w:rPr>
                <w:sz w:val="20"/>
                <w:szCs w:val="20"/>
                <w:color w:val="auto"/>
              </w:rPr>
            </w:pPr>
            <w:r>
              <w:rPr>
                <w:rFonts w:ascii="Arial" w:cs="Arial" w:eastAsia="Arial" w:hAnsi="Arial"/>
                <w:sz w:val="14"/>
                <w:szCs w:val="14"/>
                <w:color w:val="auto"/>
              </w:rPr>
              <w:t>Before Depreciation and</w:t>
            </w:r>
          </w:p>
        </w:tc>
        <w:tc>
          <w:tcPr>
            <w:tcW w:w="1940" w:type="dxa"/>
            <w:vAlign w:val="bottom"/>
            <w:gridSpan w:val="2"/>
          </w:tcPr>
          <w:p>
            <w:pPr>
              <w:ind w:left="360"/>
              <w:spacing w:after="0" w:line="133" w:lineRule="exact"/>
              <w:rPr>
                <w:sz w:val="20"/>
                <w:szCs w:val="20"/>
                <w:color w:val="auto"/>
              </w:rPr>
            </w:pPr>
            <w:r>
              <w:rPr>
                <w:rFonts w:ascii="Arial" w:cs="Arial" w:eastAsia="Arial" w:hAnsi="Arial"/>
                <w:sz w:val="14"/>
                <w:szCs w:val="14"/>
                <w:color w:val="auto"/>
              </w:rPr>
              <w:t>Depreciation and</w:t>
            </w:r>
          </w:p>
        </w:tc>
        <w:tc>
          <w:tcPr>
            <w:tcW w:w="154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Operating Income</w:t>
            </w:r>
          </w:p>
        </w:tc>
        <w:tc>
          <w:tcPr>
            <w:tcW w:w="50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7"/>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(f)</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w w:val="92"/>
              </w:rPr>
              <w:t>Amortization</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color w:val="auto"/>
              </w:rPr>
              <w:t>(Loss)</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Cable Networks</w:t>
            </w:r>
          </w:p>
        </w:tc>
        <w:tc>
          <w:tcPr>
            <w:tcW w:w="82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7,221</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2,605</w:t>
            </w:r>
          </w:p>
        </w:tc>
        <w:tc>
          <w:tcPr>
            <w:tcW w:w="460" w:type="dxa"/>
            <w:vAlign w:val="bottom"/>
            <w:shd w:val="clear" w:color="auto" w:fill="E5E5E5"/>
          </w:tcPr>
          <w:p>
            <w:pPr>
              <w:ind w:left="36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588</w:t>
            </w:r>
          </w:p>
        </w:tc>
        <w:tc>
          <w:tcPr>
            <w:tcW w:w="3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2,017</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Broadcast Television</w:t>
            </w:r>
            <w:r>
              <w:rPr>
                <w:rFonts w:ascii="Arial" w:cs="Arial" w:eastAsia="Arial" w:hAnsi="Arial"/>
                <w:sz w:val="11"/>
                <w:szCs w:val="11"/>
                <w:color w:val="auto"/>
              </w:rPr>
              <w:t>(a)</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6,032</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Filmed Entertainment</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w w:val="97"/>
              </w:rPr>
              <w:t>5,658</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1,091</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19</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335"/>
              <w:spacing w:after="0"/>
              <w:rPr>
                <w:sz w:val="20"/>
                <w:szCs w:val="20"/>
                <w:color w:val="auto"/>
              </w:rPr>
            </w:pPr>
            <w:r>
              <w:rPr>
                <w:rFonts w:ascii="Arial" w:cs="Arial" w:eastAsia="Arial" w:hAnsi="Arial"/>
                <w:sz w:val="18"/>
                <w:szCs w:val="18"/>
                <w:color w:val="auto"/>
              </w:rPr>
              <w:t>1,072</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(b)</w:t>
            </w:r>
          </w:p>
        </w:tc>
        <w:tc>
          <w:tcPr>
            <w:tcW w:w="82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color w:val="auto"/>
                <w:w w:val="97"/>
              </w:rPr>
              <w:t>2,320</w:t>
            </w:r>
          </w:p>
        </w:tc>
        <w:tc>
          <w:tcPr>
            <w:tcW w:w="540" w:type="dxa"/>
            <w:vAlign w:val="bottom"/>
          </w:tcPr>
          <w:p>
            <w:pPr>
              <w:spacing w:after="0"/>
              <w:rPr>
                <w:sz w:val="18"/>
                <w:szCs w:val="18"/>
                <w:color w:val="auto"/>
              </w:rPr>
            </w:pPr>
          </w:p>
        </w:tc>
        <w:tc>
          <w:tcPr>
            <w:tcW w:w="1600" w:type="dxa"/>
            <w:vAlign w:val="bottom"/>
          </w:tcPr>
          <w:p>
            <w:pPr>
              <w:jc w:val="right"/>
              <w:ind w:right="337"/>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18"/>
                <w:szCs w:val="18"/>
                <w:color w:val="auto"/>
              </w:rPr>
            </w:pPr>
          </w:p>
        </w:tc>
        <w:tc>
          <w:tcPr>
            <w:tcW w:w="1480" w:type="dxa"/>
            <w:vAlign w:val="bottom"/>
          </w:tcPr>
          <w:p>
            <w:pPr>
              <w:jc w:val="right"/>
              <w:ind w:right="555"/>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8"/>
                <w:szCs w:val="18"/>
                <w:color w:val="auto"/>
              </w:rPr>
              <w:t>798</w:t>
            </w:r>
          </w:p>
        </w:tc>
        <w:tc>
          <w:tcPr>
            <w:tcW w:w="5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92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8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332"/>
              <w:spacing w:after="0"/>
              <w:rPr>
                <w:sz w:val="20"/>
                <w:szCs w:val="20"/>
                <w:color w:val="auto"/>
              </w:rPr>
            </w:pPr>
            <w:r>
              <w:rPr>
                <w:rFonts w:ascii="Arial" w:cs="Arial" w:eastAsia="Arial" w:hAnsi="Arial"/>
                <w:sz w:val="18"/>
                <w:szCs w:val="18"/>
                <w:color w:val="auto"/>
              </w:rPr>
              <w:t>12</w:t>
            </w:r>
          </w:p>
        </w:tc>
        <w:tc>
          <w:tcPr>
            <w:tcW w:w="540" w:type="dxa"/>
            <w:vAlign w:val="bottom"/>
            <w:shd w:val="clear" w:color="auto" w:fill="E5E5E5"/>
          </w:tcPr>
          <w:p>
            <w:pPr>
              <w:spacing w:after="0"/>
              <w:rPr>
                <w:sz w:val="18"/>
                <w:szCs w:val="18"/>
                <w:color w:val="auto"/>
              </w:rPr>
            </w:pPr>
          </w:p>
        </w:tc>
        <w:tc>
          <w:tcPr>
            <w:tcW w:w="1600" w:type="dxa"/>
            <w:vAlign w:val="bottom"/>
            <w:shd w:val="clear" w:color="auto" w:fill="E5E5E5"/>
          </w:tcPr>
          <w:p>
            <w:pPr>
              <w:jc w:val="right"/>
              <w:ind w:right="277"/>
              <w:spacing w:after="0"/>
              <w:rPr>
                <w:sz w:val="20"/>
                <w:szCs w:val="20"/>
                <w:color w:val="auto"/>
              </w:rPr>
            </w:pPr>
            <w:r>
              <w:rPr>
                <w:rFonts w:ascii="Arial" w:cs="Arial" w:eastAsia="Arial" w:hAnsi="Arial"/>
                <w:sz w:val="18"/>
                <w:szCs w:val="18"/>
                <w:color w:val="auto"/>
              </w:rPr>
              <w:t>(473)</w:t>
            </w:r>
          </w:p>
        </w:tc>
        <w:tc>
          <w:tcPr>
            <w:tcW w:w="4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555"/>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E5E5E5"/>
          </w:tcPr>
          <w:p>
            <w:pPr>
              <w:spacing w:after="0"/>
              <w:rPr>
                <w:sz w:val="18"/>
                <w:szCs w:val="18"/>
                <w:color w:val="auto"/>
              </w:rPr>
            </w:pPr>
          </w:p>
        </w:tc>
        <w:tc>
          <w:tcPr>
            <w:tcW w:w="1200" w:type="dxa"/>
            <w:vAlign w:val="bottom"/>
            <w:shd w:val="clear" w:color="auto" w:fill="E5E5E5"/>
          </w:tcPr>
          <w:p>
            <w:pPr>
              <w:jc w:val="right"/>
              <w:ind w:right="275"/>
              <w:spacing w:after="0"/>
              <w:rPr>
                <w:sz w:val="20"/>
                <w:szCs w:val="20"/>
                <w:color w:val="auto"/>
              </w:rPr>
            </w:pPr>
            <w:r>
              <w:rPr>
                <w:rFonts w:ascii="Arial" w:cs="Arial" w:eastAsia="Arial" w:hAnsi="Arial"/>
                <w:sz w:val="18"/>
                <w:szCs w:val="18"/>
                <w:color w:val="auto"/>
              </w:rPr>
              <w:t>(716)</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(b)(d)</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(258)</w:t>
            </w:r>
          </w:p>
        </w:tc>
        <w:tc>
          <w:tcPr>
            <w:tcW w:w="5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9</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2"/>
            <w:shd w:val="clear" w:color="auto" w:fill="E5E5E5"/>
          </w:tcPr>
          <w:p>
            <w:pPr>
              <w:jc w:val="right"/>
              <w:ind w:right="332"/>
              <w:spacing w:after="0"/>
              <w:rPr>
                <w:sz w:val="20"/>
                <w:szCs w:val="20"/>
                <w:color w:val="auto"/>
              </w:rPr>
            </w:pPr>
            <w:r>
              <w:rPr>
                <w:rFonts w:ascii="Arial" w:cs="Arial" w:eastAsia="Arial" w:hAnsi="Arial"/>
                <w:sz w:val="18"/>
                <w:szCs w:val="18"/>
                <w:b w:val="1"/>
                <w:bCs w:val="1"/>
                <w:color w:val="auto"/>
              </w:rPr>
              <w:t>$ 20,985</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4,807</w:t>
            </w:r>
          </w:p>
        </w:tc>
        <w:tc>
          <w:tcPr>
            <w:tcW w:w="46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E5E5E5"/>
          </w:tcPr>
          <w:p>
            <w:pPr>
              <w:jc w:val="right"/>
              <w:ind w:right="555"/>
              <w:spacing w:after="0"/>
              <w:rPr>
                <w:sz w:val="20"/>
                <w:szCs w:val="20"/>
                <w:color w:val="auto"/>
              </w:rPr>
            </w:pPr>
            <w:r>
              <w:rPr>
                <w:rFonts w:ascii="Arial" w:cs="Arial" w:eastAsia="Arial" w:hAnsi="Arial"/>
                <w:sz w:val="18"/>
                <w:szCs w:val="18"/>
                <w:b w:val="1"/>
                <w:bCs w:val="1"/>
                <w:color w:val="auto"/>
              </w:rPr>
              <w:t>1,149</w:t>
            </w:r>
          </w:p>
        </w:tc>
        <w:tc>
          <w:tcPr>
            <w:tcW w:w="3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E5E5E5"/>
          </w:tcPr>
          <w:p>
            <w:pPr>
              <w:jc w:val="right"/>
              <w:ind w:right="335"/>
              <w:spacing w:after="0"/>
              <w:rPr>
                <w:sz w:val="20"/>
                <w:szCs w:val="20"/>
                <w:color w:val="auto"/>
              </w:rPr>
            </w:pPr>
            <w:r>
              <w:rPr>
                <w:rFonts w:ascii="Arial" w:cs="Arial" w:eastAsia="Arial" w:hAnsi="Arial"/>
                <w:sz w:val="18"/>
                <w:szCs w:val="18"/>
                <w:b w:val="1"/>
                <w:bCs w:val="1"/>
                <w:color w:val="auto"/>
              </w:rPr>
              <w:t>3,658</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829</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revenue and operating costs and expenses associated with our broadcast of the 2016 Rio Olympics were reported in our Cable Networks and Broadcast Television segments. The revenue and operating costs and expenses associated with our broadcast of the 2015 Super Bowl were reported in our Broadcast Television segment.</w:t>
      </w:r>
    </w:p>
    <w:p>
      <w:pPr>
        <w:spacing w:after="0" w:line="43" w:lineRule="exact"/>
        <w:rPr>
          <w:rFonts w:ascii="Arial" w:cs="Arial" w:eastAsia="Arial" w:hAnsi="Arial"/>
          <w:sz w:val="14"/>
          <w:szCs w:val="14"/>
          <w:color w:val="auto"/>
        </w:rPr>
      </w:pPr>
    </w:p>
    <w:p>
      <w:pPr>
        <w:jc w:val="both"/>
        <w:ind w:left="340" w:hanging="332"/>
        <w:spacing w:after="0" w:line="27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Beginning in the fourth quarter of 2015, we changed our method of accounting for a contractual obligation that involves an interest in the revenue of certain theme parks. As a result of the change, amounts payable based on current period revenue are presented in operating costs and expenses. Amounts paid through the third quarter of 2015 were included in other income (expense), net in our consolidated statement of income. For segment reporting purposes, we have adjusted periods prior to the fourth quarter of 2015 to reflect management reporting presentation for this expense on a consistent basis for all periods in the Theme Parks segment, which resulted in a corresponding offsetting adjustment in Eliminations to reconcile to consolidated totals.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personnel costs and headquarter initiatives.</w:t>
      </w:r>
    </w:p>
    <w:p>
      <w:pPr>
        <w:spacing w:after="0" w:line="55"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on the sale of assets, if any, as the measure of profit or loss for our operating segments. This measure eliminates the significant level of noncash amortization expense that results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2016</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26, 2016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Cavanagh, certify that:</w:t>
      </w:r>
    </w:p>
    <w:p>
      <w:pPr>
        <w:spacing w:after="0" w:line="1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26, 2016</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26, 2016</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Cavanagh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2"/>
    </w:lvl>
    <w:lvl w:ilvl="1">
      <w:lvlJc w:val="left"/>
      <w:lvlText w:val="•"/>
      <w:numFmt w:val="bullet"/>
      <w:start w:val="1"/>
    </w:lvl>
  </w:abstractNum>
  <w:abstractNum w:abstractNumId="7">
    <w:nsid w:val="7FDCC233"/>
    <w:multiLevelType w:val="hybridMultilevel"/>
    <w:lvl w:ilvl="0">
      <w:lvlJc w:val="left"/>
      <w:lvlText w:val="(%1)"/>
      <w:numFmt w:val="lowerLetter"/>
      <w:start w:val="6"/>
    </w:lvl>
    <w:lvl w:ilvl="1">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lvl w:ilvl="1">
      <w:lvlJc w:val="left"/>
      <w:lvlText w:val="%2"/>
      <w:numFmt w:val="decimal"/>
      <w:start w:val="101"/>
    </w:lvl>
  </w:abstractNum>
  <w:abstractNum w:abstractNumId="11">
    <w:nsid w:val="4E6AFB66"/>
    <w:multiLevelType w:val="hybridMultilevel"/>
    <w:lvl w:ilvl="0">
      <w:lvlJc w:val="left"/>
      <w:lvlText w:val="%1"/>
      <w:numFmt w:val="decimal"/>
      <w:start w:val="10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2019-12-29T10:17:21Z</dcterms:created>
  <dcterms:modified xsi:type="dcterms:W3CDTF">2019-12-29T10:17:21Z</dcterms:modified>
</cp:coreProperties>
</file>