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138430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SECURITIES AND EXCHANGE COMMISSION</w:t>
      </w:r>
    </w:p>
    <w:p>
      <w:pPr>
        <w:spacing w:after="0" w:line="33"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3075305</wp:posOffset>
            </wp:positionH>
            <wp:positionV relativeFrom="paragraph">
              <wp:posOffset>138430</wp:posOffset>
            </wp:positionV>
            <wp:extent cx="1106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386"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13" w:lineRule="exact"/>
        <w:rPr>
          <w:sz w:val="24"/>
          <w:szCs w:val="24"/>
          <w:color w:val="auto"/>
        </w:rPr>
      </w:pPr>
    </w:p>
    <w:p>
      <w:pPr>
        <w:ind w:left="3280"/>
        <w:spacing w:after="0"/>
        <w:rPr>
          <w:sz w:val="20"/>
          <w:szCs w:val="20"/>
          <w:color w:val="auto"/>
        </w:rPr>
      </w:pPr>
      <w:r>
        <w:rPr>
          <w:rFonts w:ascii="Arial" w:cs="Arial" w:eastAsia="Arial" w:hAnsi="Arial"/>
          <w:sz w:val="32"/>
          <w:szCs w:val="32"/>
          <w:b w:val="1"/>
          <w:bCs w:val="1"/>
          <w:color w:val="auto"/>
        </w:rPr>
        <w:t>CURRENT REPORT PURSUANT</w:t>
      </w:r>
    </w:p>
    <w:p>
      <w:pPr>
        <w:spacing w:after="0" w:line="29" w:lineRule="exact"/>
        <w:rPr>
          <w:sz w:val="24"/>
          <w:szCs w:val="24"/>
          <w:color w:val="auto"/>
        </w:rPr>
      </w:pPr>
    </w:p>
    <w:p>
      <w:pPr>
        <w:ind w:left="3140"/>
        <w:spacing w:after="0"/>
        <w:rPr>
          <w:sz w:val="20"/>
          <w:szCs w:val="20"/>
          <w:color w:val="auto"/>
        </w:rPr>
      </w:pPr>
      <w:r>
        <w:rPr>
          <w:rFonts w:ascii="Arial" w:cs="Arial" w:eastAsia="Arial" w:hAnsi="Arial"/>
          <w:sz w:val="32"/>
          <w:szCs w:val="32"/>
          <w:b w:val="1"/>
          <w:bCs w:val="1"/>
          <w:color w:val="auto"/>
        </w:rPr>
        <w:t>TO SECTION 13 OR 15(d) OF THE</w:t>
      </w:r>
    </w:p>
    <w:p>
      <w:pPr>
        <w:ind w:left="2740"/>
        <w:spacing w:after="0"/>
        <w:rPr>
          <w:sz w:val="20"/>
          <w:szCs w:val="20"/>
          <w:color w:val="auto"/>
        </w:rPr>
      </w:pPr>
      <w:r>
        <w:rPr>
          <w:rFonts w:ascii="Arial" w:cs="Arial" w:eastAsia="Arial" w:hAnsi="Arial"/>
          <w:sz w:val="32"/>
          <w:szCs w:val="32"/>
          <w:b w:val="1"/>
          <w:bCs w:val="1"/>
          <w:color w:val="auto"/>
        </w:rPr>
        <w:t>SECURITIES EXCHANGE ACT OF 1934</w:t>
      </w:r>
    </w:p>
    <w:p>
      <w:pPr>
        <w:spacing w:after="0" w:line="210"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Date of report (Date of earliest event reported): July 3, 2003</w:t>
      </w:r>
    </w:p>
    <w:p>
      <w:pPr>
        <w:spacing w:after="0" w:line="192"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Comcast Corporation</w:t>
      </w:r>
    </w:p>
    <w:p>
      <w:pPr>
        <w:spacing w:after="0" w:line="246"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(Exact Name of Registrant as Specified in Its Charter)</w:t>
      </w:r>
    </w:p>
    <w:p>
      <w:pPr>
        <w:spacing w:after="0" w:line="192"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Pennsylvania</w:t>
      </w:r>
    </w:p>
    <w:p>
      <w:pPr>
        <w:spacing w:after="0" w:line="246"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(State or Other Jurisdiction of Incorporation)</w:t>
      </w:r>
    </w:p>
    <w:p>
      <w:pPr>
        <w:spacing w:after="0" w:line="200" w:lineRule="exact"/>
        <w:rPr>
          <w:sz w:val="24"/>
          <w:szCs w:val="24"/>
          <w:color w:val="auto"/>
        </w:rPr>
      </w:pPr>
    </w:p>
    <w:p>
      <w:pPr>
        <w:spacing w:after="0" w:line="262" w:lineRule="exact"/>
        <w:rPr>
          <w:sz w:val="24"/>
          <w:szCs w:val="24"/>
          <w:color w:val="auto"/>
        </w:rPr>
      </w:pPr>
    </w:p>
    <w:tbl>
      <w:tblPr>
        <w:tblLayout w:type="fixed"/>
        <w:tblInd w:w="2000" w:type="dxa"/>
        <w:tblCellMar>
          <w:top w:w="0" w:type="dxa"/>
          <w:left w:w="0" w:type="dxa"/>
          <w:bottom w:w="0" w:type="dxa"/>
          <w:right w:w="0" w:type="dxa"/>
        </w:tblCellMar>
      </w:tblPr>
      <w:tr>
        <w:trPr>
          <w:trHeight w:val="222"/>
        </w:trPr>
        <w:tc>
          <w:tcPr>
            <w:tcW w:w="3820" w:type="dxa"/>
            <w:vAlign w:val="bottom"/>
          </w:tcPr>
          <w:p>
            <w:pPr>
              <w:jc w:val="center"/>
              <w:ind w:right="852"/>
              <w:spacing w:after="0"/>
              <w:rPr>
                <w:sz w:val="20"/>
                <w:szCs w:val="20"/>
                <w:color w:val="auto"/>
              </w:rPr>
            </w:pPr>
            <w:r>
              <w:rPr>
                <w:rFonts w:ascii="Arial" w:cs="Arial" w:eastAsia="Arial" w:hAnsi="Arial"/>
                <w:sz w:val="18"/>
                <w:szCs w:val="18"/>
                <w:b w:val="1"/>
                <w:bCs w:val="1"/>
                <w:color w:val="auto"/>
                <w:w w:val="88"/>
              </w:rPr>
              <w:t>000-50093</w:t>
            </w:r>
          </w:p>
        </w:tc>
        <w:tc>
          <w:tcPr>
            <w:tcW w:w="3380" w:type="dxa"/>
            <w:vAlign w:val="bottom"/>
          </w:tcPr>
          <w:p>
            <w:pPr>
              <w:jc w:val="center"/>
              <w:ind w:left="892"/>
              <w:spacing w:after="0"/>
              <w:rPr>
                <w:sz w:val="20"/>
                <w:szCs w:val="20"/>
                <w:color w:val="auto"/>
              </w:rPr>
            </w:pPr>
            <w:r>
              <w:rPr>
                <w:rFonts w:ascii="Arial" w:cs="Arial" w:eastAsia="Arial" w:hAnsi="Arial"/>
                <w:sz w:val="18"/>
                <w:szCs w:val="18"/>
                <w:b w:val="1"/>
                <w:bCs w:val="1"/>
                <w:color w:val="auto"/>
                <w:w w:val="87"/>
              </w:rPr>
              <w:t>27-0000798</w:t>
            </w:r>
          </w:p>
        </w:tc>
      </w:tr>
      <w:tr>
        <w:trPr>
          <w:trHeight w:val="222"/>
        </w:trPr>
        <w:tc>
          <w:tcPr>
            <w:tcW w:w="3820" w:type="dxa"/>
            <w:vAlign w:val="bottom"/>
          </w:tcPr>
          <w:p>
            <w:pPr>
              <w:ind w:left="540"/>
              <w:spacing w:after="0"/>
              <w:rPr>
                <w:sz w:val="20"/>
                <w:szCs w:val="20"/>
                <w:color w:val="auto"/>
              </w:rPr>
            </w:pPr>
            <w:r>
              <w:rPr>
                <w:rFonts w:ascii="Arial" w:cs="Arial" w:eastAsia="Arial" w:hAnsi="Arial"/>
                <w:sz w:val="18"/>
                <w:szCs w:val="18"/>
                <w:color w:val="auto"/>
              </w:rPr>
              <w:t>(Commission File Number)</w:t>
            </w:r>
          </w:p>
        </w:tc>
        <w:tc>
          <w:tcPr>
            <w:tcW w:w="3380" w:type="dxa"/>
            <w:vAlign w:val="bottom"/>
          </w:tcPr>
          <w:p>
            <w:pPr>
              <w:jc w:val="center"/>
              <w:ind w:left="872"/>
              <w:spacing w:after="0"/>
              <w:rPr>
                <w:sz w:val="20"/>
                <w:szCs w:val="20"/>
                <w:color w:val="auto"/>
              </w:rPr>
            </w:pPr>
            <w:r>
              <w:rPr>
                <w:rFonts w:ascii="Arial" w:cs="Arial" w:eastAsia="Arial" w:hAnsi="Arial"/>
                <w:sz w:val="18"/>
                <w:szCs w:val="18"/>
                <w:color w:val="auto"/>
                <w:w w:val="92"/>
              </w:rPr>
              <w:t>(IRS Employer Identification No.)</w:t>
            </w:r>
          </w:p>
        </w:tc>
      </w:tr>
      <w:tr>
        <w:trPr>
          <w:trHeight w:val="447"/>
        </w:trPr>
        <w:tc>
          <w:tcPr>
            <w:tcW w:w="3820" w:type="dxa"/>
            <w:vAlign w:val="bottom"/>
          </w:tcPr>
          <w:p>
            <w:pPr>
              <w:jc w:val="center"/>
              <w:ind w:right="872"/>
              <w:spacing w:after="0"/>
              <w:rPr>
                <w:sz w:val="20"/>
                <w:szCs w:val="20"/>
                <w:color w:val="auto"/>
              </w:rPr>
            </w:pPr>
            <w:r>
              <w:rPr>
                <w:rFonts w:ascii="Arial" w:cs="Arial" w:eastAsia="Arial" w:hAnsi="Arial"/>
                <w:sz w:val="18"/>
                <w:szCs w:val="18"/>
                <w:b w:val="1"/>
                <w:bCs w:val="1"/>
                <w:color w:val="auto"/>
                <w:w w:val="91"/>
              </w:rPr>
              <w:t>1500 Market Street</w:t>
            </w:r>
          </w:p>
        </w:tc>
        <w:tc>
          <w:tcPr>
            <w:tcW w:w="3380" w:type="dxa"/>
            <w:vAlign w:val="bottom"/>
          </w:tcPr>
          <w:p>
            <w:pPr>
              <w:spacing w:after="0"/>
              <w:rPr>
                <w:sz w:val="24"/>
                <w:szCs w:val="24"/>
                <w:color w:val="auto"/>
              </w:rPr>
            </w:pPr>
          </w:p>
        </w:tc>
      </w:tr>
      <w:tr>
        <w:trPr>
          <w:trHeight w:val="222"/>
        </w:trPr>
        <w:tc>
          <w:tcPr>
            <w:tcW w:w="3820" w:type="dxa"/>
            <w:vAlign w:val="bottom"/>
          </w:tcPr>
          <w:p>
            <w:pPr>
              <w:jc w:val="center"/>
              <w:ind w:right="872"/>
              <w:spacing w:after="0"/>
              <w:rPr>
                <w:sz w:val="20"/>
                <w:szCs w:val="20"/>
                <w:color w:val="auto"/>
              </w:rPr>
            </w:pPr>
            <w:r>
              <w:rPr>
                <w:rFonts w:ascii="Arial" w:cs="Arial" w:eastAsia="Arial" w:hAnsi="Arial"/>
                <w:sz w:val="18"/>
                <w:szCs w:val="18"/>
                <w:b w:val="1"/>
                <w:bCs w:val="1"/>
                <w:color w:val="auto"/>
                <w:w w:val="89"/>
              </w:rPr>
              <w:t>Philadelphia, PA</w:t>
            </w:r>
          </w:p>
        </w:tc>
        <w:tc>
          <w:tcPr>
            <w:tcW w:w="3380" w:type="dxa"/>
            <w:vAlign w:val="bottom"/>
          </w:tcPr>
          <w:p>
            <w:pPr>
              <w:jc w:val="center"/>
              <w:ind w:left="892"/>
              <w:spacing w:after="0"/>
              <w:rPr>
                <w:sz w:val="20"/>
                <w:szCs w:val="20"/>
                <w:color w:val="auto"/>
              </w:rPr>
            </w:pPr>
            <w:r>
              <w:rPr>
                <w:rFonts w:ascii="Arial" w:cs="Arial" w:eastAsia="Arial" w:hAnsi="Arial"/>
                <w:sz w:val="18"/>
                <w:szCs w:val="18"/>
                <w:b w:val="1"/>
                <w:bCs w:val="1"/>
                <w:color w:val="auto"/>
                <w:w w:val="87"/>
              </w:rPr>
              <w:t>19102-2148</w:t>
            </w:r>
          </w:p>
        </w:tc>
      </w:tr>
      <w:tr>
        <w:trPr>
          <w:trHeight w:val="222"/>
        </w:trPr>
        <w:tc>
          <w:tcPr>
            <w:tcW w:w="3820" w:type="dxa"/>
            <w:vAlign w:val="bottom"/>
          </w:tcPr>
          <w:p>
            <w:pPr>
              <w:jc w:val="center"/>
              <w:ind w:right="872"/>
              <w:spacing w:after="0"/>
              <w:rPr>
                <w:sz w:val="20"/>
                <w:szCs w:val="20"/>
                <w:color w:val="auto"/>
              </w:rPr>
            </w:pPr>
            <w:r>
              <w:rPr>
                <w:rFonts w:ascii="Arial" w:cs="Arial" w:eastAsia="Arial" w:hAnsi="Arial"/>
                <w:sz w:val="18"/>
                <w:szCs w:val="18"/>
                <w:color w:val="auto"/>
                <w:w w:val="90"/>
              </w:rPr>
              <w:t>(Address of Principal Executive Offices)</w:t>
            </w:r>
          </w:p>
        </w:tc>
        <w:tc>
          <w:tcPr>
            <w:tcW w:w="3380" w:type="dxa"/>
            <w:vAlign w:val="bottom"/>
          </w:tcPr>
          <w:p>
            <w:pPr>
              <w:jc w:val="center"/>
              <w:ind w:left="872"/>
              <w:spacing w:after="0"/>
              <w:rPr>
                <w:sz w:val="20"/>
                <w:szCs w:val="20"/>
                <w:color w:val="auto"/>
              </w:rPr>
            </w:pPr>
            <w:r>
              <w:rPr>
                <w:rFonts w:ascii="Arial" w:cs="Arial" w:eastAsia="Arial" w:hAnsi="Arial"/>
                <w:sz w:val="18"/>
                <w:szCs w:val="18"/>
                <w:color w:val="auto"/>
                <w:w w:val="91"/>
              </w:rPr>
              <w:t>(Zip Code)</w:t>
            </w:r>
          </w:p>
        </w:tc>
      </w:tr>
    </w:tbl>
    <w:p>
      <w:pPr>
        <w:spacing w:after="0" w:line="204"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(215) 665-1700</w:t>
      </w:r>
    </w:p>
    <w:p>
      <w:pPr>
        <w:spacing w:after="0" w:line="21"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(Registrant’s Telephone Number, Including Area Code)</w:t>
      </w:r>
    </w:p>
    <w:p>
      <w:pPr>
        <w:spacing w:after="0" w:line="213"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Not Applicable</w:t>
      </w:r>
    </w:p>
    <w:p>
      <w:pPr>
        <w:spacing w:after="0" w:line="231"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3075305</wp:posOffset>
            </wp:positionH>
            <wp:positionV relativeFrom="paragraph">
              <wp:posOffset>148590</wp:posOffset>
            </wp:positionV>
            <wp:extent cx="11061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0617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351790</wp:posOffset>
            </wp:positionV>
            <wp:extent cx="72504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832485</wp:posOffset>
            </wp:positionV>
            <wp:extent cx="72504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5. Other Events</w:t>
      </w:r>
    </w:p>
    <w:p>
      <w:pPr>
        <w:spacing w:after="0" w:line="252" w:lineRule="exact"/>
        <w:rPr>
          <w:sz w:val="24"/>
          <w:szCs w:val="24"/>
          <w:color w:val="auto"/>
        </w:rPr>
      </w:pPr>
    </w:p>
    <w:p>
      <w:pPr>
        <w:ind w:right="220" w:firstLine="270"/>
        <w:spacing w:after="0" w:line="339" w:lineRule="auto"/>
        <w:rPr>
          <w:sz w:val="20"/>
          <w:szCs w:val="20"/>
          <w:color w:val="auto"/>
        </w:rPr>
      </w:pPr>
      <w:r>
        <w:rPr>
          <w:rFonts w:ascii="Arial" w:cs="Arial" w:eastAsia="Arial" w:hAnsi="Arial"/>
          <w:sz w:val="16"/>
          <w:szCs w:val="16"/>
          <w:color w:val="auto"/>
        </w:rPr>
        <w:t>On July 3, 2003, Comcast Corporation (the “</w:t>
      </w:r>
      <w:r>
        <w:rPr>
          <w:rFonts w:ascii="Arial" w:cs="Arial" w:eastAsia="Arial" w:hAnsi="Arial"/>
          <w:sz w:val="16"/>
          <w:szCs w:val="16"/>
          <w:b w:val="1"/>
          <w:bCs w:val="1"/>
          <w:color w:val="auto"/>
        </w:rPr>
        <w:t>Company</w:t>
      </w:r>
      <w:r>
        <w:rPr>
          <w:rFonts w:ascii="Arial" w:cs="Arial" w:eastAsia="Arial" w:hAnsi="Arial"/>
          <w:sz w:val="16"/>
          <w:szCs w:val="16"/>
          <w:color w:val="auto"/>
        </w:rPr>
        <w:t>”) issued a press release announcing that the Company has agreed to sell its stake in QVC, Inc., a consolidated subsidiary of the Company, to Liberty Media Corporation. The press release is attached hereto as Exhibit 99.1.</w:t>
      </w:r>
    </w:p>
    <w:p>
      <w:pPr>
        <w:spacing w:after="0" w:line="12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7(c). Exhibits.</w:t>
      </w: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3" w:lineRule="exact"/>
        <w:rPr>
          <w:sz w:val="24"/>
          <w:szCs w:val="24"/>
          <w:color w:val="auto"/>
        </w:rPr>
      </w:pPr>
    </w:p>
    <w:p>
      <w:pPr>
        <w:spacing w:after="0"/>
        <w:tabs>
          <w:tab w:leader="none" w:pos="1240" w:val="left"/>
        </w:tabs>
        <w:rPr>
          <w:sz w:val="20"/>
          <w:szCs w:val="20"/>
          <w:color w:val="auto"/>
        </w:rPr>
      </w:pPr>
      <w:r>
        <w:rPr>
          <w:rFonts w:ascii="Arial" w:cs="Arial" w:eastAsia="Arial" w:hAnsi="Arial"/>
          <w:sz w:val="18"/>
          <w:szCs w:val="18"/>
          <w:b w:val="1"/>
          <w:bCs w:val="1"/>
          <w:u w:val="single" w:color="auto"/>
          <w:color w:val="auto"/>
        </w:rPr>
        <w:t>Number</w:t>
      </w:r>
      <w:r>
        <w:rPr>
          <w:sz w:val="20"/>
          <w:szCs w:val="20"/>
          <w:color w:val="auto"/>
        </w:rPr>
        <w:tab/>
      </w:r>
      <w:r>
        <w:rPr>
          <w:rFonts w:ascii="Arial" w:cs="Arial" w:eastAsia="Arial" w:hAnsi="Arial"/>
          <w:sz w:val="18"/>
          <w:szCs w:val="18"/>
          <w:b w:val="1"/>
          <w:bCs w:val="1"/>
          <w:u w:val="single" w:color="auto"/>
          <w:color w:val="auto"/>
        </w:rPr>
        <w:t>Description</w:t>
      </w:r>
    </w:p>
    <w:p>
      <w:pPr>
        <w:spacing w:after="0" w:line="258" w:lineRule="exact"/>
        <w:rPr>
          <w:sz w:val="24"/>
          <w:szCs w:val="24"/>
          <w:color w:val="auto"/>
        </w:rPr>
      </w:pPr>
    </w:p>
    <w:p>
      <w:pPr>
        <w:spacing w:after="0"/>
        <w:tabs>
          <w:tab w:leader="none" w:pos="12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Comcast Corporation press release dated July 3, 2003.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386080</wp:posOffset>
            </wp:positionV>
            <wp:extent cx="725043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58" w:lineRule="exact"/>
        <w:rPr>
          <w:sz w:val="24"/>
          <w:szCs w:val="24"/>
          <w:color w:val="auto"/>
        </w:rPr>
      </w:pPr>
    </w:p>
    <w:p>
      <w:pPr>
        <w:ind w:firstLine="27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9" w:lineRule="exact"/>
        <w:rPr>
          <w:sz w:val="24"/>
          <w:szCs w:val="24"/>
          <w:color w:val="auto"/>
        </w:rPr>
      </w:pPr>
    </w:p>
    <w:p>
      <w:pPr>
        <w:ind w:left="6380"/>
        <w:spacing w:after="0"/>
        <w:rPr>
          <w:sz w:val="20"/>
          <w:szCs w:val="20"/>
          <w:color w:val="auto"/>
        </w:rPr>
      </w:pPr>
      <w:r>
        <w:rPr>
          <w:rFonts w:ascii="Arial" w:cs="Arial" w:eastAsia="Arial" w:hAnsi="Arial"/>
          <w:sz w:val="18"/>
          <w:szCs w:val="18"/>
          <w:color w:val="auto"/>
        </w:rPr>
        <w:t>Comcast Corporation</w:t>
      </w:r>
    </w:p>
    <w:p>
      <w:pPr>
        <w:sectPr>
          <w:pgSz w:w="11900" w:h="16838" w:orient="portrait"/>
          <w:cols w:equalWidth="0" w:num="1">
            <w:col w:w="11200"/>
          </w:cols>
          <w:pgMar w:left="240" w:top="436" w:right="459" w:bottom="0" w:gutter="0" w:footer="0" w:header="0"/>
        </w:sectPr>
      </w:pPr>
    </w:p>
    <w:bookmarkStart w:id="1" w:name="page2"/>
    <w:bookmarkEnd w:id="1"/>
    <w:p>
      <w:pPr>
        <w:spacing w:after="0"/>
        <w:tabs>
          <w:tab w:leader="none" w:pos="6360" w:val="left"/>
        </w:tabs>
        <w:rPr>
          <w:sz w:val="20"/>
          <w:szCs w:val="20"/>
          <w:color w:val="auto"/>
        </w:rPr>
      </w:pPr>
      <w:r>
        <w:rPr>
          <w:rFonts w:ascii="Arial" w:cs="Arial" w:eastAsia="Arial" w:hAnsi="Arial"/>
          <w:sz w:val="18"/>
          <w:szCs w:val="18"/>
          <w:color w:val="auto"/>
        </w:rPr>
        <w:t>Date: July 3, 2003</w:t>
      </w:r>
      <w:r>
        <w:rPr>
          <w:sz w:val="20"/>
          <w:szCs w:val="20"/>
          <w:color w:val="auto"/>
        </w:rPr>
        <w:tab/>
      </w:r>
      <w:r>
        <w:rPr>
          <w:rFonts w:ascii="Arial" w:cs="Arial" w:eastAsia="Arial" w:hAnsi="Arial"/>
          <w:sz w:val="16"/>
          <w:szCs w:val="16"/>
          <w:color w:val="auto"/>
        </w:rPr>
        <w:t>By: /s/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4053205</wp:posOffset>
            </wp:positionH>
            <wp:positionV relativeFrom="paragraph">
              <wp:posOffset>80010</wp:posOffset>
            </wp:positionV>
            <wp:extent cx="17494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49425" cy="8890"/>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020" w:type="dxa"/>
            <w:vAlign w:val="bottom"/>
          </w:tcPr>
          <w:p>
            <w:pPr>
              <w:ind w:left="6380"/>
              <w:spacing w:after="0"/>
              <w:rPr>
                <w:sz w:val="20"/>
                <w:szCs w:val="20"/>
                <w:color w:val="auto"/>
              </w:rPr>
            </w:pPr>
            <w:r>
              <w:rPr>
                <w:rFonts w:ascii="Arial" w:cs="Arial" w:eastAsia="Arial" w:hAnsi="Arial"/>
                <w:sz w:val="18"/>
                <w:szCs w:val="18"/>
                <w:color w:val="auto"/>
              </w:rPr>
              <w:t>Name:</w:t>
            </w:r>
          </w:p>
        </w:tc>
        <w:tc>
          <w:tcPr>
            <w:tcW w:w="4420" w:type="dxa"/>
            <w:vAlign w:val="bottom"/>
          </w:tcPr>
          <w:p>
            <w:pPr>
              <w:ind w:left="180"/>
              <w:spacing w:after="0"/>
              <w:rPr>
                <w:sz w:val="20"/>
                <w:szCs w:val="20"/>
                <w:color w:val="auto"/>
              </w:rPr>
            </w:pPr>
            <w:r>
              <w:rPr>
                <w:rFonts w:ascii="Arial" w:cs="Arial" w:eastAsia="Arial" w:hAnsi="Arial"/>
                <w:sz w:val="18"/>
                <w:szCs w:val="18"/>
                <w:color w:val="auto"/>
              </w:rPr>
              <w:t>Arthur R. Block</w:t>
            </w:r>
          </w:p>
        </w:tc>
      </w:tr>
      <w:tr>
        <w:trPr>
          <w:trHeight w:val="243"/>
        </w:trPr>
        <w:tc>
          <w:tcPr>
            <w:tcW w:w="7020" w:type="dxa"/>
            <w:vAlign w:val="bottom"/>
          </w:tcPr>
          <w:p>
            <w:pPr>
              <w:ind w:left="6380"/>
              <w:spacing w:after="0"/>
              <w:rPr>
                <w:sz w:val="20"/>
                <w:szCs w:val="20"/>
                <w:color w:val="auto"/>
              </w:rPr>
            </w:pPr>
            <w:r>
              <w:rPr>
                <w:rFonts w:ascii="Arial" w:cs="Arial" w:eastAsia="Arial" w:hAnsi="Arial"/>
                <w:sz w:val="18"/>
                <w:szCs w:val="18"/>
                <w:color w:val="auto"/>
              </w:rPr>
              <w:t>Title:</w:t>
            </w:r>
          </w:p>
        </w:tc>
        <w:tc>
          <w:tcPr>
            <w:tcW w:w="4420" w:type="dxa"/>
            <w:vAlign w:val="bottom"/>
          </w:tcPr>
          <w:p>
            <w:pPr>
              <w:ind w:left="180"/>
              <w:spacing w:after="0"/>
              <w:rPr>
                <w:sz w:val="20"/>
                <w:szCs w:val="20"/>
                <w:color w:val="auto"/>
              </w:rPr>
            </w:pPr>
            <w:r>
              <w:rPr>
                <w:rFonts w:ascii="Arial" w:cs="Arial" w:eastAsia="Arial" w:hAnsi="Arial"/>
                <w:sz w:val="18"/>
                <w:szCs w:val="18"/>
                <w:color w:val="auto"/>
              </w:rPr>
              <w:t>Senior Vice President, General Counsel</w:t>
            </w:r>
          </w:p>
        </w:tc>
      </w:tr>
      <w:tr>
        <w:trPr>
          <w:trHeight w:val="243"/>
        </w:trPr>
        <w:tc>
          <w:tcPr>
            <w:tcW w:w="7020" w:type="dxa"/>
            <w:vAlign w:val="bottom"/>
          </w:tcPr>
          <w:p>
            <w:pPr>
              <w:spacing w:after="0"/>
              <w:rPr>
                <w:sz w:val="21"/>
                <w:szCs w:val="21"/>
                <w:color w:val="auto"/>
              </w:rPr>
            </w:pPr>
          </w:p>
        </w:tc>
        <w:tc>
          <w:tcPr>
            <w:tcW w:w="4420" w:type="dxa"/>
            <w:vAlign w:val="bottom"/>
          </w:tcPr>
          <w:p>
            <w:pPr>
              <w:ind w:left="180"/>
              <w:spacing w:after="0"/>
              <w:rPr>
                <w:sz w:val="20"/>
                <w:szCs w:val="20"/>
                <w:color w:val="auto"/>
              </w:rPr>
            </w:pPr>
            <w:r>
              <w:rPr>
                <w:rFonts w:ascii="Arial" w:cs="Arial" w:eastAsia="Arial" w:hAnsi="Arial"/>
                <w:sz w:val="18"/>
                <w:szCs w:val="18"/>
                <w:color w:val="auto"/>
              </w:rPr>
              <w:t>and Secretary</w:t>
            </w:r>
          </w:p>
        </w:tc>
      </w:tr>
      <w:tr>
        <w:trPr>
          <w:trHeight w:val="134"/>
        </w:trPr>
        <w:tc>
          <w:tcPr>
            <w:tcW w:w="7020" w:type="dxa"/>
            <w:vAlign w:val="bottom"/>
            <w:tcBorders>
              <w:bottom w:val="single" w:sz="8" w:color="808080"/>
            </w:tcBorders>
          </w:tcPr>
          <w:p>
            <w:pPr>
              <w:spacing w:after="0"/>
              <w:rPr>
                <w:sz w:val="11"/>
                <w:szCs w:val="11"/>
                <w:color w:val="auto"/>
              </w:rPr>
            </w:pPr>
          </w:p>
        </w:tc>
        <w:tc>
          <w:tcPr>
            <w:tcW w:w="442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617" w:right="219" w:bottom="1440" w:gutter="0" w:footer="0" w:header="0"/>
        </w:sectPr>
      </w:pPr>
    </w:p>
    <w:bookmarkStart w:id="2" w:name="page3"/>
    <w:bookmarkEnd w:id="2"/>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920750</wp:posOffset>
            </wp:positionV>
            <wp:extent cx="72637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148590</wp:posOffset>
            </wp:positionV>
            <wp:extent cx="2049780" cy="5657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04978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80" w:type="dxa"/>
            <w:vAlign w:val="bottom"/>
          </w:tcPr>
          <w:p>
            <w:pPr>
              <w:spacing w:after="0"/>
              <w:rPr>
                <w:sz w:val="20"/>
                <w:szCs w:val="20"/>
                <w:color w:val="auto"/>
              </w:rPr>
            </w:pPr>
            <w:r>
              <w:rPr>
                <w:rFonts w:ascii="Arial" w:cs="Arial" w:eastAsia="Arial" w:hAnsi="Arial"/>
                <w:sz w:val="18"/>
                <w:szCs w:val="18"/>
                <w:color w:val="auto"/>
              </w:rPr>
              <w:t>Contacts:</w:t>
            </w:r>
          </w:p>
        </w:tc>
        <w:tc>
          <w:tcPr>
            <w:tcW w:w="3320" w:type="dxa"/>
            <w:vAlign w:val="bottom"/>
          </w:tcPr>
          <w:p>
            <w:pPr>
              <w:spacing w:after="0"/>
              <w:rPr>
                <w:sz w:val="17"/>
                <w:szCs w:val="17"/>
                <w:color w:val="auto"/>
              </w:rPr>
            </w:pPr>
          </w:p>
        </w:tc>
      </w:tr>
      <w:tr>
        <w:trPr>
          <w:trHeight w:val="203"/>
        </w:trPr>
        <w:tc>
          <w:tcPr>
            <w:tcW w:w="7680" w:type="dxa"/>
            <w:vAlign w:val="bottom"/>
          </w:tcPr>
          <w:p>
            <w:pPr>
              <w:spacing w:after="0" w:line="202" w:lineRule="exact"/>
              <w:rPr>
                <w:sz w:val="20"/>
                <w:szCs w:val="20"/>
                <w:color w:val="auto"/>
              </w:rPr>
            </w:pPr>
            <w:r>
              <w:rPr>
                <w:rFonts w:ascii="Arial" w:cs="Arial" w:eastAsia="Arial" w:hAnsi="Arial"/>
                <w:sz w:val="18"/>
                <w:szCs w:val="18"/>
                <w:color w:val="auto"/>
              </w:rPr>
              <w:t>Karen Dougherty Buchholz, Vice President, Corporate Communications</w:t>
            </w:r>
          </w:p>
        </w:tc>
        <w:tc>
          <w:tcPr>
            <w:tcW w:w="3320" w:type="dxa"/>
            <w:vAlign w:val="bottom"/>
          </w:tcPr>
          <w:p>
            <w:pPr>
              <w:jc w:val="right"/>
              <w:spacing w:after="0" w:line="202" w:lineRule="exact"/>
              <w:rPr>
                <w:sz w:val="20"/>
                <w:szCs w:val="20"/>
                <w:color w:val="auto"/>
              </w:rPr>
            </w:pPr>
            <w:r>
              <w:rPr>
                <w:rFonts w:ascii="Arial" w:cs="Arial" w:eastAsia="Arial" w:hAnsi="Arial"/>
                <w:sz w:val="18"/>
                <w:szCs w:val="18"/>
                <w:color w:val="auto"/>
              </w:rPr>
              <w:t>(215) 981-8520</w:t>
            </w:r>
          </w:p>
        </w:tc>
      </w:tr>
      <w:tr>
        <w:trPr>
          <w:trHeight w:val="203"/>
        </w:trPr>
        <w:tc>
          <w:tcPr>
            <w:tcW w:w="7680" w:type="dxa"/>
            <w:vAlign w:val="bottom"/>
          </w:tcPr>
          <w:p>
            <w:pPr>
              <w:spacing w:after="0" w:line="202" w:lineRule="exact"/>
              <w:rPr>
                <w:sz w:val="20"/>
                <w:szCs w:val="20"/>
                <w:color w:val="auto"/>
              </w:rPr>
            </w:pPr>
            <w:r>
              <w:rPr>
                <w:rFonts w:ascii="Arial" w:cs="Arial" w:eastAsia="Arial" w:hAnsi="Arial"/>
                <w:sz w:val="18"/>
                <w:szCs w:val="18"/>
                <w:color w:val="auto"/>
              </w:rPr>
              <w:t>Leslie A. Arena, Director, Investor Relations</w:t>
            </w:r>
          </w:p>
        </w:tc>
        <w:tc>
          <w:tcPr>
            <w:tcW w:w="3320" w:type="dxa"/>
            <w:vAlign w:val="bottom"/>
          </w:tcPr>
          <w:p>
            <w:pPr>
              <w:jc w:val="right"/>
              <w:spacing w:after="0" w:line="202" w:lineRule="exact"/>
              <w:rPr>
                <w:sz w:val="20"/>
                <w:szCs w:val="20"/>
                <w:color w:val="auto"/>
              </w:rPr>
            </w:pPr>
            <w:r>
              <w:rPr>
                <w:rFonts w:ascii="Arial" w:cs="Arial" w:eastAsia="Arial" w:hAnsi="Arial"/>
                <w:sz w:val="18"/>
                <w:szCs w:val="18"/>
                <w:color w:val="auto"/>
              </w:rPr>
              <w:t>(215) 981-8511</w:t>
            </w:r>
          </w:p>
        </w:tc>
      </w:tr>
      <w:tr>
        <w:trPr>
          <w:trHeight w:val="211"/>
        </w:trPr>
        <w:tc>
          <w:tcPr>
            <w:tcW w:w="7680" w:type="dxa"/>
            <w:vAlign w:val="bottom"/>
          </w:tcPr>
          <w:p>
            <w:pPr>
              <w:spacing w:after="0"/>
              <w:rPr>
                <w:sz w:val="20"/>
                <w:szCs w:val="20"/>
                <w:color w:val="auto"/>
              </w:rPr>
            </w:pPr>
            <w:r>
              <w:rPr>
                <w:rFonts w:ascii="Arial" w:cs="Arial" w:eastAsia="Arial" w:hAnsi="Arial"/>
                <w:sz w:val="18"/>
                <w:szCs w:val="18"/>
                <w:color w:val="auto"/>
              </w:rPr>
              <w:t>Daniel J. Goodwin, Director, Investor Relations</w:t>
            </w:r>
          </w:p>
        </w:tc>
        <w:tc>
          <w:tcPr>
            <w:tcW w:w="3320" w:type="dxa"/>
            <w:vAlign w:val="bottom"/>
          </w:tcPr>
          <w:p>
            <w:pPr>
              <w:jc w:val="right"/>
              <w:spacing w:after="0"/>
              <w:rPr>
                <w:sz w:val="20"/>
                <w:szCs w:val="20"/>
                <w:color w:val="auto"/>
              </w:rPr>
            </w:pPr>
            <w:r>
              <w:rPr>
                <w:rFonts w:ascii="Arial" w:cs="Arial" w:eastAsia="Arial" w:hAnsi="Arial"/>
                <w:sz w:val="18"/>
                <w:szCs w:val="18"/>
                <w:color w:val="auto"/>
              </w:rPr>
              <w:t>(215) 981-7518</w:t>
            </w:r>
          </w:p>
        </w:tc>
      </w:tr>
    </w:tbl>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AGREES TO SELL ITS STAKE IN QVC TO LIBERTY MEDIA</w:t>
      </w:r>
    </w:p>
    <w:p>
      <w:pPr>
        <w:spacing w:after="0" w:line="212"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b w:val="1"/>
          <w:bCs w:val="1"/>
          <w:color w:val="auto"/>
        </w:rPr>
        <w:t xml:space="preserve">Philadelphia, PA &amp; Wilmington, DE Thursday, July 3, 2003 </w:t>
      </w:r>
      <w:r>
        <w:rPr>
          <w:rFonts w:ascii="Arial" w:cs="Arial" w:eastAsia="Arial" w:hAnsi="Arial"/>
          <w:sz w:val="18"/>
          <w:szCs w:val="18"/>
          <w:color w:val="auto"/>
        </w:rPr>
        <w:t>– Comcast Corporation (NASDAQ: CMCSA; CMCSK) announced that it has agreed</w:t>
      </w:r>
      <w:r>
        <w:rPr>
          <w:rFonts w:ascii="Arial" w:cs="Arial" w:eastAsia="Arial" w:hAnsi="Arial"/>
          <w:sz w:val="18"/>
          <w:szCs w:val="18"/>
          <w:b w:val="1"/>
          <w:bCs w:val="1"/>
          <w:color w:val="auto"/>
        </w:rPr>
        <w:t xml:space="preserve"> </w:t>
      </w:r>
      <w:r>
        <w:rPr>
          <w:rFonts w:ascii="Arial" w:cs="Arial" w:eastAsia="Arial" w:hAnsi="Arial"/>
          <w:sz w:val="18"/>
          <w:szCs w:val="18"/>
          <w:color w:val="auto"/>
        </w:rPr>
        <w:t>to sell its stake in QVC, Inc., a consolidated subsidiary of Comcast, for approximately $7.9 billion to Liberty Media Corporation. The precise components of the consideration will be determined over the next several weeks subject to certain procedures set forth in a new stock purchase agreement entered into by the parties. Under the new agreement, Liberty may elect to pay the purchase price in a combination of cash and/or a three-year senior unsecured note, and by issuing Liberty Series A Common Stock up to a maximum of 7.5% of the shares outstanding, approximately 218 million shares. Any shares of Series A Common Stock issued by Liberty will be valued at $11.71 per share. Any shares or promissory note issued by Liberty would be registered with the SEC and freely marketable upon closing. The transaction is subject to regulatory review and certain other customary closing conditions. Comcast expects that the transaction will close before year-end.</w:t>
      </w:r>
    </w:p>
    <w:p>
      <w:pPr>
        <w:spacing w:after="0" w:line="210"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Brian L. Roberts, president and CEO of Comcast Corporation said, “This has been a very difficult decision for Comcast. QVC is an exceptional and unique business, but we took a very disciplined financial approach to our evaluation. The cable business continues to be our core focus. With the opportunity to sell at an attractive valuation in excess of $14 billion, we have the flexibility to improve our already strong financial position and to invest for future growth. I believe this is a terrific outcome for both parties.”</w:t>
      </w:r>
    </w:p>
    <w:p>
      <w:pPr>
        <w:spacing w:after="0" w:line="209"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color w:val="auto"/>
        </w:rPr>
        <w:t>Comcast Corporation (www.comcast.com) is principally involved in the development, management and operation of broadband cable networks, and in the provision of programming content. The Company is the largest cable company in the United States, serving approximately 21.3 million cable subscribers. The Company’s content businesses include majority ownership of Comcast Spectacor, Comcast SportsNet, E! Entertainment Television, Style, The Golf Channel, Outdoor Life Network and G4. Comcast Class A common stock and Class A Special common stock trade on The NASDAQ Stock Market under the symbols CMCSA and CMCSK, respectively. The sellers in this transaction, Comcast QVC Holdings I –VI, Inc. are six indirect wholly owned subsidiaries of Comcast Corporation.</w:t>
      </w:r>
    </w:p>
    <w:p>
      <w:pPr>
        <w:spacing w:after="0" w:line="210" w:lineRule="exact"/>
        <w:rPr>
          <w:sz w:val="20"/>
          <w:szCs w:val="20"/>
          <w:color w:val="auto"/>
        </w:rPr>
      </w:pPr>
    </w:p>
    <w:p>
      <w:pPr>
        <w:ind w:right="320"/>
        <w:spacing w:after="0" w:line="238" w:lineRule="auto"/>
        <w:rPr>
          <w:sz w:val="20"/>
          <w:szCs w:val="20"/>
          <w:color w:val="auto"/>
        </w:rPr>
      </w:pPr>
      <w:r>
        <w:rPr>
          <w:rFonts w:ascii="Arial" w:cs="Arial" w:eastAsia="Arial" w:hAnsi="Arial"/>
          <w:sz w:val="18"/>
          <w:szCs w:val="18"/>
          <w:color w:val="auto"/>
        </w:rPr>
        <w:t>This press release contains forward-looking statements. Readers are cautioned that such forward-looking statements involve risks and uncertainties that could significantly affect actual results from those expressed in any such forward-looking statements. Readers are directed to Comcast’s and Liberty’s filings with the SEC for a description of such risks and uncertainties.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sectPr>
      <w:pgSz w:w="11900" w:h="16838" w:orient="portrait"/>
      <w:cols w:equalWidth="0" w:num="1">
        <w:col w:w="11420"/>
      </w:cols>
      <w:pgMar w:left="240" w:top="1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2019-12-12T03:51:05Z</dcterms:created>
  <dcterms:modified xsi:type="dcterms:W3CDTF">2019-12-12T03:51:05Z</dcterms:modified>
</cp:coreProperties>
</file>