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FORM 11-K</w:t>
      </w:r>
    </w:p>
    <w:p>
      <w:pPr>
        <w:spacing w:after="0" w:line="183"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ANNUAL REPORT</w:t>
      </w:r>
    </w:p>
    <w:p>
      <w:pPr>
        <w:spacing w:after="0" w:line="183" w:lineRule="exact"/>
        <w:rPr>
          <w:sz w:val="24"/>
          <w:szCs w:val="24"/>
          <w:color w:val="auto"/>
        </w:rPr>
      </w:pPr>
    </w:p>
    <w:p>
      <w:pPr>
        <w:jc w:val="right"/>
        <w:ind w:right="4919"/>
        <w:spacing w:after="0"/>
        <w:rPr>
          <w:sz w:val="20"/>
          <w:szCs w:val="20"/>
          <w:color w:val="auto"/>
        </w:rPr>
      </w:pPr>
      <w:r>
        <w:rPr>
          <w:rFonts w:ascii="Courier New" w:cs="Courier New" w:eastAsia="Courier New" w:hAnsi="Courier New"/>
          <w:sz w:val="16"/>
          <w:szCs w:val="16"/>
          <w:color w:val="auto"/>
        </w:rPr>
        <w:t>Pursuant to Section 15(d) of the</w:t>
      </w:r>
    </w:p>
    <w:p>
      <w:pPr>
        <w:spacing w:after="0" w:line="1" w:lineRule="exact"/>
        <w:rPr>
          <w:sz w:val="24"/>
          <w:szCs w:val="24"/>
          <w:color w:val="auto"/>
        </w:rPr>
      </w:pPr>
    </w:p>
    <w:p>
      <w:pPr>
        <w:jc w:val="right"/>
        <w:ind w:right="4919"/>
        <w:spacing w:after="0"/>
        <w:rPr>
          <w:sz w:val="20"/>
          <w:szCs w:val="20"/>
          <w:color w:val="auto"/>
        </w:rPr>
      </w:pPr>
      <w:r>
        <w:rPr>
          <w:rFonts w:ascii="Courier New" w:cs="Courier New" w:eastAsia="Courier New" w:hAnsi="Courier New"/>
          <w:sz w:val="16"/>
          <w:szCs w:val="16"/>
          <w:color w:val="auto"/>
        </w:rPr>
        <w:t>Securities Exchange Act of 1934</w:t>
      </w:r>
    </w:p>
    <w:p>
      <w:pPr>
        <w:spacing w:after="0" w:line="364" w:lineRule="exact"/>
        <w:rPr>
          <w:sz w:val="24"/>
          <w:szCs w:val="24"/>
          <w:color w:val="auto"/>
        </w:rPr>
      </w:pPr>
    </w:p>
    <w:p>
      <w:pPr>
        <w:ind w:left="2920"/>
        <w:spacing w:after="0"/>
        <w:rPr>
          <w:sz w:val="20"/>
          <w:szCs w:val="20"/>
          <w:color w:val="auto"/>
        </w:rPr>
      </w:pPr>
      <w:r>
        <w:rPr>
          <w:rFonts w:ascii="Courier New" w:cs="Courier New" w:eastAsia="Courier New" w:hAnsi="Courier New"/>
          <w:sz w:val="16"/>
          <w:szCs w:val="16"/>
          <w:color w:val="auto"/>
        </w:rPr>
        <w:t>COMCAST CORPORATION</w:t>
      </w:r>
    </w:p>
    <w:p>
      <w:pPr>
        <w:spacing w:after="0" w:line="36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(Mark One):</w:t>
      </w:r>
    </w:p>
    <w:p>
      <w:pPr>
        <w:spacing w:after="0" w:line="186" w:lineRule="exact"/>
        <w:rPr>
          <w:sz w:val="24"/>
          <w:szCs w:val="24"/>
          <w:color w:val="auto"/>
        </w:rPr>
      </w:pPr>
    </w:p>
    <w:p>
      <w:pPr>
        <w:ind w:left="1700" w:hanging="852"/>
        <w:spacing w:after="0"/>
        <w:tabs>
          <w:tab w:leader="none" w:pos="17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15(d) OF THE  SECURITIES</w:t>
      </w:r>
    </w:p>
    <w:p>
      <w:pPr>
        <w:sectPr>
          <w:pgSz w:w="11900" w:h="16838" w:orient="portrait"/>
          <w:cols w:equalWidth="0" w:num="1">
            <w:col w:w="10219"/>
          </w:cols>
          <w:pgMar w:left="240" w:top="417" w:right="1440" w:bottom="1440" w:gutter="0" w:footer="0" w:header="0"/>
        </w:sectPr>
      </w:pPr>
    </w:p>
    <w:p>
      <w:pPr>
        <w:spacing w:after="0" w:line="12" w:lineRule="exact"/>
        <w:rPr>
          <w:sz w:val="24"/>
          <w:szCs w:val="24"/>
          <w:color w:val="auto"/>
        </w:rPr>
      </w:pPr>
    </w:p>
    <w:p>
      <w:pPr>
        <w:ind w:left="760"/>
        <w:spacing w:after="0"/>
        <w:rPr>
          <w:sz w:val="20"/>
          <w:szCs w:val="20"/>
          <w:color w:val="auto"/>
        </w:rPr>
      </w:pPr>
      <w:r>
        <w:rPr>
          <w:rFonts w:ascii="Courier New" w:cs="Courier New" w:eastAsia="Courier New" w:hAnsi="Courier New"/>
          <w:sz w:val="15"/>
          <w:szCs w:val="15"/>
          <w:color w:val="auto"/>
        </w:rPr>
        <w:t>___</w:t>
      </w:r>
    </w:p>
    <w:p>
      <w:pPr>
        <w:spacing w:after="0" w:line="20" w:lineRule="exact"/>
        <w:rPr>
          <w:sz w:val="24"/>
          <w:szCs w:val="24"/>
          <w:color w:val="auto"/>
        </w:rPr>
      </w:pPr>
      <w:r>
        <w:rPr>
          <w:sz w:val="24"/>
          <w:szCs w:val="24"/>
          <w:color w:val="auto"/>
        </w:rPr>
        <w:br w:type="column"/>
      </w:r>
    </w:p>
    <w:p>
      <w:pPr>
        <w:spacing w:after="0"/>
        <w:tabs>
          <w:tab w:leader="none" w:pos="2160" w:val="left"/>
        </w:tabs>
        <w:rPr>
          <w:sz w:val="20"/>
          <w:szCs w:val="20"/>
          <w:color w:val="auto"/>
        </w:rPr>
      </w:pPr>
      <w:r>
        <w:rPr>
          <w:rFonts w:ascii="Courier New" w:cs="Courier New" w:eastAsia="Courier New" w:hAnsi="Courier New"/>
          <w:sz w:val="16"/>
          <w:szCs w:val="16"/>
          <w:color w:val="auto"/>
        </w:rPr>
        <w:t>EXCHANGE ACT OF 1934.</w:t>
      </w:r>
      <w:r>
        <w:rPr>
          <w:sz w:val="20"/>
          <w:szCs w:val="20"/>
          <w:color w:val="auto"/>
        </w:rPr>
        <w:tab/>
      </w:r>
      <w:r>
        <w:rPr>
          <w:rFonts w:ascii="Courier New" w:cs="Courier New" w:eastAsia="Courier New" w:hAnsi="Courier New"/>
          <w:sz w:val="15"/>
          <w:szCs w:val="15"/>
          <w:color w:val="auto"/>
        </w:rPr>
        <w:t>For the fiscal year ended</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December 31,</w:t>
      </w:r>
    </w:p>
    <w:p>
      <w:pPr>
        <w:spacing w:after="0" w:line="372" w:lineRule="exact"/>
        <w:rPr>
          <w:sz w:val="24"/>
          <w:szCs w:val="24"/>
          <w:color w:val="auto"/>
        </w:rPr>
      </w:pPr>
    </w:p>
    <w:p>
      <w:pPr>
        <w:sectPr>
          <w:pgSz w:w="11900" w:h="16838" w:orient="portrait"/>
          <w:cols w:equalWidth="0" w:num="3">
            <w:col w:w="1040" w:space="660"/>
            <w:col w:w="4540" w:space="180"/>
            <w:col w:w="3799"/>
          </w:cols>
          <w:pgMar w:left="240" w:top="417" w:right="1440" w:bottom="1440" w:gutter="0" w:footer="0" w:header="0"/>
          <w:type w:val="continuous"/>
        </w:sectPr>
      </w:pPr>
    </w:p>
    <w:p>
      <w:pPr>
        <w:ind w:left="368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417" w:right="1440" w:bottom="1440" w:gutter="0" w:footer="0" w:header="0"/>
          <w:type w:val="continuous"/>
        </w:sectPr>
      </w:pPr>
    </w:p>
    <w:p>
      <w:pPr>
        <w:spacing w:after="0" w:line="186" w:lineRule="exact"/>
        <w:rPr>
          <w:sz w:val="24"/>
          <w:szCs w:val="24"/>
          <w:color w:val="auto"/>
        </w:rPr>
      </w:pPr>
    </w:p>
    <w:p>
      <w:pPr>
        <w:ind w:left="760"/>
        <w:spacing w:after="0"/>
        <w:rPr>
          <w:sz w:val="20"/>
          <w:szCs w:val="20"/>
          <w:color w:val="auto"/>
        </w:rPr>
      </w:pPr>
      <w:r>
        <w:rPr>
          <w:rFonts w:ascii="Courier New" w:cs="Courier New" w:eastAsia="Courier New" w:hAnsi="Courier New"/>
          <w:sz w:val="15"/>
          <w:szCs w:val="15"/>
          <w:color w:val="auto"/>
        </w:rPr>
        <w:t>___</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right="3799"/>
        <w:spacing w:after="0" w:line="237" w:lineRule="auto"/>
        <w:rPr>
          <w:sz w:val="20"/>
          <w:szCs w:val="20"/>
          <w:color w:val="auto"/>
        </w:rPr>
      </w:pPr>
      <w:r>
        <w:rPr>
          <w:rFonts w:ascii="Courier New" w:cs="Courier New" w:eastAsia="Courier New" w:hAnsi="Courier New"/>
          <w:sz w:val="16"/>
          <w:szCs w:val="16"/>
          <w:color w:val="auto"/>
        </w:rPr>
        <w:t>TRANSITION REPORT PURSUANT TO SECTION 15(d) OF THE SECURITIES EXCHANGE ACT OF 1934.</w:t>
      </w:r>
    </w:p>
    <w:p>
      <w:pPr>
        <w:spacing w:after="0" w:line="2" w:lineRule="exact"/>
        <w:rPr>
          <w:sz w:val="24"/>
          <w:szCs w:val="24"/>
          <w:color w:val="auto"/>
        </w:rPr>
      </w:pPr>
    </w:p>
    <w:p>
      <w:pPr>
        <w:sectPr>
          <w:pgSz w:w="11900" w:h="16838" w:orient="portrait"/>
          <w:cols w:equalWidth="0" w:num="2">
            <w:col w:w="1040" w:space="660"/>
            <w:col w:w="8519"/>
          </w:cols>
          <w:pgMar w:left="240" w:top="417" w:right="1440" w:bottom="1440" w:gutter="0" w:footer="0" w:header="0"/>
          <w:type w:val="continuous"/>
        </w:sectPr>
      </w:pPr>
    </w:p>
    <w:p>
      <w:pPr>
        <w:ind w:left="1700"/>
        <w:spacing w:after="0"/>
        <w:rPr>
          <w:sz w:val="20"/>
          <w:szCs w:val="20"/>
          <w:color w:val="auto"/>
        </w:rPr>
      </w:pPr>
      <w:r>
        <w:rPr>
          <w:rFonts w:ascii="Courier New" w:cs="Courier New" w:eastAsia="Courier New" w:hAnsi="Courier New"/>
          <w:sz w:val="16"/>
          <w:szCs w:val="16"/>
          <w:color w:val="auto"/>
        </w:rPr>
        <w:t>For the transition period from _________ to ________</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 000-50093</w:t>
      </w:r>
    </w:p>
    <w:p>
      <w:pPr>
        <w:spacing w:after="0" w:line="186" w:lineRule="exact"/>
        <w:rPr>
          <w:sz w:val="24"/>
          <w:szCs w:val="24"/>
          <w:color w:val="auto"/>
        </w:rPr>
      </w:pPr>
    </w:p>
    <w:p>
      <w:pPr>
        <w:ind w:left="840" w:right="2659" w:firstLine="851"/>
        <w:spacing w:after="0" w:line="237" w:lineRule="auto"/>
        <w:rPr>
          <w:sz w:val="20"/>
          <w:szCs w:val="20"/>
          <w:color w:val="auto"/>
        </w:rPr>
      </w:pPr>
      <w:r>
        <w:rPr>
          <w:rFonts w:ascii="Courier New" w:cs="Courier New" w:eastAsia="Courier New" w:hAnsi="Courier New"/>
          <w:sz w:val="16"/>
          <w:szCs w:val="16"/>
          <w:color w:val="auto"/>
        </w:rPr>
        <w:t>A. Full title of the plan and the address of the plan, if different from that of the issuer named below:</w:t>
      </w:r>
    </w:p>
    <w:p>
      <w:pPr>
        <w:spacing w:after="0" w:line="184"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COMCAST-SPECTACOR 401(K) PLAN</w:t>
      </w:r>
    </w:p>
    <w:p>
      <w:pPr>
        <w:spacing w:after="0" w:line="186" w:lineRule="exact"/>
        <w:rPr>
          <w:sz w:val="24"/>
          <w:szCs w:val="24"/>
          <w:color w:val="auto"/>
        </w:rPr>
      </w:pPr>
    </w:p>
    <w:p>
      <w:pPr>
        <w:ind w:left="840" w:right="2659" w:firstLine="851"/>
        <w:spacing w:after="0" w:line="237" w:lineRule="auto"/>
        <w:rPr>
          <w:sz w:val="20"/>
          <w:szCs w:val="20"/>
          <w:color w:val="auto"/>
        </w:rPr>
      </w:pPr>
      <w:r>
        <w:rPr>
          <w:rFonts w:ascii="Courier New" w:cs="Courier New" w:eastAsia="Courier New" w:hAnsi="Courier New"/>
          <w:sz w:val="16"/>
          <w:szCs w:val="16"/>
          <w:color w:val="auto"/>
        </w:rPr>
        <w:t>B. Name of issuer of the securities held pursuant to the plan and the address of its principal executive office:</w:t>
      </w:r>
    </w:p>
    <w:p>
      <w:pPr>
        <w:spacing w:after="0" w:line="18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1500 Market Street</w:t>
      </w:r>
    </w:p>
    <w:p>
      <w:pPr>
        <w:spacing w:after="0" w:line="1"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Philadelphia, PA 19102-2148</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Financial Statements and Report of Independent Registered Public</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Accounting Firm</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Comcast-Spectacor 401(k) Plan</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December 31, 2003 and 2002</w:t>
      </w:r>
    </w:p>
    <w:p>
      <w:pPr>
        <w:sectPr>
          <w:pgSz w:w="11900" w:h="16838" w:orient="portrait"/>
          <w:cols w:equalWidth="0" w:num="1">
            <w:col w:w="10219"/>
          </w:cols>
          <w:pgMar w:left="240" w:top="417" w:right="1440" w:bottom="1440" w:gutter="0" w:footer="0" w:header="0"/>
          <w:type w:val="continuous"/>
        </w:sectPr>
      </w:pPr>
    </w:p>
    <w:bookmarkStart w:id="1" w:name="page2"/>
    <w:bookmarkEnd w:id="1"/>
    <w:p>
      <w:pPr>
        <w:ind w:left="2460"/>
        <w:spacing w:after="0"/>
        <w:rPr>
          <w:sz w:val="20"/>
          <w:szCs w:val="20"/>
          <w:color w:val="auto"/>
        </w:rPr>
      </w:pPr>
      <w:r>
        <w:rPr>
          <w:rFonts w:ascii="Courier New" w:cs="Courier New" w:eastAsia="Courier New" w:hAnsi="Courier New"/>
          <w:sz w:val="16"/>
          <w:szCs w:val="16"/>
          <w:color w:val="auto"/>
        </w:rPr>
        <w:t>COMCAST-SPECTACOR 401(k) PLAN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300" w:type="dxa"/>
            <w:vAlign w:val="bottom"/>
          </w:tcPr>
          <w:p>
            <w:pPr>
              <w:ind w:left="2640"/>
              <w:spacing w:after="0"/>
              <w:rPr>
                <w:sz w:val="20"/>
                <w:szCs w:val="20"/>
                <w:color w:val="auto"/>
              </w:rPr>
            </w:pPr>
            <w:r>
              <w:rPr>
                <w:rFonts w:ascii="Courier New" w:cs="Courier New" w:eastAsia="Courier New" w:hAnsi="Courier New"/>
                <w:sz w:val="16"/>
                <w:szCs w:val="16"/>
                <w:color w:val="auto"/>
              </w:rPr>
              <w:t>TABLE OF C O N T E N T S</w:t>
            </w:r>
          </w:p>
        </w:tc>
        <w:tc>
          <w:tcPr>
            <w:tcW w:w="1040" w:type="dxa"/>
            <w:vAlign w:val="bottom"/>
          </w:tcPr>
          <w:p>
            <w:pPr>
              <w:spacing w:after="0"/>
              <w:rPr>
                <w:sz w:val="15"/>
                <w:szCs w:val="15"/>
                <w:color w:val="auto"/>
              </w:rPr>
            </w:pPr>
          </w:p>
        </w:tc>
      </w:tr>
      <w:tr>
        <w:trPr>
          <w:trHeight w:val="728"/>
        </w:trPr>
        <w:tc>
          <w:tcPr>
            <w:tcW w:w="10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2"/>
        </w:trPr>
        <w:tc>
          <w:tcPr>
            <w:tcW w:w="10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10300" w:type="dxa"/>
            <w:vAlign w:val="bottom"/>
          </w:tcPr>
          <w:p>
            <w:pPr>
              <w:spacing w:after="0"/>
              <w:rPr>
                <w:sz w:val="20"/>
                <w:szCs w:val="20"/>
                <w:color w:val="auto"/>
              </w:rPr>
            </w:pPr>
            <w:r>
              <w:rPr>
                <w:rFonts w:ascii="Courier New" w:cs="Courier New" w:eastAsia="Courier New" w:hAnsi="Courier New"/>
                <w:sz w:val="16"/>
                <w:szCs w:val="16"/>
                <w:color w:val="auto"/>
              </w:rPr>
              <w:t>REPORT OF INDEPENDENT REGISTERED PUBLIC ACCOUNTING FIRM</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w:t>
            </w:r>
          </w:p>
        </w:tc>
      </w:tr>
      <w:tr>
        <w:trPr>
          <w:trHeight w:val="546"/>
        </w:trPr>
        <w:tc>
          <w:tcPr>
            <w:tcW w:w="10300" w:type="dxa"/>
            <w:vAlign w:val="bottom"/>
          </w:tcPr>
          <w:p>
            <w:pPr>
              <w:spacing w:after="0"/>
              <w:rPr>
                <w:sz w:val="20"/>
                <w:szCs w:val="20"/>
                <w:color w:val="auto"/>
              </w:rPr>
            </w:pPr>
            <w:r>
              <w:rPr>
                <w:rFonts w:ascii="Courier New" w:cs="Courier New" w:eastAsia="Courier New" w:hAnsi="Courier New"/>
                <w:sz w:val="16"/>
                <w:szCs w:val="16"/>
                <w:color w:val="auto"/>
              </w:rPr>
              <w:t>FINANCIAL STATEMENTS:</w:t>
            </w:r>
          </w:p>
        </w:tc>
        <w:tc>
          <w:tcPr>
            <w:tcW w:w="1040" w:type="dxa"/>
            <w:vAlign w:val="bottom"/>
          </w:tcPr>
          <w:p>
            <w:pPr>
              <w:spacing w:after="0"/>
              <w:rPr>
                <w:sz w:val="24"/>
                <w:szCs w:val="24"/>
                <w:color w:val="auto"/>
              </w:rPr>
            </w:pPr>
          </w:p>
        </w:tc>
      </w:tr>
      <w:tr>
        <w:trPr>
          <w:trHeight w:val="364"/>
        </w:trPr>
        <w:tc>
          <w:tcPr>
            <w:tcW w:w="10300" w:type="dxa"/>
            <w:vAlign w:val="bottom"/>
          </w:tcPr>
          <w:p>
            <w:pPr>
              <w:ind w:left="840"/>
              <w:spacing w:after="0"/>
              <w:rPr>
                <w:sz w:val="20"/>
                <w:szCs w:val="20"/>
                <w:color w:val="auto"/>
              </w:rPr>
            </w:pPr>
            <w:r>
              <w:rPr>
                <w:rFonts w:ascii="Courier New" w:cs="Courier New" w:eastAsia="Courier New" w:hAnsi="Courier New"/>
                <w:sz w:val="16"/>
                <w:szCs w:val="16"/>
                <w:color w:val="auto"/>
              </w:rPr>
              <w:t>Statement of Net Assets Available for Benefits as of December 31, 2003 and 2002</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w:t>
            </w:r>
          </w:p>
        </w:tc>
      </w:tr>
      <w:tr>
        <w:trPr>
          <w:trHeight w:val="364"/>
        </w:trPr>
        <w:tc>
          <w:tcPr>
            <w:tcW w:w="10300" w:type="dxa"/>
            <w:vAlign w:val="bottom"/>
          </w:tcPr>
          <w:p>
            <w:pPr>
              <w:ind w:left="840"/>
              <w:spacing w:after="0"/>
              <w:rPr>
                <w:sz w:val="20"/>
                <w:szCs w:val="20"/>
                <w:color w:val="auto"/>
              </w:rPr>
            </w:pPr>
            <w:r>
              <w:rPr>
                <w:rFonts w:ascii="Courier New" w:cs="Courier New" w:eastAsia="Courier New" w:hAnsi="Courier New"/>
                <w:sz w:val="16"/>
                <w:szCs w:val="16"/>
                <w:color w:val="auto"/>
              </w:rPr>
              <w:t>Statement of Changes in Net Assets Available for Benefits for the Year Ended December 31, 2003</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5</w:t>
            </w:r>
          </w:p>
        </w:tc>
      </w:tr>
      <w:tr>
        <w:trPr>
          <w:trHeight w:val="364"/>
        </w:trPr>
        <w:tc>
          <w:tcPr>
            <w:tcW w:w="10300" w:type="dxa"/>
            <w:vAlign w:val="bottom"/>
          </w:tcPr>
          <w:p>
            <w:pPr>
              <w:ind w:left="840"/>
              <w:spacing w:after="0"/>
              <w:rPr>
                <w:sz w:val="20"/>
                <w:szCs w:val="20"/>
                <w:color w:val="auto"/>
              </w:rPr>
            </w:pPr>
            <w:r>
              <w:rPr>
                <w:rFonts w:ascii="Courier New" w:cs="Courier New" w:eastAsia="Courier New" w:hAnsi="Courier New"/>
                <w:sz w:val="16"/>
                <w:szCs w:val="16"/>
                <w:color w:val="auto"/>
              </w:rPr>
              <w:t>Notes to Financial Statements</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6-10</w:t>
            </w:r>
          </w:p>
        </w:tc>
      </w:tr>
      <w:tr>
        <w:trPr>
          <w:trHeight w:val="546"/>
        </w:trPr>
        <w:tc>
          <w:tcPr>
            <w:tcW w:w="10300" w:type="dxa"/>
            <w:vAlign w:val="bottom"/>
          </w:tcPr>
          <w:p>
            <w:pPr>
              <w:spacing w:after="0"/>
              <w:rPr>
                <w:sz w:val="20"/>
                <w:szCs w:val="20"/>
                <w:color w:val="auto"/>
              </w:rPr>
            </w:pPr>
            <w:r>
              <w:rPr>
                <w:rFonts w:ascii="Courier New" w:cs="Courier New" w:eastAsia="Courier New" w:hAnsi="Courier New"/>
                <w:sz w:val="16"/>
                <w:szCs w:val="16"/>
                <w:color w:val="auto"/>
              </w:rPr>
              <w:t>SUPPLEMENTAL SCHEDULE:</w:t>
            </w:r>
          </w:p>
        </w:tc>
        <w:tc>
          <w:tcPr>
            <w:tcW w:w="1040" w:type="dxa"/>
            <w:vAlign w:val="bottom"/>
          </w:tcPr>
          <w:p>
            <w:pPr>
              <w:spacing w:after="0"/>
              <w:rPr>
                <w:sz w:val="24"/>
                <w:szCs w:val="24"/>
                <w:color w:val="auto"/>
              </w:rPr>
            </w:pPr>
          </w:p>
        </w:tc>
      </w:tr>
      <w:tr>
        <w:trPr>
          <w:trHeight w:val="364"/>
        </w:trPr>
        <w:tc>
          <w:tcPr>
            <w:tcW w:w="10300" w:type="dxa"/>
            <w:vAlign w:val="bottom"/>
          </w:tcPr>
          <w:p>
            <w:pPr>
              <w:ind w:left="840"/>
              <w:spacing w:after="0"/>
              <w:rPr>
                <w:sz w:val="20"/>
                <w:szCs w:val="20"/>
                <w:color w:val="auto"/>
              </w:rPr>
            </w:pPr>
            <w:r>
              <w:rPr>
                <w:rFonts w:ascii="Courier New" w:cs="Courier New" w:eastAsia="Courier New" w:hAnsi="Courier New"/>
                <w:sz w:val="16"/>
                <w:szCs w:val="16"/>
                <w:color w:val="auto"/>
              </w:rPr>
              <w:t>Schedule of Assets Held for Investment Purposes as of December 31, 2003</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w:t>
            </w:r>
          </w:p>
        </w:tc>
      </w:tr>
      <w:tr>
        <w:trPr>
          <w:trHeight w:val="546"/>
        </w:trPr>
        <w:tc>
          <w:tcPr>
            <w:tcW w:w="10300" w:type="dxa"/>
            <w:vAlign w:val="bottom"/>
          </w:tcPr>
          <w:p>
            <w:pPr>
              <w:spacing w:after="0"/>
              <w:rPr>
                <w:sz w:val="20"/>
                <w:szCs w:val="20"/>
                <w:color w:val="auto"/>
              </w:rPr>
            </w:pPr>
            <w:r>
              <w:rPr>
                <w:rFonts w:ascii="Courier New" w:cs="Courier New" w:eastAsia="Courier New" w:hAnsi="Courier New"/>
                <w:sz w:val="16"/>
                <w:szCs w:val="16"/>
                <w:color w:val="auto"/>
              </w:rPr>
              <w:t>CONSENT OF INDEPENDENT REGISTERED PUBLIC ACCOUNTING FIRM</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w:t>
            </w:r>
          </w:p>
        </w:tc>
      </w:tr>
      <w:tr>
        <w:trPr>
          <w:trHeight w:val="546"/>
        </w:trPr>
        <w:tc>
          <w:tcPr>
            <w:tcW w:w="10300" w:type="dxa"/>
            <w:vAlign w:val="bottom"/>
          </w:tcPr>
          <w:p>
            <w:pPr>
              <w:spacing w:after="0"/>
              <w:rPr>
                <w:sz w:val="20"/>
                <w:szCs w:val="20"/>
                <w:color w:val="auto"/>
              </w:rPr>
            </w:pPr>
            <w:r>
              <w:rPr>
                <w:rFonts w:ascii="Courier New" w:cs="Courier New" w:eastAsia="Courier New" w:hAnsi="Courier New"/>
                <w:sz w:val="16"/>
                <w:szCs w:val="16"/>
                <w:color w:val="auto"/>
              </w:rPr>
              <w:t>SIGNATURES</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w:t>
            </w:r>
          </w:p>
        </w:tc>
      </w:tr>
    </w:tbl>
    <w:p>
      <w:pPr>
        <w:sectPr>
          <w:pgSz w:w="11900" w:h="16838" w:orient="portrait"/>
          <w:cols w:equalWidth="0" w:num="1">
            <w:col w:w="11340"/>
          </w:cols>
          <w:pgMar w:left="240" w:top="1387" w:right="319" w:bottom="1440" w:gutter="0" w:footer="0" w:header="0"/>
        </w:sectPr>
      </w:pPr>
    </w:p>
    <w:bookmarkStart w:id="2" w:name="page3"/>
    <w:bookmarkEnd w:id="2"/>
    <w:p>
      <w:pPr>
        <w:ind w:left="1220"/>
        <w:spacing w:after="0"/>
        <w:rPr>
          <w:sz w:val="20"/>
          <w:szCs w:val="20"/>
          <w:color w:val="auto"/>
        </w:rPr>
      </w:pPr>
      <w:r>
        <w:rPr>
          <w:rFonts w:ascii="Courier New" w:cs="Courier New" w:eastAsia="Courier New" w:hAnsi="Courier New"/>
          <w:sz w:val="16"/>
          <w:szCs w:val="16"/>
          <w:color w:val="auto"/>
        </w:rPr>
        <w:t>Report of Independent Registered Public Accounting Firm</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Administrator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Comcast-Spectacor 401(k) Plan</w:t>
      </w:r>
    </w:p>
    <w:p>
      <w:pPr>
        <w:spacing w:after="0" w:line="368" w:lineRule="exact"/>
        <w:rPr>
          <w:sz w:val="20"/>
          <w:szCs w:val="20"/>
          <w:color w:val="auto"/>
        </w:rPr>
      </w:pPr>
    </w:p>
    <w:p>
      <w:pPr>
        <w:jc w:val="both"/>
        <w:ind w:right="2659" w:firstLine="851"/>
        <w:spacing w:after="0" w:line="239" w:lineRule="auto"/>
        <w:rPr>
          <w:sz w:val="20"/>
          <w:szCs w:val="20"/>
          <w:color w:val="auto"/>
        </w:rPr>
      </w:pPr>
      <w:r>
        <w:rPr>
          <w:rFonts w:ascii="Courier New" w:cs="Courier New" w:eastAsia="Courier New" w:hAnsi="Courier New"/>
          <w:sz w:val="16"/>
          <w:szCs w:val="16"/>
          <w:color w:val="auto"/>
        </w:rPr>
        <w:t>We have audited the accompanying statement of net assets available for benefits of the Comcast-Spectacor 401(k) Plan as of December 31, 2003 and 2002, the related statement of changes in net assets available for benefits for the year ended December 31, 2003 and the supplemental schedule of assets held for investment purposes as of December 31, 2003. These financial statements are the responsibility of the Plan's management.</w:t>
      </w:r>
    </w:p>
    <w:p>
      <w:pPr>
        <w:spacing w:after="0" w:line="190" w:lineRule="exact"/>
        <w:rPr>
          <w:sz w:val="20"/>
          <w:szCs w:val="20"/>
          <w:color w:val="auto"/>
        </w:rPr>
      </w:pPr>
    </w:p>
    <w:p>
      <w:pPr>
        <w:jc w:val="both"/>
        <w:ind w:right="2659" w:firstLine="851"/>
        <w:spacing w:after="0"/>
        <w:rPr>
          <w:sz w:val="20"/>
          <w:szCs w:val="20"/>
          <w:color w:val="auto"/>
        </w:rPr>
      </w:pPr>
      <w:r>
        <w:rPr>
          <w:rFonts w:ascii="Courier New" w:cs="Courier New" w:eastAsia="Courier New" w:hAnsi="Courier New"/>
          <w:sz w:val="16"/>
          <w:szCs w:val="16"/>
          <w:color w:val="auto"/>
        </w:rPr>
        <w:t>We conducted our audit of the financial statements as of and for the year ended December 31, 2003,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88" w:lineRule="exact"/>
        <w:rPr>
          <w:sz w:val="20"/>
          <w:szCs w:val="20"/>
          <w:color w:val="auto"/>
        </w:rPr>
      </w:pPr>
    </w:p>
    <w:p>
      <w:pPr>
        <w:jc w:val="both"/>
        <w:ind w:right="2659" w:firstLine="851"/>
        <w:spacing w:after="0" w:line="239"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net assets available for benefits of the Plan as of December 31, 2003 and 2002, and the changes in net assets available for benefits for the year ended December 31, 2003, in conformity with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Grant Thornton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11, 2004</w:t>
      </w:r>
    </w:p>
    <w:p>
      <w:pPr>
        <w:spacing w:after="0" w:line="200" w:lineRule="exact"/>
        <w:rPr>
          <w:sz w:val="20"/>
          <w:szCs w:val="20"/>
          <w:color w:val="auto"/>
        </w:rPr>
      </w:pPr>
    </w:p>
    <w:p>
      <w:pPr>
        <w:spacing w:after="0" w:line="34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387" w:right="1440" w:bottom="1440" w:gutter="0" w:footer="0" w:header="0"/>
        </w:sectPr>
      </w:pPr>
    </w:p>
    <w:bookmarkStart w:id="3" w:name="page4"/>
    <w:bookmarkEnd w:id="3"/>
    <w:p>
      <w:pPr>
        <w:ind w:left="2460"/>
        <w:spacing w:after="0"/>
        <w:rPr>
          <w:sz w:val="20"/>
          <w:szCs w:val="20"/>
          <w:color w:val="auto"/>
        </w:rPr>
      </w:pPr>
      <w:r>
        <w:rPr>
          <w:rFonts w:ascii="Courier New" w:cs="Courier New" w:eastAsia="Courier New" w:hAnsi="Courier New"/>
          <w:sz w:val="16"/>
          <w:szCs w:val="16"/>
          <w:color w:val="auto"/>
        </w:rPr>
        <w:t>Comcast-Spectacor 401(k) Plan</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STATEMENT OF NET ASSETS AVAILABLE FOR BENEFITS</w:t>
      </w:r>
    </w:p>
    <w:p>
      <w:pPr>
        <w:spacing w:after="0" w:line="183"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December 31,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40" w:type="dxa"/>
            <w:vAlign w:val="bottom"/>
          </w:tcPr>
          <w:p>
            <w:pPr>
              <w:spacing w:after="0"/>
              <w:rPr>
                <w:sz w:val="15"/>
                <w:szCs w:val="15"/>
                <w:color w:val="auto"/>
              </w:rPr>
            </w:pPr>
          </w:p>
        </w:tc>
        <w:tc>
          <w:tcPr>
            <w:tcW w:w="190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2003</w:t>
            </w:r>
          </w:p>
        </w:tc>
        <w:tc>
          <w:tcPr>
            <w:tcW w:w="14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3540" w:type="dxa"/>
            <w:vAlign w:val="bottom"/>
          </w:tcPr>
          <w:p>
            <w:pPr>
              <w:spacing w:after="0"/>
              <w:rPr>
                <w:sz w:val="15"/>
                <w:szCs w:val="15"/>
                <w:color w:val="auto"/>
              </w:rPr>
            </w:pPr>
          </w:p>
        </w:tc>
        <w:tc>
          <w:tcPr>
            <w:tcW w:w="19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5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9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64"/>
        </w:trPr>
        <w:tc>
          <w:tcPr>
            <w:tcW w:w="3540" w:type="dxa"/>
            <w:vAlign w:val="bottom"/>
          </w:tcPr>
          <w:p>
            <w:pPr>
              <w:spacing w:after="0"/>
              <w:rPr>
                <w:sz w:val="20"/>
                <w:szCs w:val="20"/>
                <w:color w:val="auto"/>
              </w:rPr>
            </w:pPr>
            <w:r>
              <w:rPr>
                <w:rFonts w:ascii="Courier New" w:cs="Courier New" w:eastAsia="Courier New" w:hAnsi="Courier New"/>
                <w:sz w:val="16"/>
                <w:szCs w:val="16"/>
                <w:color w:val="auto"/>
              </w:rPr>
              <w:t>Investments at fair value</w:t>
            </w:r>
          </w:p>
        </w:tc>
        <w:tc>
          <w:tcPr>
            <w:tcW w:w="19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$16,037,803</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$10,818,891</w:t>
            </w:r>
          </w:p>
        </w:tc>
      </w:tr>
      <w:tr>
        <w:trPr>
          <w:trHeight w:val="182"/>
        </w:trPr>
        <w:tc>
          <w:tcPr>
            <w:tcW w:w="3540" w:type="dxa"/>
            <w:vAlign w:val="bottom"/>
          </w:tcPr>
          <w:p>
            <w:pPr>
              <w:spacing w:after="0"/>
              <w:rPr>
                <w:sz w:val="20"/>
                <w:szCs w:val="20"/>
                <w:color w:val="auto"/>
              </w:rPr>
            </w:pPr>
            <w:r>
              <w:rPr>
                <w:rFonts w:ascii="Courier New" w:cs="Courier New" w:eastAsia="Courier New" w:hAnsi="Courier New"/>
                <w:sz w:val="16"/>
                <w:szCs w:val="16"/>
                <w:color w:val="auto"/>
              </w:rPr>
              <w:t>Participant loans</w:t>
            </w:r>
          </w:p>
        </w:tc>
        <w:tc>
          <w:tcPr>
            <w:tcW w:w="19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284,370</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274,713</w:t>
            </w:r>
          </w:p>
        </w:tc>
      </w:tr>
      <w:tr>
        <w:trPr>
          <w:trHeight w:val="182"/>
        </w:trPr>
        <w:tc>
          <w:tcPr>
            <w:tcW w:w="3540" w:type="dxa"/>
            <w:vAlign w:val="bottom"/>
          </w:tcPr>
          <w:p>
            <w:pPr>
              <w:spacing w:after="0"/>
              <w:rPr>
                <w:sz w:val="20"/>
                <w:szCs w:val="20"/>
                <w:color w:val="auto"/>
              </w:rPr>
            </w:pPr>
            <w:r>
              <w:rPr>
                <w:rFonts w:ascii="Courier New" w:cs="Courier New" w:eastAsia="Courier New" w:hAnsi="Courier New"/>
                <w:sz w:val="16"/>
                <w:szCs w:val="16"/>
                <w:color w:val="auto"/>
              </w:rPr>
              <w:t>Contribution receivable</w:t>
            </w:r>
          </w:p>
        </w:tc>
        <w:tc>
          <w:tcPr>
            <w:tcW w:w="19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212,865</w:t>
            </w:r>
          </w:p>
        </w:tc>
      </w:tr>
      <w:tr>
        <w:trPr>
          <w:trHeight w:val="182"/>
        </w:trPr>
        <w:tc>
          <w:tcPr>
            <w:tcW w:w="3540" w:type="dxa"/>
            <w:vAlign w:val="bottom"/>
          </w:tcPr>
          <w:p>
            <w:pPr>
              <w:spacing w:after="0"/>
              <w:rPr>
                <w:sz w:val="15"/>
                <w:szCs w:val="15"/>
                <w:color w:val="auto"/>
              </w:rPr>
            </w:pPr>
          </w:p>
        </w:tc>
        <w:tc>
          <w:tcPr>
            <w:tcW w:w="19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354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w:t>
            </w:r>
          </w:p>
        </w:tc>
        <w:tc>
          <w:tcPr>
            <w:tcW w:w="19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$16,322,173</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$11,306,469</w:t>
            </w:r>
          </w:p>
        </w:tc>
      </w:tr>
      <w:tr>
        <w:trPr>
          <w:trHeight w:val="182"/>
        </w:trPr>
        <w:tc>
          <w:tcPr>
            <w:tcW w:w="3540" w:type="dxa"/>
            <w:vAlign w:val="bottom"/>
          </w:tcPr>
          <w:p>
            <w:pPr>
              <w:spacing w:after="0"/>
              <w:rPr>
                <w:sz w:val="15"/>
                <w:szCs w:val="15"/>
                <w:color w:val="auto"/>
              </w:rPr>
            </w:pPr>
          </w:p>
        </w:tc>
        <w:tc>
          <w:tcPr>
            <w:tcW w:w="190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023" w:right="1440" w:bottom="1440" w:gutter="0" w:footer="0" w:header="0"/>
        </w:sectPr>
      </w:pPr>
    </w:p>
    <w:bookmarkStart w:id="4" w:name="page5"/>
    <w:bookmarkEnd w:id="4"/>
    <w:p>
      <w:pPr>
        <w:jc w:val="center"/>
        <w:ind w:right="2559"/>
        <w:spacing w:after="0"/>
        <w:rPr>
          <w:sz w:val="20"/>
          <w:szCs w:val="20"/>
          <w:color w:val="auto"/>
        </w:rPr>
      </w:pPr>
      <w:r>
        <w:rPr>
          <w:rFonts w:ascii="Courier New" w:cs="Courier New" w:eastAsia="Courier New" w:hAnsi="Courier New"/>
          <w:sz w:val="16"/>
          <w:szCs w:val="16"/>
          <w:color w:val="auto"/>
        </w:rPr>
        <w:t>Comcast-Spectacor 401(k) Plan</w:t>
      </w:r>
    </w:p>
    <w:p>
      <w:pPr>
        <w:spacing w:after="0" w:line="183"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6"/>
          <w:szCs w:val="16"/>
          <w:color w:val="auto"/>
        </w:rPr>
        <w:t>STATEMENT OF CHANGES IN NET ASSETS AVAILABLE FOR BENEFITS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00" w:type="dxa"/>
            <w:vAlign w:val="bottom"/>
          </w:tcPr>
          <w:p>
            <w:pPr>
              <w:ind w:left="2740"/>
              <w:spacing w:after="0"/>
              <w:rPr>
                <w:sz w:val="20"/>
                <w:szCs w:val="20"/>
                <w:color w:val="auto"/>
              </w:rPr>
            </w:pPr>
            <w:r>
              <w:rPr>
                <w:rFonts w:ascii="Courier New" w:cs="Courier New" w:eastAsia="Courier New" w:hAnsi="Courier New"/>
                <w:sz w:val="16"/>
                <w:szCs w:val="16"/>
                <w:color w:val="auto"/>
              </w:rPr>
              <w:t>Year ended December 31,</w:t>
            </w:r>
          </w:p>
        </w:tc>
        <w:tc>
          <w:tcPr>
            <w:tcW w:w="1140" w:type="dxa"/>
            <w:vAlign w:val="bottom"/>
          </w:tcPr>
          <w:p>
            <w:pPr>
              <w:spacing w:after="0"/>
              <w:rPr>
                <w:sz w:val="15"/>
                <w:szCs w:val="15"/>
                <w:color w:val="auto"/>
              </w:rPr>
            </w:pPr>
          </w:p>
        </w:tc>
      </w:tr>
      <w:tr>
        <w:trPr>
          <w:trHeight w:val="909"/>
        </w:trPr>
        <w:tc>
          <w:tcPr>
            <w:tcW w:w="5000" w:type="dxa"/>
            <w:vAlign w:val="bottom"/>
          </w:tcPr>
          <w:p>
            <w:pPr>
              <w:spacing w:after="0"/>
              <w:rPr>
                <w:sz w:val="24"/>
                <w:szCs w:val="24"/>
                <w:color w:val="auto"/>
              </w:rPr>
            </w:pPr>
          </w:p>
        </w:tc>
        <w:tc>
          <w:tcPr>
            <w:tcW w:w="11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2003</w:t>
            </w:r>
          </w:p>
        </w:tc>
      </w:tr>
      <w:tr>
        <w:trPr>
          <w:trHeight w:val="182"/>
        </w:trPr>
        <w:tc>
          <w:tcPr>
            <w:tcW w:w="50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000" w:type="dxa"/>
            <w:vAlign w:val="bottom"/>
          </w:tcPr>
          <w:p>
            <w:pPr>
              <w:spacing w:after="0"/>
              <w:rPr>
                <w:sz w:val="20"/>
                <w:szCs w:val="20"/>
                <w:color w:val="auto"/>
              </w:rPr>
            </w:pPr>
            <w:r>
              <w:rPr>
                <w:rFonts w:ascii="Courier New" w:cs="Courier New" w:eastAsia="Courier New" w:hAnsi="Courier New"/>
                <w:sz w:val="16"/>
                <w:szCs w:val="16"/>
                <w:color w:val="auto"/>
              </w:rPr>
              <w:t>Additions to net assets attributed to:</w:t>
            </w:r>
          </w:p>
        </w:tc>
        <w:tc>
          <w:tcPr>
            <w:tcW w:w="1140" w:type="dxa"/>
            <w:vAlign w:val="bottom"/>
          </w:tcPr>
          <w:p>
            <w:pPr>
              <w:spacing w:after="0"/>
              <w:rPr>
                <w:sz w:val="24"/>
                <w:szCs w:val="24"/>
                <w:color w:val="auto"/>
              </w:rPr>
            </w:pPr>
          </w:p>
        </w:tc>
      </w:tr>
      <w:tr>
        <w:trPr>
          <w:trHeight w:val="182"/>
        </w:trPr>
        <w:tc>
          <w:tcPr>
            <w:tcW w:w="5000" w:type="dxa"/>
            <w:vAlign w:val="bottom"/>
          </w:tcPr>
          <w:p>
            <w:pPr>
              <w:ind w:left="100"/>
              <w:spacing w:after="0"/>
              <w:rPr>
                <w:sz w:val="20"/>
                <w:szCs w:val="20"/>
                <w:color w:val="auto"/>
              </w:rPr>
            </w:pPr>
            <w:r>
              <w:rPr>
                <w:rFonts w:ascii="Courier New" w:cs="Courier New" w:eastAsia="Courier New" w:hAnsi="Courier New"/>
                <w:sz w:val="16"/>
                <w:szCs w:val="16"/>
                <w:color w:val="auto"/>
              </w:rPr>
              <w:t>Investment income</w:t>
            </w:r>
          </w:p>
        </w:tc>
        <w:tc>
          <w:tcPr>
            <w:tcW w:w="1140" w:type="dxa"/>
            <w:vAlign w:val="bottom"/>
          </w:tcPr>
          <w:p>
            <w:pPr>
              <w:spacing w:after="0"/>
              <w:rPr>
                <w:sz w:val="15"/>
                <w:szCs w:val="15"/>
                <w:color w:val="auto"/>
              </w:rPr>
            </w:pPr>
          </w:p>
        </w:tc>
      </w:tr>
      <w:tr>
        <w:trPr>
          <w:trHeight w:val="182"/>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Net appreciation in fair value of investments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$ 2,225,695</w:t>
            </w:r>
          </w:p>
        </w:tc>
      </w:tr>
      <w:tr>
        <w:trPr>
          <w:trHeight w:val="182"/>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Dividends and interest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230,171</w:t>
            </w:r>
          </w:p>
        </w:tc>
      </w:tr>
      <w:tr>
        <w:trPr>
          <w:trHeight w:val="182"/>
        </w:trPr>
        <w:tc>
          <w:tcPr>
            <w:tcW w:w="50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0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2,455,866</w:t>
            </w:r>
          </w:p>
        </w:tc>
      </w:tr>
      <w:tr>
        <w:trPr>
          <w:trHeight w:val="364"/>
        </w:trPr>
        <w:tc>
          <w:tcPr>
            <w:tcW w:w="5000" w:type="dxa"/>
            <w:vAlign w:val="bottom"/>
          </w:tcPr>
          <w:p>
            <w:pPr>
              <w:ind w:left="100"/>
              <w:spacing w:after="0"/>
              <w:rPr>
                <w:sz w:val="20"/>
                <w:szCs w:val="20"/>
                <w:color w:val="auto"/>
              </w:rPr>
            </w:pPr>
            <w:r>
              <w:rPr>
                <w:rFonts w:ascii="Courier New" w:cs="Courier New" w:eastAsia="Courier New" w:hAnsi="Courier New"/>
                <w:sz w:val="16"/>
                <w:szCs w:val="16"/>
                <w:color w:val="auto"/>
              </w:rPr>
              <w:t>Contributions</w:t>
            </w:r>
          </w:p>
        </w:tc>
        <w:tc>
          <w:tcPr>
            <w:tcW w:w="1140" w:type="dxa"/>
            <w:vAlign w:val="bottom"/>
          </w:tcPr>
          <w:p>
            <w:pPr>
              <w:spacing w:after="0"/>
              <w:rPr>
                <w:sz w:val="24"/>
                <w:szCs w:val="24"/>
                <w:color w:val="auto"/>
              </w:rPr>
            </w:pPr>
          </w:p>
        </w:tc>
      </w:tr>
      <w:tr>
        <w:trPr>
          <w:trHeight w:val="182"/>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Participants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2,048,655</w:t>
            </w:r>
          </w:p>
        </w:tc>
      </w:tr>
      <w:tr>
        <w:trPr>
          <w:trHeight w:val="182"/>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Employer</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1,264,723</w:t>
            </w:r>
          </w:p>
        </w:tc>
      </w:tr>
      <w:tr>
        <w:trPr>
          <w:trHeight w:val="182"/>
        </w:trPr>
        <w:tc>
          <w:tcPr>
            <w:tcW w:w="5000" w:type="dxa"/>
            <w:vAlign w:val="bottom"/>
          </w:tcPr>
          <w:p>
            <w:pPr>
              <w:ind w:left="180"/>
              <w:spacing w:after="0"/>
              <w:rPr>
                <w:sz w:val="20"/>
                <w:szCs w:val="20"/>
                <w:color w:val="auto"/>
              </w:rPr>
            </w:pPr>
            <w:r>
              <w:rPr>
                <w:rFonts w:ascii="Courier New" w:cs="Courier New" w:eastAsia="Courier New" w:hAnsi="Courier New"/>
                <w:sz w:val="16"/>
                <w:szCs w:val="16"/>
                <w:color w:val="auto"/>
              </w:rPr>
              <w:t>Rollover</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65,966</w:t>
            </w:r>
          </w:p>
        </w:tc>
      </w:tr>
      <w:tr>
        <w:trPr>
          <w:trHeight w:val="182"/>
        </w:trPr>
        <w:tc>
          <w:tcPr>
            <w:tcW w:w="50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3,379,344</w:t>
            </w:r>
          </w:p>
        </w:tc>
      </w:tr>
      <w:tr>
        <w:trPr>
          <w:trHeight w:val="364"/>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Total additions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5,835,210</w:t>
            </w:r>
          </w:p>
        </w:tc>
      </w:tr>
      <w:tr>
        <w:trPr>
          <w:trHeight w:val="182"/>
        </w:trPr>
        <w:tc>
          <w:tcPr>
            <w:tcW w:w="50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6"/>
        </w:trPr>
        <w:tc>
          <w:tcPr>
            <w:tcW w:w="5000" w:type="dxa"/>
            <w:vAlign w:val="bottom"/>
          </w:tcPr>
          <w:p>
            <w:pPr>
              <w:spacing w:after="0"/>
              <w:rPr>
                <w:sz w:val="20"/>
                <w:szCs w:val="20"/>
                <w:color w:val="auto"/>
              </w:rPr>
            </w:pPr>
            <w:r>
              <w:rPr>
                <w:rFonts w:ascii="Courier New" w:cs="Courier New" w:eastAsia="Courier New" w:hAnsi="Courier New"/>
                <w:sz w:val="16"/>
                <w:szCs w:val="16"/>
                <w:color w:val="auto"/>
              </w:rPr>
              <w:t>Deductions from net assets attributed to:</w:t>
            </w:r>
          </w:p>
        </w:tc>
        <w:tc>
          <w:tcPr>
            <w:tcW w:w="1140" w:type="dxa"/>
            <w:vAlign w:val="bottom"/>
          </w:tcPr>
          <w:p>
            <w:pPr>
              <w:spacing w:after="0"/>
              <w:rPr>
                <w:sz w:val="24"/>
                <w:szCs w:val="24"/>
                <w:color w:val="auto"/>
              </w:rPr>
            </w:pPr>
          </w:p>
        </w:tc>
      </w:tr>
      <w:tr>
        <w:trPr>
          <w:trHeight w:val="182"/>
        </w:trPr>
        <w:tc>
          <w:tcPr>
            <w:tcW w:w="5000" w:type="dxa"/>
            <w:vAlign w:val="bottom"/>
          </w:tcPr>
          <w:p>
            <w:pPr>
              <w:ind w:left="100"/>
              <w:spacing w:after="0"/>
              <w:rPr>
                <w:sz w:val="20"/>
                <w:szCs w:val="20"/>
                <w:color w:val="auto"/>
              </w:rPr>
            </w:pPr>
            <w:r>
              <w:rPr>
                <w:rFonts w:ascii="Courier New" w:cs="Courier New" w:eastAsia="Courier New" w:hAnsi="Courier New"/>
                <w:sz w:val="16"/>
                <w:szCs w:val="16"/>
                <w:color w:val="auto"/>
              </w:rPr>
              <w:t>Benefits paid to participants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810,376</w:t>
            </w:r>
          </w:p>
        </w:tc>
      </w:tr>
      <w:tr>
        <w:trPr>
          <w:trHeight w:val="182"/>
        </w:trPr>
        <w:tc>
          <w:tcPr>
            <w:tcW w:w="5000" w:type="dxa"/>
            <w:vAlign w:val="bottom"/>
          </w:tcPr>
          <w:p>
            <w:pPr>
              <w:ind w:left="100"/>
              <w:spacing w:after="0"/>
              <w:rPr>
                <w:sz w:val="20"/>
                <w:szCs w:val="20"/>
                <w:color w:val="auto"/>
              </w:rPr>
            </w:pPr>
            <w:r>
              <w:rPr>
                <w:rFonts w:ascii="Courier New" w:cs="Courier New" w:eastAsia="Courier New" w:hAnsi="Courier New"/>
                <w:sz w:val="16"/>
                <w:szCs w:val="16"/>
                <w:color w:val="auto"/>
              </w:rPr>
              <w:t>Administrative expenses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9,130</w:t>
            </w:r>
          </w:p>
        </w:tc>
      </w:tr>
      <w:tr>
        <w:trPr>
          <w:trHeight w:val="182"/>
        </w:trPr>
        <w:tc>
          <w:tcPr>
            <w:tcW w:w="50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Total deductions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819,506</w:t>
            </w:r>
          </w:p>
        </w:tc>
      </w:tr>
      <w:tr>
        <w:trPr>
          <w:trHeight w:val="182"/>
        </w:trPr>
        <w:tc>
          <w:tcPr>
            <w:tcW w:w="50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NET INCREASE</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5,015,704</w:t>
            </w:r>
          </w:p>
        </w:tc>
      </w:tr>
      <w:tr>
        <w:trPr>
          <w:trHeight w:val="364"/>
        </w:trPr>
        <w:tc>
          <w:tcPr>
            <w:tcW w:w="500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w:t>
            </w:r>
          </w:p>
        </w:tc>
        <w:tc>
          <w:tcPr>
            <w:tcW w:w="1140" w:type="dxa"/>
            <w:vAlign w:val="bottom"/>
          </w:tcPr>
          <w:p>
            <w:pPr>
              <w:spacing w:after="0"/>
              <w:rPr>
                <w:sz w:val="24"/>
                <w:szCs w:val="24"/>
                <w:color w:val="auto"/>
              </w:rPr>
            </w:pPr>
          </w:p>
        </w:tc>
      </w:tr>
      <w:tr>
        <w:trPr>
          <w:trHeight w:val="182"/>
        </w:trPr>
        <w:tc>
          <w:tcPr>
            <w:tcW w:w="5000" w:type="dxa"/>
            <w:vAlign w:val="bottom"/>
          </w:tcPr>
          <w:p>
            <w:pPr>
              <w:ind w:left="100"/>
              <w:spacing w:after="0"/>
              <w:rPr>
                <w:sz w:val="20"/>
                <w:szCs w:val="20"/>
                <w:color w:val="auto"/>
              </w:rPr>
            </w:pPr>
            <w:r>
              <w:rPr>
                <w:rFonts w:ascii="Courier New" w:cs="Courier New" w:eastAsia="Courier New" w:hAnsi="Courier New"/>
                <w:sz w:val="16"/>
                <w:szCs w:val="16"/>
                <w:color w:val="auto"/>
              </w:rPr>
              <w:t>Beginning of year</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11,306,469</w:t>
            </w:r>
          </w:p>
        </w:tc>
      </w:tr>
      <w:tr>
        <w:trPr>
          <w:trHeight w:val="182"/>
        </w:trPr>
        <w:tc>
          <w:tcPr>
            <w:tcW w:w="50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5000" w:type="dxa"/>
            <w:vAlign w:val="bottom"/>
          </w:tcPr>
          <w:p>
            <w:pPr>
              <w:ind w:left="100"/>
              <w:spacing w:after="0"/>
              <w:rPr>
                <w:sz w:val="20"/>
                <w:szCs w:val="20"/>
                <w:color w:val="auto"/>
              </w:rPr>
            </w:pPr>
            <w:r>
              <w:rPr>
                <w:rFonts w:ascii="Courier New" w:cs="Courier New" w:eastAsia="Courier New" w:hAnsi="Courier New"/>
                <w:sz w:val="16"/>
                <w:szCs w:val="16"/>
                <w:color w:val="auto"/>
              </w:rPr>
              <w:t>End of year</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$16,322,173</w:t>
            </w:r>
          </w:p>
        </w:tc>
      </w:tr>
      <w:tr>
        <w:trPr>
          <w:trHeight w:val="182"/>
        </w:trPr>
        <w:tc>
          <w:tcPr>
            <w:tcW w:w="50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200" w:lineRule="exact"/>
        <w:rPr>
          <w:sz w:val="20"/>
          <w:szCs w:val="20"/>
          <w:color w:val="auto"/>
        </w:rPr>
      </w:pPr>
    </w:p>
    <w:p>
      <w:pPr>
        <w:spacing w:after="0" w:line="34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41" w:right="1440" w:bottom="1440" w:gutter="0" w:footer="0" w:header="0"/>
        </w:sectPr>
      </w:pPr>
    </w:p>
    <w:bookmarkStart w:id="5" w:name="page6"/>
    <w:bookmarkEnd w:id="5"/>
    <w:p>
      <w:pPr>
        <w:ind w:left="2460"/>
        <w:spacing w:after="0"/>
        <w:rPr>
          <w:sz w:val="20"/>
          <w:szCs w:val="20"/>
          <w:color w:val="auto"/>
        </w:rPr>
      </w:pPr>
      <w:r>
        <w:rPr>
          <w:rFonts w:ascii="Courier New" w:cs="Courier New" w:eastAsia="Courier New" w:hAnsi="Courier New"/>
          <w:sz w:val="16"/>
          <w:szCs w:val="16"/>
          <w:color w:val="auto"/>
        </w:rPr>
        <w:t>Comcast-Spectacor 401(k) Plan</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NOTES TO FINANCIAL STATEMENTS</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December 31, 2003 and 2002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A - DESCRIPTION OF THE PLAN</w:t>
      </w:r>
    </w:p>
    <w:p>
      <w:pPr>
        <w:spacing w:after="0" w:line="186" w:lineRule="exact"/>
        <w:rPr>
          <w:sz w:val="20"/>
          <w:szCs w:val="20"/>
          <w:color w:val="auto"/>
        </w:rPr>
      </w:pPr>
    </w:p>
    <w:p>
      <w:pPr>
        <w:jc w:val="both"/>
        <w:ind w:left="380" w:right="2659"/>
        <w:spacing w:after="0" w:line="262" w:lineRule="auto"/>
        <w:rPr>
          <w:sz w:val="20"/>
          <w:szCs w:val="20"/>
          <w:color w:val="auto"/>
        </w:rPr>
      </w:pPr>
      <w:r>
        <w:rPr>
          <w:rFonts w:ascii="Courier New" w:cs="Courier New" w:eastAsia="Courier New" w:hAnsi="Courier New"/>
          <w:sz w:val="15"/>
          <w:szCs w:val="15"/>
          <w:color w:val="auto"/>
        </w:rPr>
        <w:t>The following description of the Comcast-Spectacor 401(k) Plan (the Plan) provides only general information. Participants should refer to the official Plan document for a complete description of the Plan's provisions.</w:t>
      </w:r>
    </w:p>
    <w:p>
      <w:pPr>
        <w:spacing w:after="0" w:line="167" w:lineRule="exact"/>
        <w:rPr>
          <w:sz w:val="20"/>
          <w:szCs w:val="20"/>
          <w:color w:val="auto"/>
        </w:rPr>
      </w:pPr>
    </w:p>
    <w:p>
      <w:pPr>
        <w:ind w:left="760" w:hanging="385"/>
        <w:spacing w:after="0"/>
        <w:tabs>
          <w:tab w:leader="none" w:pos="7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w:t>
      </w: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both"/>
        <w:ind w:left="380" w:right="2659"/>
        <w:spacing w:after="0"/>
        <w:rPr>
          <w:sz w:val="20"/>
          <w:szCs w:val="20"/>
          <w:color w:val="auto"/>
        </w:rPr>
      </w:pPr>
      <w:r>
        <w:rPr>
          <w:rFonts w:ascii="Courier New" w:cs="Courier New" w:eastAsia="Courier New" w:hAnsi="Courier New"/>
          <w:sz w:val="16"/>
          <w:szCs w:val="16"/>
          <w:color w:val="auto"/>
        </w:rPr>
        <w:t>The effective date of the Plan is January 1, 1992. The Plan is a defined contribution plan and is subject to the provisions of the Employee Retirement Income Security Act of 1974. The Plan covers "eligible employees," as defined in the Plan, who have completed one year of eligibility service (as defined in the Plan) and have attained age 21. Effective January 1, 1994, a 401(k) feature was added to the Plan and the name was changed from the Spectacor Retirement Plan to the Spectacor Retirement and Savings Plan. Effective January 1, 1997, the name was changed to the Comcast-Spectacor 401(k) Plan. The following entities participate in the Plan, referred to collectively as "the Company":</w:t>
      </w:r>
    </w:p>
    <w:p>
      <w:pPr>
        <w:spacing w:after="0" w:line="184" w:lineRule="exact"/>
        <w:rPr>
          <w:sz w:val="20"/>
          <w:szCs w:val="20"/>
          <w:color w:val="auto"/>
        </w:rPr>
      </w:pPr>
    </w:p>
    <w:p>
      <w:pPr>
        <w:ind w:left="940" w:hanging="659"/>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Comcast-Spectacor Limited Partnership (Plan Sponsor)</w:t>
      </w:r>
    </w:p>
    <w:p>
      <w:pPr>
        <w:ind w:left="940" w:hanging="659"/>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Comcast-Spectacor Limited Partnership Baysox Club, LLC</w:t>
      </w:r>
    </w:p>
    <w:p>
      <w:pPr>
        <w:ind w:left="940" w:hanging="659"/>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Comcast-Spectacor Limited Partnership Keys Club, LLC</w:t>
      </w:r>
    </w:p>
    <w:p>
      <w:pPr>
        <w:ind w:left="940" w:hanging="659"/>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Comcast-Spectacor Limited Partnership Shorebirds Club, LLC</w:t>
      </w:r>
    </w:p>
    <w:p>
      <w:pPr>
        <w:ind w:left="940" w:hanging="659"/>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Spectrum Arena Limited Partnership</w:t>
      </w:r>
    </w:p>
    <w:p>
      <w:pPr>
        <w:ind w:left="940" w:hanging="659"/>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Philadelphia Flyers Limited Partnership</w:t>
      </w:r>
    </w:p>
    <w:p>
      <w:pPr>
        <w:ind w:left="940" w:hanging="659"/>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Philadelphia 76ers Limited Partnership</w:t>
      </w:r>
    </w:p>
    <w:p>
      <w:pPr>
        <w:ind w:left="940" w:hanging="659"/>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Philadelphia Phantoms Limited Partnership</w:t>
      </w:r>
    </w:p>
    <w:p>
      <w:pPr>
        <w:ind w:left="940" w:hanging="659"/>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Spectacor Foundation</w:t>
      </w:r>
    </w:p>
    <w:p>
      <w:pPr>
        <w:ind w:left="940" w:hanging="659"/>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Flyers Skate Zone Limited Partnership</w:t>
      </w:r>
    </w:p>
    <w:p>
      <w:pPr>
        <w:ind w:left="940" w:hanging="659"/>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Global Spectrum Limited Partnership</w:t>
      </w:r>
    </w:p>
    <w:p>
      <w:pPr>
        <w:ind w:left="940" w:hanging="659"/>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Spectacor, Inc.</w:t>
      </w:r>
    </w:p>
    <w:p>
      <w:pPr>
        <w:ind w:left="940" w:hanging="659"/>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Patron Solutions Limited Liability Partnership</w:t>
      </w:r>
    </w:p>
    <w:p>
      <w:pPr>
        <w:ind w:left="940" w:hanging="659"/>
        <w:spacing w:after="0"/>
        <w:tabs>
          <w:tab w:leader="none" w:pos="9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FPS Rinks Limited Partnership</w:t>
      </w:r>
    </w:p>
    <w:p>
      <w:pPr>
        <w:spacing w:after="0" w:line="368" w:lineRule="exact"/>
        <w:rPr>
          <w:sz w:val="20"/>
          <w:szCs w:val="20"/>
          <w:color w:val="auto"/>
        </w:rPr>
      </w:pPr>
    </w:p>
    <w:p>
      <w:pPr>
        <w:jc w:val="both"/>
        <w:ind w:left="380" w:right="2659"/>
        <w:spacing w:after="0" w:line="238" w:lineRule="auto"/>
        <w:rPr>
          <w:sz w:val="20"/>
          <w:szCs w:val="20"/>
          <w:color w:val="auto"/>
        </w:rPr>
      </w:pPr>
      <w:r>
        <w:rPr>
          <w:rFonts w:ascii="Courier New" w:cs="Courier New" w:eastAsia="Courier New" w:hAnsi="Courier New"/>
          <w:sz w:val="16"/>
          <w:szCs w:val="16"/>
          <w:color w:val="auto"/>
        </w:rPr>
        <w:t>Effective January 1, 2003, the Trustee and Record-keeper for the Plan was changed by the Plan Sponsor to Smith Barney Corporate Trust Company and Citi Street Associates, LLC, respectively.</w:t>
      </w:r>
    </w:p>
    <w:p>
      <w:pPr>
        <w:spacing w:after="0" w:line="184" w:lineRule="exact"/>
        <w:rPr>
          <w:sz w:val="20"/>
          <w:szCs w:val="20"/>
          <w:color w:val="auto"/>
        </w:rPr>
      </w:pPr>
    </w:p>
    <w:p>
      <w:pPr>
        <w:ind w:left="760" w:hanging="385"/>
        <w:spacing w:after="0"/>
        <w:tabs>
          <w:tab w:leader="none" w:pos="7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Contributions and Related Party Transactions</w:t>
      </w: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both"/>
        <w:ind w:left="380" w:right="2659"/>
        <w:spacing w:after="0"/>
        <w:rPr>
          <w:sz w:val="20"/>
          <w:szCs w:val="20"/>
          <w:color w:val="auto"/>
        </w:rPr>
      </w:pPr>
      <w:r>
        <w:rPr>
          <w:rFonts w:ascii="Courier New" w:cs="Courier New" w:eastAsia="Courier New" w:hAnsi="Courier New"/>
          <w:sz w:val="16"/>
          <w:szCs w:val="16"/>
          <w:color w:val="auto"/>
        </w:rPr>
        <w:t>Each participant may make a pretax contribution deferring not less than 1% or more than 100% of eligible compensation (as defined in the Plan agreement), subject to Internal Revenue Service (IRS) regulations. The Company contributed to the Plan an amount equal to 100% of the first 3% of eligible compensation contributed by the participants and 50% of the next 4% of eligible compensation contributed by the participants. Additionally, the Plan provides for discretionary matching contributions of up to 5% of eligible compensation contributed by a participant. The Plan also provides for discretionary profit sharing contributions.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(Continued)</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1205" w:right="1440" w:bottom="1440" w:gutter="0" w:footer="0" w:header="0"/>
        </w:sectPr>
      </w:pPr>
    </w:p>
    <w:bookmarkStart w:id="6" w:name="page7"/>
    <w:bookmarkEnd w:id="6"/>
    <w:p>
      <w:pPr>
        <w:jc w:val="center"/>
        <w:ind w:right="2559"/>
        <w:spacing w:after="0"/>
        <w:rPr>
          <w:sz w:val="20"/>
          <w:szCs w:val="20"/>
          <w:color w:val="auto"/>
        </w:rPr>
      </w:pPr>
      <w:r>
        <w:rPr>
          <w:rFonts w:ascii="Courier New" w:cs="Courier New" w:eastAsia="Courier New" w:hAnsi="Courier New"/>
          <w:sz w:val="16"/>
          <w:szCs w:val="16"/>
          <w:color w:val="auto"/>
        </w:rPr>
        <w:t>Comcast-Spectacor 401(k) Plan</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NOTES TO FINANCIAL STATEMENTS - CONTINUED</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December 31, 2003 and 2002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A - DESCRIPTION OF THE PLAN - Continued</w:t>
      </w:r>
    </w:p>
    <w:p>
      <w:pPr>
        <w:spacing w:after="0" w:line="183" w:lineRule="exact"/>
        <w:rPr>
          <w:sz w:val="20"/>
          <w:szCs w:val="20"/>
          <w:color w:val="auto"/>
        </w:rPr>
      </w:pPr>
    </w:p>
    <w:p>
      <w:pPr>
        <w:ind w:left="760" w:hanging="385"/>
        <w:spacing w:after="0"/>
        <w:tabs>
          <w:tab w:leader="none" w:pos="7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Accounts</w:t>
      </w: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both"/>
        <w:ind w:left="380" w:right="2659"/>
        <w:spacing w:after="0" w:line="239" w:lineRule="auto"/>
        <w:rPr>
          <w:sz w:val="20"/>
          <w:szCs w:val="20"/>
          <w:color w:val="auto"/>
        </w:rPr>
      </w:pPr>
      <w:r>
        <w:rPr>
          <w:rFonts w:ascii="Courier New" w:cs="Courier New" w:eastAsia="Courier New" w:hAnsi="Courier New"/>
          <w:sz w:val="16"/>
          <w:szCs w:val="16"/>
          <w:color w:val="auto"/>
        </w:rPr>
        <w:t>Each participant's account is credited with the participant's elective deferral contribution, an allocation of the Company's contribution, if any, and Plan earnings, net of expenses. Allocations of Company matching contributions are based on participant elective deferrals to the Plan. Allocations of profit sharing contributions are in proportion to total compensation. The benefit to which a participant is entitled is the benefit that can be provided from the participant's account.</w:t>
      </w:r>
    </w:p>
    <w:p>
      <w:pPr>
        <w:spacing w:after="0" w:line="188" w:lineRule="exact"/>
        <w:rPr>
          <w:sz w:val="20"/>
          <w:szCs w:val="20"/>
          <w:color w:val="auto"/>
        </w:rPr>
      </w:pPr>
    </w:p>
    <w:p>
      <w:pPr>
        <w:ind w:left="760" w:hanging="385"/>
        <w:spacing w:after="0"/>
        <w:tabs>
          <w:tab w:leader="none" w:pos="7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w:t>
      </w: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both"/>
        <w:ind w:left="380" w:right="2659"/>
        <w:spacing w:after="0" w:line="239" w:lineRule="auto"/>
        <w:rPr>
          <w:sz w:val="20"/>
          <w:szCs w:val="20"/>
          <w:color w:val="auto"/>
        </w:rPr>
      </w:pPr>
      <w:r>
        <w:rPr>
          <w:rFonts w:ascii="Courier New" w:cs="Courier New" w:eastAsia="Courier New" w:hAnsi="Courier New"/>
          <w:sz w:val="16"/>
          <w:szCs w:val="16"/>
          <w:color w:val="auto"/>
        </w:rPr>
        <w:t>Participants are immediately vested in their elective deferral contributions plus actual earnings thereon. Vesting in the remainder of their accounts is based on years of service. A participant is 100% vested after five years of credited service. Vesting can be accelerated under certain other conditions defined in the Plan. All forfeited amounts may be applied to plan expenses including legal, consulting, education materials, etc. or to reduce Company contributions.</w:t>
      </w:r>
    </w:p>
    <w:p>
      <w:pPr>
        <w:spacing w:after="0" w:line="192" w:lineRule="exact"/>
        <w:rPr>
          <w:sz w:val="20"/>
          <w:szCs w:val="20"/>
          <w:color w:val="auto"/>
        </w:rPr>
      </w:pPr>
    </w:p>
    <w:p>
      <w:pPr>
        <w:jc w:val="both"/>
        <w:ind w:left="380" w:right="2659"/>
        <w:spacing w:after="0" w:line="237" w:lineRule="auto"/>
        <w:rPr>
          <w:sz w:val="20"/>
          <w:szCs w:val="20"/>
          <w:color w:val="auto"/>
        </w:rPr>
      </w:pPr>
      <w:r>
        <w:rPr>
          <w:rFonts w:ascii="Courier New" w:cs="Courier New" w:eastAsia="Courier New" w:hAnsi="Courier New"/>
          <w:sz w:val="16"/>
          <w:szCs w:val="16"/>
          <w:color w:val="auto"/>
        </w:rPr>
        <w:t>In the event of whole or partial termination of the Plan, there will be full and immediate vesting of each affected employee's account balance.</w:t>
      </w:r>
    </w:p>
    <w:p>
      <w:pPr>
        <w:spacing w:after="0" w:line="184" w:lineRule="exact"/>
        <w:rPr>
          <w:sz w:val="20"/>
          <w:szCs w:val="20"/>
          <w:color w:val="auto"/>
        </w:rPr>
      </w:pPr>
    </w:p>
    <w:p>
      <w:pPr>
        <w:ind w:left="760" w:hanging="385"/>
        <w:spacing w:after="0"/>
        <w:tabs>
          <w:tab w:leader="none" w:pos="7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Benefits</w:t>
      </w: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both"/>
        <w:ind w:left="380" w:right="2659"/>
        <w:spacing w:after="0" w:line="239" w:lineRule="auto"/>
        <w:rPr>
          <w:sz w:val="20"/>
          <w:szCs w:val="20"/>
          <w:color w:val="auto"/>
        </w:rPr>
      </w:pPr>
      <w:r>
        <w:rPr>
          <w:rFonts w:ascii="Courier New" w:cs="Courier New" w:eastAsia="Courier New" w:hAnsi="Courier New"/>
          <w:sz w:val="16"/>
          <w:szCs w:val="16"/>
          <w:color w:val="auto"/>
        </w:rPr>
        <w:t>All benefits under the Plan are paid as lump-sum distributions. Beginning on July 1, 2000, distributions of Comcast Corporation stock can be taken in the form of stock. In-kind distributions are not specifically provided for under the Plan.</w:t>
      </w:r>
    </w:p>
    <w:p>
      <w:pPr>
        <w:spacing w:after="0" w:line="183" w:lineRule="exact"/>
        <w:rPr>
          <w:sz w:val="20"/>
          <w:szCs w:val="20"/>
          <w:color w:val="auto"/>
        </w:rPr>
      </w:pPr>
    </w:p>
    <w:p>
      <w:pPr>
        <w:ind w:left="760" w:hanging="385"/>
        <w:spacing w:after="0"/>
        <w:tabs>
          <w:tab w:leader="none" w:pos="7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to Participants</w:t>
      </w: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both"/>
        <w:ind w:left="380" w:right="2659"/>
        <w:spacing w:after="0" w:line="239" w:lineRule="auto"/>
        <w:rPr>
          <w:sz w:val="20"/>
          <w:szCs w:val="20"/>
          <w:color w:val="auto"/>
        </w:rPr>
      </w:pPr>
      <w:r>
        <w:rPr>
          <w:rFonts w:ascii="Courier New" w:cs="Courier New" w:eastAsia="Courier New" w:hAnsi="Courier New"/>
          <w:sz w:val="16"/>
          <w:szCs w:val="16"/>
          <w:color w:val="auto"/>
        </w:rPr>
        <w:t>Smith Barney Corporate Trust Company (the Trustee) may make loans from the Plan to participants in accordance with the Plan document. All loans to participants are considered investments of the trust fund and bear market rates of interest. All loans are to be repaid within five years unless the loan is used to acquire a principal residence, in which case the term may be longer.</w:t>
      </w:r>
    </w:p>
    <w:p>
      <w:pPr>
        <w:spacing w:after="0" w:line="186" w:lineRule="exact"/>
        <w:rPr>
          <w:sz w:val="20"/>
          <w:szCs w:val="20"/>
          <w:color w:val="auto"/>
        </w:rPr>
      </w:pPr>
    </w:p>
    <w:p>
      <w:pPr>
        <w:ind w:left="760" w:hanging="385"/>
        <w:spacing w:after="0"/>
        <w:tabs>
          <w:tab w:leader="none" w:pos="7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 Status</w:t>
      </w: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both"/>
        <w:ind w:left="380" w:right="2659"/>
        <w:spacing w:after="0" w:line="239" w:lineRule="auto"/>
        <w:rPr>
          <w:sz w:val="20"/>
          <w:szCs w:val="20"/>
          <w:color w:val="auto"/>
        </w:rPr>
      </w:pPr>
      <w:r>
        <w:rPr>
          <w:rFonts w:ascii="Courier New" w:cs="Courier New" w:eastAsia="Courier New" w:hAnsi="Courier New"/>
          <w:sz w:val="16"/>
          <w:szCs w:val="16"/>
          <w:color w:val="auto"/>
        </w:rPr>
        <w:t>The IRS issued a determination letter to the Plan, dated April 29, 2003, stating that the Plan was qualified under Section 401(a) of the Internal Revenue Code (the Code) and, therefore, is exempt from federal income tax under Section 501(a) of the Code. The Plan has been amended since receiving the determination letter. However, the Plan Administrator and the Plan's tax counsel believe that the Plan is designed and is currently being operated in compliance with the applicable requirements of the Code.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41" w:right="1440" w:bottom="1440" w:gutter="0" w:footer="0" w:header="0"/>
        </w:sectPr>
      </w:pPr>
    </w:p>
    <w:bookmarkStart w:id="7" w:name="page8"/>
    <w:bookmarkEnd w:id="7"/>
    <w:p>
      <w:pPr>
        <w:jc w:val="center"/>
        <w:ind w:right="2559"/>
        <w:spacing w:after="0"/>
        <w:rPr>
          <w:sz w:val="20"/>
          <w:szCs w:val="20"/>
          <w:color w:val="auto"/>
        </w:rPr>
      </w:pPr>
      <w:r>
        <w:rPr>
          <w:rFonts w:ascii="Courier New" w:cs="Courier New" w:eastAsia="Courier New" w:hAnsi="Courier New"/>
          <w:sz w:val="16"/>
          <w:szCs w:val="16"/>
          <w:color w:val="auto"/>
        </w:rPr>
        <w:t>Comcast-Spectacor 401(k) Plan</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NOTES TO FINANCIAL STATEMENTS - CONTINUED</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December 31, 2003 and 2002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B - SUMMARY OF SIGNIFICANT ACCOUNTING POLICIES</w:t>
      </w:r>
    </w:p>
    <w:p>
      <w:pPr>
        <w:spacing w:after="0" w:line="183" w:lineRule="exact"/>
        <w:rPr>
          <w:sz w:val="20"/>
          <w:szCs w:val="20"/>
          <w:color w:val="auto"/>
        </w:rPr>
      </w:pPr>
    </w:p>
    <w:p>
      <w:pPr>
        <w:ind w:left="760" w:hanging="385"/>
        <w:spacing w:after="0"/>
        <w:tabs>
          <w:tab w:leader="none" w:pos="7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Valuation of Investments and Income Recognition</w:t>
      </w: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both"/>
        <w:ind w:left="380" w:right="2659"/>
        <w:spacing w:after="0" w:line="239" w:lineRule="auto"/>
        <w:rPr>
          <w:sz w:val="20"/>
          <w:szCs w:val="20"/>
          <w:color w:val="auto"/>
        </w:rPr>
      </w:pPr>
      <w:r>
        <w:rPr>
          <w:rFonts w:ascii="Courier New" w:cs="Courier New" w:eastAsia="Courier New" w:hAnsi="Courier New"/>
          <w:sz w:val="16"/>
          <w:szCs w:val="16"/>
          <w:color w:val="auto"/>
        </w:rPr>
        <w:t>Plan assets are stated at fair value. The fair value of money market and mutual funds is determined by quoted market price. The change in fair value of assets during the year is measured by the difference between the fair value at year-end and the fair value at the beginning of the year or costs of purchases during the year and is reflected in the statement of changes in net assets available for benefits as net appreciation in fair value of investments.</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Participant loans are stated at their outstanding balances.</w:t>
      </w:r>
    </w:p>
    <w:p>
      <w:pPr>
        <w:spacing w:after="0" w:line="186" w:lineRule="exact"/>
        <w:rPr>
          <w:sz w:val="20"/>
          <w:szCs w:val="20"/>
          <w:color w:val="auto"/>
        </w:rPr>
      </w:pPr>
    </w:p>
    <w:p>
      <w:pPr>
        <w:jc w:val="both"/>
        <w:ind w:left="380" w:right="2659"/>
        <w:spacing w:after="0" w:line="238" w:lineRule="auto"/>
        <w:rPr>
          <w:sz w:val="20"/>
          <w:szCs w:val="20"/>
          <w:color w:val="auto"/>
        </w:rPr>
      </w:pPr>
      <w:r>
        <w:rPr>
          <w:rFonts w:ascii="Courier New" w:cs="Courier New" w:eastAsia="Courier New" w:hAnsi="Courier New"/>
          <w:sz w:val="16"/>
          <w:szCs w:val="16"/>
          <w:color w:val="auto"/>
        </w:rPr>
        <w:t>Purchases and sales of securities are recorded on a trade-date basis. Interest income is recorded on the accrual basis. Dividends are recorded on the ex-dividend date.</w:t>
      </w:r>
    </w:p>
    <w:p>
      <w:pPr>
        <w:spacing w:after="0" w:line="184" w:lineRule="exact"/>
        <w:rPr>
          <w:sz w:val="20"/>
          <w:szCs w:val="20"/>
          <w:color w:val="auto"/>
        </w:rPr>
      </w:pPr>
    </w:p>
    <w:p>
      <w:pPr>
        <w:ind w:left="760" w:hanging="385"/>
        <w:spacing w:after="0"/>
        <w:tabs>
          <w:tab w:leader="none" w:pos="7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w:t>
      </w:r>
    </w:p>
    <w:p>
      <w:pPr>
        <w:ind w:left="7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both"/>
        <w:ind w:left="380" w:right="2659"/>
        <w:spacing w:after="0" w:line="239" w:lineRule="auto"/>
        <w:rPr>
          <w:sz w:val="20"/>
          <w:szCs w:val="20"/>
          <w:color w:val="auto"/>
        </w:rPr>
      </w:pPr>
      <w:r>
        <w:rPr>
          <w:rFonts w:ascii="Courier New" w:cs="Courier New" w:eastAsia="Courier New" w:hAnsi="Courier New"/>
          <w:sz w:val="16"/>
          <w:szCs w:val="16"/>
          <w:color w:val="auto"/>
        </w:rPr>
        <w:t>In preparing financial statements in conformity with accounting principles generally accepted in the United States of America, management is required to make estimates and assumptions that affect the reported amounts of assets and liabilities, the disclosure of contingent assets and liabilities at the date of the financial statements, and the reported amounts of additions and deductions during the reporting period. Actual results could differ from those estimates.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C - INVESTMENTS</w:t>
      </w:r>
    </w:p>
    <w:p>
      <w:pPr>
        <w:spacing w:after="0" w:line="186" w:lineRule="exact"/>
        <w:rPr>
          <w:sz w:val="20"/>
          <w:szCs w:val="20"/>
          <w:color w:val="auto"/>
        </w:rPr>
      </w:pPr>
    </w:p>
    <w:p>
      <w:pPr>
        <w:jc w:val="both"/>
        <w:ind w:left="380" w:right="2659"/>
        <w:spacing w:after="0" w:line="237" w:lineRule="auto"/>
        <w:rPr>
          <w:sz w:val="20"/>
          <w:szCs w:val="20"/>
          <w:color w:val="auto"/>
        </w:rPr>
      </w:pPr>
      <w:r>
        <w:rPr>
          <w:rFonts w:ascii="Courier New" w:cs="Courier New" w:eastAsia="Courier New" w:hAnsi="Courier New"/>
          <w:sz w:val="16"/>
          <w:szCs w:val="16"/>
          <w:color w:val="auto"/>
        </w:rPr>
        <w:t>The fair market value of investments held by the Plan representing 5% or more of the Plan's assets are identified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00" w:type="dxa"/>
            <w:vAlign w:val="bottom"/>
          </w:tcPr>
          <w:p>
            <w:pPr>
              <w:ind w:left="2640"/>
              <w:spacing w:after="0"/>
              <w:rPr>
                <w:sz w:val="20"/>
                <w:szCs w:val="20"/>
                <w:color w:val="auto"/>
              </w:rPr>
            </w:pPr>
            <w:r>
              <w:rPr>
                <w:rFonts w:ascii="Courier New" w:cs="Courier New" w:eastAsia="Courier New" w:hAnsi="Courier New"/>
                <w:sz w:val="16"/>
                <w:szCs w:val="16"/>
                <w:color w:val="auto"/>
                <w:w w:val="97"/>
              </w:rPr>
              <w:t>FAIR VALUE OF INVESTMENTS</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2"/>
        </w:trPr>
        <w:tc>
          <w:tcPr>
            <w:tcW w:w="5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5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2003</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5000" w:type="dxa"/>
            <w:vAlign w:val="bottom"/>
          </w:tcPr>
          <w:p>
            <w:pPr>
              <w:spacing w:after="0"/>
              <w:rPr>
                <w:sz w:val="15"/>
                <w:szCs w:val="15"/>
                <w:color w:val="auto"/>
              </w:rPr>
            </w:pPr>
          </w:p>
        </w:tc>
        <w:tc>
          <w:tcPr>
            <w:tcW w:w="15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spacing w:after="0"/>
              <w:rPr>
                <w:sz w:val="20"/>
                <w:szCs w:val="20"/>
                <w:color w:val="auto"/>
              </w:rPr>
            </w:pPr>
            <w:r>
              <w:rPr>
                <w:rFonts w:ascii="Courier New" w:cs="Courier New" w:eastAsia="Courier New" w:hAnsi="Courier New"/>
                <w:sz w:val="16"/>
                <w:szCs w:val="16"/>
                <w:color w:val="auto"/>
              </w:rPr>
              <w:t>Investments at fair value</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2"/>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BlackRock Balanced Class A</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$1,605,091</w:t>
            </w:r>
          </w:p>
        </w:tc>
      </w:tr>
      <w:tr>
        <w:trPr>
          <w:trHeight w:val="182"/>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BlackRock Index Equity Class A</w:t>
            </w:r>
          </w:p>
        </w:tc>
        <w:tc>
          <w:tcPr>
            <w:tcW w:w="20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567,768</w:t>
            </w:r>
          </w:p>
        </w:tc>
      </w:tr>
      <w:tr>
        <w:trPr>
          <w:trHeight w:val="182"/>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BlackRock Large Value Class A</w:t>
            </w:r>
          </w:p>
        </w:tc>
        <w:tc>
          <w:tcPr>
            <w:tcW w:w="20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766,716</w:t>
            </w:r>
          </w:p>
        </w:tc>
      </w:tr>
      <w:tr>
        <w:trPr>
          <w:trHeight w:val="182"/>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BlackRock Small Value Class A</w:t>
            </w:r>
          </w:p>
        </w:tc>
        <w:tc>
          <w:tcPr>
            <w:tcW w:w="20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831,786</w:t>
            </w:r>
          </w:p>
        </w:tc>
      </w:tr>
      <w:tr>
        <w:trPr>
          <w:trHeight w:val="182"/>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Janus Adviser Growth &amp; Income</w:t>
            </w:r>
          </w:p>
        </w:tc>
        <w:tc>
          <w:tcPr>
            <w:tcW w:w="20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976,812</w:t>
            </w:r>
          </w:p>
        </w:tc>
      </w:tr>
      <w:tr>
        <w:trPr>
          <w:trHeight w:val="182"/>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Janus Adviser Worldwide</w:t>
            </w:r>
          </w:p>
        </w:tc>
        <w:tc>
          <w:tcPr>
            <w:tcW w:w="20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579,252</w:t>
            </w:r>
          </w:p>
        </w:tc>
      </w:tr>
      <w:tr>
        <w:trPr>
          <w:trHeight w:val="182"/>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Fidelity Advisor Growth Opportunities Fund</w:t>
            </w:r>
          </w:p>
        </w:tc>
        <w:tc>
          <w:tcPr>
            <w:tcW w:w="20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554,941</w:t>
            </w:r>
          </w:p>
        </w:tc>
      </w:tr>
      <w:tr>
        <w:trPr>
          <w:trHeight w:val="182"/>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Comcast Common Stock</w:t>
            </w:r>
          </w:p>
        </w:tc>
        <w:tc>
          <w:tcPr>
            <w:tcW w:w="20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4"/>
              </w:rPr>
              <w:t>3,443,585</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1,709,681</w:t>
            </w:r>
          </w:p>
        </w:tc>
      </w:tr>
      <w:tr>
        <w:trPr>
          <w:trHeight w:val="182"/>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BlackRock Money Market</w:t>
            </w:r>
          </w:p>
        </w:tc>
        <w:tc>
          <w:tcPr>
            <w:tcW w:w="20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776,930</w:t>
            </w:r>
          </w:p>
        </w:tc>
      </w:tr>
      <w:tr>
        <w:trPr>
          <w:trHeight w:val="182"/>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BlackRock Managed Income Class A</w:t>
            </w:r>
          </w:p>
        </w:tc>
        <w:tc>
          <w:tcPr>
            <w:tcW w:w="20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704,933</w:t>
            </w:r>
          </w:p>
        </w:tc>
      </w:tr>
      <w:tr>
        <w:trPr>
          <w:trHeight w:val="182"/>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Smith Barney Money Market-Government Portfolio</w:t>
            </w:r>
          </w:p>
        </w:tc>
        <w:tc>
          <w:tcPr>
            <w:tcW w:w="20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4"/>
              </w:rPr>
              <w:t>1,445,111</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EuroPacific Growth Fund-F Share</w:t>
            </w:r>
          </w:p>
        </w:tc>
        <w:tc>
          <w:tcPr>
            <w:tcW w:w="20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4"/>
              </w:rPr>
              <w:t>1,000,756</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Washington Mutual Investors Fund-F Share</w:t>
            </w:r>
          </w:p>
        </w:tc>
        <w:tc>
          <w:tcPr>
            <w:tcW w:w="20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4"/>
              </w:rPr>
              <w:t>2,142,975</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Growth Fund of America-F Share</w:t>
            </w:r>
          </w:p>
        </w:tc>
        <w:tc>
          <w:tcPr>
            <w:tcW w:w="20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4"/>
              </w:rPr>
              <w:t>2,107,787</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Baron Growth Fund</w:t>
            </w:r>
          </w:p>
        </w:tc>
        <w:tc>
          <w:tcPr>
            <w:tcW w:w="20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873,951</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Janus Balanced Fund</w:t>
            </w:r>
          </w:p>
        </w:tc>
        <w:tc>
          <w:tcPr>
            <w:tcW w:w="20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4"/>
              </w:rPr>
              <w:t>1,214,204</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Strong Government Securities Fund</w:t>
            </w:r>
          </w:p>
        </w:tc>
        <w:tc>
          <w:tcPr>
            <w:tcW w:w="20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4"/>
              </w:rPr>
              <w:t>1,016,613</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182"/>
        </w:trPr>
        <w:tc>
          <w:tcPr>
            <w:tcW w:w="5000" w:type="dxa"/>
            <w:vAlign w:val="bottom"/>
          </w:tcPr>
          <w:p>
            <w:pPr>
              <w:ind w:left="280"/>
              <w:spacing w:after="0"/>
              <w:rPr>
                <w:sz w:val="20"/>
                <w:szCs w:val="20"/>
                <w:color w:val="auto"/>
              </w:rPr>
            </w:pPr>
            <w:r>
              <w:rPr>
                <w:rFonts w:ascii="Courier New" w:cs="Courier New" w:eastAsia="Courier New" w:hAnsi="Courier New"/>
                <w:sz w:val="16"/>
                <w:szCs w:val="16"/>
                <w:color w:val="auto"/>
              </w:rPr>
              <w:t>Royce Total Return Fund</w:t>
            </w:r>
          </w:p>
        </w:tc>
        <w:tc>
          <w:tcPr>
            <w:tcW w:w="200" w:type="dxa"/>
            <w:vAlign w:val="bottom"/>
          </w:tcPr>
          <w:p>
            <w:pPr>
              <w:spacing w:after="0"/>
              <w:rPr>
                <w:sz w:val="15"/>
                <w:szCs w:val="15"/>
                <w:color w:val="auto"/>
              </w:rPr>
            </w:pPr>
          </w:p>
        </w:tc>
        <w:tc>
          <w:tcPr>
            <w:tcW w:w="132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4"/>
              </w:rPr>
              <w:t>1,061,822</w:t>
            </w:r>
          </w:p>
        </w:tc>
        <w:tc>
          <w:tcPr>
            <w:tcW w:w="15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(Continued)</w:t>
      </w:r>
    </w:p>
    <w:p>
      <w:pPr>
        <w:spacing w:after="0" w:line="364"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41" w:right="1440" w:bottom="1440" w:gutter="0" w:footer="0" w:header="0"/>
        </w:sectPr>
      </w:pPr>
    </w:p>
    <w:bookmarkStart w:id="8" w:name="page9"/>
    <w:bookmarkEnd w:id="8"/>
    <w:p>
      <w:pPr>
        <w:jc w:val="center"/>
        <w:ind w:right="117"/>
        <w:spacing w:after="0"/>
        <w:rPr>
          <w:sz w:val="20"/>
          <w:szCs w:val="20"/>
          <w:color w:val="auto"/>
        </w:rPr>
      </w:pPr>
      <w:r>
        <w:rPr>
          <w:rFonts w:ascii="Courier New" w:cs="Courier New" w:eastAsia="Courier New" w:hAnsi="Courier New"/>
          <w:sz w:val="16"/>
          <w:szCs w:val="16"/>
          <w:color w:val="auto"/>
        </w:rPr>
        <w:t>Comcast-Spectacor 401(k) Plan</w:t>
      </w:r>
    </w:p>
    <w:p>
      <w:pPr>
        <w:spacing w:after="0" w:line="183" w:lineRule="exact"/>
        <w:rPr>
          <w:sz w:val="20"/>
          <w:szCs w:val="20"/>
          <w:color w:val="auto"/>
        </w:rPr>
      </w:pPr>
    </w:p>
    <w:p>
      <w:pPr>
        <w:ind w:left="1883"/>
        <w:spacing w:after="0"/>
        <w:rPr>
          <w:sz w:val="20"/>
          <w:szCs w:val="20"/>
          <w:color w:val="auto"/>
        </w:rPr>
      </w:pPr>
      <w:r>
        <w:rPr>
          <w:rFonts w:ascii="Courier New" w:cs="Courier New" w:eastAsia="Courier New" w:hAnsi="Courier New"/>
          <w:sz w:val="16"/>
          <w:szCs w:val="16"/>
          <w:color w:val="auto"/>
        </w:rPr>
        <w:t>NOTES TO FINANCIAL STATEMENTS - CONTINUED</w:t>
      </w:r>
    </w:p>
    <w:p>
      <w:pPr>
        <w:spacing w:after="0" w:line="183" w:lineRule="exact"/>
        <w:rPr>
          <w:sz w:val="20"/>
          <w:szCs w:val="20"/>
          <w:color w:val="auto"/>
        </w:rPr>
      </w:pPr>
    </w:p>
    <w:p>
      <w:pPr>
        <w:ind w:left="2563"/>
        <w:spacing w:after="0"/>
        <w:rPr>
          <w:sz w:val="20"/>
          <w:szCs w:val="20"/>
          <w:color w:val="auto"/>
        </w:rPr>
      </w:pPr>
      <w:r>
        <w:rPr>
          <w:rFonts w:ascii="Courier New" w:cs="Courier New" w:eastAsia="Courier New" w:hAnsi="Courier New"/>
          <w:sz w:val="16"/>
          <w:szCs w:val="16"/>
          <w:color w:val="auto"/>
        </w:rPr>
        <w:t>December 31, 2003 and 2002</w:t>
      </w:r>
    </w:p>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C - INVESTMENTS - Continued</w:t>
      </w:r>
    </w:p>
    <w:p>
      <w:pPr>
        <w:spacing w:after="0" w:line="183" w:lineRule="exact"/>
        <w:rPr>
          <w:sz w:val="20"/>
          <w:szCs w:val="20"/>
          <w:color w:val="auto"/>
        </w:rPr>
      </w:pPr>
    </w:p>
    <w:p>
      <w:pPr>
        <w:ind w:left="383"/>
        <w:spacing w:after="0"/>
        <w:rPr>
          <w:sz w:val="20"/>
          <w:szCs w:val="20"/>
          <w:color w:val="auto"/>
        </w:rPr>
      </w:pPr>
      <w:r>
        <w:rPr>
          <w:rFonts w:ascii="Courier New" w:cs="Courier New" w:eastAsia="Courier New" w:hAnsi="Courier New"/>
          <w:sz w:val="16"/>
          <w:szCs w:val="16"/>
          <w:color w:val="auto"/>
        </w:rPr>
        <w:t>During 2003, the Plan's investments appreciated in value as follows:</w:t>
      </w:r>
    </w:p>
    <w:p>
      <w:pPr>
        <w:spacing w:after="0" w:line="183" w:lineRule="exact"/>
        <w:rPr>
          <w:sz w:val="20"/>
          <w:szCs w:val="20"/>
          <w:color w:val="auto"/>
        </w:rPr>
      </w:pPr>
    </w:p>
    <w:p>
      <w:pPr>
        <w:ind w:left="2643"/>
        <w:spacing w:after="0"/>
        <w:rPr>
          <w:sz w:val="20"/>
          <w:szCs w:val="20"/>
          <w:color w:val="auto"/>
        </w:rPr>
      </w:pPr>
      <w:r>
        <w:rPr>
          <w:rFonts w:ascii="Courier New" w:cs="Courier New" w:eastAsia="Courier New" w:hAnsi="Courier New"/>
          <w:sz w:val="16"/>
          <w:szCs w:val="16"/>
          <w:color w:val="auto"/>
        </w:rPr>
        <w:t>NET CHANGE IN FAIR VALUE</w:t>
      </w:r>
    </w:p>
    <w:p>
      <w:pPr>
        <w:spacing w:after="0" w:line="183" w:lineRule="exact"/>
        <w:rPr>
          <w:sz w:val="20"/>
          <w:szCs w:val="20"/>
          <w:color w:val="auto"/>
        </w:rPr>
      </w:pPr>
    </w:p>
    <w:p>
      <w:pPr>
        <w:jc w:val="center"/>
        <w:ind w:left="3743"/>
        <w:spacing w:after="0"/>
        <w:rPr>
          <w:sz w:val="20"/>
          <w:szCs w:val="20"/>
          <w:color w:val="auto"/>
        </w:rPr>
      </w:pPr>
      <w:r>
        <w:rPr>
          <w:rFonts w:ascii="Courier New" w:cs="Courier New" w:eastAsia="Courier New" w:hAnsi="Courier New"/>
          <w:sz w:val="16"/>
          <w:szCs w:val="16"/>
          <w:color w:val="auto"/>
        </w:rPr>
        <w:t>Year ended</w:t>
      </w:r>
    </w:p>
    <w:p>
      <w:pPr>
        <w:spacing w:after="0" w:line="1" w:lineRule="exact"/>
        <w:rPr>
          <w:sz w:val="20"/>
          <w:szCs w:val="20"/>
          <w:color w:val="auto"/>
        </w:rPr>
      </w:pPr>
    </w:p>
    <w:p>
      <w:pPr>
        <w:jc w:val="center"/>
        <w:ind w:left="3743"/>
        <w:spacing w:after="0"/>
        <w:rPr>
          <w:sz w:val="20"/>
          <w:szCs w:val="20"/>
          <w:color w:val="auto"/>
        </w:rPr>
      </w:pPr>
      <w:r>
        <w:rPr>
          <w:rFonts w:ascii="Courier New" w:cs="Courier New" w:eastAsia="Courier New" w:hAnsi="Courier New"/>
          <w:sz w:val="16"/>
          <w:szCs w:val="16"/>
          <w:color w:val="auto"/>
        </w:rPr>
        <w:t>December 31,</w:t>
      </w:r>
    </w:p>
    <w:p>
      <w:pPr>
        <w:spacing w:after="0" w:line="1" w:lineRule="exact"/>
        <w:rPr>
          <w:sz w:val="20"/>
          <w:szCs w:val="20"/>
          <w:color w:val="auto"/>
        </w:rPr>
      </w:pPr>
    </w:p>
    <w:p>
      <w:pPr>
        <w:jc w:val="center"/>
        <w:ind w:left="3743"/>
        <w:spacing w:after="0"/>
        <w:rPr>
          <w:sz w:val="20"/>
          <w:szCs w:val="20"/>
          <w:color w:val="auto"/>
        </w:rPr>
      </w:pPr>
      <w:r>
        <w:rPr>
          <w:rFonts w:ascii="Courier New" w:cs="Courier New" w:eastAsia="Courier New" w:hAnsi="Courier New"/>
          <w:sz w:val="16"/>
          <w:szCs w:val="16"/>
          <w:color w:val="auto"/>
        </w:rPr>
        <w:t>2003</w:t>
      </w:r>
    </w:p>
    <w:p>
      <w:pPr>
        <w:spacing w:after="0" w:line="1" w:lineRule="exact"/>
        <w:rPr>
          <w:sz w:val="20"/>
          <w:szCs w:val="20"/>
          <w:color w:val="auto"/>
        </w:rPr>
      </w:pPr>
    </w:p>
    <w:p>
      <w:pPr>
        <w:ind w:left="520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663"/>
        <w:spacing w:after="0"/>
        <w:tabs>
          <w:tab w:leader="none" w:pos="4983" w:val="left"/>
          <w:tab w:leader="none" w:pos="5563"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620,220</w:t>
      </w:r>
    </w:p>
    <w:p>
      <w:pPr>
        <w:spacing w:after="0" w:line="1" w:lineRule="exact"/>
        <w:rPr>
          <w:sz w:val="20"/>
          <w:szCs w:val="20"/>
          <w:color w:val="auto"/>
        </w:rPr>
      </w:pPr>
    </w:p>
    <w:p>
      <w:pPr>
        <w:ind w:left="663"/>
        <w:spacing w:after="0"/>
        <w:tabs>
          <w:tab w:leader="none" w:pos="5363" w:val="left"/>
        </w:tabs>
        <w:rPr>
          <w:sz w:val="20"/>
          <w:szCs w:val="20"/>
          <w:color w:val="auto"/>
        </w:rPr>
      </w:pPr>
      <w:r>
        <w:rPr>
          <w:rFonts w:ascii="Courier New" w:cs="Courier New" w:eastAsia="Courier New" w:hAnsi="Courier New"/>
          <w:sz w:val="16"/>
          <w:szCs w:val="16"/>
          <w:color w:val="auto"/>
        </w:rPr>
        <w:t>Mutual Funds</w:t>
      </w:r>
      <w:r>
        <w:rPr>
          <w:sz w:val="20"/>
          <w:szCs w:val="20"/>
          <w:color w:val="auto"/>
        </w:rPr>
        <w:tab/>
      </w:r>
      <w:r>
        <w:rPr>
          <w:rFonts w:ascii="Courier New" w:cs="Courier New" w:eastAsia="Courier New" w:hAnsi="Courier New"/>
          <w:sz w:val="15"/>
          <w:szCs w:val="15"/>
          <w:color w:val="auto"/>
        </w:rPr>
        <w:t>1,605,475</w:t>
      </w:r>
    </w:p>
    <w:p>
      <w:pPr>
        <w:spacing w:after="0" w:line="1" w:lineRule="exact"/>
        <w:rPr>
          <w:sz w:val="20"/>
          <w:szCs w:val="20"/>
          <w:color w:val="auto"/>
        </w:rPr>
      </w:pPr>
    </w:p>
    <w:p>
      <w:pPr>
        <w:ind w:left="520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jc w:val="both"/>
        <w:ind w:left="5003"/>
        <w:spacing w:after="0"/>
        <w:tabs>
          <w:tab w:leader="none" w:pos="5363" w:val="left"/>
        </w:tabs>
        <w:rPr>
          <w:sz w:val="20"/>
          <w:szCs w:val="20"/>
          <w:color w:val="auto"/>
        </w:rPr>
      </w:pPr>
      <w:r>
        <w:rPr>
          <w:rFonts w:ascii="Courier New" w:cs="Courier New" w:eastAsia="Courier New" w:hAnsi="Courier New"/>
          <w:sz w:val="16"/>
          <w:szCs w:val="16"/>
          <w:color w:val="auto"/>
        </w:rPr>
        <w:t>$</w:t>
        <w:tab/>
        <w:t>2,225,695</w:t>
      </w:r>
    </w:p>
    <w:p>
      <w:pPr>
        <w:spacing w:after="0" w:line="1" w:lineRule="exact"/>
        <w:rPr>
          <w:sz w:val="20"/>
          <w:szCs w:val="20"/>
          <w:color w:val="auto"/>
        </w:rPr>
      </w:pPr>
    </w:p>
    <w:p>
      <w:pPr>
        <w:jc w:val="right"/>
        <w:ind w:right="1540"/>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D - TRUST AGREEMENT</w:t>
      </w:r>
    </w:p>
    <w:p>
      <w:pPr>
        <w:spacing w:after="0" w:line="186" w:lineRule="exact"/>
        <w:rPr>
          <w:sz w:val="20"/>
          <w:szCs w:val="20"/>
          <w:color w:val="auto"/>
        </w:rPr>
      </w:pPr>
    </w:p>
    <w:p>
      <w:pPr>
        <w:jc w:val="both"/>
        <w:ind w:left="383" w:right="220"/>
        <w:spacing w:after="0" w:line="239" w:lineRule="auto"/>
        <w:rPr>
          <w:sz w:val="20"/>
          <w:szCs w:val="20"/>
          <w:color w:val="auto"/>
        </w:rPr>
      </w:pPr>
      <w:r>
        <w:rPr>
          <w:rFonts w:ascii="Courier New" w:cs="Courier New" w:eastAsia="Courier New" w:hAnsi="Courier New"/>
          <w:sz w:val="16"/>
          <w:szCs w:val="16"/>
          <w:color w:val="auto"/>
        </w:rPr>
        <w:t>Comcast-Spectacor, L.P., as Plan Sponsor, entered into a trust agreement with Smith Barney Corporate Trust Company (Trustee), a party-in-interest. Under the terms of this agreement, the Trustee will hold, invest and reinvest the funds. Comcast-Spectacor, L.P. has no right, title or interest in or to the trust fund maintained under this agreement.</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E - PLAN TERMINATION</w:t>
      </w:r>
    </w:p>
    <w:p>
      <w:pPr>
        <w:spacing w:after="0" w:line="186" w:lineRule="exact"/>
        <w:rPr>
          <w:sz w:val="20"/>
          <w:szCs w:val="20"/>
          <w:color w:val="auto"/>
        </w:rPr>
      </w:pPr>
    </w:p>
    <w:p>
      <w:pPr>
        <w:jc w:val="both"/>
        <w:ind w:left="383" w:right="220"/>
        <w:spacing w:after="0" w:line="239" w:lineRule="auto"/>
        <w:rPr>
          <w:sz w:val="20"/>
          <w:szCs w:val="20"/>
          <w:color w:val="auto"/>
        </w:rPr>
      </w:pPr>
      <w:r>
        <w:rPr>
          <w:rFonts w:ascii="Courier New" w:cs="Courier New" w:eastAsia="Courier New" w:hAnsi="Courier New"/>
          <w:sz w:val="16"/>
          <w:szCs w:val="16"/>
          <w:color w:val="auto"/>
        </w:rPr>
        <w:t>Although it has not expressed any intent to do so, each entity that constitutes the Company has the right under the Plan to discontinue its contributions and to terminate the Plan, with the respect to its employees. Additionally, Comcast-Spectacor, L.P. has the right to terminate the Plan. In the event of Plan termination, participants will become 100% vested in their accounts.</w:t>
      </w: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 F - RECONCILIATION TO FORM 5500</w:t>
      </w:r>
    </w:p>
    <w:p>
      <w:pPr>
        <w:spacing w:after="0" w:line="186" w:lineRule="exact"/>
        <w:rPr>
          <w:sz w:val="20"/>
          <w:szCs w:val="20"/>
          <w:color w:val="auto"/>
        </w:rPr>
      </w:pPr>
    </w:p>
    <w:p>
      <w:pPr>
        <w:jc w:val="both"/>
        <w:ind w:left="383" w:right="220"/>
        <w:spacing w:after="0" w:line="237" w:lineRule="auto"/>
        <w:rPr>
          <w:sz w:val="20"/>
          <w:szCs w:val="20"/>
          <w:color w:val="auto"/>
        </w:rPr>
      </w:pPr>
      <w:r>
        <w:rPr>
          <w:rFonts w:ascii="Courier New" w:cs="Courier New" w:eastAsia="Courier New" w:hAnsi="Courier New"/>
          <w:sz w:val="16"/>
          <w:szCs w:val="16"/>
          <w:color w:val="auto"/>
        </w:rPr>
        <w:t>The following is a reconciliation of net assets available for benefits per the financial statements to Form 5500: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3" w:right="1260"/>
        <w:spacing w:after="0" w:line="237" w:lineRule="auto"/>
        <w:rPr>
          <w:sz w:val="20"/>
          <w:szCs w:val="20"/>
          <w:color w:val="auto"/>
        </w:rPr>
      </w:pPr>
      <w:r>
        <w:rPr>
          <w:rFonts w:ascii="Courier New" w:cs="Courier New" w:eastAsia="Courier New" w:hAnsi="Courier New"/>
          <w:sz w:val="16"/>
          <w:szCs w:val="16"/>
          <w:color w:val="auto"/>
        </w:rPr>
        <w:t>Net assets available for benefits per the financial statements Less contribution receivable (1)</w:t>
      </w:r>
    </w:p>
    <w:p>
      <w:pPr>
        <w:spacing w:after="0" w:line="366" w:lineRule="exact"/>
        <w:rPr>
          <w:sz w:val="20"/>
          <w:szCs w:val="20"/>
          <w:color w:val="auto"/>
        </w:rPr>
      </w:pPr>
    </w:p>
    <w:p>
      <w:pPr>
        <w:ind w:left="943"/>
        <w:spacing w:after="0"/>
        <w:rPr>
          <w:sz w:val="20"/>
          <w:szCs w:val="20"/>
          <w:color w:val="auto"/>
        </w:rPr>
      </w:pPr>
      <w:r>
        <w:rPr>
          <w:rFonts w:ascii="Courier New" w:cs="Courier New" w:eastAsia="Courier New" w:hAnsi="Courier New"/>
          <w:sz w:val="16"/>
          <w:szCs w:val="16"/>
          <w:color w:val="auto"/>
        </w:rPr>
        <w:t>Assets available for benefits per Form 5500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463" w:right="220" w:hanging="463"/>
        <w:spacing w:after="0"/>
        <w:tabs>
          <w:tab w:leader="none" w:pos="46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represents the difference between amount accrued for contribution receivable per Form 5500 and the financial statements. Form 5500 does not accrue for a contribution receivable through December 31, 2002. The financial statement accrued a contribution receivable through December 31, 2002 due to the change in plan administrator that occurred at year-end. Participant deferrals, loan repayments and employer matches were held in the trust at year-end and not allocated to participant accounts until January 2003 by the new plan administrator.</w:t>
      </w:r>
    </w:p>
    <w:p>
      <w:pPr>
        <w:spacing w:after="0" w:line="183"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(Continued)</w:t>
      </w:r>
    </w:p>
    <w:p>
      <w:pPr>
        <w:spacing w:after="0" w:line="364"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2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2003</w:t>
            </w:r>
          </w:p>
        </w:tc>
        <w:tc>
          <w:tcPr>
            <w:tcW w:w="150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2002</w:t>
            </w:r>
          </w:p>
        </w:tc>
      </w:tr>
      <w:tr>
        <w:trPr>
          <w:trHeight w:val="182"/>
        </w:trPr>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15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7"/>
              </w:rPr>
              <w:t>$  16,322,173</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  11,306,469</w:t>
            </w:r>
          </w:p>
        </w:tc>
      </w:tr>
    </w:tbl>
    <w:p>
      <w:pPr>
        <w:spacing w:after="0" w:line="5" w:lineRule="exact"/>
        <w:rPr>
          <w:sz w:val="20"/>
          <w:szCs w:val="20"/>
          <w:color w:val="auto"/>
        </w:rPr>
      </w:pPr>
    </w:p>
    <w:p>
      <w:pPr>
        <w:ind w:left="2380" w:hanging="1236"/>
        <w:spacing w:after="0"/>
        <w:tabs>
          <w:tab w:leader="none" w:pos="23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212,865</w:t>
      </w:r>
    </w:p>
    <w:p>
      <w:pPr>
        <w:spacing w:after="0" w:line="8" w:lineRule="exact"/>
        <w:rPr>
          <w:rFonts w:ascii="Courier New" w:cs="Courier New" w:eastAsia="Courier New" w:hAnsi="Courier New"/>
          <w:sz w:val="15"/>
          <w:szCs w:val="15"/>
          <w:color w:val="auto"/>
        </w:rPr>
      </w:pPr>
    </w:p>
    <w:p>
      <w:pPr>
        <w:ind w:left="20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w:t>
      </w:r>
    </w:p>
    <w:p>
      <w:pPr>
        <w:spacing w:after="0" w:line="183" w:lineRule="exact"/>
        <w:rPr>
          <w:sz w:val="20"/>
          <w:szCs w:val="20"/>
          <w:color w:val="auto"/>
        </w:rPr>
      </w:pPr>
    </w:p>
    <w:p>
      <w:pPr>
        <w:spacing w:after="0"/>
        <w:tabs>
          <w:tab w:leader="none" w:pos="280" w:val="left"/>
          <w:tab w:leader="none" w:pos="1780" w:val="left"/>
          <w:tab w:leader="none" w:pos="2060" w:val="left"/>
        </w:tabs>
        <w:rPr>
          <w:sz w:val="20"/>
          <w:szCs w:val="20"/>
          <w:color w:val="auto"/>
        </w:rPr>
      </w:pPr>
      <w:r>
        <w:rPr>
          <w:rFonts w:ascii="Courier New" w:cs="Courier New" w:eastAsia="Courier New" w:hAnsi="Courier New"/>
          <w:sz w:val="16"/>
          <w:szCs w:val="16"/>
          <w:color w:val="auto"/>
        </w:rPr>
        <w:t>$</w:t>
        <w:tab/>
        <w:t>16,322,173</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11,093,604</w:t>
      </w:r>
    </w:p>
    <w:p>
      <w:pPr>
        <w:spacing w:after="0" w:line="5" w:lineRule="exact"/>
        <w:rPr>
          <w:sz w:val="20"/>
          <w:szCs w:val="20"/>
          <w:color w:val="auto"/>
        </w:rPr>
      </w:pPr>
    </w:p>
    <w:p>
      <w:pPr>
        <w:ind w:left="100"/>
        <w:spacing w:after="0"/>
        <w:tabs>
          <w:tab w:leader="none" w:pos="18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2">
            <w:col w:w="7783" w:space="720"/>
            <w:col w:w="3020"/>
          </w:cols>
          <w:pgMar w:left="237" w:top="841" w:right="139" w:bottom="1440" w:gutter="0" w:footer="0" w:header="0"/>
        </w:sectPr>
      </w:pPr>
    </w:p>
    <w:bookmarkStart w:id="9" w:name="page10"/>
    <w:bookmarkEnd w:id="9"/>
    <w:p>
      <w:pPr>
        <w:jc w:val="center"/>
        <w:ind w:right="2559"/>
        <w:spacing w:after="0"/>
        <w:rPr>
          <w:sz w:val="20"/>
          <w:szCs w:val="20"/>
          <w:color w:val="auto"/>
        </w:rPr>
      </w:pPr>
      <w:r>
        <w:rPr>
          <w:rFonts w:ascii="Courier New" w:cs="Courier New" w:eastAsia="Courier New" w:hAnsi="Courier New"/>
          <w:sz w:val="16"/>
          <w:szCs w:val="16"/>
          <w:color w:val="auto"/>
        </w:rPr>
        <w:t>Comcast-Spectacor 401(k) Plan</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NOTES TO FINANCIAL STATEMENTS - CONCLUDED</w:t>
      </w:r>
    </w:p>
    <w:p>
      <w:pPr>
        <w:spacing w:after="0" w:line="183"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December 31, 2003 and 2002</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F - RECONCILIATION TO FORM 5500 - Continued</w:t>
      </w:r>
    </w:p>
    <w:p>
      <w:pPr>
        <w:spacing w:after="0" w:line="186" w:lineRule="exact"/>
        <w:rPr>
          <w:sz w:val="20"/>
          <w:szCs w:val="20"/>
          <w:color w:val="auto"/>
        </w:rPr>
      </w:pPr>
    </w:p>
    <w:p>
      <w:pPr>
        <w:ind w:left="380" w:right="2659"/>
        <w:spacing w:after="0" w:line="237" w:lineRule="auto"/>
        <w:rPr>
          <w:sz w:val="20"/>
          <w:szCs w:val="20"/>
          <w:color w:val="auto"/>
        </w:rPr>
      </w:pPr>
      <w:r>
        <w:rPr>
          <w:rFonts w:ascii="Courier New" w:cs="Courier New" w:eastAsia="Courier New" w:hAnsi="Courier New"/>
          <w:sz w:val="16"/>
          <w:szCs w:val="16"/>
          <w:color w:val="auto"/>
        </w:rPr>
        <w:t>The following is a reconciliation of contributions made to the Plan per the financial statements to Form 5500:</w:t>
      </w:r>
    </w:p>
    <w:p>
      <w:pPr>
        <w:spacing w:after="0" w:line="184" w:lineRule="exact"/>
        <w:rPr>
          <w:sz w:val="20"/>
          <w:szCs w:val="20"/>
          <w:color w:val="auto"/>
        </w:rPr>
      </w:pPr>
    </w:p>
    <w:p>
      <w:pPr>
        <w:ind w:left="6420"/>
        <w:spacing w:after="0"/>
        <w:rPr>
          <w:sz w:val="20"/>
          <w:szCs w:val="20"/>
          <w:color w:val="auto"/>
        </w:rPr>
      </w:pPr>
      <w:r>
        <w:rPr>
          <w:rFonts w:ascii="Courier New" w:cs="Courier New" w:eastAsia="Courier New" w:hAnsi="Courier New"/>
          <w:sz w:val="16"/>
          <w:szCs w:val="16"/>
          <w:color w:val="auto"/>
        </w:rPr>
        <w:t>Year ended</w:t>
      </w:r>
    </w:p>
    <w:p>
      <w:pPr>
        <w:spacing w:after="0" w:line="5" w:lineRule="exact"/>
        <w:rPr>
          <w:sz w:val="20"/>
          <w:szCs w:val="20"/>
          <w:color w:val="auto"/>
        </w:rPr>
      </w:pPr>
    </w:p>
    <w:p>
      <w:pPr>
        <w:ind w:left="6420"/>
        <w:spacing w:after="0"/>
        <w:rPr>
          <w:sz w:val="20"/>
          <w:szCs w:val="20"/>
          <w:color w:val="auto"/>
        </w:rPr>
      </w:pPr>
      <w:r>
        <w:rPr>
          <w:rFonts w:ascii="Courier New" w:cs="Courier New" w:eastAsia="Courier New" w:hAnsi="Courier New"/>
          <w:sz w:val="15"/>
          <w:szCs w:val="15"/>
          <w:color w:val="auto"/>
        </w:rPr>
        <w:t>December 31,</w:t>
      </w:r>
    </w:p>
    <w:p>
      <w:pPr>
        <w:spacing w:after="0" w:line="8" w:lineRule="exact"/>
        <w:rPr>
          <w:sz w:val="20"/>
          <w:szCs w:val="20"/>
          <w:color w:val="auto"/>
        </w:rPr>
      </w:pPr>
    </w:p>
    <w:p>
      <w:pPr>
        <w:ind w:left="6800"/>
        <w:spacing w:after="0"/>
        <w:rPr>
          <w:sz w:val="20"/>
          <w:szCs w:val="20"/>
          <w:color w:val="auto"/>
        </w:rPr>
      </w:pPr>
      <w:r>
        <w:rPr>
          <w:rFonts w:ascii="Courier New" w:cs="Courier New" w:eastAsia="Courier New" w:hAnsi="Courier New"/>
          <w:sz w:val="16"/>
          <w:szCs w:val="16"/>
          <w:color w:val="auto"/>
        </w:rPr>
        <w:t>2003</w:t>
      </w:r>
    </w:p>
    <w:p>
      <w:pPr>
        <w:spacing w:after="0" w:line="1" w:lineRule="exact"/>
        <w:rPr>
          <w:sz w:val="20"/>
          <w:szCs w:val="20"/>
          <w:color w:val="auto"/>
        </w:rPr>
      </w:pPr>
    </w:p>
    <w:p>
      <w:pPr>
        <w:ind w:left="64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41" w:right="1440" w:bottom="1440" w:gutter="0" w:footer="0" w:header="0"/>
        </w:sectPr>
      </w:pPr>
    </w:p>
    <w:p>
      <w:pPr>
        <w:spacing w:after="0" w:line="186" w:lineRule="exact"/>
        <w:rPr>
          <w:sz w:val="20"/>
          <w:szCs w:val="20"/>
          <w:color w:val="auto"/>
        </w:rPr>
      </w:pPr>
    </w:p>
    <w:p>
      <w:pPr>
        <w:ind w:left="280"/>
        <w:spacing w:after="0" w:line="237" w:lineRule="auto"/>
        <w:rPr>
          <w:sz w:val="20"/>
          <w:szCs w:val="20"/>
          <w:color w:val="auto"/>
        </w:rPr>
      </w:pPr>
      <w:r>
        <w:rPr>
          <w:rFonts w:ascii="Courier New" w:cs="Courier New" w:eastAsia="Courier New" w:hAnsi="Courier New"/>
          <w:sz w:val="16"/>
          <w:szCs w:val="16"/>
          <w:color w:val="auto"/>
        </w:rPr>
        <w:t>Contributions made to the Plan per the financial statements Contribution receivable at December 31, 2002</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both"/>
        <w:spacing w:after="0"/>
        <w:tabs>
          <w:tab w:leader="none" w:pos="360" w:val="left"/>
        </w:tabs>
        <w:rPr>
          <w:sz w:val="20"/>
          <w:szCs w:val="20"/>
          <w:color w:val="auto"/>
        </w:rPr>
      </w:pPr>
      <w:r>
        <w:rPr>
          <w:rFonts w:ascii="Courier New" w:cs="Courier New" w:eastAsia="Courier New" w:hAnsi="Courier New"/>
          <w:sz w:val="16"/>
          <w:szCs w:val="16"/>
          <w:color w:val="auto"/>
        </w:rPr>
        <w:t>$</w:t>
        <w:tab/>
        <w:t>3,379,344</w:t>
      </w:r>
    </w:p>
    <w:p>
      <w:pPr>
        <w:spacing w:after="0" w:line="1" w:lineRule="exact"/>
        <w:rPr>
          <w:sz w:val="20"/>
          <w:szCs w:val="20"/>
          <w:color w:val="auto"/>
        </w:rPr>
      </w:pPr>
    </w:p>
    <w:p>
      <w:pPr>
        <w:jc w:val="right"/>
        <w:ind w:right="2759"/>
        <w:spacing w:after="0"/>
        <w:rPr>
          <w:sz w:val="20"/>
          <w:szCs w:val="20"/>
          <w:color w:val="auto"/>
        </w:rPr>
      </w:pPr>
      <w:r>
        <w:rPr>
          <w:rFonts w:ascii="Courier New" w:cs="Courier New" w:eastAsia="Courier New" w:hAnsi="Courier New"/>
          <w:sz w:val="16"/>
          <w:szCs w:val="16"/>
          <w:color w:val="auto"/>
        </w:rPr>
        <w:t>212,865</w:t>
      </w:r>
    </w:p>
    <w:p>
      <w:pPr>
        <w:spacing w:after="0" w:line="1" w:lineRule="exact"/>
        <w:rPr>
          <w:sz w:val="20"/>
          <w:szCs w:val="20"/>
          <w:color w:val="auto"/>
        </w:rPr>
      </w:pPr>
    </w:p>
    <w:p>
      <w:pPr>
        <w:jc w:val="right"/>
        <w:ind w:right="2759"/>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ectPr>
          <w:pgSz w:w="11900" w:h="16838" w:orient="portrait"/>
          <w:cols w:equalWidth="0" w:num="2">
            <w:col w:w="5860" w:space="380"/>
            <w:col w:w="3979"/>
          </w:cols>
          <w:pgMar w:left="240" w:top="841" w:right="1440" w:bottom="1440" w:gutter="0" w:footer="0" w:header="0"/>
          <w:type w:val="continuous"/>
        </w:sectPr>
      </w:pPr>
    </w:p>
    <w:p>
      <w:pPr>
        <w:spacing w:after="0" w:line="3"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Contributions made to the Plan per Form 5500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3,592,209</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520" w:space="720"/>
            <w:col w:w="100" w:space="0"/>
            <w:col w:w="3879"/>
          </w:cols>
          <w:pgMar w:left="240" w:top="84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41" w:right="1440" w:bottom="1440" w:gutter="0" w:footer="0" w:header="0"/>
          <w:type w:val="continuous"/>
        </w:sectPr>
      </w:pPr>
    </w:p>
    <w:bookmarkStart w:id="10" w:name="page11"/>
    <w:bookmarkEnd w:id="10"/>
    <w:p>
      <w:pPr>
        <w:spacing w:after="0" w:line="31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Comcast-Spectacor 401(k) Plan</w:t>
      </w:r>
    </w:p>
    <w:p>
      <w:pPr>
        <w:spacing w:after="0" w:line="183"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EIN 23-2303756</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Plan No. 004</w:t>
      </w:r>
    </w:p>
    <w:p>
      <w:pPr>
        <w:spacing w:after="0" w:line="18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SCHEDULE H - LINE 4i - SCHEDULE OF ASSETS HELD FOR INVESTMENT PURPOSES</w:t>
      </w:r>
    </w:p>
    <w:p>
      <w:pPr>
        <w:spacing w:after="0" w:line="190"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December 31, 2003</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 Description of investment,</w:t>
      </w:r>
    </w:p>
    <w:p>
      <w:pPr>
        <w:spacing w:after="0" w:line="1" w:lineRule="exact"/>
        <w:rPr>
          <w:sz w:val="20"/>
          <w:szCs w:val="20"/>
          <w:color w:val="auto"/>
        </w:rPr>
      </w:pPr>
    </w:p>
    <w:p>
      <w:pPr>
        <w:ind w:left="480"/>
        <w:spacing w:after="0"/>
        <w:tabs>
          <w:tab w:leader="none" w:pos="4140" w:val="left"/>
        </w:tabs>
        <w:rPr>
          <w:sz w:val="20"/>
          <w:szCs w:val="20"/>
          <w:color w:val="auto"/>
        </w:rPr>
      </w:pPr>
      <w:r>
        <w:rPr>
          <w:rFonts w:ascii="Courier New" w:cs="Courier New" w:eastAsia="Courier New" w:hAnsi="Courier New"/>
          <w:sz w:val="16"/>
          <w:szCs w:val="16"/>
          <w:color w:val="auto"/>
        </w:rPr>
        <w:t>b) Identity of</w:t>
      </w:r>
      <w:r>
        <w:rPr>
          <w:sz w:val="20"/>
          <w:szCs w:val="20"/>
          <w:color w:val="auto"/>
        </w:rPr>
        <w:tab/>
      </w:r>
      <w:r>
        <w:rPr>
          <w:rFonts w:ascii="Courier New" w:cs="Courier New" w:eastAsia="Courier New" w:hAnsi="Courier New"/>
          <w:sz w:val="15"/>
          <w:szCs w:val="15"/>
          <w:color w:val="auto"/>
        </w:rPr>
        <w:t>including maturity date,</w:t>
      </w:r>
    </w:p>
    <w:p>
      <w:pPr>
        <w:spacing w:after="0" w:line="1" w:lineRule="exact"/>
        <w:rPr>
          <w:sz w:val="20"/>
          <w:szCs w:val="20"/>
          <w:color w:val="auto"/>
        </w:rPr>
      </w:pPr>
    </w:p>
    <w:p>
      <w:pPr>
        <w:ind w:left="760"/>
        <w:spacing w:after="0"/>
        <w:tabs>
          <w:tab w:leader="none" w:pos="4240" w:val="left"/>
        </w:tabs>
        <w:rPr>
          <w:sz w:val="20"/>
          <w:szCs w:val="20"/>
          <w:color w:val="auto"/>
        </w:rPr>
      </w:pPr>
      <w:r>
        <w:rPr>
          <w:rFonts w:ascii="Courier New" w:cs="Courier New" w:eastAsia="Courier New" w:hAnsi="Courier New"/>
          <w:sz w:val="16"/>
          <w:szCs w:val="16"/>
          <w:color w:val="auto"/>
        </w:rPr>
        <w:t>issue, borrower,</w:t>
      </w:r>
      <w:r>
        <w:rPr>
          <w:sz w:val="20"/>
          <w:szCs w:val="20"/>
          <w:color w:val="auto"/>
        </w:rPr>
        <w:tab/>
      </w:r>
      <w:r>
        <w:rPr>
          <w:rFonts w:ascii="Courier New" w:cs="Courier New" w:eastAsia="Courier New" w:hAnsi="Courier New"/>
          <w:sz w:val="15"/>
          <w:szCs w:val="15"/>
          <w:color w:val="auto"/>
        </w:rPr>
        <w:t>rate of interest, par</w:t>
      </w:r>
    </w:p>
    <w:p>
      <w:pPr>
        <w:spacing w:after="0" w:line="1" w:lineRule="exact"/>
        <w:rPr>
          <w:sz w:val="20"/>
          <w:szCs w:val="20"/>
          <w:color w:val="auto"/>
        </w:rPr>
      </w:pPr>
    </w:p>
    <w:p>
      <w:pPr>
        <w:ind w:left="760"/>
        <w:spacing w:after="0"/>
        <w:tabs>
          <w:tab w:leader="none" w:pos="4420" w:val="left"/>
        </w:tabs>
        <w:rPr>
          <w:sz w:val="20"/>
          <w:szCs w:val="20"/>
          <w:color w:val="auto"/>
        </w:rPr>
      </w:pPr>
      <w:r>
        <w:rPr>
          <w:rFonts w:ascii="Courier New" w:cs="Courier New" w:eastAsia="Courier New" w:hAnsi="Courier New"/>
          <w:sz w:val="16"/>
          <w:szCs w:val="16"/>
          <w:color w:val="auto"/>
        </w:rPr>
        <w:t>lessor or similar party</w:t>
      </w:r>
      <w:r>
        <w:rPr>
          <w:sz w:val="20"/>
          <w:szCs w:val="20"/>
          <w:color w:val="auto"/>
        </w:rPr>
        <w:tab/>
      </w:r>
      <w:r>
        <w:rPr>
          <w:rFonts w:ascii="Courier New" w:cs="Courier New" w:eastAsia="Courier New" w:hAnsi="Courier New"/>
          <w:sz w:val="15"/>
          <w:szCs w:val="15"/>
          <w:color w:val="auto"/>
        </w:rPr>
        <w:t>or maturity value</w:t>
      </w:r>
    </w:p>
    <w:p>
      <w:pPr>
        <w:spacing w:after="0" w:line="5"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5"/>
          <w:szCs w:val="15"/>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 Fair</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or current</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value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sectPr>
          <w:pgSz w:w="11900" w:h="16838" w:orient="portrait"/>
          <w:cols w:equalWidth="0" w:num="3">
            <w:col w:w="840" w:space="200"/>
            <w:col w:w="6800" w:space="300"/>
            <w:col w:w="2079"/>
          </w:cols>
          <w:pgMar w:left="240" w:top="1440" w:right="1440" w:bottom="1440" w:gutter="0" w:footer="0" w:header="0"/>
          <w:type w:val="continuous"/>
        </w:sectPr>
      </w:pPr>
    </w:p>
    <w:p>
      <w:pPr>
        <w:ind w:left="840" w:hanging="559"/>
        <w:spacing w:after="0"/>
        <w:tabs>
          <w:tab w:leader="none" w:pos="8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Salomon Smith Barney</w:t>
      </w:r>
    </w:p>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340" w:type="dxa"/>
            <w:vAlign w:val="bottom"/>
          </w:tcPr>
          <w:p>
            <w:pPr>
              <w:spacing w:after="0"/>
              <w:rPr>
                <w:sz w:val="15"/>
                <w:szCs w:val="15"/>
                <w:color w:val="auto"/>
              </w:rPr>
            </w:pPr>
          </w:p>
        </w:tc>
        <w:tc>
          <w:tcPr>
            <w:tcW w:w="4860" w:type="dxa"/>
            <w:vAlign w:val="bottom"/>
          </w:tcPr>
          <w:p>
            <w:pPr>
              <w:ind w:left="420"/>
              <w:spacing w:after="0"/>
              <w:rPr>
                <w:sz w:val="20"/>
                <w:szCs w:val="20"/>
                <w:color w:val="auto"/>
              </w:rPr>
            </w:pPr>
            <w:r>
              <w:rPr>
                <w:rFonts w:ascii="Courier New" w:cs="Courier New" w:eastAsia="Courier New" w:hAnsi="Courier New"/>
                <w:sz w:val="16"/>
                <w:szCs w:val="16"/>
                <w:color w:val="auto"/>
              </w:rPr>
              <w:t>participant loans receivable</w:t>
            </w:r>
          </w:p>
        </w:tc>
        <w:tc>
          <w:tcPr>
            <w:tcW w:w="20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Participant Loans</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284,370</w:t>
            </w:r>
          </w:p>
        </w:tc>
      </w:tr>
      <w:tr>
        <w:trPr>
          <w:trHeight w:val="182"/>
        </w:trPr>
        <w:tc>
          <w:tcPr>
            <w:tcW w:w="340" w:type="dxa"/>
            <w:vAlign w:val="bottom"/>
          </w:tcPr>
          <w:p>
            <w:pPr>
              <w:spacing w:after="0"/>
              <w:rPr>
                <w:sz w:val="15"/>
                <w:szCs w:val="15"/>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6"/>
                <w:szCs w:val="16"/>
                <w:color w:val="auto"/>
              </w:rPr>
              <w:t>EuroPacific Growth Fund - F Share</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Mutual fund</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1,000,756</w:t>
            </w:r>
          </w:p>
        </w:tc>
      </w:tr>
      <w:tr>
        <w:trPr>
          <w:trHeight w:val="182"/>
        </w:trPr>
        <w:tc>
          <w:tcPr>
            <w:tcW w:w="340" w:type="dxa"/>
            <w:vAlign w:val="bottom"/>
          </w:tcPr>
          <w:p>
            <w:pPr>
              <w:spacing w:after="0"/>
              <w:rPr>
                <w:sz w:val="15"/>
                <w:szCs w:val="15"/>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6"/>
                <w:szCs w:val="16"/>
                <w:color w:val="auto"/>
              </w:rPr>
              <w:t>Washington Mutual Investors Fund - F Share</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Mutual fund</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2,142,975</w:t>
            </w:r>
          </w:p>
        </w:tc>
      </w:tr>
      <w:tr>
        <w:trPr>
          <w:trHeight w:val="182"/>
        </w:trPr>
        <w:tc>
          <w:tcPr>
            <w:tcW w:w="340" w:type="dxa"/>
            <w:vAlign w:val="bottom"/>
          </w:tcPr>
          <w:p>
            <w:pPr>
              <w:spacing w:after="0"/>
              <w:rPr>
                <w:sz w:val="15"/>
                <w:szCs w:val="15"/>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6"/>
                <w:szCs w:val="16"/>
                <w:color w:val="auto"/>
              </w:rPr>
              <w:t>The Growth Fund of America - F Share</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Mutual fund</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2,107,787</w:t>
            </w:r>
          </w:p>
        </w:tc>
      </w:tr>
      <w:tr>
        <w:trPr>
          <w:trHeight w:val="182"/>
        </w:trPr>
        <w:tc>
          <w:tcPr>
            <w:tcW w:w="34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82"/>
              </w:rPr>
              <w:t>*</w:t>
            </w:r>
          </w:p>
        </w:tc>
        <w:tc>
          <w:tcPr>
            <w:tcW w:w="4860" w:type="dxa"/>
            <w:vAlign w:val="bottom"/>
          </w:tcPr>
          <w:p>
            <w:pPr>
              <w:ind w:left="220"/>
              <w:spacing w:after="0"/>
              <w:rPr>
                <w:sz w:val="20"/>
                <w:szCs w:val="20"/>
                <w:color w:val="auto"/>
              </w:rPr>
            </w:pPr>
            <w:r>
              <w:rPr>
                <w:rFonts w:ascii="Courier New" w:cs="Courier New" w:eastAsia="Courier New" w:hAnsi="Courier New"/>
                <w:sz w:val="16"/>
                <w:szCs w:val="16"/>
                <w:color w:val="auto"/>
              </w:rPr>
              <w:t>Comcast Common Stock</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Common Stock</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3,443,585</w:t>
            </w:r>
          </w:p>
        </w:tc>
      </w:tr>
      <w:tr>
        <w:trPr>
          <w:trHeight w:val="182"/>
        </w:trPr>
        <w:tc>
          <w:tcPr>
            <w:tcW w:w="340" w:type="dxa"/>
            <w:vAlign w:val="bottom"/>
          </w:tcPr>
          <w:p>
            <w:pPr>
              <w:spacing w:after="0"/>
              <w:rPr>
                <w:sz w:val="15"/>
                <w:szCs w:val="15"/>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6"/>
                <w:szCs w:val="16"/>
                <w:color w:val="auto"/>
              </w:rPr>
              <w:t>Baron Growth Fund</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Mutual fund</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873,951</w:t>
            </w:r>
          </w:p>
        </w:tc>
      </w:tr>
      <w:tr>
        <w:trPr>
          <w:trHeight w:val="182"/>
        </w:trPr>
        <w:tc>
          <w:tcPr>
            <w:tcW w:w="340" w:type="dxa"/>
            <w:vAlign w:val="bottom"/>
          </w:tcPr>
          <w:p>
            <w:pPr>
              <w:spacing w:after="0"/>
              <w:rPr>
                <w:sz w:val="15"/>
                <w:szCs w:val="15"/>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6"/>
                <w:szCs w:val="16"/>
                <w:color w:val="auto"/>
              </w:rPr>
              <w:t>Cohen and Steers Realty Shares</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Mutual fund</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217,606</w:t>
            </w:r>
          </w:p>
        </w:tc>
      </w:tr>
      <w:tr>
        <w:trPr>
          <w:trHeight w:val="182"/>
        </w:trPr>
        <w:tc>
          <w:tcPr>
            <w:tcW w:w="340" w:type="dxa"/>
            <w:vAlign w:val="bottom"/>
          </w:tcPr>
          <w:p>
            <w:pPr>
              <w:spacing w:after="0"/>
              <w:rPr>
                <w:sz w:val="15"/>
                <w:szCs w:val="15"/>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6"/>
                <w:szCs w:val="16"/>
                <w:color w:val="auto"/>
              </w:rPr>
              <w:t>Dreyfus Appreciation Fund</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Mutual fund</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100,274</w:t>
            </w:r>
          </w:p>
        </w:tc>
      </w:tr>
      <w:tr>
        <w:trPr>
          <w:trHeight w:val="182"/>
        </w:trPr>
        <w:tc>
          <w:tcPr>
            <w:tcW w:w="340" w:type="dxa"/>
            <w:vAlign w:val="bottom"/>
          </w:tcPr>
          <w:p>
            <w:pPr>
              <w:spacing w:after="0"/>
              <w:rPr>
                <w:sz w:val="15"/>
                <w:szCs w:val="15"/>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6"/>
                <w:szCs w:val="16"/>
                <w:color w:val="auto"/>
              </w:rPr>
              <w:t>Dreyfus US Treasury Long Term Fund</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Mutual fund</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224,758</w:t>
            </w:r>
          </w:p>
        </w:tc>
      </w:tr>
      <w:tr>
        <w:trPr>
          <w:trHeight w:val="182"/>
        </w:trPr>
        <w:tc>
          <w:tcPr>
            <w:tcW w:w="340" w:type="dxa"/>
            <w:vAlign w:val="bottom"/>
          </w:tcPr>
          <w:p>
            <w:pPr>
              <w:spacing w:after="0"/>
              <w:rPr>
                <w:sz w:val="15"/>
                <w:szCs w:val="15"/>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6"/>
                <w:szCs w:val="16"/>
                <w:color w:val="auto"/>
              </w:rPr>
              <w:t>Dreyfus Premier Emerging Markets Fund</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Mutual fund</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593,469</w:t>
            </w:r>
          </w:p>
        </w:tc>
      </w:tr>
      <w:tr>
        <w:trPr>
          <w:trHeight w:val="182"/>
        </w:trPr>
        <w:tc>
          <w:tcPr>
            <w:tcW w:w="340" w:type="dxa"/>
            <w:vAlign w:val="bottom"/>
          </w:tcPr>
          <w:p>
            <w:pPr>
              <w:spacing w:after="0"/>
              <w:rPr>
                <w:sz w:val="15"/>
                <w:szCs w:val="15"/>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6"/>
                <w:szCs w:val="16"/>
                <w:color w:val="auto"/>
              </w:rPr>
              <w:t>ING GNMA Income Fund</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Mutual fund</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229,849</w:t>
            </w:r>
          </w:p>
        </w:tc>
      </w:tr>
      <w:tr>
        <w:trPr>
          <w:trHeight w:val="182"/>
        </w:trPr>
        <w:tc>
          <w:tcPr>
            <w:tcW w:w="340" w:type="dxa"/>
            <w:vAlign w:val="bottom"/>
          </w:tcPr>
          <w:p>
            <w:pPr>
              <w:spacing w:after="0"/>
              <w:rPr>
                <w:sz w:val="15"/>
                <w:szCs w:val="15"/>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6"/>
                <w:szCs w:val="16"/>
                <w:color w:val="auto"/>
              </w:rPr>
              <w:t>Janus Balanced Fund</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Mutual fund</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1,214,204</w:t>
            </w:r>
          </w:p>
        </w:tc>
      </w:tr>
      <w:tr>
        <w:trPr>
          <w:trHeight w:val="182"/>
        </w:trPr>
        <w:tc>
          <w:tcPr>
            <w:tcW w:w="340" w:type="dxa"/>
            <w:vAlign w:val="bottom"/>
          </w:tcPr>
          <w:p>
            <w:pPr>
              <w:spacing w:after="0"/>
              <w:rPr>
                <w:sz w:val="15"/>
                <w:szCs w:val="15"/>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6"/>
                <w:szCs w:val="16"/>
                <w:color w:val="auto"/>
              </w:rPr>
              <w:t>Strong Government Securities Fund</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Mutual fund</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1,016,613</w:t>
            </w:r>
          </w:p>
        </w:tc>
      </w:tr>
      <w:tr>
        <w:trPr>
          <w:trHeight w:val="182"/>
        </w:trPr>
        <w:tc>
          <w:tcPr>
            <w:tcW w:w="340" w:type="dxa"/>
            <w:vAlign w:val="bottom"/>
          </w:tcPr>
          <w:p>
            <w:pPr>
              <w:spacing w:after="0"/>
              <w:rPr>
                <w:sz w:val="15"/>
                <w:szCs w:val="15"/>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6"/>
                <w:szCs w:val="16"/>
                <w:color w:val="auto"/>
              </w:rPr>
              <w:t>Royce Total Return Fund</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Mutual fund</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1,061,822</w:t>
            </w:r>
          </w:p>
        </w:tc>
      </w:tr>
      <w:tr>
        <w:trPr>
          <w:trHeight w:val="182"/>
        </w:trPr>
        <w:tc>
          <w:tcPr>
            <w:tcW w:w="340" w:type="dxa"/>
            <w:vAlign w:val="bottom"/>
          </w:tcPr>
          <w:p>
            <w:pPr>
              <w:spacing w:after="0"/>
              <w:rPr>
                <w:sz w:val="15"/>
                <w:szCs w:val="15"/>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6"/>
                <w:szCs w:val="16"/>
                <w:color w:val="auto"/>
              </w:rPr>
              <w:t>Smith Barney Money Market - Government Portfolio</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Mutual fund</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1,445,111</w:t>
            </w:r>
          </w:p>
        </w:tc>
      </w:tr>
      <w:tr>
        <w:trPr>
          <w:trHeight w:val="182"/>
        </w:trPr>
        <w:tc>
          <w:tcPr>
            <w:tcW w:w="340" w:type="dxa"/>
            <w:vAlign w:val="bottom"/>
          </w:tcPr>
          <w:p>
            <w:pPr>
              <w:spacing w:after="0"/>
              <w:rPr>
                <w:sz w:val="15"/>
                <w:szCs w:val="15"/>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6"/>
                <w:szCs w:val="16"/>
                <w:color w:val="auto"/>
              </w:rPr>
              <w:t>T Rowe Price International Bond Advisor</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Mutual fund</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128,256</w:t>
            </w:r>
          </w:p>
        </w:tc>
      </w:tr>
      <w:tr>
        <w:trPr>
          <w:trHeight w:val="182"/>
        </w:trPr>
        <w:tc>
          <w:tcPr>
            <w:tcW w:w="340" w:type="dxa"/>
            <w:vAlign w:val="bottom"/>
          </w:tcPr>
          <w:p>
            <w:pPr>
              <w:spacing w:after="0"/>
              <w:rPr>
                <w:sz w:val="15"/>
                <w:szCs w:val="15"/>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6"/>
                <w:szCs w:val="16"/>
                <w:color w:val="auto"/>
              </w:rPr>
              <w:t>Navellier Mid Cap Growth</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Mutual fund</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236,778</w:t>
            </w:r>
          </w:p>
        </w:tc>
      </w:tr>
      <w:tr>
        <w:trPr>
          <w:trHeight w:val="182"/>
        </w:trPr>
        <w:tc>
          <w:tcPr>
            <w:tcW w:w="340" w:type="dxa"/>
            <w:vAlign w:val="bottom"/>
          </w:tcPr>
          <w:p>
            <w:pPr>
              <w:spacing w:after="0"/>
              <w:rPr>
                <w:sz w:val="15"/>
                <w:szCs w:val="15"/>
                <w:color w:val="auto"/>
              </w:rPr>
            </w:pPr>
          </w:p>
        </w:tc>
        <w:tc>
          <w:tcPr>
            <w:tcW w:w="4860" w:type="dxa"/>
            <w:vAlign w:val="bottom"/>
          </w:tcPr>
          <w:p>
            <w:pPr>
              <w:ind w:left="220"/>
              <w:spacing w:after="0"/>
              <w:rPr>
                <w:sz w:val="20"/>
                <w:szCs w:val="20"/>
                <w:color w:val="auto"/>
              </w:rPr>
            </w:pPr>
            <w:r>
              <w:rPr>
                <w:rFonts w:ascii="Courier New" w:cs="Courier New" w:eastAsia="Courier New" w:hAnsi="Courier New"/>
                <w:sz w:val="16"/>
                <w:szCs w:val="16"/>
                <w:color w:val="auto"/>
              </w:rPr>
              <w:t>Credit Suisse Global Fixed Income Fund</w:t>
            </w:r>
          </w:p>
        </w:tc>
        <w:tc>
          <w:tcPr>
            <w:tcW w:w="20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Mutual fund</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bl>
    <w:p>
      <w:pPr>
        <w:spacing w:after="0" w:line="5" w:lineRule="exact"/>
        <w:rPr>
          <w:sz w:val="20"/>
          <w:szCs w:val="20"/>
          <w:color w:val="auto"/>
        </w:rPr>
      </w:pPr>
    </w:p>
    <w:p>
      <w:pPr>
        <w:ind w:left="76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7840"/>
        <w:spacing w:after="0"/>
        <w:rPr>
          <w:sz w:val="20"/>
          <w:szCs w:val="20"/>
          <w:color w:val="auto"/>
        </w:rPr>
      </w:pPr>
      <w:r>
        <w:rPr>
          <w:rFonts w:ascii="Courier New" w:cs="Courier New" w:eastAsia="Courier New" w:hAnsi="Courier New"/>
          <w:sz w:val="16"/>
          <w:szCs w:val="16"/>
          <w:color w:val="auto"/>
        </w:rPr>
        <w:t>$ 16,322,173</w:t>
      </w:r>
    </w:p>
    <w:p>
      <w:pPr>
        <w:spacing w:after="0" w:line="1" w:lineRule="exact"/>
        <w:rPr>
          <w:sz w:val="20"/>
          <w:szCs w:val="20"/>
          <w:color w:val="auto"/>
        </w:rPr>
      </w:pPr>
    </w:p>
    <w:p>
      <w:pPr>
        <w:jc w:val="right"/>
        <w:ind w:right="1139"/>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*Party-in-interest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1440" w:right="1440" w:bottom="1440" w:gutter="0" w:footer="0" w:header="0"/>
          <w:type w:val="continuous"/>
        </w:sectPr>
      </w:pPr>
    </w:p>
    <w:bookmarkStart w:id="11" w:name="page12"/>
    <w:bookmarkEnd w:id="11"/>
    <w:p>
      <w:pPr>
        <w:ind w:left="1140"/>
        <w:spacing w:after="0"/>
        <w:rPr>
          <w:sz w:val="20"/>
          <w:szCs w:val="20"/>
          <w:color w:val="auto"/>
        </w:rPr>
      </w:pPr>
      <w:r>
        <w:rPr>
          <w:rFonts w:ascii="Courier New" w:cs="Courier New" w:eastAsia="Courier New" w:hAnsi="Courier New"/>
          <w:sz w:val="16"/>
          <w:szCs w:val="16"/>
          <w:color w:val="auto"/>
        </w:rPr>
        <w:t>Consent of Independent Registered Public Accounting Firm</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jc w:val="both"/>
        <w:ind w:right="2659" w:firstLine="851"/>
        <w:spacing w:after="0" w:line="239" w:lineRule="auto"/>
        <w:rPr>
          <w:sz w:val="20"/>
          <w:szCs w:val="20"/>
          <w:color w:val="auto"/>
        </w:rPr>
      </w:pPr>
      <w:r>
        <w:rPr>
          <w:rFonts w:ascii="Courier New" w:cs="Courier New" w:eastAsia="Courier New" w:hAnsi="Courier New"/>
          <w:sz w:val="16"/>
          <w:szCs w:val="16"/>
          <w:color w:val="auto"/>
        </w:rPr>
        <w:t>We have issued our report dated June 11, 2004, accompanying the financial statements and supplemental schedule of Comcast-Spectacor 401(k) Plan on Form 11-K for the year ended December 31, 2003. We hereby consent to the incorporation by reference of said report in the Registration Statement of Comcast Corporation on Form S-8 (File No. 333-101295, effective 11/19/02).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Grant Thornton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28,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1205" w:right="1440" w:bottom="1440" w:gutter="0" w:footer="0" w:header="0"/>
        </w:sectPr>
      </w:pPr>
    </w:p>
    <w:bookmarkStart w:id="12" w:name="page13"/>
    <w:bookmarkEnd w:id="12"/>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w:t>
      </w:r>
    </w:p>
    <w:p>
      <w:pPr>
        <w:spacing w:after="0" w:line="368"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COMCAST-SPECTACOR</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401(k) PLAN</w:t>
      </w:r>
    </w:p>
    <w:p>
      <w:pPr>
        <w:sectPr>
          <w:pgSz w:w="11900" w:h="16838" w:orient="portrait"/>
          <w:cols w:equalWidth="0" w:num="1">
            <w:col w:w="10219"/>
          </w:cols>
          <w:pgMar w:left="240" w:top="1023" w:right="1440" w:bottom="1440" w:gutter="0" w:footer="0" w:header="0"/>
        </w:sectPr>
      </w:pPr>
    </w:p>
    <w:p>
      <w:pPr>
        <w:spacing w:after="0" w:line="368"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ectPr>
          <w:pgSz w:w="11900" w:h="16838" w:orient="portrait"/>
          <w:cols w:equalWidth="0" w:num="2">
            <w:col w:w="4540" w:space="180"/>
            <w:col w:w="5499"/>
          </w:cols>
          <w:pgMar w:left="240" w:top="1023" w:right="1440" w:bottom="1440" w:gutter="0" w:footer="0" w:header="0"/>
          <w:type w:val="continuous"/>
        </w:sect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28, 2004</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Lawrence J. Salva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Lawrence J. Salva</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Senior Vice President and</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Controller</w:t>
      </w:r>
    </w:p>
    <w:p>
      <w:pPr>
        <w:spacing w:after="0" w:line="200" w:lineRule="exact"/>
        <w:rPr>
          <w:sz w:val="20"/>
          <w:szCs w:val="20"/>
          <w:color w:val="auto"/>
        </w:rPr>
      </w:pPr>
    </w:p>
    <w:p>
      <w:pPr>
        <w:sectPr>
          <w:pgSz w:w="11900" w:h="16838" w:orient="portrait"/>
          <w:cols w:equalWidth="0" w:num="3">
            <w:col w:w="3540" w:space="720"/>
            <w:col w:w="280" w:space="180"/>
            <w:col w:w="5499"/>
          </w:cols>
          <w:pgMar w:left="240" w:top="1023" w:right="1440"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sectPr>
      <w:pgSz w:w="11900" w:h="16838" w:orient="portrait"/>
      <w:cols w:equalWidth="0" w:num="1">
        <w:col w:w="10219"/>
      </w:cols>
      <w:pgMar w:left="240" w:top="10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o"/>
      <w:numFmt w:val="bullet"/>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decimal"/>
      <w:start w:val="6"/>
    </w:lvl>
  </w:abstractNum>
  <w:abstractNum w:abstractNumId="8">
    <w:nsid w:val="1190CDE7"/>
    <w:multiLevelType w:val="hybridMultilevel"/>
    <w:lvl w:ilvl="0">
      <w:lvlJc w:val="left"/>
      <w:lvlText w:val="%1."/>
      <w:numFmt w:val="decimal"/>
      <w:start w:val="7"/>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2"/>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2019-12-15T07:02:40Z</dcterms:created>
  <dcterms:modified xsi:type="dcterms:W3CDTF">2019-12-15T07:02:40Z</dcterms:modified>
</cp:coreProperties>
</file>