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The Securities Exchange Act of 1934</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25, 2018</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(State or Other Jurisdiction of Incorporation)</w:t>
      </w:r>
    </w:p>
    <w:p>
      <w:pPr>
        <w:spacing w:after="0" w:line="192"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60" w:type="dxa"/>
            <w:vAlign w:val="bottom"/>
          </w:tcPr>
          <w:p>
            <w:pPr>
              <w:jc w:val="center"/>
              <w:ind w:right="1737"/>
              <w:spacing w:after="0"/>
              <w:rPr>
                <w:sz w:val="20"/>
                <w:szCs w:val="20"/>
                <w:color w:val="auto"/>
              </w:rPr>
            </w:pPr>
            <w:r>
              <w:rPr>
                <w:rFonts w:ascii="Arial" w:cs="Arial" w:eastAsia="Arial" w:hAnsi="Arial"/>
                <w:sz w:val="18"/>
                <w:szCs w:val="18"/>
                <w:b w:val="1"/>
                <w:bCs w:val="1"/>
                <w:color w:val="auto"/>
                <w:w w:val="90"/>
              </w:rPr>
              <w:t>001-32871</w:t>
            </w:r>
          </w:p>
        </w:tc>
        <w:tc>
          <w:tcPr>
            <w:tcW w:w="3820" w:type="dxa"/>
            <w:vAlign w:val="bottom"/>
          </w:tcPr>
          <w:p>
            <w:pPr>
              <w:jc w:val="center"/>
              <w:ind w:left="1739"/>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4160" w:type="dxa"/>
            <w:vAlign w:val="bottom"/>
          </w:tcPr>
          <w:p>
            <w:pPr>
              <w:jc w:val="center"/>
              <w:ind w:right="1737"/>
              <w:spacing w:after="0"/>
              <w:rPr>
                <w:sz w:val="20"/>
                <w:szCs w:val="20"/>
                <w:color w:val="auto"/>
              </w:rPr>
            </w:pPr>
            <w:r>
              <w:rPr>
                <w:rFonts w:ascii="Arial" w:cs="Arial" w:eastAsia="Arial" w:hAnsi="Arial"/>
                <w:sz w:val="14"/>
                <w:szCs w:val="14"/>
                <w:color w:val="auto"/>
                <w:w w:val="94"/>
              </w:rPr>
              <w:t>(Commission File Number)</w:t>
            </w:r>
          </w:p>
        </w:tc>
        <w:tc>
          <w:tcPr>
            <w:tcW w:w="3820" w:type="dxa"/>
            <w:vAlign w:val="bottom"/>
          </w:tcPr>
          <w:p>
            <w:pPr>
              <w:jc w:val="center"/>
              <w:ind w:left="1759"/>
              <w:spacing w:after="0"/>
              <w:rPr>
                <w:sz w:val="20"/>
                <w:szCs w:val="20"/>
                <w:color w:val="auto"/>
              </w:rPr>
            </w:pPr>
            <w:r>
              <w:rPr>
                <w:rFonts w:ascii="Arial" w:cs="Arial" w:eastAsia="Arial" w:hAnsi="Arial"/>
                <w:sz w:val="14"/>
                <w:szCs w:val="14"/>
                <w:color w:val="auto"/>
                <w:w w:val="97"/>
              </w:rPr>
              <w:t>(IRS Employer Identification No.)</w:t>
            </w:r>
          </w:p>
        </w:tc>
      </w:tr>
      <w:tr>
        <w:trPr>
          <w:trHeight w:val="399"/>
        </w:trPr>
        <w:tc>
          <w:tcPr>
            <w:tcW w:w="4160" w:type="dxa"/>
            <w:vAlign w:val="bottom"/>
          </w:tcPr>
          <w:p>
            <w:pPr>
              <w:jc w:val="center"/>
              <w:ind w:right="1737"/>
              <w:spacing w:after="0"/>
              <w:rPr>
                <w:sz w:val="20"/>
                <w:szCs w:val="20"/>
                <w:color w:val="auto"/>
              </w:rPr>
            </w:pPr>
            <w:r>
              <w:rPr>
                <w:rFonts w:ascii="Arial" w:cs="Arial" w:eastAsia="Arial" w:hAnsi="Arial"/>
                <w:sz w:val="18"/>
                <w:szCs w:val="18"/>
                <w:b w:val="1"/>
                <w:bCs w:val="1"/>
                <w:color w:val="auto"/>
                <w:w w:val="90"/>
              </w:rPr>
              <w:t>One Comcast Center</w:t>
            </w:r>
          </w:p>
        </w:tc>
        <w:tc>
          <w:tcPr>
            <w:tcW w:w="3820" w:type="dxa"/>
            <w:vAlign w:val="bottom"/>
          </w:tcPr>
          <w:p>
            <w:pPr>
              <w:spacing w:after="0"/>
              <w:rPr>
                <w:sz w:val="24"/>
                <w:szCs w:val="24"/>
                <w:color w:val="auto"/>
              </w:rPr>
            </w:pPr>
          </w:p>
        </w:tc>
      </w:tr>
      <w:tr>
        <w:trPr>
          <w:trHeight w:val="216"/>
        </w:trPr>
        <w:tc>
          <w:tcPr>
            <w:tcW w:w="4160" w:type="dxa"/>
            <w:vAlign w:val="bottom"/>
          </w:tcPr>
          <w:p>
            <w:pPr>
              <w:jc w:val="center"/>
              <w:ind w:right="1737"/>
              <w:spacing w:after="0"/>
              <w:rPr>
                <w:sz w:val="20"/>
                <w:szCs w:val="20"/>
                <w:color w:val="auto"/>
              </w:rPr>
            </w:pPr>
            <w:r>
              <w:rPr>
                <w:rFonts w:ascii="Arial" w:cs="Arial" w:eastAsia="Arial" w:hAnsi="Arial"/>
                <w:sz w:val="18"/>
                <w:szCs w:val="18"/>
                <w:b w:val="1"/>
                <w:bCs w:val="1"/>
                <w:color w:val="auto"/>
                <w:w w:val="92"/>
              </w:rPr>
              <w:t>Philadelphia, PA</w:t>
            </w:r>
          </w:p>
        </w:tc>
        <w:tc>
          <w:tcPr>
            <w:tcW w:w="3820" w:type="dxa"/>
            <w:vAlign w:val="bottom"/>
          </w:tcPr>
          <w:p>
            <w:pPr>
              <w:jc w:val="center"/>
              <w:ind w:left="1739"/>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4160" w:type="dxa"/>
            <w:vAlign w:val="bottom"/>
          </w:tcPr>
          <w:p>
            <w:pPr>
              <w:jc w:val="center"/>
              <w:ind w:right="1737"/>
              <w:spacing w:after="0"/>
              <w:rPr>
                <w:sz w:val="20"/>
                <w:szCs w:val="20"/>
                <w:color w:val="auto"/>
              </w:rPr>
            </w:pPr>
            <w:r>
              <w:rPr>
                <w:rFonts w:ascii="Arial" w:cs="Arial" w:eastAsia="Arial" w:hAnsi="Arial"/>
                <w:sz w:val="14"/>
                <w:szCs w:val="14"/>
                <w:color w:val="auto"/>
                <w:w w:val="95"/>
              </w:rPr>
              <w:t>(Address of Principal Executive Offices)</w:t>
            </w:r>
          </w:p>
        </w:tc>
        <w:tc>
          <w:tcPr>
            <w:tcW w:w="3820" w:type="dxa"/>
            <w:vAlign w:val="bottom"/>
          </w:tcPr>
          <w:p>
            <w:pPr>
              <w:jc w:val="center"/>
              <w:ind w:left="1739"/>
              <w:spacing w:after="0"/>
              <w:rPr>
                <w:sz w:val="20"/>
                <w:szCs w:val="20"/>
                <w:color w:val="auto"/>
              </w:rPr>
            </w:pPr>
            <w:r>
              <w:rPr>
                <w:rFonts w:ascii="Arial" w:cs="Arial" w:eastAsia="Arial" w:hAnsi="Arial"/>
                <w:sz w:val="14"/>
                <w:szCs w:val="14"/>
                <w:color w:val="auto"/>
                <w:w w:val="96"/>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68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25, 2018, Comcast Corporation (“Comcast”) issued a press release reporting the results of its operations for the three and nine months ended September 30, 2018.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80"/>
        <w:spacing w:after="0"/>
        <w:tabs>
          <w:tab w:leader="none" w:pos="14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0"/>
          <w:szCs w:val="20"/>
          <w:color w:val="auto"/>
        </w:rPr>
      </w:pPr>
    </w:p>
    <w:p>
      <w:pPr>
        <w:ind w:left="640"/>
        <w:spacing w:after="0"/>
        <w:tabs>
          <w:tab w:leader="none" w:pos="14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Comcast Corporation press release dated October 25, 2018.</w:t>
        </w:r>
      </w:hyperlink>
    </w:p>
    <w:p>
      <w:pPr>
        <w:spacing w:after="0" w:line="23" w:lineRule="exact"/>
        <w:rPr>
          <w:sz w:val="20"/>
          <w:szCs w:val="20"/>
          <w:color w:val="auto"/>
        </w:rPr>
      </w:pPr>
    </w:p>
    <w:p>
      <w:pPr>
        <w:ind w:left="640"/>
        <w:spacing w:after="0"/>
        <w:tabs>
          <w:tab w:leader="none" w:pos="144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16">
        <w:r>
          <w:rPr>
            <w:rFonts w:ascii="Arial" w:cs="Arial" w:eastAsia="Arial" w:hAnsi="Arial"/>
            <w:sz w:val="16"/>
            <w:szCs w:val="16"/>
            <w:u w:val="single" w:color="auto"/>
            <w:color w:val="0000EE"/>
          </w:rPr>
          <w:t>Explanation of Non-GAAP and Other Financial Measures.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2"/>
          </w:tcPr>
          <w:p>
            <w:pPr>
              <w:ind w:left="166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October 25, 2018</w:t>
            </w:r>
          </w:p>
        </w:tc>
        <w:tc>
          <w:tcPr>
            <w:tcW w:w="7880" w:type="dxa"/>
            <w:vAlign w:val="bottom"/>
            <w:gridSpan w:val="2"/>
          </w:tcPr>
          <w:p>
            <w:pPr>
              <w:ind w:left="1660"/>
              <w:spacing w:after="0"/>
              <w:rPr>
                <w:sz w:val="20"/>
                <w:szCs w:val="20"/>
                <w:color w:val="auto"/>
              </w:rPr>
            </w:pPr>
            <w:r>
              <w:rPr>
                <w:rFonts w:ascii="Arial" w:cs="Arial" w:eastAsia="Arial" w:hAnsi="Arial"/>
                <w:sz w:val="18"/>
                <w:szCs w:val="18"/>
                <w:color w:val="auto"/>
              </w:rPr>
              <w:t>By:   /s/ Daniel C. Murdock</w:t>
            </w:r>
          </w:p>
        </w:tc>
        <w:tc>
          <w:tcPr>
            <w:tcW w:w="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C. Murdock</w:t>
            </w:r>
          </w:p>
        </w:tc>
        <w:tc>
          <w:tcPr>
            <w:tcW w:w="4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Senior Vice President, Chief Accounting Officer and Controller</w:t>
            </w:r>
          </w:p>
        </w:tc>
        <w:tc>
          <w:tcPr>
            <w:tcW w:w="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191135</wp:posOffset>
            </wp:positionV>
            <wp:extent cx="1372235" cy="540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2235" cy="54038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8700"/>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3060"/>
        <w:spacing w:after="0"/>
        <w:rPr>
          <w:sz w:val="20"/>
          <w:szCs w:val="20"/>
          <w:color w:val="auto"/>
        </w:rPr>
      </w:pPr>
      <w:r>
        <w:rPr>
          <w:rFonts w:ascii="Arial" w:cs="Arial" w:eastAsia="Arial" w:hAnsi="Arial"/>
          <w:sz w:val="22"/>
          <w:szCs w:val="22"/>
          <w:b w:val="1"/>
          <w:bCs w:val="1"/>
          <w:u w:val="single" w:color="auto"/>
          <w:color w:val="auto"/>
        </w:rPr>
        <w:t>COMCAST REPORTS 3rd QUARTER 2018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3rd Quarter 2018 Highlights:</w:t>
      </w:r>
    </w:p>
    <w:p>
      <w:pPr>
        <w:spacing w:after="0" w:line="220"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 Increased 5.0%; Net Income Attributable to Comcast Increased 9.3%; Adjusted EBITDA Increased 2.5%</w:t>
      </w:r>
    </w:p>
    <w:p>
      <w:pPr>
        <w:spacing w:after="0" w:line="21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$6.0 Billion; Free Cash Flow was $3.1 Billion</w:t>
      </w:r>
    </w:p>
    <w:p>
      <w:pPr>
        <w:spacing w:after="0" w:line="21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Increased by 12.7% to $0.62; On an Adjusted Basis, Earnings per Share Increased 27.5% to $0.65</w:t>
      </w:r>
    </w:p>
    <w:p>
      <w:pPr>
        <w:spacing w:after="0" w:line="21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Dividends Paid Totaled $871 Million and Share Repurchases were $1.3 Billion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3rd Quarter 2018 Highlights:</w:t>
      </w:r>
    </w:p>
    <w:p>
      <w:pPr>
        <w:spacing w:after="0" w:line="220"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Revenue Increased 3.4%; Adjusted EBITDA Increased 7.6%</w:t>
      </w:r>
    </w:p>
    <w:p>
      <w:pPr>
        <w:spacing w:after="0" w:line="21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Customer Relationships Increased 3.4% Year-Over-Year to 30.1 Million, Including Net Additions of 288,000 in the Quarter</w:t>
      </w:r>
    </w:p>
    <w:p>
      <w:pPr>
        <w:spacing w:after="0" w:line="21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per Customer Relationship Increased 4.4%</w:t>
      </w:r>
    </w:p>
    <w:p>
      <w:pPr>
        <w:spacing w:after="0" w:line="211" w:lineRule="exact"/>
        <w:rPr>
          <w:rFonts w:ascii="Arial" w:cs="Arial" w:eastAsia="Arial" w:hAnsi="Arial"/>
          <w:sz w:val="18"/>
          <w:szCs w:val="18"/>
          <w:color w:val="auto"/>
        </w:rPr>
      </w:pPr>
    </w:p>
    <w:p>
      <w:pPr>
        <w:ind w:left="660" w:right="20" w:hanging="328"/>
        <w:spacing w:after="0" w:line="262" w:lineRule="auto"/>
        <w:tabs>
          <w:tab w:leader="none" w:pos="783"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High-Speed Internet Residential Revenue Increased 9.6%; Business Services Revenue Increased 10.6%; Total High-Speed Internet Customers Increased by 363,000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3rd Quarter 2018 Highlights:</w:t>
      </w:r>
    </w:p>
    <w:p>
      <w:pPr>
        <w:spacing w:after="0" w:line="220" w:lineRule="exact"/>
        <w:rPr>
          <w:sz w:val="20"/>
          <w:szCs w:val="20"/>
          <w:color w:val="auto"/>
        </w:rPr>
      </w:pPr>
    </w:p>
    <w:p>
      <w:pPr>
        <w:ind w:left="660" w:right="200" w:hanging="328"/>
        <w:spacing w:after="0" w:line="262" w:lineRule="auto"/>
        <w:tabs>
          <w:tab w:leader="none" w:pos="621"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 Revenue Increased 8.1%; Adjusted EBITDA Decreased 8.5%, Reflecting Tough Comparisons at Filmed Entertainment and Weather-Related Disruptions at Theme Parks</w:t>
      </w:r>
    </w:p>
    <w:p>
      <w:pPr>
        <w:spacing w:after="0" w:line="16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Cable Networks and Broadcast Television Collectively Increased Adjusted EBITDA 5.6%</w:t>
      </w:r>
    </w:p>
    <w:p>
      <w:pPr>
        <w:spacing w:after="0" w:line="211" w:lineRule="exact"/>
        <w:rPr>
          <w:rFonts w:ascii="Arial" w:cs="Arial" w:eastAsia="Arial" w:hAnsi="Arial"/>
          <w:sz w:val="18"/>
          <w:szCs w:val="18"/>
          <w:color w:val="auto"/>
        </w:rPr>
      </w:pPr>
    </w:p>
    <w:p>
      <w:pPr>
        <w:ind w:left="660" w:right="240" w:hanging="328"/>
        <w:spacing w:after="0" w:line="262" w:lineRule="auto"/>
        <w:tabs>
          <w:tab w:leader="none" w:pos="621"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2017-2018 Season, NBC Ranked #1 in Primetime in Total Viewers for the First Time in 16 Years and Ranked #1 in Primetime Among Adults 18-49 for the Fifth Consecutive Year</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PHILADELPHIA - October 25, 2018… Comcast Corporation (NASDAQ: CMCSA) today reported results for the quarter ended September 30, 2018.</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Brian L. Roberts, Chairman and Chief Executive Officer of Comcast Corporation, said, “This is an exciting and important time in Comcast’s history. To highlight a few of the achievements in our businesses this quarter, Comcast Cable’s EBITDA growth was the fastest in six years, and customer relationship growth accelerated, driven by the best broadband net additions for a third quarter in ten years. At NBCUniversal, our TV businesses continued their strong performance. NBC finished the 52-week season ranked #1 in total viewers for the first time in 16 years and #1 in adults 18-49 for the fifth consecutive season, and is off to a great start in the new season. Our recently completed acquisition of Sky is transformative for our company, helping create a unique global leader in media, technology, television and broadband.”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vMerge w:val="restart"/>
          </w:tcPr>
          <w:p>
            <w:pPr>
              <w:ind w:left="40"/>
              <w:spacing w:after="0"/>
              <w:rPr>
                <w:sz w:val="20"/>
                <w:szCs w:val="20"/>
                <w:color w:val="auto"/>
              </w:rPr>
            </w:pPr>
            <w:r>
              <w:rPr>
                <w:rFonts w:ascii="Arial" w:cs="Arial" w:eastAsia="Arial" w:hAnsi="Arial"/>
                <w:sz w:val="11"/>
                <w:szCs w:val="11"/>
                <w:i w:val="1"/>
                <w:iCs w:val="1"/>
                <w:color w:val="auto"/>
              </w:rPr>
              <w:t>($ in millions)</w:t>
            </w:r>
          </w:p>
        </w:tc>
        <w:tc>
          <w:tcPr>
            <w:tcW w:w="1920" w:type="dxa"/>
            <w:vAlign w:val="bottom"/>
            <w:vMerge w:val="restart"/>
          </w:tcPr>
          <w:p>
            <w:pPr>
              <w:jc w:val="right"/>
              <w:ind w:right="188"/>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3rd Quarter</w:t>
            </w:r>
          </w:p>
        </w:tc>
        <w:tc>
          <w:tcPr>
            <w:tcW w:w="124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Year to Date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00" w:type="dxa"/>
            <w:vAlign w:val="bottom"/>
            <w:tcBorders>
              <w:bottom w:val="single" w:sz="8" w:color="auto"/>
            </w:tcBorders>
            <w:vMerge w:val="continue"/>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2018</w:t>
            </w: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Growth</w:t>
            </w:r>
          </w:p>
        </w:tc>
        <w:tc>
          <w:tcPr>
            <w:tcW w:w="112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76"/>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1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$21,081</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$22,135</w:t>
            </w: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5.0%</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$62,954</w:t>
            </w: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$66,661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9"/>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Comcast</w:t>
            </w:r>
          </w:p>
        </w:tc>
        <w:tc>
          <w:tcPr>
            <w:tcW w:w="1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$2,642</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$2,886</w:t>
            </w: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9.3%</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$7,736</w:t>
            </w: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$9,220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69"/>
        </w:trPr>
        <w:tc>
          <w:tcPr>
            <w:tcW w:w="3500" w:type="dxa"/>
            <w:vAlign w:val="bottom"/>
            <w:tcBorders>
              <w:bottom w:val="single" w:sz="8" w:color="auto"/>
            </w:tcBorders>
          </w:tcPr>
          <w:p>
            <w:pPr>
              <w:ind w:left="40"/>
              <w:spacing w:after="0" w:line="169" w:lineRule="exact"/>
              <w:rPr>
                <w:sz w:val="20"/>
                <w:szCs w:val="20"/>
                <w:color w:val="auto"/>
              </w:rPr>
            </w:pPr>
            <w:r>
              <w:rPr>
                <w:rFonts w:ascii="Arial" w:cs="Arial" w:eastAsia="Arial" w:hAnsi="Arial"/>
                <w:sz w:val="13"/>
                <w:szCs w:val="13"/>
                <w:color w:val="auto"/>
              </w:rPr>
              <w:t>Adjusted EBITDA</w:t>
            </w:r>
            <w:r>
              <w:rPr>
                <w:rFonts w:ascii="Arial" w:cs="Arial" w:eastAsia="Arial" w:hAnsi="Arial"/>
                <w:sz w:val="19"/>
                <w:szCs w:val="19"/>
                <w:color w:val="auto"/>
                <w:vertAlign w:val="superscript"/>
              </w:rPr>
              <w:t>1</w:t>
            </w:r>
          </w:p>
        </w:tc>
        <w:tc>
          <w:tcPr>
            <w:tcW w:w="1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$7,133</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$7,313</w:t>
            </w: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2.5%</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$21,218</w:t>
            </w: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$21,974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0"/>
        </w:trPr>
        <w:tc>
          <w:tcPr>
            <w:tcW w:w="3500" w:type="dxa"/>
            <w:vAlign w:val="bottom"/>
          </w:tcPr>
          <w:p>
            <w:pPr>
              <w:ind w:left="40"/>
              <w:spacing w:after="0" w:line="160" w:lineRule="exact"/>
              <w:rPr>
                <w:sz w:val="20"/>
                <w:szCs w:val="20"/>
                <w:color w:val="auto"/>
              </w:rPr>
            </w:pPr>
            <w:r>
              <w:rPr>
                <w:rFonts w:ascii="Arial" w:cs="Arial" w:eastAsia="Arial" w:hAnsi="Arial"/>
                <w:sz w:val="13"/>
                <w:szCs w:val="13"/>
                <w:color w:val="auto"/>
              </w:rPr>
              <w:t>Earnings per Share</w:t>
            </w:r>
            <w:r>
              <w:rPr>
                <w:rFonts w:ascii="Arial" w:cs="Arial" w:eastAsia="Arial" w:hAnsi="Arial"/>
                <w:sz w:val="18"/>
                <w:szCs w:val="18"/>
                <w:color w:val="auto"/>
                <w:vertAlign w:val="superscript"/>
              </w:rPr>
              <w:t>2</w:t>
            </w:r>
          </w:p>
        </w:tc>
        <w:tc>
          <w:tcPr>
            <w:tcW w:w="1920" w:type="dxa"/>
            <w:vAlign w:val="bottom"/>
          </w:tcPr>
          <w:p>
            <w:pPr>
              <w:jc w:val="right"/>
              <w:ind w:right="188"/>
              <w:spacing w:after="0" w:line="160" w:lineRule="exact"/>
              <w:rPr>
                <w:sz w:val="20"/>
                <w:szCs w:val="20"/>
                <w:color w:val="auto"/>
              </w:rPr>
            </w:pPr>
            <w:r>
              <w:rPr>
                <w:rFonts w:ascii="Arial" w:cs="Arial" w:eastAsia="Arial" w:hAnsi="Arial"/>
                <w:sz w:val="14"/>
                <w:szCs w:val="14"/>
                <w:color w:val="auto"/>
              </w:rPr>
              <w:t>$0.55</w:t>
            </w:r>
          </w:p>
        </w:tc>
        <w:tc>
          <w:tcPr>
            <w:tcW w:w="1380" w:type="dxa"/>
            <w:vAlign w:val="bottom"/>
          </w:tcPr>
          <w:p>
            <w:pPr>
              <w:jc w:val="right"/>
              <w:ind w:right="328"/>
              <w:spacing w:after="0" w:line="160" w:lineRule="exact"/>
              <w:rPr>
                <w:sz w:val="20"/>
                <w:szCs w:val="20"/>
                <w:color w:val="auto"/>
              </w:rPr>
            </w:pPr>
            <w:r>
              <w:rPr>
                <w:rFonts w:ascii="Arial" w:cs="Arial" w:eastAsia="Arial" w:hAnsi="Arial"/>
                <w:sz w:val="14"/>
                <w:szCs w:val="14"/>
                <w:color w:val="auto"/>
              </w:rPr>
              <w:t>$0.62</w:t>
            </w:r>
          </w:p>
        </w:tc>
        <w:tc>
          <w:tcPr>
            <w:tcW w:w="1240" w:type="dxa"/>
            <w:vAlign w:val="bottom"/>
          </w:tcPr>
          <w:p>
            <w:pPr>
              <w:jc w:val="right"/>
              <w:ind w:right="308"/>
              <w:spacing w:after="0" w:line="160" w:lineRule="exact"/>
              <w:rPr>
                <w:sz w:val="20"/>
                <w:szCs w:val="20"/>
                <w:color w:val="auto"/>
              </w:rPr>
            </w:pPr>
            <w:r>
              <w:rPr>
                <w:rFonts w:ascii="Arial" w:cs="Arial" w:eastAsia="Arial" w:hAnsi="Arial"/>
                <w:sz w:val="14"/>
                <w:szCs w:val="14"/>
                <w:color w:val="auto"/>
              </w:rPr>
              <w:t>12.7%</w:t>
            </w:r>
          </w:p>
        </w:tc>
        <w:tc>
          <w:tcPr>
            <w:tcW w:w="1120" w:type="dxa"/>
            <w:vAlign w:val="bottom"/>
          </w:tcPr>
          <w:p>
            <w:pPr>
              <w:jc w:val="right"/>
              <w:ind w:right="168"/>
              <w:spacing w:after="0" w:line="160" w:lineRule="exact"/>
              <w:rPr>
                <w:sz w:val="20"/>
                <w:szCs w:val="20"/>
                <w:color w:val="auto"/>
              </w:rPr>
            </w:pPr>
            <w:r>
              <w:rPr>
                <w:rFonts w:ascii="Arial" w:cs="Arial" w:eastAsia="Arial" w:hAnsi="Arial"/>
                <w:sz w:val="14"/>
                <w:szCs w:val="14"/>
                <w:color w:val="auto"/>
              </w:rPr>
              <w:t>$1.61</w:t>
            </w:r>
          </w:p>
        </w:tc>
        <w:tc>
          <w:tcPr>
            <w:tcW w:w="1400" w:type="dxa"/>
            <w:vAlign w:val="bottom"/>
          </w:tcPr>
          <w:p>
            <w:pPr>
              <w:jc w:val="right"/>
              <w:ind w:right="308"/>
              <w:spacing w:after="0" w:line="160" w:lineRule="exact"/>
              <w:rPr>
                <w:sz w:val="20"/>
                <w:szCs w:val="20"/>
                <w:color w:val="auto"/>
              </w:rPr>
            </w:pPr>
            <w:r>
              <w:rPr>
                <w:rFonts w:ascii="Arial" w:cs="Arial" w:eastAsia="Arial" w:hAnsi="Arial"/>
                <w:sz w:val="14"/>
                <w:szCs w:val="14"/>
                <w:color w:val="auto"/>
              </w:rPr>
              <w:t>$1.98</w:t>
            </w:r>
          </w:p>
        </w:tc>
        <w:tc>
          <w:tcPr>
            <w:tcW w:w="860" w:type="dxa"/>
            <w:vAlign w:val="bottom"/>
          </w:tcPr>
          <w:p>
            <w:pPr>
              <w:jc w:val="right"/>
              <w:spacing w:after="0" w:line="160"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86"/>
        </w:trPr>
        <w:tc>
          <w:tcPr>
            <w:tcW w:w="3500" w:type="dxa"/>
            <w:vAlign w:val="bottom"/>
          </w:tcPr>
          <w:p>
            <w:pPr>
              <w:ind w:left="40"/>
              <w:spacing w:after="0"/>
              <w:rPr>
                <w:sz w:val="20"/>
                <w:szCs w:val="20"/>
                <w:color w:val="auto"/>
              </w:rPr>
            </w:pPr>
            <w:r>
              <w:rPr>
                <w:rFonts w:ascii="Arial" w:cs="Arial" w:eastAsia="Arial" w:hAnsi="Arial"/>
                <w:sz w:val="14"/>
                <w:szCs w:val="14"/>
                <w:i w:val="1"/>
                <w:iCs w:val="1"/>
                <w:color w:val="auto"/>
              </w:rPr>
              <w:t>Excluding Adjustments (see Table 5)</w:t>
            </w:r>
          </w:p>
        </w:tc>
        <w:tc>
          <w:tcPr>
            <w:tcW w:w="1920" w:type="dxa"/>
            <w:vAlign w:val="bottom"/>
          </w:tcPr>
          <w:p>
            <w:pPr>
              <w:jc w:val="right"/>
              <w:ind w:right="188"/>
              <w:spacing w:after="0"/>
              <w:rPr>
                <w:sz w:val="20"/>
                <w:szCs w:val="20"/>
                <w:color w:val="auto"/>
              </w:rPr>
            </w:pPr>
            <w:r>
              <w:rPr>
                <w:rFonts w:ascii="Arial" w:cs="Arial" w:eastAsia="Arial" w:hAnsi="Arial"/>
                <w:sz w:val="14"/>
                <w:szCs w:val="14"/>
                <w:i w:val="1"/>
                <w:iCs w:val="1"/>
                <w:color w:val="auto"/>
              </w:rPr>
              <w:t>$0.51</w:t>
            </w:r>
          </w:p>
        </w:tc>
        <w:tc>
          <w:tcPr>
            <w:tcW w:w="1380" w:type="dxa"/>
            <w:vAlign w:val="bottom"/>
          </w:tcPr>
          <w:p>
            <w:pPr>
              <w:jc w:val="right"/>
              <w:ind w:right="328"/>
              <w:spacing w:after="0"/>
              <w:rPr>
                <w:sz w:val="20"/>
                <w:szCs w:val="20"/>
                <w:color w:val="auto"/>
              </w:rPr>
            </w:pPr>
            <w:r>
              <w:rPr>
                <w:rFonts w:ascii="Arial" w:cs="Arial" w:eastAsia="Arial" w:hAnsi="Arial"/>
                <w:sz w:val="14"/>
                <w:szCs w:val="14"/>
                <w:i w:val="1"/>
                <w:iCs w:val="1"/>
                <w:color w:val="auto"/>
              </w:rPr>
              <w:t>$0.65</w:t>
            </w:r>
          </w:p>
        </w:tc>
        <w:tc>
          <w:tcPr>
            <w:tcW w:w="1240" w:type="dxa"/>
            <w:vAlign w:val="bottom"/>
          </w:tcPr>
          <w:p>
            <w:pPr>
              <w:jc w:val="right"/>
              <w:ind w:right="308"/>
              <w:spacing w:after="0"/>
              <w:rPr>
                <w:sz w:val="20"/>
                <w:szCs w:val="20"/>
                <w:color w:val="auto"/>
              </w:rPr>
            </w:pPr>
            <w:r>
              <w:rPr>
                <w:rFonts w:ascii="Arial" w:cs="Arial" w:eastAsia="Arial" w:hAnsi="Arial"/>
                <w:sz w:val="14"/>
                <w:szCs w:val="14"/>
                <w:i w:val="1"/>
                <w:iCs w:val="1"/>
                <w:color w:val="auto"/>
              </w:rPr>
              <w:t>27.5%</w:t>
            </w:r>
          </w:p>
        </w:tc>
        <w:tc>
          <w:tcPr>
            <w:tcW w:w="1120" w:type="dxa"/>
            <w:vAlign w:val="bottom"/>
          </w:tcPr>
          <w:p>
            <w:pPr>
              <w:jc w:val="right"/>
              <w:ind w:right="168"/>
              <w:spacing w:after="0"/>
              <w:rPr>
                <w:sz w:val="20"/>
                <w:szCs w:val="20"/>
                <w:color w:val="auto"/>
              </w:rPr>
            </w:pPr>
            <w:r>
              <w:rPr>
                <w:rFonts w:ascii="Arial" w:cs="Arial" w:eastAsia="Arial" w:hAnsi="Arial"/>
                <w:sz w:val="14"/>
                <w:szCs w:val="14"/>
                <w:i w:val="1"/>
                <w:iCs w:val="1"/>
                <w:color w:val="auto"/>
              </w:rPr>
              <w:t>$1.56</w:t>
            </w:r>
          </w:p>
        </w:tc>
        <w:tc>
          <w:tcPr>
            <w:tcW w:w="1400" w:type="dxa"/>
            <w:vAlign w:val="bottom"/>
          </w:tcPr>
          <w:p>
            <w:pPr>
              <w:jc w:val="right"/>
              <w:ind w:right="308"/>
              <w:spacing w:after="0"/>
              <w:rPr>
                <w:sz w:val="20"/>
                <w:szCs w:val="20"/>
                <w:color w:val="auto"/>
              </w:rPr>
            </w:pPr>
            <w:r>
              <w:rPr>
                <w:rFonts w:ascii="Arial" w:cs="Arial" w:eastAsia="Arial" w:hAnsi="Arial"/>
                <w:sz w:val="14"/>
                <w:szCs w:val="14"/>
                <w:i w:val="1"/>
                <w:iCs w:val="1"/>
                <w:color w:val="auto"/>
              </w:rPr>
              <w:t>$1.91</w:t>
            </w: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22.4%</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15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third quarter of 2018 increased 5.0% to $22.1 billion.</w:t>
      </w:r>
      <w:r>
        <w:rPr>
          <w:rFonts w:ascii="Arial" w:cs="Arial" w:eastAsia="Arial" w:hAnsi="Arial"/>
          <w:sz w:val="18"/>
          <w:szCs w:val="18"/>
          <w:b w:val="1"/>
          <w:bCs w:val="1"/>
          <w:i w:val="1"/>
          <w:iCs w:val="1"/>
          <w:color w:val="auto"/>
        </w:rPr>
        <w:t xml:space="preserve"> Consolidated Net Income Attributable to Comcast </w:t>
      </w:r>
      <w:r>
        <w:rPr>
          <w:rFonts w:ascii="Arial" w:cs="Arial" w:eastAsia="Arial" w:hAnsi="Arial"/>
          <w:sz w:val="18"/>
          <w:szCs w:val="18"/>
          <w:color w:val="auto"/>
        </w:rPr>
        <w:t xml:space="preserve">increased 9.3% to $2.9 billion. </w:t>
      </w:r>
      <w:r>
        <w:rPr>
          <w:rFonts w:ascii="Arial" w:cs="Arial" w:eastAsia="Arial" w:hAnsi="Arial"/>
          <w:sz w:val="18"/>
          <w:szCs w:val="18"/>
          <w:b w:val="1"/>
          <w:bCs w:val="1"/>
          <w:i w:val="1"/>
          <w:iCs w:val="1"/>
          <w:color w:val="auto"/>
        </w:rPr>
        <w:t>Consolidated Adjusted EBITDA</w:t>
      </w:r>
      <w:r>
        <w:rPr>
          <w:rFonts w:ascii="Arial" w:cs="Arial" w:eastAsia="Arial" w:hAnsi="Arial"/>
          <w:sz w:val="18"/>
          <w:szCs w:val="18"/>
          <w:color w:val="auto"/>
        </w:rPr>
        <w:t xml:space="preserve"> increased 2.5% to $7.3 billion.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2018, consolidated revenue increased 5.9% to $66.7 billion compared to 2017. Consolidated net income attributable to Comcast increased 19.2% to $9.2 billion. Consolidated Adjusted EBITDA increased 3.6% to $22.0 billion.</w:t>
      </w:r>
    </w:p>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third quarter of 2018 was $0.62, an increase of 12.7% compared to the third quarter of 2017.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basis, EPS increased 27.5% to $0.65 (see Table 5).</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2018, EPS was $1.98, a 23.0% increase compared to the prior year. On an adjusted basis, EPS increased 22.4% to $1.91 (see Table 5).</w:t>
      </w:r>
    </w:p>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2.0% to $2.4 billion in the third quarter of 2018. Cable Communications’ capital expenditures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5.7% to $1.9 billion in the third quarter of 2018, reflecting lower spending on customer premise equipment, scalable infrastructure and support capital, partially offset by increased investments in line extensions. Cable capital expenditures represented 14.1% of Cable revenue in the third quarter of 2018 compared to 15.4% in last year’s third quarter. NBCUniversal’s capital expenditures of $405 million increased 14.4%, reflecting continued investment at Theme Parks.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2018, capital expenditures decreased 3.4% to $6.6 billion compared to 2017. Cable Communications’ capital expenditures decreased 6.9% to $5.4 billion and represented 13.2% of Cable revenue compared to 14.6% in 2017. NBCUniversal’s capital expenditures increased 16.1% to $1.1 billion in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$6.0 billion in the third quarter of 2018.</w:t>
      </w:r>
      <w:r>
        <w:rPr>
          <w:rFonts w:ascii="Arial" w:cs="Arial" w:eastAsia="Arial" w:hAnsi="Arial"/>
          <w:sz w:val="18"/>
          <w:szCs w:val="18"/>
          <w:b w:val="1"/>
          <w:bCs w:val="1"/>
          <w:i w:val="1"/>
          <w:iCs w:val="1"/>
          <w:color w:val="auto"/>
        </w:rPr>
        <w:t xml:space="preserve"> Free Cash Flow</w:t>
      </w:r>
      <w:r>
        <w:rPr>
          <w:rFonts w:ascii="Arial" w:cs="Arial" w:eastAsia="Arial" w:hAnsi="Arial"/>
          <w:sz w:val="10"/>
          <w:szCs w:val="10"/>
          <w:b w:val="1"/>
          <w:bCs w:val="1"/>
          <w:i w:val="1"/>
          <w:iCs w:val="1"/>
          <w:color w:val="auto"/>
        </w:rPr>
        <w:t>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$3.1 billion (see Table 4).</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2018, net cash provided by operating activities was $18.5 billion. Free cash flow was $10.5 billion (see Table 4).</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third quarter of 2018, Comcast paid dividends totaling $871 million and repurchased 35.6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$1.3 billion. In the first nine months of 2018, Comcast repurchased 112.5 million of its common shares for $4.0 billion. As of September 30, 2018, Comcast had $3.0 billion available under its share repurchase authorization. Comcast expects to repurchase $5.0 billion of its Class A common stock during 2018, subject to market conditions. On October 1, 2018, Comcast announced its intention to pause its common stock repurchase program in 2019 to accelerate the reduction of indebtedness it will incur in connection with its acquisition of Sky plc.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vMerge w:val="restart"/>
          </w:tcPr>
          <w:p>
            <w:pPr>
              <w:ind w:left="40"/>
              <w:spacing w:after="0"/>
              <w:rPr>
                <w:sz w:val="20"/>
                <w:szCs w:val="20"/>
                <w:color w:val="auto"/>
              </w:rPr>
            </w:pPr>
            <w:r>
              <w:rPr>
                <w:rFonts w:ascii="Arial" w:cs="Arial" w:eastAsia="Arial" w:hAnsi="Arial"/>
                <w:sz w:val="11"/>
                <w:szCs w:val="11"/>
                <w:i w:val="1"/>
                <w:iCs w:val="1"/>
                <w:color w:val="auto"/>
              </w:rPr>
              <w:t>($ in millions)</w:t>
            </w:r>
          </w:p>
        </w:tc>
        <w:tc>
          <w:tcPr>
            <w:tcW w:w="2120" w:type="dxa"/>
            <w:vAlign w:val="bottom"/>
            <w:vMerge w:val="restart"/>
          </w:tcPr>
          <w:p>
            <w:pPr>
              <w:jc w:val="right"/>
              <w:ind w:right="28"/>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3rd Quarter</w:t>
            </w:r>
          </w:p>
        </w:tc>
        <w:tc>
          <w:tcPr>
            <w:tcW w:w="10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Year to Date</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20" w:type="dxa"/>
            <w:vAlign w:val="bottom"/>
            <w:vMerge w:val="continue"/>
          </w:tcPr>
          <w:p>
            <w:pPr>
              <w:spacing w:after="0"/>
              <w:rPr>
                <w:sz w:val="15"/>
                <w:szCs w:val="15"/>
                <w:color w:val="auto"/>
              </w:rPr>
            </w:pPr>
          </w:p>
        </w:tc>
        <w:tc>
          <w:tcPr>
            <w:tcW w:w="2120" w:type="dxa"/>
            <w:vAlign w:val="bottom"/>
            <w:vMerge w:val="continue"/>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2018</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Growth</w:t>
            </w:r>
          </w:p>
        </w:tc>
        <w:tc>
          <w:tcPr>
            <w:tcW w:w="880" w:type="dxa"/>
            <w:vAlign w:val="bottom"/>
            <w:vMerge w:val="continue"/>
          </w:tcPr>
          <w:p>
            <w:pPr>
              <w:spacing w:after="0"/>
              <w:rPr>
                <w:sz w:val="15"/>
                <w:szCs w:val="15"/>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2018</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76"/>
        </w:trPr>
        <w:tc>
          <w:tcPr>
            <w:tcW w:w="4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2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$5,760</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$5,591</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$17,206</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$16,878</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9"/>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3,942</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4,321</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9.6%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11,682</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12,740</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69"/>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1,013</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982</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3,081</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2,982</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9"/>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1,629</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1,803</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4,757</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5,290</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69"/>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594</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684</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15.2%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1,774</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1,932</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76"/>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401</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406</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1,146</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1,193</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0"/>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2120" w:type="dxa"/>
            <w:vAlign w:val="bottom"/>
          </w:tcPr>
          <w:p>
            <w:pPr>
              <w:jc w:val="right"/>
              <w:ind w:right="28"/>
              <w:spacing w:after="0"/>
              <w:rPr>
                <w:sz w:val="20"/>
                <w:szCs w:val="20"/>
                <w:color w:val="auto"/>
              </w:rPr>
            </w:pPr>
            <w:r>
              <w:rPr>
                <w:rFonts w:ascii="Arial" w:cs="Arial" w:eastAsia="Arial" w:hAnsi="Arial"/>
                <w:sz w:val="14"/>
                <w:szCs w:val="14"/>
                <w:b w:val="1"/>
                <w:bCs w:val="1"/>
                <w:color w:val="auto"/>
              </w:rPr>
              <w:t>$13,339</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auto"/>
              </w:rPr>
              <w:t>$13,787</w:t>
            </w: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3.4%</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$39,646</w:t>
            </w: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$41,015</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208"/>
        </w:trPr>
        <w:tc>
          <w:tcPr>
            <w:tcW w:w="46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Adjusted EBITDA</w:t>
            </w:r>
          </w:p>
        </w:tc>
        <w:tc>
          <w:tcPr>
            <w:tcW w:w="2120" w:type="dxa"/>
            <w:vAlign w:val="bottom"/>
          </w:tcPr>
          <w:p>
            <w:pPr>
              <w:jc w:val="right"/>
              <w:ind w:right="28"/>
              <w:spacing w:after="0"/>
              <w:rPr>
                <w:sz w:val="20"/>
                <w:szCs w:val="20"/>
                <w:color w:val="auto"/>
              </w:rPr>
            </w:pPr>
            <w:r>
              <w:rPr>
                <w:rFonts w:ascii="Arial" w:cs="Arial" w:eastAsia="Arial" w:hAnsi="Arial"/>
                <w:sz w:val="14"/>
                <w:szCs w:val="14"/>
                <w:b w:val="1"/>
                <w:bCs w:val="1"/>
                <w:color w:val="auto"/>
              </w:rPr>
              <w:t>$5,216</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auto"/>
              </w:rPr>
              <w:t>$5,615</w:t>
            </w: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7.6%</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$15,683</w:t>
            </w: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$16,668</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180"/>
        </w:trPr>
        <w:tc>
          <w:tcPr>
            <w:tcW w:w="4620" w:type="dxa"/>
            <w:vAlign w:val="bottom"/>
            <w:tcBorders>
              <w:top w:val="single" w:sz="8" w:color="auto"/>
            </w:tcBorders>
          </w:tcPr>
          <w:p>
            <w:pPr>
              <w:ind w:left="40"/>
              <w:spacing w:after="0"/>
              <w:rPr>
                <w:sz w:val="20"/>
                <w:szCs w:val="20"/>
                <w:color w:val="auto"/>
              </w:rPr>
            </w:pPr>
            <w:r>
              <w:rPr>
                <w:rFonts w:ascii="Arial" w:cs="Arial" w:eastAsia="Arial" w:hAnsi="Arial"/>
                <w:sz w:val="14"/>
                <w:szCs w:val="14"/>
                <w:i w:val="1"/>
                <w:iCs w:val="1"/>
                <w:color w:val="auto"/>
              </w:rPr>
              <w:t>Adjusted EBITDA Margin</w:t>
            </w:r>
          </w:p>
        </w:tc>
        <w:tc>
          <w:tcPr>
            <w:tcW w:w="2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39.1%</w:t>
            </w:r>
          </w:p>
        </w:tc>
        <w:tc>
          <w:tcPr>
            <w:tcW w:w="10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40.7%</w:t>
            </w:r>
          </w:p>
        </w:tc>
        <w:tc>
          <w:tcPr>
            <w:tcW w:w="10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39.6%</w:t>
            </w:r>
          </w:p>
        </w:tc>
        <w:tc>
          <w:tcPr>
            <w:tcW w:w="108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40.6%</w:t>
            </w:r>
          </w:p>
        </w:tc>
        <w:tc>
          <w:tcPr>
            <w:tcW w:w="6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2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$2,061</w:t>
            </w:r>
          </w:p>
        </w:tc>
        <w:tc>
          <w:tcPr>
            <w:tcW w:w="10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$1,944</w:t>
            </w:r>
          </w:p>
        </w:tc>
        <w:tc>
          <w:tcPr>
            <w:tcW w:w="10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(5.7%)</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$5,798</w:t>
            </w:r>
          </w:p>
        </w:tc>
        <w:tc>
          <w:tcPr>
            <w:tcW w:w="10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$5,398</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15.4%</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14.1%</w:t>
            </w:r>
          </w:p>
        </w:tc>
        <w:tc>
          <w:tcPr>
            <w:tcW w:w="10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14.6%</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13.2%</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3.4% to $13.8 billion in the third quarter of 2018, driven primarily by increases in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business services and advertising revenue. High-speed internet revenue increased 9.6%, driven by an increase in the number of residential high-speed internet customers and rate adjustments. Business services revenue increased 10.6%, primarily driven by increases in the number of customers receiving our small and medium-sized business services offerings. Advertising revenue increased 15.2%, primarily reflecting an increase in political advertising revenue. Excluding political advertising revenue, advertising revenue increased 0.6%. Other revenue increased 1.1%, primarily driven by an increase in revenue from our security and automation services, partially offset by the timing of X1 licensing revenue. Video revenue decreased 2.9%, primarily reflecting a decrease in the number of residential video customers, as well as additional revenue in last year’s third quarter associated with a boxing event available on pay-per-view. Voice revenue decreased 3.1%, primarily due to a decrease in the number of residential voice customers.</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2018, Cable revenue increased 3.5% to $41.0 billion compared to 2017, primarily driven by growth in high-speed internet, business services and advertising revenue.</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288,000 to 30.1 million in the third quarter of 2018. Residential customer relationships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258,000 and business customer relationships increased by 30,000. At the end of the third quarter, 68.0% of our residential customers received at least two Xfinity products. Total high-speed internet customer net additions were 363,000, total video customer net losses were 106,000, total voice customer net losses were 35,000 and total security and automation customer net additions were 42,000.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528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Customers</w:t>
            </w:r>
          </w:p>
        </w:tc>
        <w:tc>
          <w:tcPr>
            <w:tcW w:w="11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Net Additions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528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2880" w:type="dxa"/>
            <w:vAlign w:val="bottom"/>
          </w:tcPr>
          <w:p>
            <w:pPr>
              <w:jc w:val="right"/>
              <w:ind w:right="508"/>
              <w:spacing w:after="0"/>
              <w:rPr>
                <w:sz w:val="20"/>
                <w:szCs w:val="20"/>
                <w:color w:val="auto"/>
              </w:rPr>
            </w:pPr>
            <w:r>
              <w:rPr>
                <w:rFonts w:ascii="Arial" w:cs="Arial" w:eastAsia="Arial" w:hAnsi="Arial"/>
                <w:sz w:val="14"/>
                <w:szCs w:val="14"/>
                <w:color w:val="auto"/>
              </w:rPr>
              <w:t>3Q17</w:t>
            </w: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3Q18</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3Q17</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3Q18</w:t>
            </w:r>
          </w:p>
        </w:tc>
      </w:tr>
      <w:tr>
        <w:trPr>
          <w:trHeight w:val="180"/>
        </w:trPr>
        <w:tc>
          <w:tcPr>
            <w:tcW w:w="52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Customer Relationships</w:t>
            </w:r>
          </w:p>
        </w:tc>
        <w:tc>
          <w:tcPr>
            <w:tcW w:w="28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5280" w:type="dxa"/>
            <w:vAlign w:val="bottom"/>
          </w:tcPr>
          <w:p>
            <w:pPr>
              <w:ind w:left="180"/>
              <w:spacing w:after="0"/>
              <w:rPr>
                <w:sz w:val="20"/>
                <w:szCs w:val="20"/>
                <w:color w:val="auto"/>
              </w:rPr>
            </w:pPr>
            <w:r>
              <w:rPr>
                <w:rFonts w:ascii="Arial" w:cs="Arial" w:eastAsia="Arial" w:hAnsi="Arial"/>
                <w:sz w:val="14"/>
                <w:szCs w:val="14"/>
                <w:color w:val="auto"/>
              </w:rPr>
              <w:t>Residential Customer Relationships</w:t>
            </w:r>
          </w:p>
        </w:tc>
        <w:tc>
          <w:tcPr>
            <w:tcW w:w="2880" w:type="dxa"/>
            <w:vAlign w:val="bottom"/>
          </w:tcPr>
          <w:p>
            <w:pPr>
              <w:jc w:val="right"/>
              <w:ind w:right="508"/>
              <w:spacing w:after="0"/>
              <w:rPr>
                <w:sz w:val="20"/>
                <w:szCs w:val="20"/>
                <w:color w:val="auto"/>
              </w:rPr>
            </w:pPr>
            <w:r>
              <w:rPr>
                <w:rFonts w:ascii="Arial" w:cs="Arial" w:eastAsia="Arial" w:hAnsi="Arial"/>
                <w:sz w:val="14"/>
                <w:szCs w:val="14"/>
                <w:color w:val="auto"/>
              </w:rPr>
              <w:t>26,957</w:t>
            </w: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27,817</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83</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258</w:t>
            </w:r>
          </w:p>
        </w:tc>
      </w:tr>
      <w:tr>
        <w:trPr>
          <w:trHeight w:val="176"/>
        </w:trPr>
        <w:tc>
          <w:tcPr>
            <w:tcW w:w="52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Business Services Customer Relationships</w:t>
            </w:r>
          </w:p>
        </w:tc>
        <w:tc>
          <w:tcPr>
            <w:tcW w:w="28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2,146</w:t>
            </w: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2,274</w:t>
            </w:r>
          </w:p>
        </w:tc>
        <w:tc>
          <w:tcPr>
            <w:tcW w:w="1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31</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5"/>
                <w:szCs w:val="15"/>
                <w:color w:val="auto"/>
              </w:rPr>
            </w:pPr>
          </w:p>
        </w:tc>
      </w:tr>
      <w:tr>
        <w:trPr>
          <w:trHeight w:val="183"/>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Customer Relationships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29,104</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30,091</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115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288</w:t>
            </w:r>
          </w:p>
        </w:tc>
        <w:tc>
          <w:tcPr>
            <w:tcW w:w="20" w:type="dxa"/>
            <w:vAlign w:val="bottom"/>
          </w:tcPr>
          <w:p>
            <w:pPr>
              <w:spacing w:after="0"/>
              <w:rPr>
                <w:sz w:val="15"/>
                <w:szCs w:val="15"/>
                <w:color w:val="auto"/>
              </w:rPr>
            </w:pPr>
          </w:p>
        </w:tc>
      </w:tr>
      <w:tr>
        <w:trPr>
          <w:trHeight w:val="223"/>
        </w:trPr>
        <w:tc>
          <w:tcPr>
            <w:tcW w:w="5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0"/>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Residential Customer Relationships Mix</w:t>
            </w:r>
          </w:p>
        </w:tc>
        <w:tc>
          <w:tcPr>
            <w:tcW w:w="2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5280" w:type="dxa"/>
            <w:vAlign w:val="bottom"/>
          </w:tcPr>
          <w:p>
            <w:pPr>
              <w:ind w:left="180"/>
              <w:spacing w:after="0"/>
              <w:rPr>
                <w:sz w:val="20"/>
                <w:szCs w:val="20"/>
                <w:color w:val="auto"/>
              </w:rPr>
            </w:pPr>
            <w:r>
              <w:rPr>
                <w:rFonts w:ascii="Arial" w:cs="Arial" w:eastAsia="Arial" w:hAnsi="Arial"/>
                <w:sz w:val="14"/>
                <w:szCs w:val="14"/>
                <w:color w:val="auto"/>
              </w:rPr>
              <w:t>Single Product Residential Customers</w:t>
            </w:r>
          </w:p>
        </w:tc>
        <w:tc>
          <w:tcPr>
            <w:tcW w:w="2880" w:type="dxa"/>
            <w:vAlign w:val="bottom"/>
          </w:tcPr>
          <w:p>
            <w:pPr>
              <w:jc w:val="right"/>
              <w:ind w:right="508"/>
              <w:spacing w:after="0"/>
              <w:rPr>
                <w:sz w:val="20"/>
                <w:szCs w:val="20"/>
                <w:color w:val="auto"/>
              </w:rPr>
            </w:pPr>
            <w:r>
              <w:rPr>
                <w:rFonts w:ascii="Arial" w:cs="Arial" w:eastAsia="Arial" w:hAnsi="Arial"/>
                <w:sz w:val="14"/>
                <w:szCs w:val="14"/>
                <w:color w:val="auto"/>
              </w:rPr>
              <w:t>8,055</w:t>
            </w: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8,912</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125</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284</w:t>
            </w:r>
          </w:p>
        </w:tc>
      </w:tr>
      <w:tr>
        <w:trPr>
          <w:trHeight w:val="169"/>
        </w:trPr>
        <w:tc>
          <w:tcPr>
            <w:tcW w:w="52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Double Product Residential Customers</w:t>
            </w:r>
          </w:p>
        </w:tc>
        <w:tc>
          <w:tcPr>
            <w:tcW w:w="28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8,983</w:t>
            </w: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9,045</w:t>
            </w:r>
          </w:p>
        </w:tc>
        <w:tc>
          <w:tcPr>
            <w:tcW w:w="1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38</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r>
      <w:tr>
        <w:trPr>
          <w:trHeight w:val="176"/>
        </w:trPr>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Triple and Quad Product Residential Customers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9,919</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9,860</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(79)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5"/>
                <w:szCs w:val="15"/>
                <w:color w:val="auto"/>
              </w:rPr>
            </w:pPr>
          </w:p>
        </w:tc>
      </w:tr>
      <w:tr>
        <w:trPr>
          <w:trHeight w:val="223"/>
        </w:trPr>
        <w:tc>
          <w:tcPr>
            <w:tcW w:w="5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Residential Video Customers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21,341</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20,978</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(134)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20" w:type="dxa"/>
            <w:vAlign w:val="bottom"/>
          </w:tcPr>
          <w:p>
            <w:pPr>
              <w:spacing w:after="0"/>
              <w:rPr>
                <w:sz w:val="15"/>
                <w:szCs w:val="15"/>
                <w:color w:val="auto"/>
              </w:rPr>
            </w:pPr>
          </w:p>
        </w:tc>
      </w:tr>
      <w:tr>
        <w:trPr>
          <w:trHeight w:val="176"/>
        </w:trPr>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Business Services Video Customers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1,049</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1,037</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5"/>
                <w:szCs w:val="15"/>
                <w:color w:val="auto"/>
              </w:rPr>
            </w:pPr>
          </w:p>
        </w:tc>
      </w:tr>
      <w:tr>
        <w:trPr>
          <w:trHeight w:val="17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Video Customers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22,390</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22,015</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(125)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w:t>
            </w:r>
          </w:p>
        </w:tc>
        <w:tc>
          <w:tcPr>
            <w:tcW w:w="20" w:type="dxa"/>
            <w:vAlign w:val="bottom"/>
          </w:tcPr>
          <w:p>
            <w:pPr>
              <w:spacing w:after="0"/>
              <w:rPr>
                <w:sz w:val="15"/>
                <w:szCs w:val="15"/>
                <w:color w:val="auto"/>
              </w:rPr>
            </w:pPr>
          </w:p>
        </w:tc>
      </w:tr>
      <w:tr>
        <w:trPr>
          <w:trHeight w:val="169"/>
        </w:trPr>
        <w:tc>
          <w:tcPr>
            <w:tcW w:w="5280" w:type="dxa"/>
            <w:vAlign w:val="bottom"/>
          </w:tcPr>
          <w:p>
            <w:pPr>
              <w:ind w:left="180"/>
              <w:spacing w:after="0"/>
              <w:rPr>
                <w:sz w:val="20"/>
                <w:szCs w:val="20"/>
                <w:color w:val="auto"/>
              </w:rPr>
            </w:pPr>
            <w:r>
              <w:rPr>
                <w:rFonts w:ascii="Arial" w:cs="Arial" w:eastAsia="Arial" w:hAnsi="Arial"/>
                <w:sz w:val="14"/>
                <w:szCs w:val="14"/>
                <w:color w:val="auto"/>
              </w:rPr>
              <w:t>Residential High-Speed Internet Customers</w:t>
            </w:r>
          </w:p>
        </w:tc>
        <w:tc>
          <w:tcPr>
            <w:tcW w:w="2880" w:type="dxa"/>
            <w:vAlign w:val="bottom"/>
          </w:tcPr>
          <w:p>
            <w:pPr>
              <w:jc w:val="right"/>
              <w:ind w:right="508"/>
              <w:spacing w:after="0"/>
              <w:rPr>
                <w:sz w:val="20"/>
                <w:szCs w:val="20"/>
                <w:color w:val="auto"/>
              </w:rPr>
            </w:pPr>
            <w:r>
              <w:rPr>
                <w:rFonts w:ascii="Arial" w:cs="Arial" w:eastAsia="Arial" w:hAnsi="Arial"/>
                <w:sz w:val="14"/>
                <w:szCs w:val="14"/>
                <w:color w:val="auto"/>
              </w:rPr>
              <w:t>23,546</w:t>
            </w: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24,774</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182</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334</w:t>
            </w:r>
          </w:p>
        </w:tc>
      </w:tr>
      <w:tr>
        <w:trPr>
          <w:trHeight w:val="176"/>
        </w:trPr>
        <w:tc>
          <w:tcPr>
            <w:tcW w:w="52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Business Services High-Speed Internet Customers</w:t>
            </w:r>
          </w:p>
        </w:tc>
        <w:tc>
          <w:tcPr>
            <w:tcW w:w="28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1,974</w:t>
            </w: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2,098</w:t>
            </w:r>
          </w:p>
        </w:tc>
        <w:tc>
          <w:tcPr>
            <w:tcW w:w="1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32</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5"/>
                <w:szCs w:val="15"/>
                <w:color w:val="auto"/>
              </w:rPr>
            </w:pPr>
          </w:p>
        </w:tc>
      </w:tr>
      <w:tr>
        <w:trPr>
          <w:trHeight w:val="17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High-Speed Internet Customers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25,519</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26,871</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214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363</w:t>
            </w:r>
          </w:p>
        </w:tc>
        <w:tc>
          <w:tcPr>
            <w:tcW w:w="20" w:type="dxa"/>
            <w:vAlign w:val="bottom"/>
          </w:tcPr>
          <w:p>
            <w:pPr>
              <w:spacing w:after="0"/>
              <w:rPr>
                <w:sz w:val="15"/>
                <w:szCs w:val="15"/>
                <w:color w:val="auto"/>
              </w:rPr>
            </w:pPr>
          </w:p>
        </w:tc>
      </w:tr>
      <w:tr>
        <w:trPr>
          <w:trHeight w:val="169"/>
        </w:trPr>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Residential Voice Customers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10,351</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10,164</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(119)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4"/>
                <w:szCs w:val="14"/>
                <w:color w:val="auto"/>
              </w:rPr>
            </w:pPr>
          </w:p>
        </w:tc>
      </w:tr>
      <w:tr>
        <w:trPr>
          <w:trHeight w:val="176"/>
        </w:trPr>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Business Services Voice Customers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1,214</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1,283</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5"/>
                <w:szCs w:val="15"/>
                <w:color w:val="auto"/>
              </w:rPr>
            </w:pPr>
          </w:p>
        </w:tc>
      </w:tr>
      <w:tr>
        <w:trPr>
          <w:trHeight w:val="183"/>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Voice Customers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11,565</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11,447</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(94)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w:t>
            </w:r>
          </w:p>
        </w:tc>
        <w:tc>
          <w:tcPr>
            <w:tcW w:w="20" w:type="dxa"/>
            <w:vAlign w:val="bottom"/>
          </w:tcPr>
          <w:p>
            <w:pPr>
              <w:spacing w:after="0"/>
              <w:rPr>
                <w:sz w:val="15"/>
                <w:szCs w:val="15"/>
                <w:color w:val="auto"/>
              </w:rPr>
            </w:pPr>
          </w:p>
        </w:tc>
      </w:tr>
      <w:tr>
        <w:trPr>
          <w:trHeight w:val="190"/>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Total Security and Automation Customers</w:t>
            </w:r>
          </w:p>
        </w:tc>
        <w:tc>
          <w:tcPr>
            <w:tcW w:w="2880" w:type="dxa"/>
            <w:vAlign w:val="bottom"/>
          </w:tcPr>
          <w:p>
            <w:pPr>
              <w:jc w:val="right"/>
              <w:ind w:right="508"/>
              <w:spacing w:after="0"/>
              <w:rPr>
                <w:sz w:val="20"/>
                <w:szCs w:val="20"/>
                <w:color w:val="auto"/>
              </w:rPr>
            </w:pPr>
            <w:r>
              <w:rPr>
                <w:rFonts w:ascii="Arial" w:cs="Arial" w:eastAsia="Arial" w:hAnsi="Arial"/>
                <w:sz w:val="14"/>
                <w:szCs w:val="14"/>
                <w:b w:val="1"/>
                <w:bCs w:val="1"/>
                <w:color w:val="auto"/>
              </w:rPr>
              <w:t>1,079</w:t>
            </w:r>
          </w:p>
        </w:tc>
        <w:tc>
          <w:tcPr>
            <w:tcW w:w="1160" w:type="dxa"/>
            <w:vAlign w:val="bottom"/>
          </w:tcPr>
          <w:p>
            <w:pPr>
              <w:jc w:val="right"/>
              <w:ind w:right="628"/>
              <w:spacing w:after="0"/>
              <w:rPr>
                <w:sz w:val="20"/>
                <w:szCs w:val="20"/>
                <w:color w:val="auto"/>
              </w:rPr>
            </w:pPr>
            <w:r>
              <w:rPr>
                <w:rFonts w:ascii="Arial" w:cs="Arial" w:eastAsia="Arial" w:hAnsi="Arial"/>
                <w:sz w:val="14"/>
                <w:szCs w:val="14"/>
                <w:b w:val="1"/>
                <w:bCs w:val="1"/>
                <w:color w:val="auto"/>
              </w:rPr>
              <w:t>1,277</w:t>
            </w:r>
          </w:p>
        </w:tc>
        <w:tc>
          <w:tcPr>
            <w:tcW w:w="1740" w:type="dxa"/>
            <w:vAlign w:val="bottom"/>
          </w:tcPr>
          <w:p>
            <w:pPr>
              <w:jc w:val="right"/>
              <w:ind w:right="588"/>
              <w:spacing w:after="0"/>
              <w:rPr>
                <w:sz w:val="20"/>
                <w:szCs w:val="20"/>
                <w:color w:val="auto"/>
              </w:rPr>
            </w:pPr>
            <w:r>
              <w:rPr>
                <w:rFonts w:ascii="Arial" w:cs="Arial" w:eastAsia="Arial" w:hAnsi="Arial"/>
                <w:sz w:val="14"/>
                <w:szCs w:val="14"/>
                <w:b w:val="1"/>
                <w:bCs w:val="1"/>
                <w:color w:val="auto"/>
              </w:rPr>
              <w:t>51</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20" w:type="dxa"/>
            <w:vAlign w:val="bottom"/>
          </w:tcPr>
          <w:p>
            <w:pPr>
              <w:spacing w:after="0"/>
              <w:rPr>
                <w:sz w:val="16"/>
                <w:szCs w:val="16"/>
                <w:color w:val="auto"/>
              </w:rPr>
            </w:pPr>
          </w:p>
        </w:tc>
      </w:tr>
    </w:tbl>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7.6% to $5.6 billion in the third quarter of 2018, reflecting higher revenue,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comparison to the negative impact of two hurricanes that affected our service areas in the third quarter of 2017, partially offset by a 0.6% increase in operating expenses. The modest increase in expenses was driven by a 1.4% increase in video programming costs, primarily reflecting higher retransmission consent fees and sports programming costs, partially offset by fees included in last year’s third quarter associated with a boxing event available on pay-per-view. Non-programming expenses were consistent with the prior year’s quarter, reflecting higher other operating costs and technical and product support expenses, offset by decreases in customer service expenses, advertising, marketing and promotion expenses and franchise and regulatory fees. This quarter’s Adjusted EBITDA per customer relationship increased 4.4%, and Adjusted EBITDA margin was 40.7% compared to 39.1% in the third quarter of 2017.</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nine months ended September 30, 2018, Cable Adjusted EBITDA increased 6.3% to $16.7 billion compared to 2017, driven by higher revenue, partially offset by a 1.6% increase in operating expenses. The higher expenses were primarily due to a 2.6% increase in video programming costs. Non-programming expenses increased 0.9%. For the nine months ended September 30, 2018, Adjusted EBITDA per customer relationship increased 3.1%, and Adjusted EBITDA margin was 40.6% compared to 39.6% in 2017.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80" w:type="dxa"/>
            <w:vAlign w:val="bottom"/>
            <w:vMerge w:val="restart"/>
          </w:tcPr>
          <w:p>
            <w:pPr>
              <w:ind w:left="40"/>
              <w:spacing w:after="0"/>
              <w:rPr>
                <w:sz w:val="20"/>
                <w:szCs w:val="20"/>
                <w:color w:val="auto"/>
              </w:rPr>
            </w:pPr>
            <w:r>
              <w:rPr>
                <w:rFonts w:ascii="Arial" w:cs="Arial" w:eastAsia="Arial" w:hAnsi="Arial"/>
                <w:sz w:val="11"/>
                <w:szCs w:val="11"/>
                <w:i w:val="1"/>
                <w:iCs w:val="1"/>
                <w:color w:val="auto"/>
              </w:rPr>
              <w:t>($ in millions)</w:t>
            </w:r>
          </w:p>
        </w:tc>
        <w:tc>
          <w:tcPr>
            <w:tcW w:w="1440" w:type="dxa"/>
            <w:vAlign w:val="bottom"/>
            <w:vMerge w:val="restart"/>
          </w:tcPr>
          <w:p>
            <w:pPr>
              <w:jc w:val="right"/>
              <w:ind w:right="188"/>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3rd Quarter</w:t>
            </w:r>
          </w:p>
        </w:tc>
        <w:tc>
          <w:tcPr>
            <w:tcW w:w="126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Year to Date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98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2018</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Growth</w:t>
            </w:r>
          </w:p>
        </w:tc>
        <w:tc>
          <w:tcPr>
            <w:tcW w:w="11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89"/>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80" w:type="dxa"/>
            <w:vAlign w:val="bottom"/>
          </w:tcPr>
          <w:p>
            <w:pPr>
              <w:ind w:left="40"/>
              <w:spacing w:after="0"/>
              <w:rPr>
                <w:sz w:val="20"/>
                <w:szCs w:val="20"/>
                <w:color w:val="auto"/>
              </w:rPr>
            </w:pPr>
            <w:r>
              <w:rPr>
                <w:rFonts w:ascii="Arial" w:cs="Arial" w:eastAsia="Arial" w:hAnsi="Arial"/>
                <w:sz w:val="14"/>
                <w:szCs w:val="14"/>
                <w:color w:val="auto"/>
              </w:rPr>
              <w:t>Cable Networks</w:t>
            </w: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$2,603</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$2,884</w:t>
            </w: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10.8%</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$7,939</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$8,994</w:t>
            </w:r>
          </w:p>
        </w:tc>
        <w:tc>
          <w:tcPr>
            <w:tcW w:w="88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8"/>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(see Table 6)</w:t>
            </w:r>
          </w:p>
        </w:tc>
        <w:tc>
          <w:tcPr>
            <w:tcW w:w="1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7,939</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i w:val="1"/>
                <w:iCs w:val="1"/>
                <w:color w:val="auto"/>
              </w:rPr>
              <w:t>8,616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8.5%</w:t>
            </w:r>
          </w:p>
        </w:tc>
        <w:tc>
          <w:tcPr>
            <w:tcW w:w="0" w:type="dxa"/>
            <w:vAlign w:val="bottom"/>
          </w:tcPr>
          <w:p>
            <w:pPr>
              <w:spacing w:after="0"/>
              <w:rPr>
                <w:sz w:val="1"/>
                <w:szCs w:val="1"/>
                <w:color w:val="auto"/>
              </w:rPr>
            </w:pPr>
          </w:p>
        </w:tc>
      </w:tr>
      <w:tr>
        <w:trPr>
          <w:trHeight w:val="184"/>
        </w:trPr>
        <w:tc>
          <w:tcPr>
            <w:tcW w:w="3980" w:type="dxa"/>
            <w:vAlign w:val="bottom"/>
          </w:tcPr>
          <w:p>
            <w:pPr>
              <w:ind w:left="40"/>
              <w:spacing w:after="0"/>
              <w:rPr>
                <w:sz w:val="20"/>
                <w:szCs w:val="20"/>
                <w:color w:val="auto"/>
              </w:rPr>
            </w:pPr>
            <w:r>
              <w:rPr>
                <w:rFonts w:ascii="Arial" w:cs="Arial" w:eastAsia="Arial" w:hAnsi="Arial"/>
                <w:sz w:val="14"/>
                <w:szCs w:val="14"/>
                <w:color w:val="auto"/>
              </w:rPr>
              <w:t>Broadcast Television</w:t>
            </w: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2,125</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2,452</w:t>
            </w:r>
          </w:p>
        </w:tc>
        <w:tc>
          <w:tcPr>
            <w:tcW w:w="1260" w:type="dxa"/>
            <w:vAlign w:val="bottom"/>
          </w:tcPr>
          <w:p>
            <w:pPr>
              <w:jc w:val="right"/>
              <w:ind w:right="308"/>
              <w:spacing w:after="0"/>
              <w:rPr>
                <w:sz w:val="20"/>
                <w:szCs w:val="20"/>
                <w:color w:val="auto"/>
              </w:rPr>
            </w:pPr>
            <w:r>
              <w:rPr>
                <w:rFonts w:ascii="Arial" w:cs="Arial" w:eastAsia="Arial" w:hAnsi="Arial"/>
                <w:sz w:val="14"/>
                <w:szCs w:val="14"/>
                <w:color w:val="auto"/>
              </w:rPr>
              <w:t>15.4%</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6,574</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8,340</w:t>
            </w:r>
          </w:p>
        </w:tc>
        <w:tc>
          <w:tcPr>
            <w:tcW w:w="880" w:type="dxa"/>
            <w:vAlign w:val="bottom"/>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88"/>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and Super Bowl (see Table 6)</w:t>
            </w:r>
          </w:p>
        </w:tc>
        <w:tc>
          <w:tcPr>
            <w:tcW w:w="1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6,574</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i w:val="1"/>
                <w:iCs w:val="1"/>
                <w:color w:val="auto"/>
              </w:rPr>
              <w:t>7,147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8.7%</w:t>
            </w:r>
          </w:p>
        </w:tc>
        <w:tc>
          <w:tcPr>
            <w:tcW w:w="0" w:type="dxa"/>
            <w:vAlign w:val="bottom"/>
          </w:tcPr>
          <w:p>
            <w:pPr>
              <w:spacing w:after="0"/>
              <w:rPr>
                <w:sz w:val="1"/>
                <w:szCs w:val="1"/>
                <w:color w:val="auto"/>
              </w:rPr>
            </w:pPr>
          </w:p>
        </w:tc>
      </w:tr>
      <w:tr>
        <w:trPr>
          <w:trHeight w:val="18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1,753</w:t>
            </w: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1,819</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3.8%</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5,862</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5,176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8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1,550</w:t>
            </w: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1,528</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(1.4%)</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3,982</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4,170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90"/>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(55)</w:t>
            </w: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(58)</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NM</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(210)</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(212)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1"/>
        </w:trPr>
        <w:tc>
          <w:tcPr>
            <w:tcW w:w="398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440" w:type="dxa"/>
            <w:vAlign w:val="bottom"/>
          </w:tcPr>
          <w:p>
            <w:pPr>
              <w:jc w:val="right"/>
              <w:ind w:right="188"/>
              <w:spacing w:after="0"/>
              <w:rPr>
                <w:sz w:val="20"/>
                <w:szCs w:val="20"/>
                <w:color w:val="auto"/>
              </w:rPr>
            </w:pPr>
            <w:r>
              <w:rPr>
                <w:rFonts w:ascii="Arial" w:cs="Arial" w:eastAsia="Arial" w:hAnsi="Arial"/>
                <w:sz w:val="14"/>
                <w:szCs w:val="14"/>
                <w:b w:val="1"/>
                <w:bCs w:val="1"/>
                <w:color w:val="auto"/>
              </w:rPr>
              <w:t>$7,976</w:t>
            </w:r>
          </w:p>
        </w:tc>
        <w:tc>
          <w:tcPr>
            <w:tcW w:w="1360" w:type="dxa"/>
            <w:vAlign w:val="bottom"/>
          </w:tcPr>
          <w:p>
            <w:pPr>
              <w:jc w:val="right"/>
              <w:ind w:right="308"/>
              <w:spacing w:after="0"/>
              <w:rPr>
                <w:sz w:val="20"/>
                <w:szCs w:val="20"/>
                <w:color w:val="auto"/>
              </w:rPr>
            </w:pPr>
            <w:r>
              <w:rPr>
                <w:rFonts w:ascii="Arial" w:cs="Arial" w:eastAsia="Arial" w:hAnsi="Arial"/>
                <w:sz w:val="14"/>
                <w:szCs w:val="14"/>
                <w:b w:val="1"/>
                <w:bCs w:val="1"/>
                <w:color w:val="auto"/>
              </w:rPr>
              <w:t>$8,625</w:t>
            </w:r>
          </w:p>
        </w:tc>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rPr>
              <w:t>8.1%</w:t>
            </w:r>
          </w:p>
        </w:tc>
        <w:tc>
          <w:tcPr>
            <w:tcW w:w="1120" w:type="dxa"/>
            <w:vAlign w:val="bottom"/>
          </w:tcPr>
          <w:p>
            <w:pPr>
              <w:jc w:val="right"/>
              <w:ind w:right="168"/>
              <w:spacing w:after="0"/>
              <w:rPr>
                <w:sz w:val="20"/>
                <w:szCs w:val="20"/>
                <w:color w:val="auto"/>
              </w:rPr>
            </w:pPr>
            <w:r>
              <w:rPr>
                <w:rFonts w:ascii="Arial" w:cs="Arial" w:eastAsia="Arial" w:hAnsi="Arial"/>
                <w:sz w:val="14"/>
                <w:szCs w:val="14"/>
                <w:b w:val="1"/>
                <w:bCs w:val="1"/>
                <w:color w:val="auto"/>
              </w:rPr>
              <w:t>$24,147</w:t>
            </w: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$26,468</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235"/>
        </w:trPr>
        <w:tc>
          <w:tcPr>
            <w:tcW w:w="39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1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$906</w:t>
            </w: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$968</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6.9%</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$3,076</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$3,422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316</w:t>
            </w: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321</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1.8%</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1,054</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1,245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8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383</w:t>
            </w: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214</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(44.2%)</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1,041</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555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8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775</w:t>
            </w: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725</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(6.5%)</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1,723</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1,789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0"/>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(123)</w:t>
            </w: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(162)</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NM</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(544)</w:t>
            </w: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(500)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1"/>
        </w:trPr>
        <w:tc>
          <w:tcPr>
            <w:tcW w:w="3980" w:type="dxa"/>
            <w:vAlign w:val="bottom"/>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1440" w:type="dxa"/>
            <w:vAlign w:val="bottom"/>
          </w:tcPr>
          <w:p>
            <w:pPr>
              <w:jc w:val="right"/>
              <w:ind w:right="188"/>
              <w:spacing w:after="0"/>
              <w:rPr>
                <w:sz w:val="20"/>
                <w:szCs w:val="20"/>
                <w:color w:val="auto"/>
              </w:rPr>
            </w:pPr>
            <w:r>
              <w:rPr>
                <w:rFonts w:ascii="Arial" w:cs="Arial" w:eastAsia="Arial" w:hAnsi="Arial"/>
                <w:sz w:val="14"/>
                <w:szCs w:val="14"/>
                <w:b w:val="1"/>
                <w:bCs w:val="1"/>
                <w:color w:val="auto"/>
              </w:rPr>
              <w:t>$2,257</w:t>
            </w:r>
          </w:p>
        </w:tc>
        <w:tc>
          <w:tcPr>
            <w:tcW w:w="1360" w:type="dxa"/>
            <w:vAlign w:val="bottom"/>
          </w:tcPr>
          <w:p>
            <w:pPr>
              <w:jc w:val="right"/>
              <w:ind w:right="308"/>
              <w:spacing w:after="0"/>
              <w:rPr>
                <w:sz w:val="20"/>
                <w:szCs w:val="20"/>
                <w:color w:val="auto"/>
              </w:rPr>
            </w:pPr>
            <w:r>
              <w:rPr>
                <w:rFonts w:ascii="Arial" w:cs="Arial" w:eastAsia="Arial" w:hAnsi="Arial"/>
                <w:sz w:val="14"/>
                <w:szCs w:val="14"/>
                <w:b w:val="1"/>
                <w:bCs w:val="1"/>
                <w:color w:val="auto"/>
              </w:rPr>
              <w:t>$2,066</w:t>
            </w:r>
          </w:p>
        </w:tc>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rPr>
              <w:t>(8.5%)</w:t>
            </w:r>
          </w:p>
        </w:tc>
        <w:tc>
          <w:tcPr>
            <w:tcW w:w="1120" w:type="dxa"/>
            <w:vAlign w:val="bottom"/>
          </w:tcPr>
          <w:p>
            <w:pPr>
              <w:jc w:val="right"/>
              <w:ind w:right="168"/>
              <w:spacing w:after="0"/>
              <w:rPr>
                <w:sz w:val="20"/>
                <w:szCs w:val="20"/>
                <w:color w:val="auto"/>
              </w:rPr>
            </w:pPr>
            <w:r>
              <w:rPr>
                <w:rFonts w:ascii="Arial" w:cs="Arial" w:eastAsia="Arial" w:hAnsi="Arial"/>
                <w:sz w:val="14"/>
                <w:szCs w:val="14"/>
                <w:b w:val="1"/>
                <w:bCs w:val="1"/>
                <w:color w:val="auto"/>
              </w:rPr>
              <w:t>$6,350</w:t>
            </w: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$6,511</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189"/>
        </w:trPr>
        <w:tc>
          <w:tcPr>
            <w:tcW w:w="3980" w:type="dxa"/>
            <w:vAlign w:val="bottom"/>
          </w:tcPr>
          <w:p>
            <w:pPr>
              <w:ind w:left="40"/>
              <w:spacing w:after="0"/>
              <w:rPr>
                <w:sz w:val="20"/>
                <w:szCs w:val="20"/>
                <w:color w:val="auto"/>
              </w:rPr>
            </w:pPr>
            <w:r>
              <w:rPr>
                <w:rFonts w:ascii="Arial" w:cs="Arial" w:eastAsia="Arial" w:hAnsi="Arial"/>
                <w:sz w:val="14"/>
                <w:szCs w:val="14"/>
                <w:color w:val="auto"/>
              </w:rPr>
              <w:t>NM=comparison not meaningful.</w:t>
            </w:r>
          </w:p>
        </w:tc>
        <w:tc>
          <w:tcPr>
            <w:tcW w:w="1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8.1% to $8.6 billion in the third quarter of 2018.</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decreased 8.5% to $2.1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reflecting decreases at Filmed Entertainment and Theme Parks, partially offset by increases at Cable Networks and Broadcast Television.</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2018, NBCUniversal revenue increased 9.6% to $26.5 billion compared to 2017. Adjusted EBITDA increased 2.5% to $6.5 billion, primarily reflecting increases at Cable Networks, Broadcast Television and Theme Parks, partially offset by a decline at Filmed Entertainment.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Cable Networks revenue increased 10.8% to $2.9 billion in the third quarter of 2018, reflecting higher distribution, content licensing and other and advertising revenue. Distribution revenue increased 9.5%, primarily due to contractual rate increases and the timing of contract renewals. Content licensing and other revenue increased 36.1%, due to the timing of content provided under licensing agreements. Advertising revenue increased 4.2%, reflecting higher rates, partially offset by audience ratings declines. Adjusted EBITDA increased 6.9% to $968 million in the third quarter of 2018, reflecting higher revenue, partially offset by higher programming and production costs.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nine months ended September 30, 2018, revenue from the Cable Networks segment increased 13.3% to $9.0 billion compared to 2017, reflecting higher distribution, advertising and content licensing and other revenue. Excluding $378 million of revenue generated by the broadcast of the 2018 PyeongChang Olympics in the first quarter of 2018, Cable Networks revenue increased 8.5% (see Table 6). Adjusted EBITDA increased 11.3% to $3.4 billion compared to 2017, reflecting higher revenue, partially offset by higher programming and production costs due to the broadcast of the 2018 PyeongChang Olympics.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Broadcast Television revenue increased 15.4% to $2.5 billion in the third quarter of 2018, reflecting increased advertising, distribution and other and content licensing revenue. Advertising revenue increased 9.2%, primarily driven by higher rates and revenue associated with Telemundo’s broadcast of the 2018 FIFA World Cup Russia</w:t>
      </w:r>
      <w:r>
        <w:rPr>
          <w:rFonts w:ascii="Arial" w:cs="Arial" w:eastAsia="Arial" w:hAnsi="Arial"/>
          <w:sz w:val="18"/>
          <w:szCs w:val="18"/>
          <w:color w:val="auto"/>
          <w:vertAlign w:val="superscript"/>
        </w:rPr>
        <w:t>TM</w:t>
      </w:r>
      <w:r>
        <w:rPr>
          <w:rFonts w:ascii="Arial" w:cs="Arial" w:eastAsia="Arial" w:hAnsi="Arial"/>
          <w:sz w:val="18"/>
          <w:szCs w:val="18"/>
          <w:color w:val="auto"/>
        </w:rPr>
        <w:t>, partially offset by audience ratings declines. Distribution and other revenue increased 23.9%, due to higher retransmission consent fees. Content licensing revenue increased 24.7%, reflecting the timing of content provided under licensing agreements. Adjusted EBITDA increased 1.8% to $321 million in the third quarter of 2018, reflecting higher revenue, partially offset by increased programming and production costs associated with Telemundo’s broadcast of the 2018 FIFA World Cup Russia</w:t>
      </w:r>
      <w:r>
        <w:rPr>
          <w:rFonts w:ascii="Arial" w:cs="Arial" w:eastAsia="Arial" w:hAnsi="Arial"/>
          <w:sz w:val="18"/>
          <w:szCs w:val="18"/>
          <w:color w:val="auto"/>
          <w:vertAlign w:val="superscript"/>
        </w:rPr>
        <w:t>TM</w:t>
      </w:r>
      <w:r>
        <w:rPr>
          <w:rFonts w:ascii="Arial" w:cs="Arial" w:eastAsia="Arial" w:hAnsi="Arial"/>
          <w:sz w:val="18"/>
          <w:szCs w:val="18"/>
          <w:color w:val="auto"/>
        </w:rPr>
        <w:t>.</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nine months ended September 30, 2018, revenue from the Broadcast Television segment increased 26.9% to $8.3 billion compared to 2017, reflecting an increase in advertising, distribution and other and content licensing revenue. Excluding $770 million of revenue generated by the broadcast of the 2018 PyeongChang Olympics in the first quarter of 2018 and $423 million of revenue generated by the broadcast of Super Bowl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8" w:name="page9"/>
    <w:bookmarkEnd w:id="8"/>
    <w:p>
      <w:pPr>
        <w:jc w:val="both"/>
        <w:spacing w:after="0"/>
        <w:rPr>
          <w:sz w:val="20"/>
          <w:szCs w:val="20"/>
          <w:color w:val="auto"/>
        </w:rPr>
      </w:pPr>
      <w:r>
        <w:rPr>
          <w:rFonts w:ascii="Arial" w:cs="Arial" w:eastAsia="Arial" w:hAnsi="Arial"/>
          <w:sz w:val="18"/>
          <w:szCs w:val="18"/>
          <w:color w:val="auto"/>
        </w:rPr>
        <w:t>LII in the first quarter of 2018, Broadcast Television revenue increased 8.7% (see Table 6). Adjusted EBITDA increased 18.2% to $1.2 billion compared to 2017, reflecting an increase in revenue, partially offset by an increase in programming and production costs, primarily due to increased sports programming costs associated with the broadcasts of the 2018 PyeongChang Olympics and Super Bowl LII.</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Filmed Entertainment revenue increased 3.8% to $1.8 billion in the third quarter of 2018, reflecting increased theatrical and content licensing revenue, partially offset by decreases in home entertainment and other revenue. Theatrical revenue increased 16.7%, reflecting the continued success of </w:t>
      </w:r>
      <w:r>
        <w:rPr>
          <w:rFonts w:ascii="Arial" w:cs="Arial" w:eastAsia="Arial" w:hAnsi="Arial"/>
          <w:sz w:val="18"/>
          <w:szCs w:val="18"/>
          <w:i w:val="1"/>
          <w:iCs w:val="1"/>
          <w:color w:val="auto"/>
        </w:rPr>
        <w:t>Jurassic World: Fallen Kingdom,</w:t>
      </w:r>
      <w:r>
        <w:rPr>
          <w:rFonts w:ascii="Arial" w:cs="Arial" w:eastAsia="Arial" w:hAnsi="Arial"/>
          <w:sz w:val="18"/>
          <w:szCs w:val="18"/>
          <w:color w:val="auto"/>
        </w:rPr>
        <w:t xml:space="preserve"> and the performance of </w:t>
      </w:r>
      <w:r>
        <w:rPr>
          <w:rFonts w:ascii="Arial" w:cs="Arial" w:eastAsia="Arial" w:hAnsi="Arial"/>
          <w:sz w:val="18"/>
          <w:szCs w:val="18"/>
          <w:i w:val="1"/>
          <w:iCs w:val="1"/>
          <w:color w:val="auto"/>
        </w:rPr>
        <w:t>Mamma Mia! Here We Go Again</w:t>
      </w:r>
      <w:r>
        <w:rPr>
          <w:rFonts w:ascii="Arial" w:cs="Arial" w:eastAsia="Arial" w:hAnsi="Arial"/>
          <w:sz w:val="18"/>
          <w:szCs w:val="18"/>
          <w:color w:val="auto"/>
        </w:rPr>
        <w:t xml:space="preserve"> in this year’s third quarter. Content licensing revenue increased 8.6%, driven by the timing of when content was made available under licensing agreements. Home Entertainment revenue decreased 13.1%, reflecting the success of several releases in the prior year period, including </w:t>
      </w:r>
      <w:r>
        <w:rPr>
          <w:rFonts w:ascii="Arial" w:cs="Arial" w:eastAsia="Arial" w:hAnsi="Arial"/>
          <w:sz w:val="18"/>
          <w:szCs w:val="18"/>
          <w:i w:val="1"/>
          <w:iCs w:val="1"/>
          <w:color w:val="auto"/>
        </w:rPr>
        <w:t>The Fate of the Furious</w:t>
      </w:r>
      <w:r>
        <w:rPr>
          <w:rFonts w:ascii="Arial" w:cs="Arial" w:eastAsia="Arial" w:hAnsi="Arial"/>
          <w:sz w:val="18"/>
          <w:szCs w:val="18"/>
          <w:color w:val="auto"/>
        </w:rPr>
        <w:t xml:space="preserve"> and </w:t>
      </w:r>
      <w:r>
        <w:rPr>
          <w:rFonts w:ascii="Arial" w:cs="Arial" w:eastAsia="Arial" w:hAnsi="Arial"/>
          <w:sz w:val="18"/>
          <w:szCs w:val="18"/>
          <w:i w:val="1"/>
          <w:iCs w:val="1"/>
          <w:color w:val="auto"/>
        </w:rPr>
        <w:t>Boss Baby.</w:t>
      </w:r>
      <w:r>
        <w:rPr>
          <w:rFonts w:ascii="Arial" w:cs="Arial" w:eastAsia="Arial" w:hAnsi="Arial"/>
          <w:sz w:val="18"/>
          <w:szCs w:val="18"/>
          <w:color w:val="auto"/>
        </w:rPr>
        <w:t xml:space="preserve"> Adjusted EBITDA decreased by 44.2% to $214 million in the third quarter of 2018, reflecting higher operating costs, partially offset by higher revenue.</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2018, revenue from the Filmed Entertainment segment decreased 11.7% to $5.2 billion compared to 2017, reflecting lower theatrical, home entertainment and other revenue, partially offset by higher content licensing revenue. Adjusted EBITDA decreased 46.7% to $555 million compared to 2017, reflecting lower revenue, partially offset by lower programming and production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Theme Parks revenue decreased 1.4% to $1.5 billion in the third quarter of 2018, reflecting an unfavorable impact on attendance as a result of severe weather and natural disasters in Japan. Adjusted EBITDA decreased 6.5% to $725 million in the third quarter of 2018, reflecting lower revenue and an increase in operating expenses.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2018, revenue from the Theme Parks segment increased 4.7% to $4.2 billion compared to 2017, reflecting higher per capita spending. Adjusted EBITDA increased 3.8% to $1.8 billion compared to 2017, due to higher revenue, partially offset by an increase in 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September 30, 2018, NBCUniversal Headquarters, Other and Eliminations Adjusted EBITDA loss was $162 million, compared to a loss of $123 million in the third quarter of 2017, which included a favorable tax settlement.</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2018, NBCUniversal Headquarters, Other and Eliminations Adjusted EBITDA loss was $500 million compared to a loss of $544 million in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Corporate, Other and Eliminations primarily relate to corporate operations, our new wireless initiative, Xfinity Mobile, and Comcast Spectacor, as well as eliminations among Comcast’s businesses. For the quarter ended September 30, 2018, the Corporate, Other and Eliminations Adjusted EBITDA loss was $368 million, compared to a loss of $340 million in the third quarter of 2017. This quarter’s results include a loss of $178 million from Xfinity Mobile, which compares to a loss of $161 million in the prior year period. In this year’s third quarter, Xfinity Mobile reported net line additions of 228,000 in the quarter, ending the quarter with 1.0 million total lines.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2018, the Corporate, Other and Eliminations Adjusted EBITDA loss was $1.2 billion, reflecting increased costs associated with scaling Xfinity Mobile and eliminations associated with the 2018 PyeongChang Olympics, compared to a loss of $815 million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0" w:lineRule="exact"/>
        <w:rPr>
          <w:sz w:val="20"/>
          <w:szCs w:val="20"/>
          <w:color w:val="auto"/>
        </w:rPr>
      </w:pPr>
    </w:p>
    <w:p>
      <w:pPr>
        <w:jc w:val="both"/>
        <w:ind w:left="180" w:hanging="172"/>
        <w:spacing w:after="0" w:line="239"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Adjusted EBITDA as net income attributable to Comcast Corporation before net income (loss) attributable to noncontrolling interests and redeemable subsidiary preferred stock, income tax benefit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left="180" w:right="20"/>
        <w:spacing w:after="0" w:line="246" w:lineRule="auto"/>
        <w:rPr>
          <w:sz w:val="20"/>
          <w:szCs w:val="20"/>
          <w:color w:val="auto"/>
        </w:rPr>
      </w:pPr>
      <w:r>
        <w:rPr>
          <w:rFonts w:ascii="Arial" w:cs="Arial" w:eastAsia="Arial" w:hAnsi="Arial"/>
          <w:sz w:val="18"/>
          <w:szCs w:val="18"/>
          <w:color w:val="auto"/>
        </w:rPr>
        <w:t>Adjusted EBITDA the impact of certain events, gains, losses or other charges (such as significant legal settlements) that affect the period-to-period comparability of our operating performance. See Table 4 for reconciliation of non-GAAP 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2 All earnings per share amounts are presented on a diluted basis.</w:t>
      </w:r>
    </w:p>
    <w:p>
      <w:pPr>
        <w:spacing w:after="0" w:line="198" w:lineRule="exact"/>
        <w:rPr>
          <w:sz w:val="20"/>
          <w:szCs w:val="20"/>
          <w:color w:val="auto"/>
        </w:rPr>
      </w:pPr>
    </w:p>
    <w:p>
      <w:pPr>
        <w:jc w:val="both"/>
        <w:ind w:left="180" w:hanging="172"/>
        <w:spacing w:after="0" w:line="252" w:lineRule="auto"/>
        <w:tabs>
          <w:tab w:leader="none" w:pos="287" w:val="left"/>
        </w:tabs>
        <w:numPr>
          <w:ilvl w:val="0"/>
          <w:numId w:val="6"/>
        </w:numPr>
        <w:rPr>
          <w:rFonts w:ascii="Arial" w:cs="Arial" w:eastAsia="Arial" w:hAnsi="Arial"/>
          <w:sz w:val="17"/>
          <w:szCs w:val="17"/>
          <w:color w:val="auto"/>
        </w:rPr>
      </w:pPr>
      <w:r>
        <w:rPr>
          <w:rFonts w:ascii="Arial" w:cs="Arial" w:eastAsia="Arial" w:hAnsi="Arial"/>
          <w:sz w:val="17"/>
          <w:szCs w:val="17"/>
          <w:color w:val="auto"/>
        </w:rPr>
        <w:t>Effective January 1, 2018, we adopted the new accounting standard related to revenue recognition. In connection with the adoption, we implemented changes in classification for our Cable Communications segment’s Video, High-Speed Internet, Voice, Business Services and Other revenues and costs and expenses. In addition, the new guidance impacted the timing of recognition for Cable Communications installation revenue and commissions expense, and Cable Networks, Broadcast Television and Filmed Entertainment content licensing renewals and extensions. These changes affected Operating Income and Adjusted EBITDA for Comcast Consolidated and the Cable Communications, Cable Networks, Broadcast Television and Filmed Entertainment segments. The adoption did not impact Consolidated Free Cash Flow; however, Cash Paid for Capitalized Software and Other Intangible Assets, and Changes in Operating Assets and Liabilities were affected. We adopted the guidance using the full retrospective method and all periods presented have been adjusted. To be consistent with our current management reporting presentation, certain 2017 operating results were reclassified within the Cable Communications segment.</w:t>
      </w:r>
    </w:p>
    <w:p>
      <w:pPr>
        <w:spacing w:after="0" w:line="179" w:lineRule="exact"/>
        <w:rPr>
          <w:sz w:val="20"/>
          <w:szCs w:val="20"/>
          <w:color w:val="auto"/>
        </w:rPr>
      </w:pPr>
    </w:p>
    <w:p>
      <w:pPr>
        <w:jc w:val="both"/>
        <w:ind w:left="180" w:hanging="172"/>
        <w:spacing w:after="0" w:line="236" w:lineRule="auto"/>
        <w:tabs>
          <w:tab w:leader="none" w:pos="233" w:val="left"/>
        </w:tabs>
        <w:numPr>
          <w:ilvl w:val="0"/>
          <w:numId w:val="7"/>
        </w:numPr>
        <w:rPr>
          <w:rFonts w:ascii="Arial" w:cs="Arial" w:eastAsia="Arial" w:hAnsi="Arial"/>
          <w:sz w:val="18"/>
          <w:szCs w:val="18"/>
          <w:color w:val="auto"/>
        </w:rPr>
      </w:pPr>
      <w:r>
        <w:rPr>
          <w:rFonts w:ascii="Arial" w:cs="Arial" w:eastAsia="Arial" w:hAnsi="Arial"/>
          <w:sz w:val="18"/>
          <w:szCs w:val="18"/>
          <w:color w:val="auto"/>
        </w:rPr>
        <w:t>Beginning in the first quarter 2018, we have implemented changes that simplify our definition of Free Cash Flow to the following: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Consolidated Statement of Cash Flows and are therefore excluded from capital expenditures for Free Cash Flow. Following this change, our new definition of Free Cash Flow no longer adjusts for, among other things, the effects of economic stimulus packages, distributions to noncontrolling interests and dividends for redeemable preferred stock and certain nonoperating items. The prior period amounts have been adjusted to reflect this change. See Table 4 for reconciliation of non-GAAP financial measures.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October 25, 2018 at 8:00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Those parties interested in participating via telephone should dial (800) 263-8495 with the conference ID number 8169597. A replay of the call will be available starting at 12:00 p.m. ET on October 25, 2018, on the Investor Relations website or by telephone. To access the telephone replay, which will be available until Thursday, November 1, 2018 at midnight ET, please dial (855) 859-2056 and enter the conference ID number 8169597.</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on our corporate blog, </w:t>
      </w:r>
      <w:r>
        <w:rPr>
          <w:rFonts w:ascii="Arial" w:cs="Arial" w:eastAsia="Arial" w:hAnsi="Arial"/>
          <w:sz w:val="16"/>
          <w:szCs w:val="16"/>
          <w:u w:val="single" w:color="auto"/>
          <w:color w:val="auto"/>
        </w:rPr>
        <w:t>www.corporate.comcast.com/comcast-voices</w:t>
      </w:r>
      <w:r>
        <w:rPr>
          <w:rFonts w:ascii="Arial" w:cs="Arial" w:eastAsia="Arial" w:hAnsi="Arial"/>
          <w:sz w:val="16"/>
          <w:szCs w:val="16"/>
          <w:color w:val="auto"/>
        </w:rPr>
        <w:t xml:space="preserve">.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subscribe to email alerts.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700" w:type="dxa"/>
            <w:vAlign w:val="bottom"/>
          </w:tcPr>
          <w:p>
            <w:pPr>
              <w:jc w:val="right"/>
              <w:ind w:right="2439"/>
              <w:spacing w:after="0"/>
              <w:rPr>
                <w:sz w:val="20"/>
                <w:szCs w:val="20"/>
                <w:color w:val="auto"/>
              </w:rPr>
            </w:pPr>
            <w:r>
              <w:rPr>
                <w:rFonts w:ascii="Arial" w:cs="Arial" w:eastAsia="Arial" w:hAnsi="Arial"/>
                <w:sz w:val="16"/>
                <w:szCs w:val="16"/>
                <w:color w:val="auto"/>
              </w:rPr>
              <w:t>###</w:t>
            </w:r>
          </w:p>
        </w:tc>
        <w:tc>
          <w:tcPr>
            <w:tcW w:w="1640" w:type="dxa"/>
            <w:vAlign w:val="bottom"/>
          </w:tcPr>
          <w:p>
            <w:pPr>
              <w:spacing w:after="0"/>
              <w:rPr>
                <w:sz w:val="16"/>
                <w:szCs w:val="16"/>
                <w:color w:val="auto"/>
              </w:rPr>
            </w:pPr>
          </w:p>
        </w:tc>
      </w:tr>
      <w:tr>
        <w:trPr>
          <w:trHeight w:val="386"/>
        </w:trPr>
        <w:tc>
          <w:tcPr>
            <w:tcW w:w="202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640" w:type="dxa"/>
            <w:vAlign w:val="bottom"/>
          </w:tcPr>
          <w:p>
            <w:pPr>
              <w:spacing w:after="0"/>
              <w:rPr>
                <w:sz w:val="24"/>
                <w:szCs w:val="24"/>
                <w:color w:val="auto"/>
              </w:rPr>
            </w:pPr>
          </w:p>
        </w:tc>
        <w:tc>
          <w:tcPr>
            <w:tcW w:w="3700" w:type="dxa"/>
            <w:vAlign w:val="bottom"/>
          </w:tcPr>
          <w:p>
            <w:pPr>
              <w:ind w:left="1920"/>
              <w:spacing w:after="0"/>
              <w:rPr>
                <w:sz w:val="20"/>
                <w:szCs w:val="20"/>
                <w:color w:val="auto"/>
              </w:rPr>
            </w:pPr>
            <w:r>
              <w:rPr>
                <w:rFonts w:ascii="Arial" w:cs="Arial" w:eastAsia="Arial" w:hAnsi="Arial"/>
                <w:sz w:val="16"/>
                <w:szCs w:val="16"/>
                <w:b w:val="1"/>
                <w:bCs w:val="1"/>
                <w:color w:val="auto"/>
              </w:rPr>
              <w:t>Press Contacts:</w:t>
            </w:r>
          </w:p>
        </w:tc>
        <w:tc>
          <w:tcPr>
            <w:tcW w:w="1640" w:type="dxa"/>
            <w:vAlign w:val="bottom"/>
          </w:tcPr>
          <w:p>
            <w:pPr>
              <w:spacing w:after="0"/>
              <w:rPr>
                <w:sz w:val="24"/>
                <w:szCs w:val="24"/>
                <w:color w:val="auto"/>
              </w:rPr>
            </w:pPr>
          </w:p>
        </w:tc>
      </w:t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Jason Armstrong</w:t>
            </w:r>
          </w:p>
        </w:tc>
        <w:tc>
          <w:tcPr>
            <w:tcW w:w="2640" w:type="dxa"/>
            <w:vAlign w:val="bottom"/>
          </w:tcPr>
          <w:p>
            <w:pPr>
              <w:jc w:val="right"/>
              <w:ind w:right="839"/>
              <w:spacing w:after="0"/>
              <w:rPr>
                <w:sz w:val="20"/>
                <w:szCs w:val="20"/>
                <w:color w:val="auto"/>
              </w:rPr>
            </w:pPr>
            <w:r>
              <w:rPr>
                <w:rFonts w:ascii="Arial" w:cs="Arial" w:eastAsia="Arial" w:hAnsi="Arial"/>
                <w:sz w:val="16"/>
                <w:szCs w:val="16"/>
                <w:color w:val="auto"/>
              </w:rPr>
              <w:t>(215) 286-7972</w:t>
            </w:r>
          </w:p>
        </w:tc>
        <w:tc>
          <w:tcPr>
            <w:tcW w:w="3700" w:type="dxa"/>
            <w:vAlign w:val="bottom"/>
          </w:tcPr>
          <w:p>
            <w:pPr>
              <w:ind w:left="1920"/>
              <w:spacing w:after="0"/>
              <w:rPr>
                <w:sz w:val="20"/>
                <w:szCs w:val="20"/>
                <w:color w:val="auto"/>
              </w:rPr>
            </w:pPr>
            <w:r>
              <w:rPr>
                <w:rFonts w:ascii="Arial" w:cs="Arial" w:eastAsia="Arial" w:hAnsi="Arial"/>
                <w:sz w:val="16"/>
                <w:szCs w:val="16"/>
                <w:color w:val="auto"/>
              </w:rPr>
              <w:t>D’Arcy Rudnay</w:t>
            </w:r>
          </w:p>
        </w:tc>
        <w:tc>
          <w:tcPr>
            <w:tcW w:w="1640" w:type="dxa"/>
            <w:vAlign w:val="bottom"/>
          </w:tcPr>
          <w:p>
            <w:pPr>
              <w:jc w:val="right"/>
              <w:spacing w:after="0"/>
              <w:rPr>
                <w:sz w:val="20"/>
                <w:szCs w:val="20"/>
                <w:color w:val="auto"/>
              </w:rPr>
            </w:pPr>
            <w:r>
              <w:rPr>
                <w:rFonts w:ascii="Arial" w:cs="Arial" w:eastAsia="Arial" w:hAnsi="Arial"/>
                <w:sz w:val="16"/>
                <w:szCs w:val="16"/>
                <w:color w:val="auto"/>
              </w:rPr>
              <w:t>(215) 286-8582</w:t>
            </w:r>
          </w:p>
        </w:tc>
      </w:tr>
      <w:tr>
        <w:trPr>
          <w:trHeight w:val="195"/>
        </w:trPr>
        <w:tc>
          <w:tcPr>
            <w:tcW w:w="2020" w:type="dxa"/>
            <w:vAlign w:val="bottom"/>
          </w:tcPr>
          <w:p>
            <w:pPr>
              <w:spacing w:after="0"/>
              <w:rPr>
                <w:sz w:val="20"/>
                <w:szCs w:val="20"/>
                <w:color w:val="auto"/>
              </w:rPr>
            </w:pPr>
            <w:r>
              <w:rPr>
                <w:rFonts w:ascii="Arial" w:cs="Arial" w:eastAsia="Arial" w:hAnsi="Arial"/>
                <w:sz w:val="16"/>
                <w:szCs w:val="16"/>
                <w:color w:val="auto"/>
              </w:rPr>
              <w:t>Jane Kearns</w:t>
            </w:r>
          </w:p>
        </w:tc>
        <w:tc>
          <w:tcPr>
            <w:tcW w:w="2640" w:type="dxa"/>
            <w:vAlign w:val="bottom"/>
          </w:tcPr>
          <w:p>
            <w:pPr>
              <w:jc w:val="right"/>
              <w:ind w:right="839"/>
              <w:spacing w:after="0"/>
              <w:rPr>
                <w:sz w:val="20"/>
                <w:szCs w:val="20"/>
                <w:color w:val="auto"/>
              </w:rPr>
            </w:pPr>
            <w:r>
              <w:rPr>
                <w:rFonts w:ascii="Arial" w:cs="Arial" w:eastAsia="Arial" w:hAnsi="Arial"/>
                <w:sz w:val="16"/>
                <w:szCs w:val="16"/>
                <w:color w:val="auto"/>
              </w:rPr>
              <w:t>(215) 286-4794</w:t>
            </w:r>
          </w:p>
        </w:tc>
        <w:tc>
          <w:tcPr>
            <w:tcW w:w="3700" w:type="dxa"/>
            <w:vAlign w:val="bottom"/>
          </w:tcPr>
          <w:p>
            <w:pPr>
              <w:ind w:left="1920"/>
              <w:spacing w:after="0"/>
              <w:rPr>
                <w:sz w:val="20"/>
                <w:szCs w:val="20"/>
                <w:color w:val="auto"/>
              </w:rPr>
            </w:pPr>
            <w:r>
              <w:rPr>
                <w:rFonts w:ascii="Arial" w:cs="Arial" w:eastAsia="Arial" w:hAnsi="Arial"/>
                <w:sz w:val="16"/>
                <w:szCs w:val="16"/>
                <w:color w:val="auto"/>
              </w:rPr>
              <w:t>John Demming</w:t>
            </w:r>
          </w:p>
        </w:tc>
        <w:tc>
          <w:tcPr>
            <w:tcW w:w="1640" w:type="dxa"/>
            <w:vAlign w:val="bottom"/>
          </w:tcPr>
          <w:p>
            <w:pPr>
              <w:jc w:val="right"/>
              <w:spacing w:after="0"/>
              <w:rPr>
                <w:sz w:val="20"/>
                <w:szCs w:val="20"/>
                <w:color w:val="auto"/>
              </w:rPr>
            </w:pPr>
            <w:r>
              <w:rPr>
                <w:rFonts w:ascii="Arial" w:cs="Arial" w:eastAsia="Arial" w:hAnsi="Arial"/>
                <w:sz w:val="16"/>
                <w:szCs w:val="16"/>
                <w:color w:val="auto"/>
              </w:rPr>
              <w:t>(215) 286-8011</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ind w:right="40"/>
        <w:spacing w:after="0" w:line="262"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ind w:right="40"/>
        <w:spacing w:after="0" w:line="248" w:lineRule="auto"/>
        <w:rPr>
          <w:sz w:val="20"/>
          <w:szCs w:val="20"/>
          <w:color w:val="auto"/>
        </w:rPr>
      </w:pPr>
      <w:r>
        <w:rPr>
          <w:rFonts w:ascii="Arial" w:cs="Arial" w:eastAsia="Arial" w:hAnsi="Arial"/>
          <w:sz w:val="16"/>
          <w:szCs w:val="16"/>
          <w:color w:val="auto"/>
        </w:rPr>
        <w:t>Comcast Corporation (Nasdaq: CMCSA) is a global media and technology company with three primary businesses: Comcast Cable, NBCUniversal, and Sky. Comcast Cable is one of the United States’ largest video, high-speed internet, and phone providers to residential customers under the Xfinity brand, and also provides these services to businesses. It also provides wireless and security and automation services to residential customers under the Xfinity brand. NBCUniversal is global and operates news, entertainment and sports cable networks, the NBC and Telemundo broadcast networks, television production operations, television station groups, Universal Pictures, and Universal Parks and Resorts. Sky is one of Europe’s leading media and entertainment companies, connecting customers to a broad range of video content through its pay television services. It also provides communications services, including residential high-speed internet, phone, and wireless services. Sky operates the Sky News broadcast network and sports and entertainment networks, produces original content, and has exclusive content rights. Visit www.comcastcorporation.com for more information.</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03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828282"/>
        </w:rPr>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31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280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556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980" w:type="dxa"/>
            <w:vAlign w:val="bottom"/>
            <w:gridSpan w:val="3"/>
          </w:tcPr>
          <w:p>
            <w:pPr>
              <w:jc w:val="center"/>
              <w:ind w:left="739"/>
              <w:spacing w:after="0"/>
              <w:rPr>
                <w:sz w:val="20"/>
                <w:szCs w:val="20"/>
                <w:color w:val="auto"/>
              </w:rPr>
            </w:pPr>
            <w:r>
              <w:rPr>
                <w:rFonts w:ascii="Arial" w:cs="Arial" w:eastAsia="Arial" w:hAnsi="Arial"/>
                <w:sz w:val="16"/>
                <w:szCs w:val="16"/>
                <w:b w:val="1"/>
                <w:bCs w:val="1"/>
                <w:color w:val="auto"/>
              </w:rPr>
              <w:t>September 30,</w:t>
            </w:r>
          </w:p>
        </w:tc>
        <w:tc>
          <w:tcPr>
            <w:tcW w:w="8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8"/>
                <w:szCs w:val="18"/>
                <w:color w:val="auto"/>
              </w:rPr>
            </w:pPr>
          </w:p>
        </w:tc>
        <w:tc>
          <w:tcPr>
            <w:tcW w:w="1940" w:type="dxa"/>
            <w:vAlign w:val="bottom"/>
            <w:gridSpan w:val="3"/>
          </w:tcPr>
          <w:p>
            <w:pPr>
              <w:jc w:val="center"/>
              <w:ind w:left="719"/>
              <w:spacing w:after="0"/>
              <w:rPr>
                <w:sz w:val="20"/>
                <w:szCs w:val="20"/>
                <w:color w:val="auto"/>
              </w:rPr>
            </w:pPr>
            <w:r>
              <w:rPr>
                <w:rFonts w:ascii="Arial" w:cs="Arial" w:eastAsia="Arial" w:hAnsi="Arial"/>
                <w:sz w:val="16"/>
                <w:szCs w:val="16"/>
                <w:b w:val="1"/>
                <w:bCs w:val="1"/>
                <w:color w:val="auto"/>
              </w:rPr>
              <w:t>September 30,</w:t>
            </w:r>
          </w:p>
        </w:tc>
        <w:tc>
          <w:tcPr>
            <w:tcW w:w="8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56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2017</w:t>
            </w:r>
          </w:p>
        </w:tc>
        <w:tc>
          <w:tcPr>
            <w:tcW w:w="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2017</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60" w:type="dxa"/>
            <w:vAlign w:val="bottom"/>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$21,081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$22,135</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$62,954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$66,661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5560" w:type="dxa"/>
            <w:vAlign w:val="bottom"/>
          </w:tcPr>
          <w:p>
            <w:pPr>
              <w:ind w:left="220"/>
              <w:spacing w:after="0"/>
              <w:rPr>
                <w:sz w:val="20"/>
                <w:szCs w:val="20"/>
                <w:color w:val="auto"/>
              </w:rPr>
            </w:pPr>
            <w:r>
              <w:rPr>
                <w:rFonts w:ascii="Arial" w:cs="Arial" w:eastAsia="Arial" w:hAnsi="Arial"/>
                <w:sz w:val="16"/>
                <w:szCs w:val="16"/>
                <w:color w:val="auto"/>
              </w:rPr>
              <w:t>Programming and production</w:t>
            </w:r>
          </w:p>
        </w:tc>
        <w:tc>
          <w:tcPr>
            <w:tcW w:w="1260" w:type="dxa"/>
            <w:vAlign w:val="bottom"/>
          </w:tcPr>
          <w:p>
            <w:pPr>
              <w:jc w:val="right"/>
              <w:spacing w:after="0"/>
              <w:rPr>
                <w:sz w:val="20"/>
                <w:szCs w:val="20"/>
                <w:color w:val="auto"/>
              </w:rPr>
            </w:pPr>
            <w:r>
              <w:rPr>
                <w:rFonts w:ascii="Arial" w:cs="Arial" w:eastAsia="Arial" w:hAnsi="Arial"/>
                <w:sz w:val="16"/>
                <w:szCs w:val="16"/>
                <w:color w:val="auto"/>
              </w:rPr>
              <w:t>6,059</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6,711</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18,450</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20,440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560" w:type="dxa"/>
            <w:vAlign w:val="bottom"/>
          </w:tcPr>
          <w:p>
            <w:pPr>
              <w:ind w:left="220"/>
              <w:spacing w:after="0"/>
              <w:rPr>
                <w:sz w:val="20"/>
                <w:szCs w:val="20"/>
                <w:color w:val="auto"/>
              </w:rPr>
            </w:pPr>
            <w:r>
              <w:rPr>
                <w:rFonts w:ascii="Arial" w:cs="Arial" w:eastAsia="Arial" w:hAnsi="Arial"/>
                <w:sz w:val="16"/>
                <w:szCs w:val="16"/>
                <w:color w:val="auto"/>
              </w:rPr>
              <w:t>Other operating and administrative</w:t>
            </w:r>
          </w:p>
        </w:tc>
        <w:tc>
          <w:tcPr>
            <w:tcW w:w="1260" w:type="dxa"/>
            <w:vAlign w:val="bottom"/>
          </w:tcPr>
          <w:p>
            <w:pPr>
              <w:jc w:val="right"/>
              <w:spacing w:after="0"/>
              <w:rPr>
                <w:sz w:val="20"/>
                <w:szCs w:val="20"/>
                <w:color w:val="auto"/>
              </w:rPr>
            </w:pPr>
            <w:r>
              <w:rPr>
                <w:rFonts w:ascii="Arial" w:cs="Arial" w:eastAsia="Arial" w:hAnsi="Arial"/>
                <w:sz w:val="16"/>
                <w:szCs w:val="16"/>
                <w:color w:val="auto"/>
              </w:rPr>
              <w:t>6,535</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6,444</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18,642</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19,323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60" w:type="dxa"/>
            <w:vAlign w:val="bottom"/>
          </w:tcPr>
          <w:p>
            <w:pPr>
              <w:ind w:left="220"/>
              <w:spacing w:after="0"/>
              <w:rPr>
                <w:sz w:val="20"/>
                <w:szCs w:val="20"/>
                <w:color w:val="auto"/>
              </w:rPr>
            </w:pPr>
            <w:r>
              <w:rPr>
                <w:rFonts w:ascii="Arial" w:cs="Arial" w:eastAsia="Arial" w:hAnsi="Arial"/>
                <w:sz w:val="16"/>
                <w:szCs w:val="16"/>
                <w:color w:val="auto"/>
              </w:rPr>
              <w:t>Advertising, marketing and promotion</w:t>
            </w:r>
          </w:p>
        </w:tc>
        <w:tc>
          <w:tcPr>
            <w:tcW w:w="1260" w:type="dxa"/>
            <w:vAlign w:val="bottom"/>
          </w:tcPr>
          <w:p>
            <w:pPr>
              <w:jc w:val="right"/>
              <w:spacing w:after="0"/>
              <w:rPr>
                <w:sz w:val="20"/>
                <w:szCs w:val="20"/>
                <w:color w:val="auto"/>
              </w:rPr>
            </w:pPr>
            <w:r>
              <w:rPr>
                <w:rFonts w:ascii="Arial" w:cs="Arial" w:eastAsia="Arial" w:hAnsi="Arial"/>
                <w:sz w:val="16"/>
                <w:szCs w:val="16"/>
                <w:color w:val="auto"/>
              </w:rPr>
              <w:t>1,604</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1,667</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4,894</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4,924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60" w:type="dxa"/>
            <w:vAlign w:val="bottom"/>
          </w:tcPr>
          <w:p>
            <w:pPr>
              <w:ind w:left="220"/>
              <w:spacing w:after="0" w:line="207" w:lineRule="exact"/>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(250)</w:t>
            </w:r>
          </w:p>
        </w:tc>
        <w:tc>
          <w:tcPr>
            <w:tcW w:w="4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(250)</w:t>
            </w:r>
          </w:p>
        </w:tc>
        <w:tc>
          <w:tcPr>
            <w:tcW w:w="4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13,948</w:t>
            </w:r>
          </w:p>
        </w:tc>
        <w:tc>
          <w:tcPr>
            <w:tcW w:w="30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14,822</w:t>
            </w:r>
          </w:p>
        </w:tc>
        <w:tc>
          <w:tcPr>
            <w:tcW w:w="30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41,736</w:t>
            </w:r>
          </w:p>
        </w:tc>
        <w:tc>
          <w:tcPr>
            <w:tcW w:w="28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44,687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6"/>
        </w:trPr>
        <w:tc>
          <w:tcPr>
            <w:tcW w:w="5560" w:type="dxa"/>
            <w:vAlign w:val="bottom"/>
          </w:tcPr>
          <w:p>
            <w:pPr>
              <w:spacing w:after="0"/>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6"/>
                <w:szCs w:val="16"/>
                <w:color w:val="auto"/>
              </w:rPr>
              <w:t>7,133</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7,313</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21,218</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21,974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560" w:type="dxa"/>
            <w:vAlign w:val="bottom"/>
          </w:tcPr>
          <w:p>
            <w:pPr>
              <w:ind w:left="220"/>
              <w:spacing w:after="0"/>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6"/>
                <w:szCs w:val="16"/>
                <w:color w:val="auto"/>
              </w:rPr>
              <w:t>250</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250</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5560" w:type="dxa"/>
            <w:vAlign w:val="bottom"/>
          </w:tcPr>
          <w:p>
            <w:pPr>
              <w:ind w:left="220"/>
              <w:spacing w:after="0"/>
              <w:rPr>
                <w:sz w:val="20"/>
                <w:szCs w:val="20"/>
                <w:color w:val="auto"/>
              </w:rPr>
            </w:pPr>
            <w:r>
              <w:rPr>
                <w:rFonts w:ascii="Arial" w:cs="Arial" w:eastAsia="Arial" w:hAnsi="Arial"/>
                <w:sz w:val="16"/>
                <w:szCs w:val="16"/>
                <w:color w:val="auto"/>
              </w:rPr>
              <w:t>Depreciation expense</w:t>
            </w:r>
          </w:p>
        </w:tc>
        <w:tc>
          <w:tcPr>
            <w:tcW w:w="1260" w:type="dxa"/>
            <w:vAlign w:val="bottom"/>
          </w:tcPr>
          <w:p>
            <w:pPr>
              <w:jc w:val="right"/>
              <w:spacing w:after="0"/>
              <w:rPr>
                <w:sz w:val="20"/>
                <w:szCs w:val="20"/>
                <w:color w:val="auto"/>
              </w:rPr>
            </w:pPr>
            <w:r>
              <w:rPr>
                <w:rFonts w:ascii="Arial" w:cs="Arial" w:eastAsia="Arial" w:hAnsi="Arial"/>
                <w:sz w:val="16"/>
                <w:szCs w:val="16"/>
                <w:color w:val="auto"/>
              </w:rPr>
              <w:t>1,991</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2,038</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5,876</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6,070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60" w:type="dxa"/>
            <w:vAlign w:val="bottom"/>
          </w:tcPr>
          <w:p>
            <w:pPr>
              <w:ind w:left="220"/>
              <w:spacing w:after="0"/>
              <w:rPr>
                <w:sz w:val="20"/>
                <w:szCs w:val="20"/>
                <w:color w:val="auto"/>
              </w:rPr>
            </w:pPr>
            <w:r>
              <w:rPr>
                <w:rFonts w:ascii="Arial" w:cs="Arial" w:eastAsia="Arial" w:hAnsi="Arial"/>
                <w:sz w:val="16"/>
                <w:szCs w:val="16"/>
                <w:color w:val="auto"/>
              </w:rPr>
              <w:t>Amortization expense</w:t>
            </w:r>
          </w:p>
        </w:tc>
        <w:tc>
          <w:tcPr>
            <w:tcW w:w="1260" w:type="dxa"/>
            <w:vAlign w:val="bottom"/>
          </w:tcPr>
          <w:p>
            <w:pPr>
              <w:jc w:val="right"/>
              <w:spacing w:after="0"/>
              <w:rPr>
                <w:sz w:val="20"/>
                <w:szCs w:val="20"/>
                <w:color w:val="auto"/>
              </w:rPr>
            </w:pPr>
            <w:r>
              <w:rPr>
                <w:rFonts w:ascii="Arial" w:cs="Arial" w:eastAsia="Arial" w:hAnsi="Arial"/>
                <w:sz w:val="16"/>
                <w:szCs w:val="16"/>
                <w:color w:val="auto"/>
              </w:rPr>
              <w:t>555</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580</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1,645</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60" w:type="dxa"/>
            <w:vAlign w:val="bottom"/>
          </w:tcPr>
          <w:p>
            <w:pPr>
              <w:ind w:left="220"/>
              <w:spacing w:after="0"/>
              <w:rPr>
                <w:sz w:val="20"/>
                <w:szCs w:val="20"/>
                <w:color w:val="auto"/>
              </w:rPr>
            </w:pPr>
            <w:r>
              <w:rPr>
                <w:rFonts w:ascii="Arial" w:cs="Arial" w:eastAsia="Arial" w:hAnsi="Arial"/>
                <w:sz w:val="16"/>
                <w:szCs w:val="16"/>
                <w:color w:val="auto"/>
              </w:rPr>
              <w:t>Other operating gains</w:t>
            </w: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(442)</w:t>
            </w:r>
          </w:p>
        </w:tc>
        <w:tc>
          <w:tcPr>
            <w:tcW w:w="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(141)</w:t>
            </w: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(442)</w:t>
            </w:r>
          </w:p>
        </w:tc>
        <w:tc>
          <w:tcPr>
            <w:tcW w:w="4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(341)</w:t>
            </w: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2,354</w:t>
            </w:r>
          </w:p>
        </w:tc>
        <w:tc>
          <w:tcPr>
            <w:tcW w:w="30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2,477</w:t>
            </w:r>
          </w:p>
        </w:tc>
        <w:tc>
          <w:tcPr>
            <w:tcW w:w="30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7,329</w:t>
            </w:r>
          </w:p>
        </w:tc>
        <w:tc>
          <w:tcPr>
            <w:tcW w:w="28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7,479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556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260" w:type="dxa"/>
            <w:vAlign w:val="bottom"/>
          </w:tcPr>
          <w:p>
            <w:pPr>
              <w:jc w:val="right"/>
              <w:spacing w:after="0"/>
              <w:rPr>
                <w:sz w:val="20"/>
                <w:szCs w:val="20"/>
                <w:color w:val="auto"/>
              </w:rPr>
            </w:pPr>
            <w:r>
              <w:rPr>
                <w:rFonts w:ascii="Arial" w:cs="Arial" w:eastAsia="Arial" w:hAnsi="Arial"/>
                <w:sz w:val="16"/>
                <w:szCs w:val="16"/>
                <w:color w:val="auto"/>
              </w:rPr>
              <w:t>4,779</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4,836</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13,889</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14,495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560" w:type="dxa"/>
            <w:vAlign w:val="bottom"/>
          </w:tcPr>
          <w:p>
            <w:pPr>
              <w:spacing w:after="0"/>
              <w:rPr>
                <w:sz w:val="20"/>
                <w:szCs w:val="20"/>
                <w:color w:val="auto"/>
              </w:rPr>
            </w:pPr>
            <w:r>
              <w:rPr>
                <w:rFonts w:ascii="Arial" w:cs="Arial" w:eastAsia="Arial" w:hAnsi="Arial"/>
                <w:sz w:val="16"/>
                <w:szCs w:val="16"/>
                <w:color w:val="auto"/>
              </w:rPr>
              <w:t>Interest expense</w:t>
            </w: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(766)</w:t>
            </w:r>
          </w:p>
        </w:tc>
        <w:tc>
          <w:tcPr>
            <w:tcW w:w="42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(830)</w:t>
            </w:r>
          </w:p>
        </w:tc>
        <w:tc>
          <w:tcPr>
            <w:tcW w:w="1240" w:type="dxa"/>
            <w:vAlign w:val="bottom"/>
          </w:tcPr>
          <w:p>
            <w:pPr>
              <w:jc w:val="right"/>
              <w:spacing w:after="0"/>
              <w:rPr>
                <w:sz w:val="20"/>
                <w:szCs w:val="20"/>
                <w:color w:val="auto"/>
              </w:rPr>
            </w:pPr>
            <w:r>
              <w:rPr>
                <w:rFonts w:ascii="Arial" w:cs="Arial" w:eastAsia="Arial" w:hAnsi="Arial"/>
                <w:sz w:val="16"/>
                <w:szCs w:val="16"/>
                <w:color w:val="auto"/>
              </w:rPr>
              <w:t>(2,279)</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(2,413)</w:t>
            </w:r>
          </w:p>
        </w:tc>
        <w:tc>
          <w:tcPr>
            <w:tcW w:w="0" w:type="dxa"/>
            <w:vAlign w:val="bottom"/>
          </w:tcPr>
          <w:p>
            <w:pPr>
              <w:spacing w:after="0"/>
              <w:rPr>
                <w:sz w:val="1"/>
                <w:szCs w:val="1"/>
                <w:color w:val="auto"/>
              </w:rPr>
            </w:pPr>
          </w:p>
        </w:tc>
      </w:tr>
      <w:tr>
        <w:trPr>
          <w:trHeight w:val="386"/>
        </w:trPr>
        <w:tc>
          <w:tcPr>
            <w:tcW w:w="556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rPr>
              <w:t>(76)</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r>
        <w:trPr>
          <w:trHeight w:val="169"/>
        </w:trPr>
        <w:tc>
          <w:tcPr>
            <w:tcW w:w="5560" w:type="dxa"/>
            <w:vAlign w:val="bottom"/>
          </w:tcPr>
          <w:p>
            <w:pPr>
              <w:ind w:left="220"/>
              <w:spacing w:after="0" w:line="169" w:lineRule="exact"/>
              <w:rPr>
                <w:sz w:val="20"/>
                <w:szCs w:val="20"/>
                <w:color w:val="auto"/>
              </w:rPr>
            </w:pPr>
            <w:r>
              <w:rPr>
                <w:rFonts w:ascii="Arial" w:cs="Arial" w:eastAsia="Arial" w:hAnsi="Arial"/>
                <w:sz w:val="16"/>
                <w:szCs w:val="16"/>
                <w:color w:val="auto"/>
              </w:rPr>
              <w:t>Equity in net income (losses) of investees, net</w:t>
            </w:r>
          </w:p>
        </w:tc>
        <w:tc>
          <w:tcPr>
            <w:tcW w:w="1560" w:type="dxa"/>
            <w:vAlign w:val="bottom"/>
            <w:gridSpan w:val="2"/>
          </w:tcPr>
          <w:p>
            <w:pPr>
              <w:jc w:val="right"/>
              <w:ind w:right="300"/>
              <w:spacing w:after="0" w:line="169" w:lineRule="exact"/>
              <w:rPr>
                <w:sz w:val="20"/>
                <w:szCs w:val="20"/>
                <w:color w:val="auto"/>
              </w:rPr>
            </w:pPr>
            <w:r>
              <w:rPr>
                <w:rFonts w:ascii="Arial" w:cs="Arial" w:eastAsia="Arial" w:hAnsi="Arial"/>
                <w:sz w:val="16"/>
                <w:szCs w:val="16"/>
                <w:color w:val="auto"/>
              </w:rPr>
              <w:t>(39)</w:t>
            </w:r>
          </w:p>
        </w:tc>
        <w:tc>
          <w:tcPr>
            <w:tcW w:w="4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auto"/>
              </w:rPr>
              <w:t>12</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60" w:type="dxa"/>
            <w:vAlign w:val="bottom"/>
          </w:tcPr>
          <w:p>
            <w:pPr>
              <w:ind w:left="220"/>
              <w:spacing w:after="0"/>
              <w:rPr>
                <w:sz w:val="20"/>
                <w:szCs w:val="20"/>
                <w:color w:val="auto"/>
              </w:rPr>
            </w:pPr>
            <w:r>
              <w:rPr>
                <w:rFonts w:ascii="Arial" w:cs="Arial" w:eastAsia="Arial" w:hAnsi="Arial"/>
                <w:sz w:val="16"/>
                <w:szCs w:val="16"/>
                <w:color w:val="auto"/>
              </w:rPr>
              <w:t>Realized and unrealized gains (losses) on equity securities, net</w:t>
            </w: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(38)</w:t>
            </w:r>
          </w:p>
        </w:tc>
        <w:tc>
          <w:tcPr>
            <w:tcW w:w="1940" w:type="dxa"/>
            <w:vAlign w:val="bottom"/>
            <w:gridSpan w:val="3"/>
          </w:tcPr>
          <w:p>
            <w:pPr>
              <w:jc w:val="right"/>
              <w:ind w:right="7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07"/>
        </w:trPr>
        <w:tc>
          <w:tcPr>
            <w:tcW w:w="5560" w:type="dxa"/>
            <w:vAlign w:val="bottom"/>
          </w:tcPr>
          <w:p>
            <w:pPr>
              <w:ind w:left="220"/>
              <w:spacing w:after="0"/>
              <w:rPr>
                <w:sz w:val="20"/>
                <w:szCs w:val="20"/>
                <w:color w:val="auto"/>
              </w:rPr>
            </w:pPr>
            <w:r>
              <w:rPr>
                <w:rFonts w:ascii="Arial" w:cs="Arial" w:eastAsia="Arial" w:hAnsi="Arial"/>
                <w:sz w:val="16"/>
                <w:szCs w:val="16"/>
                <w:color w:val="auto"/>
              </w:rPr>
              <w:t>Other income (loss), net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w:t>
            </w: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(111)</w:t>
            </w:r>
          </w:p>
        </w:tc>
        <w:tc>
          <w:tcPr>
            <w:tcW w:w="300" w:type="dxa"/>
            <w:vAlign w:val="bottom"/>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299</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556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260" w:type="dxa"/>
            <w:vAlign w:val="bottom"/>
          </w:tcPr>
          <w:p>
            <w:pPr>
              <w:jc w:val="right"/>
              <w:spacing w:after="0"/>
              <w:rPr>
                <w:sz w:val="20"/>
                <w:szCs w:val="20"/>
                <w:color w:val="auto"/>
              </w:rPr>
            </w:pPr>
            <w:r>
              <w:rPr>
                <w:rFonts w:ascii="Arial" w:cs="Arial" w:eastAsia="Arial" w:hAnsi="Arial"/>
                <w:sz w:val="16"/>
                <w:szCs w:val="16"/>
                <w:color w:val="auto"/>
              </w:rPr>
              <w:t>4,083</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3,895</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11,909</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12,174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556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1260" w:type="dxa"/>
            <w:vAlign w:val="bottom"/>
          </w:tcPr>
          <w:p>
            <w:pPr>
              <w:jc w:val="right"/>
              <w:spacing w:after="0"/>
              <w:rPr>
                <w:sz w:val="20"/>
                <w:szCs w:val="20"/>
                <w:color w:val="auto"/>
              </w:rPr>
            </w:pPr>
            <w:r>
              <w:rPr>
                <w:rFonts w:ascii="Arial" w:cs="Arial" w:eastAsia="Arial" w:hAnsi="Arial"/>
                <w:sz w:val="16"/>
                <w:szCs w:val="16"/>
                <w:color w:val="auto"/>
              </w:rPr>
              <w:t>(1,409)</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(999)</w:t>
            </w:r>
          </w:p>
        </w:tc>
        <w:tc>
          <w:tcPr>
            <w:tcW w:w="1240" w:type="dxa"/>
            <w:vAlign w:val="bottom"/>
          </w:tcPr>
          <w:p>
            <w:pPr>
              <w:jc w:val="right"/>
              <w:spacing w:after="0"/>
              <w:rPr>
                <w:sz w:val="20"/>
                <w:szCs w:val="20"/>
                <w:color w:val="auto"/>
              </w:rPr>
            </w:pPr>
            <w:r>
              <w:rPr>
                <w:rFonts w:ascii="Arial" w:cs="Arial" w:eastAsia="Arial" w:hAnsi="Arial"/>
                <w:sz w:val="16"/>
                <w:szCs w:val="16"/>
                <w:color w:val="auto"/>
              </w:rPr>
              <w:t>(4,038)</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(2,894)</w:t>
            </w:r>
          </w:p>
        </w:tc>
        <w:tc>
          <w:tcPr>
            <w:tcW w:w="0" w:type="dxa"/>
            <w:vAlign w:val="bottom"/>
          </w:tcPr>
          <w:p>
            <w:pPr>
              <w:spacing w:after="0"/>
              <w:rPr>
                <w:sz w:val="1"/>
                <w:szCs w:val="1"/>
                <w:color w:val="auto"/>
              </w:rPr>
            </w:pPr>
          </w:p>
        </w:tc>
      </w:tr>
      <w:tr>
        <w:trPr>
          <w:trHeight w:val="393"/>
        </w:trPr>
        <w:tc>
          <w:tcPr>
            <w:tcW w:w="556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2,674</w:t>
            </w:r>
          </w:p>
        </w:tc>
        <w:tc>
          <w:tcPr>
            <w:tcW w:w="3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2,896</w:t>
            </w:r>
          </w:p>
        </w:tc>
        <w:tc>
          <w:tcPr>
            <w:tcW w:w="300" w:type="dxa"/>
            <w:vAlign w:val="bottom"/>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7,871</w:t>
            </w:r>
          </w:p>
        </w:tc>
        <w:tc>
          <w:tcPr>
            <w:tcW w:w="2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9,280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56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 and</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560" w:type="dxa"/>
            <w:vAlign w:val="bottom"/>
          </w:tcPr>
          <w:p>
            <w:pPr>
              <w:ind w:left="180"/>
              <w:spacing w:after="0"/>
              <w:rPr>
                <w:sz w:val="20"/>
                <w:szCs w:val="20"/>
                <w:color w:val="auto"/>
              </w:rPr>
            </w:pPr>
            <w:r>
              <w:rPr>
                <w:rFonts w:ascii="Arial" w:cs="Arial" w:eastAsia="Arial" w:hAnsi="Arial"/>
                <w:sz w:val="16"/>
                <w:szCs w:val="16"/>
                <w:color w:val="auto"/>
              </w:rPr>
              <w:t>redeemable subsidiary preferred stock</w:t>
            </w:r>
          </w:p>
        </w:tc>
        <w:tc>
          <w:tcPr>
            <w:tcW w:w="1260" w:type="dxa"/>
            <w:vAlign w:val="bottom"/>
          </w:tcPr>
          <w:p>
            <w:pPr>
              <w:jc w:val="right"/>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6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2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60" w:type="dxa"/>
            <w:vAlign w:val="bottom"/>
            <w:vMerge w:val="continue"/>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$2,642</w:t>
            </w: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$2,886</w:t>
            </w:r>
          </w:p>
        </w:tc>
        <w:tc>
          <w:tcPr>
            <w:tcW w:w="300" w:type="dxa"/>
            <w:vAlign w:val="bottom"/>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$7,736</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$9,220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w:t>
            </w: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55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$0.62</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560" w:type="dxa"/>
            <w:vAlign w:val="bottom"/>
          </w:tcPr>
          <w:p>
            <w:pPr>
              <w:ind w:left="180"/>
              <w:spacing w:after="0"/>
              <w:rPr>
                <w:sz w:val="20"/>
                <w:szCs w:val="20"/>
                <w:color w:val="auto"/>
              </w:rPr>
            </w:pPr>
            <w:r>
              <w:rPr>
                <w:rFonts w:ascii="Arial" w:cs="Arial" w:eastAsia="Arial" w:hAnsi="Arial"/>
                <w:sz w:val="16"/>
                <w:szCs w:val="16"/>
                <w:b w:val="1"/>
                <w:bCs w:val="1"/>
                <w:color w:val="auto"/>
              </w:rPr>
              <w:t>Corporation shareholders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$0.55</w:t>
            </w:r>
          </w:p>
        </w:tc>
        <w:tc>
          <w:tcPr>
            <w:tcW w:w="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60" w:type="dxa"/>
            <w:vAlign w:val="bottom"/>
          </w:tcPr>
          <w:p>
            <w:pPr>
              <w:spacing w:after="0"/>
              <w:rPr>
                <w:sz w:val="20"/>
                <w:szCs w:val="20"/>
                <w:color w:val="auto"/>
              </w:rPr>
            </w:pPr>
            <w:r>
              <w:rPr>
                <w:rFonts w:ascii="Arial" w:cs="Arial" w:eastAsia="Arial" w:hAnsi="Arial"/>
                <w:sz w:val="16"/>
                <w:szCs w:val="16"/>
                <w:b w:val="1"/>
                <w:bCs w:val="1"/>
                <w:color w:val="auto"/>
              </w:rPr>
              <w:t>Dividends declared per common share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$0.1575</w:t>
            </w:r>
          </w:p>
        </w:tc>
        <w:tc>
          <w:tcPr>
            <w:tcW w:w="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$0.19</w:t>
            </w:r>
          </w:p>
        </w:tc>
        <w:tc>
          <w:tcPr>
            <w:tcW w:w="3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$0.4725</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6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4,777</w:t>
            </w:r>
          </w:p>
        </w:tc>
        <w:tc>
          <w:tcPr>
            <w:tcW w:w="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4,619</w:t>
            </w:r>
          </w:p>
        </w:tc>
        <w:tc>
          <w:tcPr>
            <w:tcW w:w="3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4,806</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3"/>
                <w:szCs w:val="13"/>
                <w:color w:val="auto"/>
              </w:rPr>
              <w:t>(1) See Table 4 for a reconciliation of non-GAAP financial measures.</w:t>
            </w: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5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560" w:type="dxa"/>
            <w:vAlign w:val="bottom"/>
          </w:tcPr>
          <w:p>
            <w:pPr>
              <w:spacing w:after="0"/>
              <w:rPr>
                <w:sz w:val="24"/>
                <w:szCs w:val="24"/>
                <w:color w:val="auto"/>
              </w:rPr>
            </w:pPr>
          </w:p>
        </w:tc>
        <w:tc>
          <w:tcPr>
            <w:tcW w:w="1260" w:type="dxa"/>
            <w:vAlign w:val="bottom"/>
          </w:tcPr>
          <w:p>
            <w:pPr>
              <w:jc w:val="right"/>
              <w:ind w:right="979"/>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5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546"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403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03225"/>
                    </a:xfrm>
                    <a:prstGeom prst="rect">
                      <a:avLst/>
                    </a:prstGeom>
                    <a:noFill/>
                  </pic:spPr>
                </pic:pic>
              </a:graphicData>
            </a:graphic>
          </wp:anchor>
        </w:drawing>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00" w:type="dxa"/>
            <w:vAlign w:val="bottom"/>
          </w:tcPr>
          <w:p>
            <w:pPr>
              <w:spacing w:after="0"/>
              <w:rPr>
                <w:sz w:val="16"/>
                <w:szCs w:val="16"/>
                <w:color w:val="auto"/>
              </w:rPr>
            </w:pPr>
          </w:p>
        </w:tc>
        <w:tc>
          <w:tcPr>
            <w:tcW w:w="31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8300" w:type="dxa"/>
            <w:vAlign w:val="bottom"/>
          </w:tcPr>
          <w:p>
            <w:pPr>
              <w:spacing w:after="0"/>
              <w:rPr>
                <w:sz w:val="20"/>
                <w:szCs w:val="20"/>
                <w:color w:val="auto"/>
              </w:rPr>
            </w:pPr>
            <w:r>
              <w:rPr>
                <w:rFonts w:ascii="Arial" w:cs="Arial" w:eastAsia="Arial" w:hAnsi="Arial"/>
                <w:sz w:val="16"/>
                <w:szCs w:val="16"/>
                <w:color w:val="auto"/>
              </w:rPr>
              <w:t>(in millions)</w:t>
            </w:r>
          </w:p>
        </w:tc>
        <w:tc>
          <w:tcPr>
            <w:tcW w:w="2100" w:type="dxa"/>
            <w:vAlign w:val="bottom"/>
            <w:gridSpan w:val="3"/>
          </w:tcPr>
          <w:p>
            <w:pPr>
              <w:jc w:val="center"/>
              <w:ind w:left="839"/>
              <w:spacing w:after="0"/>
              <w:rPr>
                <w:sz w:val="20"/>
                <w:szCs w:val="20"/>
                <w:color w:val="auto"/>
              </w:rPr>
            </w:pPr>
            <w:r>
              <w:rPr>
                <w:rFonts w:ascii="Arial" w:cs="Arial" w:eastAsia="Arial" w:hAnsi="Arial"/>
                <w:sz w:val="16"/>
                <w:szCs w:val="16"/>
                <w:b w:val="1"/>
                <w:bCs w:val="1"/>
                <w:color w:val="auto"/>
              </w:rPr>
              <w:t>September 30,</w:t>
            </w:r>
          </w:p>
        </w:tc>
        <w:tc>
          <w:tcPr>
            <w:tcW w:w="92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300" w:type="dxa"/>
            <w:vAlign w:val="bottom"/>
          </w:tcPr>
          <w:p>
            <w:pPr>
              <w:spacing w:after="0"/>
              <w:rPr>
                <w:sz w:val="16"/>
                <w:szCs w:val="16"/>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2017</w:t>
            </w: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83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$9,280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1360" w:type="dxa"/>
            <w:vAlign w:val="bottom"/>
          </w:tcPr>
          <w:p>
            <w:pPr>
              <w:jc w:val="right"/>
              <w:spacing w:after="0"/>
              <w:rPr>
                <w:sz w:val="20"/>
                <w:szCs w:val="20"/>
                <w:color w:val="auto"/>
              </w:rPr>
            </w:pPr>
            <w:r>
              <w:rPr>
                <w:rFonts w:ascii="Arial" w:cs="Arial" w:eastAsia="Arial" w:hAnsi="Arial"/>
                <w:sz w:val="16"/>
                <w:szCs w:val="16"/>
                <w:color w:val="auto"/>
              </w:rPr>
              <w:t>$7,871</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7,479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360"/>
              <w:spacing w:after="0" w:line="169" w:lineRule="exact"/>
              <w:rPr>
                <w:sz w:val="20"/>
                <w:szCs w:val="20"/>
                <w:color w:val="auto"/>
              </w:rPr>
            </w:pPr>
            <w:r>
              <w:rPr>
                <w:rFonts w:ascii="Arial" w:cs="Arial" w:eastAsia="Arial" w:hAnsi="Arial"/>
                <w:sz w:val="16"/>
                <w:szCs w:val="16"/>
                <w:color w:val="auto"/>
              </w:rPr>
              <w:t>Depreciation, amortization and other operating gains</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7,079</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6"/>
                <w:szCs w:val="16"/>
                <w:color w:val="auto"/>
              </w:rPr>
              <w:t>594</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607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360"/>
              <w:spacing w:after="0"/>
              <w:rPr>
                <w:sz w:val="20"/>
                <w:szCs w:val="20"/>
                <w:color w:val="auto"/>
              </w:rPr>
            </w:pPr>
            <w:r>
              <w:rPr>
                <w:rFonts w:ascii="Arial" w:cs="Arial" w:eastAsia="Arial" w:hAnsi="Arial"/>
                <w:sz w:val="16"/>
                <w:szCs w:val="16"/>
                <w:color w:val="auto"/>
              </w:rPr>
              <w:t>Noncash interest expense (income), net</w:t>
            </w:r>
          </w:p>
        </w:tc>
        <w:tc>
          <w:tcPr>
            <w:tcW w:w="1360" w:type="dxa"/>
            <w:vAlign w:val="bottom"/>
          </w:tcPr>
          <w:p>
            <w:pPr>
              <w:jc w:val="right"/>
              <w:spacing w:after="0"/>
              <w:rPr>
                <w:sz w:val="20"/>
                <w:szCs w:val="20"/>
                <w:color w:val="auto"/>
              </w:rPr>
            </w:pPr>
            <w:r>
              <w:rPr>
                <w:rFonts w:ascii="Arial" w:cs="Arial" w:eastAsia="Arial" w:hAnsi="Arial"/>
                <w:sz w:val="16"/>
                <w:szCs w:val="16"/>
                <w:color w:val="auto"/>
              </w:rPr>
              <w:t>187</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289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360"/>
              <w:spacing w:after="0"/>
              <w:rPr>
                <w:sz w:val="20"/>
                <w:szCs w:val="20"/>
                <w:color w:val="auto"/>
              </w:rPr>
            </w:pPr>
            <w:r>
              <w:rPr>
                <w:rFonts w:ascii="Arial" w:cs="Arial" w:eastAsia="Arial" w:hAnsi="Arial"/>
                <w:sz w:val="16"/>
                <w:szCs w:val="16"/>
                <w:color w:val="auto"/>
              </w:rPr>
              <w:t>Net (gain) loss on investment activity and other</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(133)</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30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360" w:type="dxa"/>
            <w:vAlign w:val="bottom"/>
          </w:tcPr>
          <w:p>
            <w:pPr>
              <w:jc w:val="right"/>
              <w:spacing w:after="0"/>
              <w:rPr>
                <w:sz w:val="20"/>
                <w:szCs w:val="20"/>
                <w:color w:val="auto"/>
              </w:rPr>
            </w:pPr>
            <w:r>
              <w:rPr>
                <w:rFonts w:ascii="Arial" w:cs="Arial" w:eastAsia="Arial" w:hAnsi="Arial"/>
                <w:sz w:val="16"/>
                <w:szCs w:val="16"/>
                <w:color w:val="auto"/>
              </w:rPr>
              <w:t>681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(225)</w:t>
            </w:r>
          </w:p>
        </w:tc>
        <w:tc>
          <w:tcPr>
            <w:tcW w:w="0" w:type="dxa"/>
            <w:vAlign w:val="bottom"/>
          </w:tcPr>
          <w:p>
            <w:pPr>
              <w:spacing w:after="0"/>
              <w:rPr>
                <w:sz w:val="1"/>
                <w:szCs w:val="1"/>
                <w:color w:val="auto"/>
              </w:rPr>
            </w:pPr>
          </w:p>
        </w:tc>
      </w:tr>
      <w:tr>
        <w:trPr>
          <w:trHeight w:val="169"/>
        </w:trPr>
        <w:tc>
          <w:tcPr>
            <w:tcW w:w="8300" w:type="dxa"/>
            <w:vAlign w:val="bottom"/>
          </w:tcPr>
          <w:p>
            <w:pPr>
              <w:ind w:left="360"/>
              <w:spacing w:after="0" w:line="169" w:lineRule="exact"/>
              <w:rPr>
                <w:sz w:val="20"/>
                <w:szCs w:val="20"/>
                <w:color w:val="auto"/>
              </w:rPr>
            </w:pPr>
            <w:r>
              <w:rPr>
                <w:rFonts w:ascii="Arial" w:cs="Arial" w:eastAsia="Arial" w:hAnsi="Arial"/>
                <w:sz w:val="16"/>
                <w:szCs w:val="16"/>
                <w:color w:val="auto"/>
              </w:rPr>
              <w:t>Current and noncurrent receivables, net</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123</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360"/>
              <w:spacing w:after="0"/>
              <w:rPr>
                <w:sz w:val="20"/>
                <w:szCs w:val="20"/>
                <w:color w:val="auto"/>
              </w:rPr>
            </w:pPr>
            <w:r>
              <w:rPr>
                <w:rFonts w:ascii="Arial" w:cs="Arial" w:eastAsia="Arial" w:hAnsi="Arial"/>
                <w:sz w:val="16"/>
                <w:szCs w:val="16"/>
                <w:color w:val="auto"/>
              </w:rPr>
              <w:t>Film and television costs, net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(71)</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36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(20)</w:t>
            </w: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r>
        <w:trPr>
          <w:trHeight w:val="207"/>
        </w:trPr>
        <w:tc>
          <w:tcPr>
            <w:tcW w:w="8300" w:type="dxa"/>
            <w:vAlign w:val="bottom"/>
          </w:tcPr>
          <w:p>
            <w:pPr>
              <w:ind w:left="360"/>
              <w:spacing w:after="0"/>
              <w:rPr>
                <w:sz w:val="20"/>
                <w:szCs w:val="20"/>
                <w:color w:val="auto"/>
              </w:rPr>
            </w:pPr>
            <w:r>
              <w:rPr>
                <w:rFonts w:ascii="Arial" w:cs="Arial" w:eastAsia="Arial" w:hAnsi="Arial"/>
                <w:sz w:val="16"/>
                <w:szCs w:val="16"/>
                <w:color w:val="auto"/>
              </w:rPr>
              <w:t>Other operating assets and liabilities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(454)</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8300" w:type="dxa"/>
            <w:vAlign w:val="bottom"/>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15,857</w:t>
            </w:r>
          </w:p>
        </w:tc>
        <w:tc>
          <w:tcPr>
            <w:tcW w:w="280" w:type="dxa"/>
            <w:vAlign w:val="bottom"/>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18,507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3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(6,607)</w:t>
            </w:r>
          </w:p>
        </w:tc>
        <w:tc>
          <w:tcPr>
            <w:tcW w:w="0" w:type="dxa"/>
            <w:vAlign w:val="bottom"/>
          </w:tcPr>
          <w:p>
            <w:pPr>
              <w:spacing w:after="0"/>
              <w:rPr>
                <w:sz w:val="1"/>
                <w:szCs w:val="1"/>
                <w:color w:val="auto"/>
              </w:rPr>
            </w:pPr>
          </w:p>
        </w:tc>
      </w:tr>
      <w:tr>
        <w:trPr>
          <w:trHeight w:val="169"/>
        </w:trPr>
        <w:tc>
          <w:tcPr>
            <w:tcW w:w="8300" w:type="dxa"/>
            <w:vAlign w:val="bottom"/>
          </w:tcPr>
          <w:p>
            <w:pPr>
              <w:ind w:left="160"/>
              <w:spacing w:after="0" w:line="169" w:lineRule="exact"/>
              <w:rPr>
                <w:sz w:val="20"/>
                <w:szCs w:val="20"/>
                <w:color w:val="auto"/>
              </w:rPr>
            </w:pPr>
            <w:r>
              <w:rPr>
                <w:rFonts w:ascii="Arial" w:cs="Arial" w:eastAsia="Arial" w:hAnsi="Arial"/>
                <w:sz w:val="16"/>
                <w:szCs w:val="16"/>
                <w:color w:val="auto"/>
              </w:rPr>
              <w:t>Capital expenditures</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(6,839)</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Cash paid for intangible assets</w:t>
            </w:r>
          </w:p>
        </w:tc>
        <w:tc>
          <w:tcPr>
            <w:tcW w:w="1360" w:type="dxa"/>
            <w:vAlign w:val="bottom"/>
          </w:tcPr>
          <w:p>
            <w:pPr>
              <w:jc w:val="right"/>
              <w:spacing w:after="0"/>
              <w:rPr>
                <w:sz w:val="20"/>
                <w:szCs w:val="20"/>
                <w:color w:val="auto"/>
              </w:rPr>
            </w:pPr>
            <w:r>
              <w:rPr>
                <w:rFonts w:ascii="Arial" w:cs="Arial" w:eastAsia="Arial" w:hAnsi="Arial"/>
                <w:sz w:val="16"/>
                <w:szCs w:val="16"/>
                <w:color w:val="auto"/>
              </w:rPr>
              <w:t>(1,136)</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(1,375)</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Acquisitions and construction of real estate properties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(325)</w:t>
            </w: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(129)</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Construction of Universal Beijing Resort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(47)</w:t>
            </w: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(257)</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Acquisitions, net of cash acquired</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(429)</w:t>
            </w: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(88)</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Proceeds from sales of investments</w:t>
            </w:r>
          </w:p>
        </w:tc>
        <w:tc>
          <w:tcPr>
            <w:tcW w:w="1360" w:type="dxa"/>
            <w:vAlign w:val="bottom"/>
          </w:tcPr>
          <w:p>
            <w:pPr>
              <w:jc w:val="right"/>
              <w:spacing w:after="0"/>
              <w:rPr>
                <w:sz w:val="20"/>
                <w:szCs w:val="20"/>
                <w:color w:val="auto"/>
              </w:rPr>
            </w:pPr>
            <w:r>
              <w:rPr>
                <w:rFonts w:ascii="Arial" w:cs="Arial" w:eastAsia="Arial" w:hAnsi="Arial"/>
                <w:sz w:val="16"/>
                <w:szCs w:val="16"/>
                <w:color w:val="auto"/>
              </w:rPr>
              <w:t>120</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Purchases of investments</w:t>
            </w:r>
          </w:p>
        </w:tc>
        <w:tc>
          <w:tcPr>
            <w:tcW w:w="1360" w:type="dxa"/>
            <w:vAlign w:val="bottom"/>
          </w:tcPr>
          <w:p>
            <w:pPr>
              <w:jc w:val="right"/>
              <w:spacing w:after="0"/>
              <w:rPr>
                <w:sz w:val="20"/>
                <w:szCs w:val="20"/>
                <w:color w:val="auto"/>
              </w:rPr>
            </w:pPr>
            <w:r>
              <w:rPr>
                <w:rFonts w:ascii="Arial" w:cs="Arial" w:eastAsia="Arial" w:hAnsi="Arial"/>
                <w:sz w:val="16"/>
                <w:szCs w:val="16"/>
                <w:color w:val="auto"/>
              </w:rPr>
              <w:t>(2,064)</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(840)</w:t>
            </w:r>
          </w:p>
        </w:tc>
        <w:tc>
          <w:tcPr>
            <w:tcW w:w="0" w:type="dxa"/>
            <w:vAlign w:val="bottom"/>
          </w:tcPr>
          <w:p>
            <w:pPr>
              <w:spacing w:after="0"/>
              <w:rPr>
                <w:sz w:val="1"/>
                <w:szCs w:val="1"/>
                <w:color w:val="auto"/>
              </w:rPr>
            </w:pPr>
          </w:p>
        </w:tc>
      </w:tr>
      <w:tr>
        <w:trPr>
          <w:trHeight w:val="207"/>
        </w:trPr>
        <w:tc>
          <w:tcPr>
            <w:tcW w:w="8300" w:type="dxa"/>
            <w:vAlign w:val="bottom"/>
          </w:tcPr>
          <w:p>
            <w:pPr>
              <w:ind w:left="160"/>
              <w:spacing w:after="0"/>
              <w:rPr>
                <w:sz w:val="20"/>
                <w:szCs w:val="20"/>
                <w:color w:val="auto"/>
              </w:rPr>
            </w:pPr>
            <w:r>
              <w:rPr>
                <w:rFonts w:ascii="Arial" w:cs="Arial" w:eastAsia="Arial" w:hAnsi="Arial"/>
                <w:sz w:val="16"/>
                <w:szCs w:val="16"/>
                <w:color w:val="auto"/>
              </w:rPr>
              <w:t>Other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8300" w:type="dxa"/>
            <w:vAlign w:val="bottom"/>
          </w:tcPr>
          <w:p>
            <w:pPr>
              <w:ind w:left="620"/>
              <w:spacing w:after="0"/>
              <w:rPr>
                <w:sz w:val="20"/>
                <w:szCs w:val="20"/>
                <w:color w:val="auto"/>
              </w:rPr>
            </w:pPr>
            <w:r>
              <w:rPr>
                <w:rFonts w:ascii="Arial" w:cs="Arial" w:eastAsia="Arial" w:hAnsi="Arial"/>
                <w:sz w:val="16"/>
                <w:szCs w:val="16"/>
                <w:color w:val="auto"/>
              </w:rPr>
              <w:t>Net cash provided by (used in) investing activities</w:t>
            </w:r>
          </w:p>
        </w:tc>
        <w:tc>
          <w:tcPr>
            <w:tcW w:w="1360" w:type="dxa"/>
            <w:vAlign w:val="bottom"/>
          </w:tcPr>
          <w:p>
            <w:pPr>
              <w:jc w:val="right"/>
              <w:spacing w:after="0"/>
              <w:rPr>
                <w:sz w:val="20"/>
                <w:szCs w:val="20"/>
                <w:color w:val="auto"/>
              </w:rPr>
            </w:pPr>
            <w:r>
              <w:rPr>
                <w:rFonts w:ascii="Arial" w:cs="Arial" w:eastAsia="Arial" w:hAnsi="Arial"/>
                <w:sz w:val="16"/>
                <w:szCs w:val="16"/>
                <w:color w:val="auto"/>
              </w:rPr>
              <w:t>(9,923)</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(8,590)</w:t>
            </w:r>
          </w:p>
        </w:tc>
        <w:tc>
          <w:tcPr>
            <w:tcW w:w="0" w:type="dxa"/>
            <w:vAlign w:val="bottom"/>
          </w:tcPr>
          <w:p>
            <w:pPr>
              <w:spacing w:after="0"/>
              <w:rPr>
                <w:sz w:val="1"/>
                <w:szCs w:val="1"/>
                <w:color w:val="auto"/>
              </w:rPr>
            </w:pPr>
          </w:p>
        </w:tc>
      </w:tr>
      <w:tr>
        <w:trPr>
          <w:trHeight w:val="387"/>
        </w:trPr>
        <w:tc>
          <w:tcPr>
            <w:tcW w:w="83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3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2,909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160"/>
              <w:spacing w:after="0" w:line="169" w:lineRule="exact"/>
              <w:rPr>
                <w:sz w:val="20"/>
                <w:szCs w:val="20"/>
                <w:color w:val="auto"/>
              </w:rPr>
            </w:pPr>
            <w:r>
              <w:rPr>
                <w:rFonts w:ascii="Arial" w:cs="Arial" w:eastAsia="Arial" w:hAnsi="Arial"/>
                <w:sz w:val="16"/>
                <w:szCs w:val="16"/>
                <w:color w:val="auto"/>
              </w:rPr>
              <w:t>Proceeds from (repayments of) short-term borrowings, net</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(2,807)</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Proceeds from borrowings</w:t>
            </w:r>
          </w:p>
        </w:tc>
        <w:tc>
          <w:tcPr>
            <w:tcW w:w="1360" w:type="dxa"/>
            <w:vAlign w:val="bottom"/>
          </w:tcPr>
          <w:p>
            <w:pPr>
              <w:jc w:val="right"/>
              <w:spacing w:after="0"/>
              <w:rPr>
                <w:sz w:val="20"/>
                <w:szCs w:val="20"/>
                <w:color w:val="auto"/>
              </w:rPr>
            </w:pPr>
            <w:r>
              <w:rPr>
                <w:rFonts w:ascii="Arial" w:cs="Arial" w:eastAsia="Arial" w:hAnsi="Arial"/>
                <w:sz w:val="16"/>
                <w:szCs w:val="16"/>
                <w:color w:val="auto"/>
              </w:rPr>
              <w:t>11,460</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9,850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Repurchases and repayments of debt</w:t>
            </w:r>
          </w:p>
        </w:tc>
        <w:tc>
          <w:tcPr>
            <w:tcW w:w="1360" w:type="dxa"/>
            <w:vAlign w:val="bottom"/>
          </w:tcPr>
          <w:p>
            <w:pPr>
              <w:jc w:val="right"/>
              <w:spacing w:after="0"/>
              <w:rPr>
                <w:sz w:val="20"/>
                <w:szCs w:val="20"/>
                <w:color w:val="auto"/>
              </w:rPr>
            </w:pPr>
            <w:r>
              <w:rPr>
                <w:rFonts w:ascii="Arial" w:cs="Arial" w:eastAsia="Arial" w:hAnsi="Arial"/>
                <w:sz w:val="16"/>
                <w:szCs w:val="16"/>
                <w:color w:val="auto"/>
              </w:rPr>
              <w:t>(5,021)</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(4,405)</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360" w:type="dxa"/>
            <w:vAlign w:val="bottom"/>
          </w:tcPr>
          <w:p>
            <w:pPr>
              <w:jc w:val="right"/>
              <w:spacing w:after="0"/>
              <w:rPr>
                <w:sz w:val="20"/>
                <w:szCs w:val="20"/>
                <w:color w:val="auto"/>
              </w:rPr>
            </w:pPr>
            <w:r>
              <w:rPr>
                <w:rFonts w:ascii="Arial" w:cs="Arial" w:eastAsia="Arial" w:hAnsi="Arial"/>
                <w:sz w:val="16"/>
                <w:szCs w:val="16"/>
                <w:color w:val="auto"/>
              </w:rPr>
              <w:t>(4,212)</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(4,282)</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Dividends paid</w:t>
            </w:r>
          </w:p>
        </w:tc>
        <w:tc>
          <w:tcPr>
            <w:tcW w:w="1360" w:type="dxa"/>
            <w:vAlign w:val="bottom"/>
          </w:tcPr>
          <w:p>
            <w:pPr>
              <w:jc w:val="right"/>
              <w:spacing w:after="0"/>
              <w:rPr>
                <w:sz w:val="20"/>
                <w:szCs w:val="20"/>
                <w:color w:val="auto"/>
              </w:rPr>
            </w:pPr>
            <w:r>
              <w:rPr>
                <w:rFonts w:ascii="Arial" w:cs="Arial" w:eastAsia="Arial" w:hAnsi="Arial"/>
                <w:sz w:val="16"/>
                <w:szCs w:val="16"/>
                <w:color w:val="auto"/>
              </w:rPr>
              <w:t>(2,147)</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(2,487)</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Purchase of Universal Studios Japan noncontrolling interests</w:t>
            </w:r>
          </w:p>
        </w:tc>
        <w:tc>
          <w:tcPr>
            <w:tcW w:w="1360" w:type="dxa"/>
            <w:vAlign w:val="bottom"/>
          </w:tcPr>
          <w:p>
            <w:pPr>
              <w:jc w:val="right"/>
              <w:spacing w:after="0"/>
              <w:rPr>
                <w:sz w:val="20"/>
                <w:szCs w:val="20"/>
                <w:color w:val="auto"/>
              </w:rPr>
            </w:pPr>
            <w:r>
              <w:rPr>
                <w:rFonts w:ascii="Arial" w:cs="Arial" w:eastAsia="Arial" w:hAnsi="Arial"/>
                <w:sz w:val="16"/>
                <w:szCs w:val="16"/>
                <w:color w:val="auto"/>
              </w:rPr>
              <w:t>(2,299)</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Distributions to noncontrolling interests and dividends for redeemable subsidiary preferred stock</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(198)</w:t>
            </w:r>
          </w:p>
        </w:tc>
        <w:tc>
          <w:tcPr>
            <w:tcW w:w="4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(209)</w:t>
            </w:r>
          </w:p>
        </w:tc>
        <w:tc>
          <w:tcPr>
            <w:tcW w:w="0" w:type="dxa"/>
            <w:vAlign w:val="bottom"/>
          </w:tcPr>
          <w:p>
            <w:pPr>
              <w:spacing w:after="0"/>
              <w:rPr>
                <w:sz w:val="1"/>
                <w:szCs w:val="1"/>
                <w:color w:val="auto"/>
              </w:rPr>
            </w:pPr>
          </w:p>
        </w:tc>
      </w:tr>
      <w:tr>
        <w:trPr>
          <w:trHeight w:val="207"/>
        </w:trPr>
        <w:tc>
          <w:tcPr>
            <w:tcW w:w="8300" w:type="dxa"/>
            <w:vAlign w:val="bottom"/>
          </w:tcPr>
          <w:p>
            <w:pPr>
              <w:ind w:left="160"/>
              <w:spacing w:after="0"/>
              <w:rPr>
                <w:sz w:val="20"/>
                <w:szCs w:val="20"/>
                <w:color w:val="auto"/>
              </w:rPr>
            </w:pPr>
            <w:r>
              <w:rPr>
                <w:rFonts w:ascii="Arial" w:cs="Arial" w:eastAsia="Arial" w:hAnsi="Arial"/>
                <w:sz w:val="16"/>
                <w:szCs w:val="16"/>
                <w:color w:val="auto"/>
              </w:rPr>
              <w:t>Other</w:t>
            </w:r>
          </w:p>
        </w:tc>
        <w:tc>
          <w:tcPr>
            <w:tcW w:w="1360" w:type="dxa"/>
            <w:vAlign w:val="bottom"/>
          </w:tcPr>
          <w:p>
            <w:pPr>
              <w:jc w:val="right"/>
              <w:spacing w:after="0"/>
              <w:rPr>
                <w:sz w:val="20"/>
                <w:szCs w:val="20"/>
                <w:color w:val="auto"/>
              </w:rPr>
            </w:pPr>
            <w:r>
              <w:rPr>
                <w:rFonts w:ascii="Arial" w:cs="Arial" w:eastAsia="Arial" w:hAnsi="Arial"/>
                <w:sz w:val="16"/>
                <w:szCs w:val="16"/>
                <w:color w:val="auto"/>
              </w:rPr>
              <w:t>103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(242)</w:t>
            </w:r>
          </w:p>
        </w:tc>
        <w:tc>
          <w:tcPr>
            <w:tcW w:w="0" w:type="dxa"/>
            <w:vAlign w:val="bottom"/>
          </w:tcPr>
          <w:p>
            <w:pPr>
              <w:spacing w:after="0"/>
              <w:rPr>
                <w:sz w:val="1"/>
                <w:szCs w:val="1"/>
                <w:color w:val="auto"/>
              </w:rPr>
            </w:pPr>
          </w:p>
        </w:tc>
      </w:tr>
      <w:tr>
        <w:trPr>
          <w:trHeight w:val="385"/>
        </w:trPr>
        <w:tc>
          <w:tcPr>
            <w:tcW w:w="8300" w:type="dxa"/>
            <w:vAlign w:val="bottom"/>
          </w:tcPr>
          <w:p>
            <w:pPr>
              <w:ind w:left="620"/>
              <w:spacing w:after="0"/>
              <w:rPr>
                <w:sz w:val="20"/>
                <w:szCs w:val="20"/>
                <w:color w:val="auto"/>
              </w:rPr>
            </w:pPr>
            <w:r>
              <w:rPr>
                <w:rFonts w:ascii="Arial" w:cs="Arial" w:eastAsia="Arial" w:hAnsi="Arial"/>
                <w:sz w:val="16"/>
                <w:szCs w:val="16"/>
                <w:color w:val="auto"/>
              </w:rPr>
              <w:t>Net cash provided by (used in) financing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(5,121)</w:t>
            </w:r>
          </w:p>
        </w:tc>
        <w:tc>
          <w:tcPr>
            <w:tcW w:w="280" w:type="dxa"/>
            <w:vAlign w:val="bottom"/>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3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360" w:type="dxa"/>
            <w:vAlign w:val="bottom"/>
          </w:tcPr>
          <w:p>
            <w:pPr>
              <w:jc w:val="right"/>
              <w:spacing w:after="0"/>
              <w:rPr>
                <w:sz w:val="20"/>
                <w:szCs w:val="20"/>
                <w:color w:val="auto"/>
              </w:rPr>
            </w:pPr>
            <w:r>
              <w:rPr>
                <w:rFonts w:ascii="Arial" w:cs="Arial" w:eastAsia="Arial" w:hAnsi="Arial"/>
                <w:sz w:val="16"/>
                <w:szCs w:val="16"/>
                <w:color w:val="auto"/>
              </w:rPr>
              <w:t>813</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11,051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83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3,415</w:t>
            </w: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3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$4,228</w:t>
            </w: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$14,622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5640"/>
              <w:spacing w:after="0"/>
              <w:rPr>
                <w:sz w:val="20"/>
                <w:szCs w:val="20"/>
                <w:color w:val="auto"/>
              </w:rPr>
            </w:pPr>
            <w:r>
              <w:rPr>
                <w:rFonts w:ascii="Arial" w:cs="Arial" w:eastAsia="Arial" w:hAnsi="Arial"/>
                <w:sz w:val="14"/>
                <w:szCs w:val="14"/>
                <w:color w:val="auto"/>
              </w:rPr>
              <w:t>10</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3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3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79" w:right="19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403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03225"/>
                    </a:xfrm>
                    <a:prstGeom prst="rect">
                      <a:avLst/>
                    </a:prstGeom>
                    <a:noFill/>
                  </pic:spPr>
                </pic:pic>
              </a:graphicData>
            </a:graphic>
          </wp:anchor>
        </w:drawing>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80" w:type="dxa"/>
            <w:vAlign w:val="bottom"/>
          </w:tcPr>
          <w:p>
            <w:pPr>
              <w:spacing w:after="0"/>
              <w:rPr>
                <w:sz w:val="20"/>
                <w:szCs w:val="20"/>
                <w:color w:val="auto"/>
              </w:rPr>
            </w:pPr>
            <w:r>
              <w:rPr>
                <w:rFonts w:ascii="Arial" w:cs="Arial" w:eastAsia="Arial" w:hAnsi="Arial"/>
                <w:sz w:val="18"/>
                <w:szCs w:val="18"/>
                <w:color w:val="auto"/>
              </w:rPr>
              <w:t>(in millions)</w:t>
            </w: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rPr>
              <w:t>December 31,</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8180" w:type="dxa"/>
            <w:vAlign w:val="bottom"/>
          </w:tcPr>
          <w:p>
            <w:pPr>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$10,616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180" w:type="dxa"/>
            <w:vAlign w:val="bottom"/>
          </w:tcPr>
          <w:p>
            <w:pPr>
              <w:ind w:left="340"/>
              <w:spacing w:after="0" w:line="181" w:lineRule="exact"/>
              <w:rPr>
                <w:sz w:val="20"/>
                <w:szCs w:val="20"/>
                <w:color w:val="auto"/>
              </w:rPr>
            </w:pPr>
            <w:r>
              <w:rPr>
                <w:rFonts w:ascii="Arial" w:cs="Arial" w:eastAsia="Arial" w:hAnsi="Arial"/>
                <w:sz w:val="18"/>
                <w:szCs w:val="18"/>
                <w:color w:val="auto"/>
              </w:rPr>
              <w:t>Cash and cash equivalents</w:t>
            </w:r>
          </w:p>
        </w:tc>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$3,428</w:t>
            </w:r>
          </w:p>
        </w:tc>
        <w:tc>
          <w:tcPr>
            <w:tcW w:w="1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line="202" w:lineRule="exact"/>
              <w:rPr>
                <w:sz w:val="20"/>
                <w:szCs w:val="20"/>
                <w:color w:val="auto"/>
              </w:rPr>
            </w:pPr>
            <w:r>
              <w:rPr>
                <w:rFonts w:ascii="Arial" w:cs="Arial" w:eastAsia="Arial" w:hAnsi="Arial"/>
                <w:sz w:val="18"/>
                <w:szCs w:val="18"/>
                <w:color w:val="auto"/>
              </w:rPr>
              <w:t>Receivables, net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8,834</w:t>
            </w: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8,983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line="202" w:lineRule="exact"/>
              <w:rPr>
                <w:sz w:val="20"/>
                <w:szCs w:val="20"/>
                <w:color w:val="auto"/>
              </w:rPr>
            </w:pPr>
            <w:r>
              <w:rPr>
                <w:rFonts w:ascii="Arial" w:cs="Arial" w:eastAsia="Arial" w:hAnsi="Arial"/>
                <w:sz w:val="18"/>
                <w:szCs w:val="18"/>
                <w:color w:val="auto"/>
              </w:rPr>
              <w:t>Programming rights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1,613</w:t>
            </w: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1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180" w:type="dxa"/>
            <w:vAlign w:val="bottom"/>
          </w:tcPr>
          <w:p>
            <w:pPr>
              <w:ind w:left="460"/>
              <w:spacing w:after="0" w:line="197" w:lineRule="exact"/>
              <w:rPr>
                <w:sz w:val="20"/>
                <w:szCs w:val="20"/>
                <w:color w:val="auto"/>
              </w:rPr>
            </w:pPr>
            <w:r>
              <w:rPr>
                <w:rFonts w:ascii="Arial" w:cs="Arial" w:eastAsia="Arial" w:hAnsi="Arial"/>
                <w:sz w:val="18"/>
                <w:szCs w:val="18"/>
                <w:color w:val="auto"/>
              </w:rPr>
              <w:t>Total current assets</w:t>
            </w:r>
          </w:p>
        </w:tc>
        <w:tc>
          <w:tcPr>
            <w:tcW w:w="14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16,343</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rPr>
              <w:t>23,206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1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480" w:type="dxa"/>
            <w:vAlign w:val="bottom"/>
          </w:tcPr>
          <w:p>
            <w:pPr>
              <w:jc w:val="right"/>
              <w:spacing w:after="0"/>
              <w:rPr>
                <w:sz w:val="20"/>
                <w:szCs w:val="20"/>
                <w:color w:val="auto"/>
              </w:rPr>
            </w:pPr>
            <w:r>
              <w:rPr>
                <w:rFonts w:ascii="Arial" w:cs="Arial" w:eastAsia="Arial" w:hAnsi="Arial"/>
                <w:sz w:val="18"/>
                <w:szCs w:val="18"/>
                <w:color w:val="auto"/>
              </w:rPr>
              <w:t>7,087</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7,377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80" w:type="dxa"/>
            <w:vAlign w:val="bottom"/>
          </w:tcPr>
          <w:p>
            <w:pPr>
              <w:spacing w:after="0"/>
              <w:rPr>
                <w:sz w:val="20"/>
                <w:szCs w:val="20"/>
                <w:color w:val="auto"/>
              </w:rPr>
            </w:pPr>
            <w:r>
              <w:rPr>
                <w:rFonts w:ascii="Arial" w:cs="Arial" w:eastAsia="Arial" w:hAnsi="Arial"/>
                <w:sz w:val="18"/>
                <w:szCs w:val="18"/>
                <w:color w:val="auto"/>
              </w:rPr>
              <w:t>Investments</w:t>
            </w:r>
          </w:p>
        </w:tc>
        <w:tc>
          <w:tcPr>
            <w:tcW w:w="1480" w:type="dxa"/>
            <w:vAlign w:val="bottom"/>
          </w:tcPr>
          <w:p>
            <w:pPr>
              <w:jc w:val="right"/>
              <w:spacing w:after="0"/>
              <w:rPr>
                <w:sz w:val="20"/>
                <w:szCs w:val="20"/>
                <w:color w:val="auto"/>
              </w:rPr>
            </w:pPr>
            <w:r>
              <w:rPr>
                <w:rFonts w:ascii="Arial" w:cs="Arial" w:eastAsia="Arial" w:hAnsi="Arial"/>
                <w:sz w:val="18"/>
                <w:szCs w:val="18"/>
                <w:color w:val="auto"/>
              </w:rPr>
              <w:t>6,931</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7,724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jc w:val="right"/>
              <w:spacing w:after="0"/>
              <w:rPr>
                <w:sz w:val="20"/>
                <w:szCs w:val="20"/>
                <w:color w:val="auto"/>
              </w:rPr>
            </w:pPr>
            <w:r>
              <w:rPr>
                <w:rFonts w:ascii="Arial" w:cs="Arial" w:eastAsia="Arial" w:hAnsi="Arial"/>
                <w:sz w:val="18"/>
                <w:szCs w:val="18"/>
                <w:color w:val="auto"/>
              </w:rPr>
              <w:t>38,470</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39,855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80" w:type="dxa"/>
            <w:vAlign w:val="bottom"/>
          </w:tcPr>
          <w:p>
            <w:pPr>
              <w:spacing w:after="0"/>
              <w:rPr>
                <w:sz w:val="20"/>
                <w:szCs w:val="20"/>
                <w:color w:val="auto"/>
              </w:rPr>
            </w:pPr>
            <w:r>
              <w:rPr>
                <w:rFonts w:ascii="Arial" w:cs="Arial" w:eastAsia="Arial" w:hAnsi="Arial"/>
                <w:sz w:val="18"/>
                <w:szCs w:val="18"/>
                <w:color w:val="auto"/>
              </w:rPr>
              <w:t>Franchise rights</w:t>
            </w:r>
          </w:p>
        </w:tc>
        <w:tc>
          <w:tcPr>
            <w:tcW w:w="1480" w:type="dxa"/>
            <w:vAlign w:val="bottom"/>
          </w:tcPr>
          <w:p>
            <w:pPr>
              <w:jc w:val="right"/>
              <w:spacing w:after="0"/>
              <w:rPr>
                <w:sz w:val="20"/>
                <w:szCs w:val="20"/>
                <w:color w:val="auto"/>
              </w:rPr>
            </w:pPr>
            <w:r>
              <w:rPr>
                <w:rFonts w:ascii="Arial" w:cs="Arial" w:eastAsia="Arial" w:hAnsi="Arial"/>
                <w:sz w:val="18"/>
                <w:szCs w:val="18"/>
                <w:color w:val="auto"/>
              </w:rPr>
              <w:t>59,364</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59,365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80" w:type="dxa"/>
            <w:vAlign w:val="bottom"/>
          </w:tcPr>
          <w:p>
            <w:pPr>
              <w:spacing w:after="0"/>
              <w:rPr>
                <w:sz w:val="20"/>
                <w:szCs w:val="20"/>
                <w:color w:val="auto"/>
              </w:rPr>
            </w:pPr>
            <w:r>
              <w:rPr>
                <w:rFonts w:ascii="Arial" w:cs="Arial" w:eastAsia="Arial" w:hAnsi="Arial"/>
                <w:sz w:val="18"/>
                <w:szCs w:val="18"/>
                <w:color w:val="auto"/>
              </w:rPr>
              <w:t>Goodwill</w:t>
            </w:r>
          </w:p>
        </w:tc>
        <w:tc>
          <w:tcPr>
            <w:tcW w:w="1480" w:type="dxa"/>
            <w:vAlign w:val="bottom"/>
          </w:tcPr>
          <w:p>
            <w:pPr>
              <w:jc w:val="right"/>
              <w:spacing w:after="0"/>
              <w:rPr>
                <w:sz w:val="20"/>
                <w:szCs w:val="20"/>
                <w:color w:val="auto"/>
              </w:rPr>
            </w:pPr>
            <w:r>
              <w:rPr>
                <w:rFonts w:ascii="Arial" w:cs="Arial" w:eastAsia="Arial" w:hAnsi="Arial"/>
                <w:sz w:val="18"/>
                <w:szCs w:val="18"/>
                <w:color w:val="auto"/>
              </w:rPr>
              <w:t>36,780</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36,703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480" w:type="dxa"/>
            <w:vAlign w:val="bottom"/>
          </w:tcPr>
          <w:p>
            <w:pPr>
              <w:jc w:val="right"/>
              <w:spacing w:after="0"/>
              <w:rPr>
                <w:sz w:val="20"/>
                <w:szCs w:val="20"/>
                <w:color w:val="auto"/>
              </w:rPr>
            </w:pPr>
            <w:r>
              <w:rPr>
                <w:rFonts w:ascii="Arial" w:cs="Arial" w:eastAsia="Arial" w:hAnsi="Arial"/>
                <w:sz w:val="18"/>
                <w:szCs w:val="18"/>
                <w:color w:val="auto"/>
              </w:rPr>
              <w:t>18,133</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18,649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8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7,756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$187,462</w:t>
            </w:r>
          </w:p>
        </w:tc>
        <w:tc>
          <w:tcPr>
            <w:tcW w:w="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$200,635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180" w:type="dxa"/>
            <w:vAlign w:val="bottom"/>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$7,036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180" w:type="dxa"/>
            <w:vAlign w:val="bottom"/>
          </w:tcPr>
          <w:p>
            <w:pPr>
              <w:ind w:left="34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$6,908</w:t>
            </w:r>
          </w:p>
        </w:tc>
        <w:tc>
          <w:tcPr>
            <w:tcW w:w="1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line="202" w:lineRule="exact"/>
              <w:rPr>
                <w:sz w:val="20"/>
                <w:szCs w:val="20"/>
                <w:color w:val="auto"/>
              </w:rPr>
            </w:pPr>
            <w:r>
              <w:rPr>
                <w:rFonts w:ascii="Arial" w:cs="Arial" w:eastAsia="Arial" w:hAnsi="Arial"/>
                <w:sz w:val="18"/>
                <w:szCs w:val="18"/>
                <w:color w:val="auto"/>
              </w:rPr>
              <w:t>Accrued participations and residuals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1,644</w:t>
            </w: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line="202" w:lineRule="exact"/>
              <w:rPr>
                <w:sz w:val="20"/>
                <w:szCs w:val="20"/>
                <w:color w:val="auto"/>
              </w:rPr>
            </w:pPr>
            <w:r>
              <w:rPr>
                <w:rFonts w:ascii="Arial" w:cs="Arial" w:eastAsia="Arial" w:hAnsi="Arial"/>
                <w:sz w:val="18"/>
                <w:szCs w:val="18"/>
                <w:color w:val="auto"/>
              </w:rPr>
              <w:t>Deferred revenue</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1,687</w:t>
            </w: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6,620</w:t>
            </w: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5,976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5,134</w:t>
            </w:r>
          </w:p>
        </w:tc>
        <w:tc>
          <w:tcPr>
            <w:tcW w:w="1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180" w:type="dxa"/>
            <w:vAlign w:val="bottom"/>
          </w:tcPr>
          <w:p>
            <w:pPr>
              <w:ind w:left="460"/>
              <w:spacing w:after="0" w:line="197" w:lineRule="exact"/>
              <w:rPr>
                <w:sz w:val="20"/>
                <w:szCs w:val="20"/>
                <w:color w:val="auto"/>
              </w:rPr>
            </w:pPr>
            <w:r>
              <w:rPr>
                <w:rFonts w:ascii="Arial" w:cs="Arial" w:eastAsia="Arial" w:hAnsi="Arial"/>
                <w:sz w:val="18"/>
                <w:szCs w:val="18"/>
                <w:color w:val="auto"/>
              </w:rPr>
              <w:t>Total current liabilities</w:t>
            </w:r>
          </w:p>
        </w:tc>
        <w:tc>
          <w:tcPr>
            <w:tcW w:w="14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21,993</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rPr>
              <w:t>19,627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1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480" w:type="dxa"/>
            <w:vAlign w:val="bottom"/>
          </w:tcPr>
          <w:p>
            <w:pPr>
              <w:jc w:val="right"/>
              <w:spacing w:after="0"/>
              <w:rPr>
                <w:sz w:val="20"/>
                <w:szCs w:val="20"/>
                <w:color w:val="auto"/>
              </w:rPr>
            </w:pPr>
            <w:r>
              <w:rPr>
                <w:rFonts w:ascii="Arial" w:cs="Arial" w:eastAsia="Arial" w:hAnsi="Arial"/>
                <w:sz w:val="18"/>
                <w:szCs w:val="18"/>
                <w:color w:val="auto"/>
              </w:rPr>
              <w:t>59,422</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69,711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80" w:type="dxa"/>
            <w:vAlign w:val="bottom"/>
          </w:tcPr>
          <w:p>
            <w:pPr>
              <w:jc w:val="right"/>
              <w:spacing w:after="0"/>
              <w:rPr>
                <w:sz w:val="20"/>
                <w:szCs w:val="20"/>
                <w:color w:val="auto"/>
              </w:rPr>
            </w:pPr>
            <w:r>
              <w:rPr>
                <w:rFonts w:ascii="Arial" w:cs="Arial" w:eastAsia="Arial" w:hAnsi="Arial"/>
                <w:sz w:val="18"/>
                <w:szCs w:val="18"/>
                <w:color w:val="auto"/>
              </w:rPr>
              <w:t>24,259</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25,167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80" w:type="dxa"/>
            <w:vAlign w:val="bottom"/>
          </w:tcPr>
          <w:p>
            <w:pPr>
              <w:jc w:val="right"/>
              <w:spacing w:after="0"/>
              <w:rPr>
                <w:sz w:val="20"/>
                <w:szCs w:val="20"/>
                <w:color w:val="auto"/>
              </w:rPr>
            </w:pPr>
            <w:r>
              <w:rPr>
                <w:rFonts w:ascii="Arial" w:cs="Arial" w:eastAsia="Arial" w:hAnsi="Arial"/>
                <w:sz w:val="18"/>
                <w:szCs w:val="18"/>
                <w:color w:val="auto"/>
              </w:rPr>
              <w:t>10,972</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12,468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8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1,357</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1,317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180" w:type="dxa"/>
            <w:vAlign w:val="bottom"/>
          </w:tcPr>
          <w:p>
            <w:pPr>
              <w:spacing w:after="0"/>
              <w:rPr>
                <w:sz w:val="20"/>
                <w:szCs w:val="20"/>
                <w:color w:val="auto"/>
              </w:rPr>
            </w:pPr>
            <w:r>
              <w:rPr>
                <w:rFonts w:ascii="Arial" w:cs="Arial" w:eastAsia="Arial" w:hAnsi="Arial"/>
                <w:sz w:val="18"/>
                <w:szCs w:val="18"/>
                <w:color w:val="auto"/>
              </w:rPr>
              <w:t>Equity</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71,523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180" w:type="dxa"/>
            <w:vAlign w:val="bottom"/>
          </w:tcPr>
          <w:p>
            <w:pPr>
              <w:ind w:left="340"/>
              <w:spacing w:after="0" w:line="181" w:lineRule="exact"/>
              <w:rPr>
                <w:sz w:val="20"/>
                <w:szCs w:val="20"/>
                <w:color w:val="auto"/>
              </w:rPr>
            </w:pPr>
            <w:r>
              <w:rPr>
                <w:rFonts w:ascii="Arial" w:cs="Arial" w:eastAsia="Arial" w:hAnsi="Arial"/>
                <w:sz w:val="18"/>
                <w:szCs w:val="18"/>
                <w:color w:val="auto"/>
              </w:rPr>
              <w:t>Comcast Corporation shareholders’ equity</w:t>
            </w:r>
          </w:p>
        </w:tc>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68,616</w:t>
            </w:r>
          </w:p>
        </w:tc>
        <w:tc>
          <w:tcPr>
            <w:tcW w:w="1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180" w:type="dxa"/>
            <w:vAlign w:val="bottom"/>
          </w:tcPr>
          <w:p>
            <w:pPr>
              <w:ind w:left="460"/>
              <w:spacing w:after="0" w:line="197" w:lineRule="exact"/>
              <w:rPr>
                <w:sz w:val="20"/>
                <w:szCs w:val="20"/>
                <w:color w:val="auto"/>
              </w:rPr>
            </w:pPr>
            <w:r>
              <w:rPr>
                <w:rFonts w:ascii="Arial" w:cs="Arial" w:eastAsia="Arial" w:hAnsi="Arial"/>
                <w:sz w:val="18"/>
                <w:szCs w:val="18"/>
                <w:color w:val="auto"/>
              </w:rPr>
              <w:t>Total equity</w:t>
            </w:r>
          </w:p>
        </w:tc>
        <w:tc>
          <w:tcPr>
            <w:tcW w:w="14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69,459</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rPr>
              <w:t>72,345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$187,462</w:t>
            </w:r>
          </w:p>
        </w:tc>
        <w:tc>
          <w:tcPr>
            <w:tcW w:w="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$200,635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ind w:left="5640"/>
              <w:spacing w:after="0"/>
              <w:rPr>
                <w:sz w:val="20"/>
                <w:szCs w:val="20"/>
                <w:color w:val="auto"/>
              </w:rPr>
            </w:pPr>
            <w:r>
              <w:rPr>
                <w:rFonts w:ascii="Arial" w:cs="Arial" w:eastAsia="Arial" w:hAnsi="Arial"/>
                <w:sz w:val="14"/>
                <w:szCs w:val="14"/>
                <w:color w:val="auto"/>
              </w:rPr>
              <w:t>11</w:t>
            </w: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1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-119380</wp:posOffset>
            </wp:positionV>
            <wp:extent cx="1089025" cy="4718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9025" cy="471805"/>
                    </a:xfrm>
                    <a:prstGeom prst="rect">
                      <a:avLst/>
                    </a:prstGeom>
                    <a:noFill/>
                  </pic:spPr>
                </pic:pic>
              </a:graphicData>
            </a:graphic>
          </wp:anchor>
        </w:drawing>
      </w:r>
    </w:p>
    <w:p>
      <w:pPr>
        <w:spacing w:after="0" w:line="2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188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620" w:type="dxa"/>
            <w:vAlign w:val="bottom"/>
          </w:tcPr>
          <w:p>
            <w:pPr>
              <w:spacing w:after="0"/>
              <w:rPr>
                <w:sz w:val="16"/>
                <w:szCs w:val="16"/>
                <w:color w:val="auto"/>
              </w:rPr>
            </w:pPr>
          </w:p>
        </w:tc>
        <w:tc>
          <w:tcPr>
            <w:tcW w:w="188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70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September 30,</w:t>
            </w:r>
          </w:p>
        </w:tc>
      </w:tr>
      <w:tr>
        <w:trPr>
          <w:trHeight w:val="189"/>
        </w:trPr>
        <w:tc>
          <w:tcPr>
            <w:tcW w:w="7620" w:type="dxa"/>
            <w:vAlign w:val="bottom"/>
          </w:tcPr>
          <w:p>
            <w:pPr>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r>
      <w:tr>
        <w:trPr>
          <w:trHeight w:val="183"/>
        </w:trPr>
        <w:tc>
          <w:tcPr>
            <w:tcW w:w="76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00" w:type="dxa"/>
            <w:vAlign w:val="bottom"/>
          </w:tcPr>
          <w:p>
            <w:pPr>
              <w:jc w:val="right"/>
              <w:spacing w:after="0"/>
              <w:rPr>
                <w:sz w:val="20"/>
                <w:szCs w:val="20"/>
                <w:color w:val="auto"/>
              </w:rPr>
            </w:pPr>
            <w:r>
              <w:rPr>
                <w:rFonts w:ascii="Arial" w:cs="Arial" w:eastAsia="Arial" w:hAnsi="Arial"/>
                <w:sz w:val="14"/>
                <w:szCs w:val="14"/>
                <w:color w:val="auto"/>
              </w:rPr>
              <w:t>$2,642</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$2,886</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$7,736</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$9,220</w:t>
            </w:r>
          </w:p>
        </w:tc>
      </w:tr>
      <w:tr>
        <w:trPr>
          <w:trHeight w:val="189"/>
        </w:trPr>
        <w:tc>
          <w:tcPr>
            <w:tcW w:w="762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 and redeemable subsidiary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r>
        <w:trPr>
          <w:trHeight w:val="189"/>
        </w:trPr>
        <w:tc>
          <w:tcPr>
            <w:tcW w:w="7620" w:type="dxa"/>
            <w:vAlign w:val="bottom"/>
          </w:tcPr>
          <w:p>
            <w:pPr>
              <w:spacing w:after="0"/>
              <w:rPr>
                <w:sz w:val="20"/>
                <w:szCs w:val="20"/>
                <w:color w:val="auto"/>
              </w:rPr>
            </w:pPr>
            <w:r>
              <w:rPr>
                <w:rFonts w:ascii="Arial" w:cs="Arial" w:eastAsia="Arial" w:hAnsi="Arial"/>
                <w:sz w:val="14"/>
                <w:szCs w:val="14"/>
                <w:color w:val="auto"/>
              </w:rPr>
              <w:t>Income tax (benefit) expense</w:t>
            </w:r>
          </w:p>
        </w:tc>
        <w:tc>
          <w:tcPr>
            <w:tcW w:w="800" w:type="dxa"/>
            <w:vAlign w:val="bottom"/>
          </w:tcPr>
          <w:p>
            <w:pPr>
              <w:jc w:val="right"/>
              <w:spacing w:after="0"/>
              <w:rPr>
                <w:sz w:val="20"/>
                <w:szCs w:val="20"/>
                <w:color w:val="auto"/>
              </w:rPr>
            </w:pPr>
            <w:r>
              <w:rPr>
                <w:rFonts w:ascii="Arial" w:cs="Arial" w:eastAsia="Arial" w:hAnsi="Arial"/>
                <w:sz w:val="14"/>
                <w:szCs w:val="14"/>
                <w:color w:val="auto"/>
              </w:rPr>
              <w:t>1,409</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999</w:t>
            </w: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4,038</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2,894</w:t>
            </w:r>
          </w:p>
        </w:tc>
      </w:tr>
      <w:tr>
        <w:trPr>
          <w:trHeight w:val="186"/>
        </w:trPr>
        <w:tc>
          <w:tcPr>
            <w:tcW w:w="7620" w:type="dxa"/>
            <w:vAlign w:val="bottom"/>
          </w:tcPr>
          <w:p>
            <w:pPr>
              <w:spacing w:after="0"/>
              <w:rPr>
                <w:sz w:val="20"/>
                <w:szCs w:val="20"/>
                <w:color w:val="auto"/>
              </w:rPr>
            </w:pPr>
            <w:r>
              <w:rPr>
                <w:rFonts w:ascii="Arial" w:cs="Arial" w:eastAsia="Arial" w:hAnsi="Arial"/>
                <w:sz w:val="14"/>
                <w:szCs w:val="14"/>
                <w:color w:val="auto"/>
              </w:rPr>
              <w:t>Interest expense</w:t>
            </w:r>
          </w:p>
        </w:tc>
        <w:tc>
          <w:tcPr>
            <w:tcW w:w="800" w:type="dxa"/>
            <w:vAlign w:val="bottom"/>
          </w:tcPr>
          <w:p>
            <w:pPr>
              <w:jc w:val="right"/>
              <w:spacing w:after="0"/>
              <w:rPr>
                <w:sz w:val="20"/>
                <w:szCs w:val="20"/>
                <w:color w:val="auto"/>
              </w:rPr>
            </w:pPr>
            <w:r>
              <w:rPr>
                <w:rFonts w:ascii="Arial" w:cs="Arial" w:eastAsia="Arial" w:hAnsi="Arial"/>
                <w:sz w:val="14"/>
                <w:szCs w:val="14"/>
                <w:color w:val="auto"/>
              </w:rPr>
              <w:t>766</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830</w:t>
            </w: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2,279</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2,413</w:t>
            </w:r>
          </w:p>
        </w:tc>
      </w:tr>
      <w:tr>
        <w:trPr>
          <w:trHeight w:val="193"/>
        </w:trPr>
        <w:tc>
          <w:tcPr>
            <w:tcW w:w="7620" w:type="dxa"/>
            <w:vAlign w:val="bottom"/>
          </w:tcPr>
          <w:p>
            <w:pPr>
              <w:spacing w:after="0" w:line="193" w:lineRule="exact"/>
              <w:rPr>
                <w:sz w:val="20"/>
                <w:szCs w:val="20"/>
                <w:color w:val="auto"/>
              </w:rPr>
            </w:pPr>
            <w:r>
              <w:rPr>
                <w:rFonts w:ascii="Arial" w:cs="Arial" w:eastAsia="Arial" w:hAnsi="Arial"/>
                <w:sz w:val="14"/>
                <w:szCs w:val="14"/>
                <w:color w:val="auto"/>
              </w:rPr>
              <w:t xml:space="preserve">Investment and other (income) loss, net </w:t>
            </w:r>
            <w:r>
              <w:rPr>
                <w:rFonts w:ascii="Arial" w:cs="Arial" w:eastAsia="Arial" w:hAnsi="Arial"/>
                <w:sz w:val="21"/>
                <w:szCs w:val="21"/>
                <w:color w:val="auto"/>
                <w:vertAlign w:val="superscript"/>
              </w:rPr>
              <w:t>(1)</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(70)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(299)</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(92)</w:t>
            </w:r>
          </w:p>
        </w:tc>
      </w:tr>
      <w:tr>
        <w:trPr>
          <w:trHeight w:val="186"/>
        </w:trPr>
        <w:tc>
          <w:tcPr>
            <w:tcW w:w="7620" w:type="dxa"/>
            <w:vAlign w:val="bottom"/>
          </w:tcPr>
          <w:p>
            <w:pPr>
              <w:spacing w:after="0"/>
              <w:rPr>
                <w:sz w:val="20"/>
                <w:szCs w:val="20"/>
                <w:color w:val="auto"/>
              </w:rPr>
            </w:pPr>
            <w:r>
              <w:rPr>
                <w:rFonts w:ascii="Arial" w:cs="Arial" w:eastAsia="Arial" w:hAnsi="Arial"/>
                <w:sz w:val="14"/>
                <w:szCs w:val="14"/>
                <w:color w:val="auto"/>
              </w:rPr>
              <w:t>Depreciation and amortization expense and other operating gains</w:t>
            </w:r>
          </w:p>
        </w:tc>
        <w:tc>
          <w:tcPr>
            <w:tcW w:w="800" w:type="dxa"/>
            <w:vAlign w:val="bottom"/>
          </w:tcPr>
          <w:p>
            <w:pPr>
              <w:jc w:val="right"/>
              <w:spacing w:after="0"/>
              <w:rPr>
                <w:sz w:val="20"/>
                <w:szCs w:val="20"/>
                <w:color w:val="auto"/>
              </w:rPr>
            </w:pPr>
            <w:r>
              <w:rPr>
                <w:rFonts w:ascii="Arial" w:cs="Arial" w:eastAsia="Arial" w:hAnsi="Arial"/>
                <w:sz w:val="14"/>
                <w:szCs w:val="14"/>
                <w:color w:val="auto"/>
              </w:rPr>
              <w:t>2,104</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2,477</w:t>
            </w: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7,079</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7,479</w:t>
            </w:r>
          </w:p>
        </w:tc>
      </w:tr>
      <w:tr>
        <w:trPr>
          <w:trHeight w:val="192"/>
        </w:trPr>
        <w:tc>
          <w:tcPr>
            <w:tcW w:w="7620" w:type="dxa"/>
            <w:vAlign w:val="bottom"/>
          </w:tcPr>
          <w:p>
            <w:pPr>
              <w:spacing w:after="0" w:line="193"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21"/>
                <w:szCs w:val="21"/>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83"/>
        </w:trPr>
        <w:tc>
          <w:tcPr>
            <w:tcW w:w="762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$7,133</w:t>
            </w:r>
          </w:p>
        </w:tc>
        <w:tc>
          <w:tcPr>
            <w:tcW w:w="1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$7,313</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$21,218</w:t>
            </w:r>
          </w:p>
        </w:tc>
        <w:tc>
          <w:tcPr>
            <w:tcW w:w="1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$21,974</w:t>
            </w:r>
          </w:p>
        </w:tc>
      </w:tr>
      <w:tr>
        <w:trPr>
          <w:trHeight w:val="20"/>
        </w:trPr>
        <w:tc>
          <w:tcPr>
            <w:tcW w:w="7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w:t>
      </w:r>
      <w:r>
        <w:rPr>
          <w:rFonts w:ascii="Arial" w:cs="Arial" w:eastAsia="Arial" w:hAnsi="Arial"/>
          <w:sz w:val="10"/>
          <w:szCs w:val="10"/>
          <w:b w:val="1"/>
          <w:bCs w:val="1"/>
          <w:color w:val="828282"/>
        </w:rPr>
        <w:t>3</w:t>
      </w:r>
      <w:r>
        <w:rPr>
          <w:rFonts w:ascii="Arial" w:cs="Arial" w:eastAsia="Arial" w:hAnsi="Arial"/>
          <w:sz w:val="18"/>
          <w:szCs w:val="18"/>
          <w:b w:val="1"/>
          <w:bCs w:val="1"/>
          <w:color w:val="828282"/>
        </w:rPr>
        <w:t xml:space="preserv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60"/>
          </w:cols>
          <w:pgMar w:left="240" w:top="379" w:right="19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56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280" w:type="dxa"/>
            <w:vAlign w:val="bottom"/>
          </w:tcPr>
          <w:p>
            <w:pPr>
              <w:spacing w:after="0"/>
              <w:rPr>
                <w:sz w:val="16"/>
                <w:szCs w:val="16"/>
                <w:color w:val="auto"/>
              </w:rPr>
            </w:pPr>
          </w:p>
        </w:tc>
        <w:tc>
          <w:tcPr>
            <w:tcW w:w="256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6280" w:type="dxa"/>
            <w:vAlign w:val="bottom"/>
          </w:tcPr>
          <w:p>
            <w:pPr>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2017</w:t>
            </w:r>
          </w:p>
        </w:tc>
        <w:tc>
          <w:tcPr>
            <w:tcW w:w="240" w:type="dxa"/>
            <w:vAlign w:val="bottom"/>
          </w:tcPr>
          <w:p>
            <w:pPr>
              <w:spacing w:after="0"/>
              <w:rPr>
                <w:sz w:val="16"/>
                <w:szCs w:val="16"/>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16"/>
                <w:szCs w:val="16"/>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8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1040" w:type="dxa"/>
            <w:vAlign w:val="bottom"/>
          </w:tcPr>
          <w:p>
            <w:pPr>
              <w:jc w:val="right"/>
              <w:spacing w:after="0"/>
              <w:rPr>
                <w:sz w:val="20"/>
                <w:szCs w:val="20"/>
                <w:color w:val="auto"/>
              </w:rPr>
            </w:pPr>
            <w:r>
              <w:rPr>
                <w:rFonts w:ascii="Arial" w:cs="Arial" w:eastAsia="Arial" w:hAnsi="Arial"/>
                <w:sz w:val="14"/>
                <w:szCs w:val="14"/>
                <w:color w:val="auto"/>
              </w:rPr>
              <w:t>$5,108</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$5,970</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$15,857</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$18,507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80" w:type="dxa"/>
            <w:vAlign w:val="bottom"/>
          </w:tcPr>
          <w:p>
            <w:pPr>
              <w:spacing w:after="0"/>
              <w:rPr>
                <w:sz w:val="20"/>
                <w:szCs w:val="20"/>
                <w:color w:val="auto"/>
              </w:rPr>
            </w:pPr>
            <w:r>
              <w:rPr>
                <w:rFonts w:ascii="Arial" w:cs="Arial" w:eastAsia="Arial" w:hAnsi="Arial"/>
                <w:sz w:val="14"/>
                <w:szCs w:val="14"/>
                <w:color w:val="auto"/>
              </w:rPr>
              <w:t>Capital expenditures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(2,434)</w:t>
            </w: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(2,384)</w:t>
            </w:r>
          </w:p>
        </w:tc>
        <w:tc>
          <w:tcPr>
            <w:tcW w:w="2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(6,839)</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(6,607)</w:t>
            </w:r>
          </w:p>
        </w:tc>
        <w:tc>
          <w:tcPr>
            <w:tcW w:w="0" w:type="dxa"/>
            <w:vAlign w:val="bottom"/>
          </w:tcPr>
          <w:p>
            <w:pPr>
              <w:spacing w:after="0"/>
              <w:rPr>
                <w:sz w:val="1"/>
                <w:szCs w:val="1"/>
                <w:color w:val="auto"/>
              </w:rPr>
            </w:pPr>
          </w:p>
        </w:tc>
      </w:tr>
      <w:tr>
        <w:trPr>
          <w:trHeight w:val="189"/>
        </w:trPr>
        <w:tc>
          <w:tcPr>
            <w:tcW w:w="628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(365)</w:t>
            </w: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(445)</w:t>
            </w:r>
          </w:p>
        </w:tc>
        <w:tc>
          <w:tcPr>
            <w:tcW w:w="2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(1,136)</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(1,375)</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20"/>
                <w:szCs w:val="20"/>
                <w:color w:val="auto"/>
              </w:rPr>
            </w:pPr>
            <w:r>
              <w:rPr>
                <w:rFonts w:ascii="Arial" w:cs="Arial" w:eastAsia="Arial" w:hAnsi="Arial"/>
                <w:sz w:val="14"/>
                <w:szCs w:val="14"/>
                <w:b w:val="1"/>
                <w:bCs w:val="1"/>
                <w:color w:val="auto"/>
              </w:rPr>
              <w:t>Total free cash flow</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$2,309</w:t>
            </w:r>
          </w:p>
        </w:tc>
        <w:tc>
          <w:tcPr>
            <w:tcW w:w="24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$3,141</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$7,882</w:t>
            </w:r>
          </w:p>
        </w:tc>
        <w:tc>
          <w:tcPr>
            <w:tcW w:w="22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80"/>
              <w:spacing w:after="0"/>
              <w:rPr>
                <w:sz w:val="20"/>
                <w:szCs w:val="20"/>
                <w:color w:val="auto"/>
              </w:rPr>
            </w:pPr>
            <w:r>
              <w:rPr>
                <w:rFonts w:ascii="Arial" w:cs="Arial" w:eastAsia="Arial" w:hAnsi="Arial"/>
                <w:sz w:val="18"/>
                <w:szCs w:val="18"/>
                <w:b w:val="1"/>
                <w:bCs w:val="1"/>
                <w:color w:val="828282"/>
              </w:rPr>
              <w:t>Alternate Presentation of Free Cash Flow</w:t>
            </w:r>
            <w:r>
              <w:rPr>
                <w:rFonts w:ascii="Arial" w:cs="Arial" w:eastAsia="Arial" w:hAnsi="Arial"/>
                <w:sz w:val="10"/>
                <w:szCs w:val="10"/>
                <w:b w:val="1"/>
                <w:bCs w:val="1"/>
                <w:color w:val="828282"/>
              </w:rPr>
              <w:t>3</w:t>
            </w:r>
            <w:r>
              <w:rPr>
                <w:rFonts w:ascii="Arial" w:cs="Arial" w:eastAsia="Arial" w:hAnsi="Arial"/>
                <w:sz w:val="18"/>
                <w:szCs w:val="18"/>
                <w:b w:val="1"/>
                <w:bCs w:val="1"/>
                <w:color w:val="828282"/>
              </w:rPr>
              <w:t xml:space="preserve"> (Unaudited)</w:t>
            </w: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2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280" w:type="dxa"/>
            <w:vAlign w:val="bottom"/>
            <w:tcBorders>
              <w:bottom w:val="single" w:sz="8" w:color="0050B9"/>
            </w:tcBorders>
          </w:tcPr>
          <w:p>
            <w:pPr>
              <w:spacing w:after="0"/>
              <w:rPr>
                <w:sz w:val="2"/>
                <w:szCs w:val="2"/>
                <w:color w:val="auto"/>
              </w:rPr>
            </w:pPr>
          </w:p>
        </w:tc>
        <w:tc>
          <w:tcPr>
            <w:tcW w:w="2760" w:type="dxa"/>
            <w:vAlign w:val="bottom"/>
            <w:tcBorders>
              <w:bottom w:val="single" w:sz="8" w:color="0050B9"/>
            </w:tcBorders>
            <w:gridSpan w:val="5"/>
          </w:tcPr>
          <w:p>
            <w:pPr>
              <w:spacing w:after="0"/>
              <w:rPr>
                <w:sz w:val="2"/>
                <w:szCs w:val="2"/>
                <w:color w:val="auto"/>
              </w:rPr>
            </w:pPr>
          </w:p>
        </w:tc>
        <w:tc>
          <w:tcPr>
            <w:tcW w:w="2380" w:type="dxa"/>
            <w:vAlign w:val="bottom"/>
            <w:tcBorders>
              <w:bottom w:val="single" w:sz="8" w:color="0050B9"/>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17"/>
                <w:szCs w:val="17"/>
                <w:color w:val="auto"/>
              </w:rPr>
            </w:pPr>
          </w:p>
        </w:tc>
        <w:tc>
          <w:tcPr>
            <w:tcW w:w="2760" w:type="dxa"/>
            <w:vAlign w:val="bottom"/>
            <w:gridSpan w:val="5"/>
          </w:tcPr>
          <w:p>
            <w:pPr>
              <w:spacing w:after="0"/>
              <w:rPr>
                <w:sz w:val="17"/>
                <w:szCs w:val="17"/>
                <w:color w:val="auto"/>
              </w:rPr>
            </w:pPr>
          </w:p>
        </w:tc>
        <w:tc>
          <w:tcPr>
            <w:tcW w:w="2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80" w:type="dxa"/>
            <w:vAlign w:val="bottom"/>
          </w:tcPr>
          <w:p>
            <w:pPr>
              <w:spacing w:after="0"/>
              <w:rPr>
                <w:sz w:val="15"/>
                <w:szCs w:val="15"/>
                <w:color w:val="auto"/>
              </w:rPr>
            </w:pPr>
          </w:p>
        </w:tc>
        <w:tc>
          <w:tcPr>
            <w:tcW w:w="256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256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2017</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28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1040" w:type="dxa"/>
            <w:vAlign w:val="bottom"/>
          </w:tcPr>
          <w:p>
            <w:pPr>
              <w:jc w:val="right"/>
              <w:spacing w:after="0"/>
              <w:rPr>
                <w:sz w:val="20"/>
                <w:szCs w:val="20"/>
                <w:color w:val="auto"/>
              </w:rPr>
            </w:pPr>
            <w:r>
              <w:rPr>
                <w:rFonts w:ascii="Arial" w:cs="Arial" w:eastAsia="Arial" w:hAnsi="Arial"/>
                <w:sz w:val="14"/>
                <w:szCs w:val="14"/>
                <w:color w:val="auto"/>
              </w:rPr>
              <w:t>$7,133</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$7,313</w:t>
            </w: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$21,218</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$21,974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4"/>
                <w:szCs w:val="14"/>
                <w:color w:val="auto"/>
              </w:rPr>
              <w:t>Capital expenditures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(2,434)</w:t>
            </w: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(2,384)</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(6,839)</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(6,607)</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(365)</w:t>
            </w: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(445)</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(1,136)</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(1,375)</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4"/>
                <w:szCs w:val="14"/>
                <w:color w:val="auto"/>
              </w:rPr>
              <w:t>Cash interest expense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(905)</w:t>
            </w: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(886)</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(2,277)</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(2,240)</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4"/>
                <w:szCs w:val="14"/>
                <w:color w:val="auto"/>
              </w:rPr>
              <w:t>Cash taxes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(1,206)</w:t>
            </w: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(910)</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(3,415)</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(1,533)</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tcPr>
          <w:p>
            <w:pPr>
              <w:jc w:val="right"/>
              <w:spacing w:after="0"/>
              <w:rPr>
                <w:sz w:val="20"/>
                <w:szCs w:val="20"/>
                <w:color w:val="auto"/>
              </w:rPr>
            </w:pPr>
            <w:r>
              <w:rPr>
                <w:rFonts w:ascii="Arial" w:cs="Arial" w:eastAsia="Arial" w:hAnsi="Arial"/>
                <w:sz w:val="14"/>
                <w:szCs w:val="14"/>
                <w:color w:val="auto"/>
              </w:rPr>
              <w:t>83</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(179)</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(511)</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1040" w:type="dxa"/>
            <w:vAlign w:val="bottom"/>
          </w:tcPr>
          <w:p>
            <w:pPr>
              <w:jc w:val="right"/>
              <w:spacing w:after="0"/>
              <w:rPr>
                <w:sz w:val="20"/>
                <w:szCs w:val="20"/>
                <w:color w:val="auto"/>
              </w:rPr>
            </w:pPr>
            <w:r>
              <w:rPr>
                <w:rFonts w:ascii="Arial" w:cs="Arial" w:eastAsia="Arial" w:hAnsi="Arial"/>
                <w:sz w:val="14"/>
                <w:szCs w:val="14"/>
                <w:color w:val="auto"/>
              </w:rPr>
              <w:t>203</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197</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80" w:type="dxa"/>
            <w:vAlign w:val="bottom"/>
          </w:tcPr>
          <w:p>
            <w:pPr>
              <w:spacing w:after="0" w:line="228"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21"/>
                <w:szCs w:val="21"/>
                <w:color w:val="auto"/>
                <w:vertAlign w:val="superscript"/>
              </w:rPr>
              <w:t>(4)</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(200)</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(84)</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280" w:type="dxa"/>
            <w:vAlign w:val="bottom"/>
          </w:tcPr>
          <w:p>
            <w:pPr>
              <w:spacing w:after="0"/>
              <w:rPr>
                <w:sz w:val="20"/>
                <w:szCs w:val="20"/>
                <w:color w:val="auto"/>
              </w:rPr>
            </w:pPr>
            <w:r>
              <w:rPr>
                <w:rFonts w:ascii="Arial" w:cs="Arial" w:eastAsia="Arial" w:hAnsi="Arial"/>
                <w:sz w:val="14"/>
                <w:szCs w:val="14"/>
                <w:b w:val="1"/>
                <w:bCs w:val="1"/>
                <w:color w:val="auto"/>
              </w:rPr>
              <w:t>Total free cash flow</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$2,309</w:t>
            </w:r>
          </w:p>
        </w:tc>
        <w:tc>
          <w:tcPr>
            <w:tcW w:w="24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$3,141</w:t>
            </w: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$7,882</w:t>
            </w:r>
          </w:p>
        </w:tc>
        <w:tc>
          <w:tcPr>
            <w:tcW w:w="2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60" w:hanging="252"/>
        <w:spacing w:after="0" w:line="258" w:lineRule="auto"/>
        <w:tabs>
          <w:tab w:leader="none" w:pos="298"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Investment and other (income) loss, net, includes equity in net (income) losses of investees, net, realized and unrealized (gains) losses on equity securities, net, and other (income) loss, net.</w:t>
      </w:r>
    </w:p>
    <w:p>
      <w:pPr>
        <w:spacing w:after="0" w:line="180" w:lineRule="exact"/>
        <w:rPr>
          <w:rFonts w:ascii="Arial" w:cs="Arial" w:eastAsia="Arial" w:hAnsi="Arial"/>
          <w:sz w:val="14"/>
          <w:szCs w:val="14"/>
          <w:color w:val="auto"/>
        </w:rPr>
      </w:pPr>
    </w:p>
    <w:p>
      <w:pPr>
        <w:ind w:left="260" w:hanging="252"/>
        <w:spacing w:after="0"/>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3rd quarter 2017 Adjusted EBITDA excludes $250 million of other operating and administrative expense related to a legal settlement.</w:t>
      </w:r>
    </w:p>
    <w:p>
      <w:pPr>
        <w:spacing w:after="0" w:line="203" w:lineRule="exact"/>
        <w:rPr>
          <w:rFonts w:ascii="Arial" w:cs="Arial" w:eastAsia="Arial" w:hAnsi="Arial"/>
          <w:sz w:val="14"/>
          <w:szCs w:val="14"/>
          <w:color w:val="auto"/>
        </w:rPr>
      </w:pPr>
    </w:p>
    <w:p>
      <w:pPr>
        <w:jc w:val="both"/>
        <w:ind w:left="260" w:hanging="252"/>
        <w:spacing w:after="0" w:line="244" w:lineRule="auto"/>
        <w:tabs>
          <w:tab w:leader="none" w:pos="244" w:val="left"/>
        </w:tabs>
        <w:numPr>
          <w:ilvl w:val="0"/>
          <w:numId w:val="8"/>
        </w:numPr>
        <w:rPr>
          <w:rFonts w:ascii="Arial" w:cs="Arial" w:eastAsia="Arial" w:hAnsi="Arial"/>
          <w:sz w:val="14"/>
          <w:szCs w:val="14"/>
          <w:color w:val="auto"/>
        </w:rPr>
      </w:pPr>
      <w:r>
        <w:rPr>
          <w:rFonts w:ascii="Arial" w:cs="Arial" w:eastAsia="Arial" w:hAnsi="Arial"/>
          <w:sz w:val="14"/>
          <w:szCs w:val="14"/>
          <w:color w:val="auto"/>
        </w:rPr>
        <w:t>Beginning in the first quarter 2018, we have implemented changes that simplify our definition of Free Cash Flow to the following: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Consolidated Statement of Cash Flows and are therefore excluded from capital expenditures for Free Cash Flow. Following this change, our new definition of Free Cash Flow no longer adjusts for, among other things, the effects of economic stimulus packages, distributions to noncontrolling interests and dividends for redeemable preferred stock and certain nonoperating items. The prior period amounts have been adjusted to reflect this change.</w:t>
      </w:r>
    </w:p>
    <w:p>
      <w:pPr>
        <w:spacing w:after="0" w:line="191" w:lineRule="exact"/>
        <w:rPr>
          <w:rFonts w:ascii="Arial" w:cs="Arial" w:eastAsia="Arial" w:hAnsi="Arial"/>
          <w:sz w:val="14"/>
          <w:szCs w:val="14"/>
          <w:color w:val="auto"/>
        </w:rPr>
      </w:pPr>
    </w:p>
    <w:p>
      <w:pPr>
        <w:ind w:left="260" w:hanging="252"/>
        <w:spacing w:after="0"/>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for this presentation includes a decrease of $250 million in the third quarter 2017 related to a legal settlement as this is not included in Adjusted EBITDA.</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4" w:name="page15"/>
    <w:bookmarkEnd w:id="14"/>
    <w:p>
      <w:pPr>
        <w:ind w:left="80"/>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-119380</wp:posOffset>
            </wp:positionV>
            <wp:extent cx="1089025" cy="471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9025" cy="471805"/>
                    </a:xfrm>
                    <a:prstGeom prst="rect">
                      <a:avLst/>
                    </a:prstGeom>
                    <a:noFill/>
                  </pic:spPr>
                </pic:pic>
              </a:graphicData>
            </a:graphic>
          </wp:anchor>
        </w:drawing>
      </w:r>
    </w:p>
    <w:p>
      <w:pPr>
        <w:spacing w:after="0" w:line="2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828282"/>
        </w:rPr>
        <w:t>Reconciliation of EPS Excluding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58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7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9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EPS</w:t>
            </w:r>
          </w:p>
        </w:tc>
        <w:tc>
          <w:tcPr>
            <w:tcW w:w="960" w:type="dxa"/>
            <w:vAlign w:val="bottom"/>
            <w:vMerge w:val="continue"/>
          </w:tcPr>
          <w:p>
            <w:pPr>
              <w:spacing w:after="0"/>
              <w:rPr>
                <w:sz w:val="16"/>
                <w:szCs w:val="16"/>
                <w:color w:val="auto"/>
              </w:rPr>
            </w:pPr>
          </w:p>
        </w:tc>
        <w:tc>
          <w:tcPr>
            <w:tcW w:w="74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EPS</w:t>
            </w:r>
          </w:p>
        </w:tc>
        <w:tc>
          <w:tcPr>
            <w:tcW w:w="92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48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9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$2,642</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24"/>
                <w:szCs w:val="24"/>
                <w:color w:val="auto"/>
              </w:rPr>
            </w:pPr>
          </w:p>
        </w:tc>
        <w:tc>
          <w:tcPr>
            <w:tcW w:w="9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$2,886</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$0.62</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$7,736</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4"/>
                <w:szCs w:val="24"/>
                <w:color w:val="auto"/>
              </w:rPr>
            </w:pPr>
          </w:p>
        </w:tc>
        <w:tc>
          <w:tcPr>
            <w:tcW w:w="9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$9,220</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i w:val="1"/>
                <w:iCs w:val="1"/>
                <w:color w:val="auto"/>
              </w:rPr>
              <w:t>9.3%</w:t>
            </w: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i w:val="1"/>
                <w:iCs w:val="1"/>
                <w:color w:val="auto"/>
              </w:rPr>
              <w:t>12.7%</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i w:val="1"/>
                <w:iCs w:val="1"/>
                <w:color w:val="auto"/>
              </w:rPr>
              <w:t>19.2%</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23.0%</w:t>
            </w:r>
          </w:p>
        </w:tc>
        <w:tc>
          <w:tcPr>
            <w:tcW w:w="0" w:type="dxa"/>
            <w:vAlign w:val="bottom"/>
          </w:tcPr>
          <w:p>
            <w:pPr>
              <w:spacing w:after="0"/>
              <w:rPr>
                <w:sz w:val="1"/>
                <w:szCs w:val="1"/>
                <w:color w:val="auto"/>
              </w:rPr>
            </w:pPr>
          </w:p>
        </w:tc>
      </w:tr>
      <w:tr>
        <w:trPr>
          <w:trHeight w:val="414"/>
        </w:trPr>
        <w:tc>
          <w:tcPr>
            <w:tcW w:w="4820" w:type="dxa"/>
            <w:vAlign w:val="bottom"/>
          </w:tcPr>
          <w:p>
            <w:pPr>
              <w:spacing w:after="0"/>
              <w:rPr>
                <w:sz w:val="20"/>
                <w:szCs w:val="20"/>
                <w:color w:val="auto"/>
              </w:rPr>
            </w:pPr>
            <w:r>
              <w:rPr>
                <w:rFonts w:ascii="Arial" w:cs="Arial" w:eastAsia="Arial" w:hAnsi="Arial"/>
                <w:sz w:val="14"/>
                <w:szCs w:val="14"/>
                <w:color w:val="auto"/>
              </w:rPr>
              <w:t xml:space="preserve">Fair value investments </w:t>
            </w:r>
            <w:r>
              <w:rPr>
                <w:rFonts w:ascii="Arial" w:cs="Arial" w:eastAsia="Arial" w:hAnsi="Arial"/>
                <w:sz w:val="21"/>
                <w:szCs w:val="21"/>
                <w:color w:val="auto"/>
                <w:vertAlign w:val="superscript"/>
              </w:rPr>
              <w:t>(1)</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(9)</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4"/>
                <w:szCs w:val="24"/>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(65)</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(0.01)</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(129)</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(0.03)</w:t>
            </w:r>
          </w:p>
        </w:tc>
        <w:tc>
          <w:tcPr>
            <w:tcW w:w="0" w:type="dxa"/>
            <w:vAlign w:val="bottom"/>
          </w:tcPr>
          <w:p>
            <w:pPr>
              <w:spacing w:after="0"/>
              <w:rPr>
                <w:sz w:val="1"/>
                <w:szCs w:val="1"/>
                <w:color w:val="auto"/>
              </w:rPr>
            </w:pPr>
          </w:p>
        </w:tc>
      </w:tr>
      <w:tr>
        <w:trPr>
          <w:trHeight w:val="189"/>
        </w:trPr>
        <w:tc>
          <w:tcPr>
            <w:tcW w:w="4820" w:type="dxa"/>
            <w:vAlign w:val="bottom"/>
          </w:tcPr>
          <w:p>
            <w:pPr>
              <w:spacing w:after="0" w:line="189" w:lineRule="exact"/>
              <w:rPr>
                <w:sz w:val="20"/>
                <w:szCs w:val="20"/>
                <w:color w:val="auto"/>
              </w:rPr>
            </w:pPr>
            <w:r>
              <w:rPr>
                <w:rFonts w:ascii="Arial" w:cs="Arial" w:eastAsia="Arial" w:hAnsi="Arial"/>
                <w:sz w:val="14"/>
                <w:szCs w:val="14"/>
                <w:color w:val="auto"/>
              </w:rPr>
              <w:t xml:space="preserve">Gain on spectrum auction </w:t>
            </w:r>
            <w:r>
              <w:rPr>
                <w:rFonts w:ascii="Arial" w:cs="Arial" w:eastAsia="Arial" w:hAnsi="Arial"/>
                <w:sz w:val="21"/>
                <w:szCs w:val="21"/>
                <w:color w:val="auto"/>
                <w:vertAlign w:val="superscript"/>
              </w:rPr>
              <w:t>(2)</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(209)</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(0.05)</w:t>
            </w: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(209)</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(0.05)</w:t>
            </w: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820" w:type="dxa"/>
            <w:vAlign w:val="bottom"/>
          </w:tcPr>
          <w:p>
            <w:pPr>
              <w:spacing w:after="0" w:line="189" w:lineRule="exact"/>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21"/>
                <w:szCs w:val="21"/>
                <w:color w:val="auto"/>
                <w:vertAlign w:val="superscript"/>
              </w:rPr>
              <w:t>(3)</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(68)</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(0.01)</w:t>
            </w: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148</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0.03</w:t>
            </w: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(68)</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(0.01)</w:t>
            </w: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20</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820" w:type="dxa"/>
            <w:vAlign w:val="bottom"/>
          </w:tcPr>
          <w:p>
            <w:pPr>
              <w:spacing w:after="0" w:line="189" w:lineRule="exact"/>
              <w:rPr>
                <w:sz w:val="20"/>
                <w:szCs w:val="20"/>
                <w:color w:val="auto"/>
              </w:rPr>
            </w:pPr>
            <w:r>
              <w:rPr>
                <w:rFonts w:ascii="Arial" w:cs="Arial" w:eastAsia="Arial" w:hAnsi="Arial"/>
                <w:sz w:val="14"/>
                <w:szCs w:val="14"/>
                <w:color w:val="auto"/>
              </w:rPr>
              <w:t>Gains on the sales of businesses and investments</w:t>
            </w:r>
            <w:r>
              <w:rPr>
                <w:rFonts w:ascii="Arial" w:cs="Arial" w:eastAsia="Arial" w:hAnsi="Arial"/>
                <w:sz w:val="21"/>
                <w:szCs w:val="21"/>
                <w:color w:val="auto"/>
                <w:vertAlign w:val="superscript"/>
              </w:rPr>
              <w:t>(4)</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(65)</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(0.01)</w:t>
            </w:r>
          </w:p>
        </w:tc>
        <w:tc>
          <w:tcPr>
            <w:tcW w:w="960" w:type="dxa"/>
            <w:vAlign w:val="bottom"/>
          </w:tcPr>
          <w:p>
            <w:pPr>
              <w:jc w:val="right"/>
              <w:ind w:right="208"/>
              <w:spacing w:after="0"/>
              <w:rPr>
                <w:sz w:val="20"/>
                <w:szCs w:val="20"/>
                <w:color w:val="auto"/>
              </w:rPr>
            </w:pPr>
            <w:r>
              <w:rPr>
                <w:rFonts w:ascii="Arial" w:cs="Arial" w:eastAsia="Arial" w:hAnsi="Arial"/>
                <w:sz w:val="14"/>
                <w:szCs w:val="14"/>
                <w:b w:val="1"/>
                <w:bCs w:val="1"/>
                <w:color w:val="auto"/>
              </w:rPr>
              <w:t>(105)</w:t>
            </w: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(0.02)</w:t>
            </w:r>
          </w:p>
        </w:tc>
        <w:tc>
          <w:tcPr>
            <w:tcW w:w="140" w:type="dxa"/>
            <w:vAlign w:val="bottom"/>
          </w:tcPr>
          <w:p>
            <w:pPr>
              <w:spacing w:after="0"/>
              <w:rPr>
                <w:sz w:val="16"/>
                <w:szCs w:val="16"/>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(65)</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(0.01)</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(301)</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(0.06)</w:t>
            </w:r>
          </w:p>
        </w:tc>
        <w:tc>
          <w:tcPr>
            <w:tcW w:w="0" w:type="dxa"/>
            <w:vAlign w:val="bottom"/>
          </w:tcPr>
          <w:p>
            <w:pPr>
              <w:spacing w:after="0"/>
              <w:rPr>
                <w:sz w:val="1"/>
                <w:szCs w:val="1"/>
                <w:color w:val="auto"/>
              </w:rPr>
            </w:pPr>
          </w:p>
        </w:tc>
      </w:tr>
      <w:tr>
        <w:trPr>
          <w:trHeight w:val="189"/>
        </w:trPr>
        <w:tc>
          <w:tcPr>
            <w:tcW w:w="4820" w:type="dxa"/>
            <w:vAlign w:val="bottom"/>
          </w:tcPr>
          <w:p>
            <w:pPr>
              <w:spacing w:after="0" w:line="189" w:lineRule="exact"/>
              <w:rPr>
                <w:sz w:val="20"/>
                <w:szCs w:val="20"/>
                <w:color w:val="auto"/>
              </w:rPr>
            </w:pPr>
            <w:r>
              <w:rPr>
                <w:rFonts w:ascii="Arial" w:cs="Arial" w:eastAsia="Arial" w:hAnsi="Arial"/>
                <w:sz w:val="14"/>
                <w:szCs w:val="14"/>
                <w:color w:val="auto"/>
              </w:rPr>
              <w:t xml:space="preserve">Legal Settlement </w:t>
            </w:r>
            <w:r>
              <w:rPr>
                <w:rFonts w:ascii="Arial" w:cs="Arial" w:eastAsia="Arial" w:hAnsi="Arial"/>
                <w:sz w:val="21"/>
                <w:szCs w:val="21"/>
                <w:color w:val="auto"/>
                <w:vertAlign w:val="superscript"/>
              </w:rPr>
              <w:t>(5)</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157</w:t>
            </w:r>
          </w:p>
        </w:tc>
        <w:tc>
          <w:tcPr>
            <w:tcW w:w="54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157</w:t>
            </w:r>
          </w:p>
        </w:tc>
        <w:tc>
          <w:tcPr>
            <w:tcW w:w="52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6"/>
                <w:szCs w:val="16"/>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820" w:type="dxa"/>
            <w:vAlign w:val="bottom"/>
          </w:tcPr>
          <w:p>
            <w:pPr>
              <w:spacing w:after="0" w:line="193" w:lineRule="exact"/>
              <w:rPr>
                <w:sz w:val="20"/>
                <w:szCs w:val="20"/>
                <w:color w:val="auto"/>
              </w:rPr>
            </w:pPr>
            <w:r>
              <w:rPr>
                <w:rFonts w:ascii="Arial" w:cs="Arial" w:eastAsia="Arial" w:hAnsi="Arial"/>
                <w:sz w:val="14"/>
                <w:szCs w:val="14"/>
                <w:color w:val="auto"/>
              </w:rPr>
              <w:t xml:space="preserve">Costs related to Sky transaction and Twenty-First Century Fox offer </w:t>
            </w:r>
            <w:r>
              <w:rPr>
                <w:rFonts w:ascii="Arial" w:cs="Arial" w:eastAsia="Arial" w:hAnsi="Arial"/>
                <w:sz w:val="21"/>
                <w:szCs w:val="21"/>
                <w:color w:val="auto"/>
                <w:vertAlign w:val="superscript"/>
              </w:rPr>
              <w:t>(6)</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80</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103</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48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(excluding</w:t>
            </w:r>
          </w:p>
        </w:tc>
        <w:tc>
          <w:tcPr>
            <w:tcW w:w="9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$3,009</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$0.65</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$8,913</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180"/>
              <w:spacing w:after="0"/>
              <w:rPr>
                <w:sz w:val="20"/>
                <w:szCs w:val="20"/>
                <w:color w:val="auto"/>
              </w:rPr>
            </w:pPr>
            <w:r>
              <w:rPr>
                <w:rFonts w:ascii="Arial" w:cs="Arial" w:eastAsia="Arial" w:hAnsi="Arial"/>
                <w:sz w:val="14"/>
                <w:szCs w:val="14"/>
                <w:b w:val="1"/>
                <w:bCs w:val="1"/>
                <w:color w:val="auto"/>
              </w:rPr>
              <w:t>adjustments)</w:t>
            </w: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$2,448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$0.51</w:t>
            </w:r>
          </w:p>
        </w:tc>
        <w:tc>
          <w:tcPr>
            <w:tcW w:w="12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$7,486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i w:val="1"/>
                <w:iCs w:val="1"/>
                <w:color w:val="auto"/>
              </w:rPr>
              <w:t>Growth %</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8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i w:val="1"/>
                <w:iCs w:val="1"/>
                <w:color w:val="auto"/>
              </w:rPr>
              <w:t>23.0%</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rPr>
              <w:t>27.5%</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i w:val="1"/>
                <w:iCs w:val="1"/>
                <w:color w:val="auto"/>
              </w:rPr>
              <w:t>19.1%</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22.4%</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60" w:hanging="252"/>
        <w:spacing w:after="0" w:line="258" w:lineRule="auto"/>
        <w:tabs>
          <w:tab w:leader="none" w:pos="271" w:val="left"/>
        </w:tabs>
        <w:numPr>
          <w:ilvl w:val="0"/>
          <w:numId w:val="9"/>
        </w:numPr>
        <w:rPr>
          <w:rFonts w:ascii="Arial" w:cs="Arial" w:eastAsia="Arial" w:hAnsi="Arial"/>
          <w:sz w:val="14"/>
          <w:szCs w:val="14"/>
          <w:color w:val="auto"/>
        </w:rPr>
      </w:pPr>
      <w:r>
        <w:rPr>
          <w:rFonts w:ascii="Arial" w:cs="Arial" w:eastAsia="Arial" w:hAnsi="Arial"/>
          <w:sz w:val="14"/>
          <w:szCs w:val="14"/>
          <w:color w:val="auto"/>
        </w:rPr>
        <w:t>Fair value investments include realized and unrealized (gains) losses on equity securities, net (as stated in Table 1), as well as the equity in net (income) losses, net, for our investment in Atairos.</w:t>
      </w:r>
    </w:p>
    <w:p>
      <w:pPr>
        <w:sectPr>
          <w:pgSz w:w="11900" w:h="16838" w:orient="portrait"/>
          <w:cols w:equalWidth="0" w:num="1">
            <w:col w:w="11420"/>
          </w:cols>
          <w:pgMar w:left="240" w:top="3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0" w:right="1760"/>
        <w:spacing w:after="0" w:line="255" w:lineRule="auto"/>
        <w:rPr>
          <w:sz w:val="20"/>
          <w:szCs w:val="20"/>
          <w:color w:val="auto"/>
        </w:rPr>
      </w:pPr>
      <w:r>
        <w:rPr>
          <w:rFonts w:ascii="Arial" w:cs="Arial" w:eastAsia="Arial" w:hAnsi="Arial"/>
          <w:sz w:val="14"/>
          <w:szCs w:val="14"/>
          <w:color w:val="auto"/>
        </w:rPr>
        <w:t>Realized and unrealized (gains) losses on equity securities, net Equity in net (income) losses, net for investment in Atairos Fair value investments before income taxes</w:t>
      </w:r>
    </w:p>
    <w:p>
      <w:pPr>
        <w:ind w:left="260"/>
        <w:spacing w:after="0"/>
        <w:rPr>
          <w:sz w:val="20"/>
          <w:szCs w:val="20"/>
          <w:color w:val="auto"/>
        </w:rPr>
      </w:pPr>
      <w:r>
        <w:rPr>
          <w:rFonts w:ascii="Arial" w:cs="Arial" w:eastAsia="Arial" w:hAnsi="Arial"/>
          <w:sz w:val="14"/>
          <w:szCs w:val="14"/>
          <w:color w:val="auto"/>
        </w:rPr>
        <w:t>Fair value investments, net of tax</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80" w:type="dxa"/>
            <w:vAlign w:val="bottom"/>
            <w:gridSpan w:val="4"/>
          </w:tcPr>
          <w:p>
            <w:pPr>
              <w:jc w:val="center"/>
              <w:ind w:left="248"/>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3"/>
          </w:tcPr>
          <w:p>
            <w:pPr>
              <w:jc w:val="right"/>
              <w:ind w:right="308"/>
              <w:spacing w:after="0"/>
              <w:rPr>
                <w:sz w:val="20"/>
                <w:szCs w:val="20"/>
                <w:color w:val="auto"/>
              </w:rPr>
            </w:pPr>
            <w:r>
              <w:rPr>
                <w:rFonts w:ascii="Arial" w:cs="Arial" w:eastAsia="Arial" w:hAnsi="Arial"/>
                <w:sz w:val="14"/>
                <w:szCs w:val="14"/>
                <w:color w:val="auto"/>
              </w:rPr>
              <w:t>Nine Months Ended</w:t>
            </w:r>
          </w:p>
        </w:tc>
      </w:tr>
      <w:tr>
        <w:trPr>
          <w:trHeight w:val="162"/>
        </w:trPr>
        <w:tc>
          <w:tcPr>
            <w:tcW w:w="1780" w:type="dxa"/>
            <w:vAlign w:val="bottom"/>
            <w:gridSpan w:val="4"/>
          </w:tcPr>
          <w:p>
            <w:pPr>
              <w:jc w:val="center"/>
              <w:ind w:left="248"/>
              <w:spacing w:after="0"/>
              <w:rPr>
                <w:sz w:val="20"/>
                <w:szCs w:val="20"/>
                <w:color w:val="auto"/>
              </w:rPr>
            </w:pPr>
            <w:r>
              <w:rPr>
                <w:rFonts w:ascii="Arial" w:cs="Arial" w:eastAsia="Arial" w:hAnsi="Arial"/>
                <w:sz w:val="14"/>
                <w:szCs w:val="14"/>
                <w:color w:val="auto"/>
              </w:rPr>
              <w:t>September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3"/>
          </w:tcPr>
          <w:p>
            <w:pPr>
              <w:jc w:val="right"/>
              <w:ind w:right="468"/>
              <w:spacing w:after="0"/>
              <w:rPr>
                <w:sz w:val="20"/>
                <w:szCs w:val="20"/>
                <w:color w:val="auto"/>
              </w:rPr>
            </w:pPr>
            <w:r>
              <w:rPr>
                <w:rFonts w:ascii="Arial" w:cs="Arial" w:eastAsia="Arial" w:hAnsi="Arial"/>
                <w:sz w:val="14"/>
                <w:szCs w:val="14"/>
                <w:color w:val="auto"/>
              </w:rPr>
              <w:t>September 30,</w:t>
            </w:r>
          </w:p>
        </w:tc>
      </w:tr>
      <w:tr>
        <w:trPr>
          <w:trHeight w:val="157"/>
        </w:trPr>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2017</w:t>
            </w:r>
          </w:p>
        </w:tc>
        <w:tc>
          <w:tcPr>
            <w:tcW w:w="240" w:type="dxa"/>
            <w:vAlign w:val="bottom"/>
          </w:tcPr>
          <w:p>
            <w:pPr>
              <w:spacing w:after="0"/>
              <w:rPr>
                <w:sz w:val="13"/>
                <w:szCs w:val="13"/>
                <w:color w:val="auto"/>
              </w:rPr>
            </w:pPr>
          </w:p>
        </w:tc>
        <w:tc>
          <w:tcPr>
            <w:tcW w:w="90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2018</w:t>
            </w:r>
          </w:p>
        </w:tc>
      </w:tr>
      <w:tr>
        <w:trPr>
          <w:trHeight w:val="160"/>
        </w:trPr>
        <w:tc>
          <w:tcPr>
            <w:tcW w:w="660" w:type="dxa"/>
            <w:vAlign w:val="bottom"/>
          </w:tcPr>
          <w:p>
            <w:pPr>
              <w:spacing w:after="0"/>
              <w:rPr>
                <w:sz w:val="13"/>
                <w:szCs w:val="1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($7)</w:t>
            </w:r>
          </w:p>
        </w:tc>
        <w:tc>
          <w:tcPr>
            <w:tcW w:w="6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4"/>
              </w:rPr>
              <w:t>$38</w:t>
            </w:r>
          </w:p>
        </w:tc>
        <w:tc>
          <w:tcPr>
            <w:tcW w:w="22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57"/>
        </w:trPr>
        <w:tc>
          <w:tcPr>
            <w:tcW w:w="660" w:type="dxa"/>
            <w:vAlign w:val="bottom"/>
          </w:tcPr>
          <w:p>
            <w:pPr>
              <w:spacing w:after="0"/>
              <w:rPr>
                <w:sz w:val="13"/>
                <w:szCs w:val="13"/>
                <w:color w:val="auto"/>
              </w:rPr>
            </w:pPr>
          </w:p>
        </w:tc>
        <w:tc>
          <w:tcPr>
            <w:tcW w:w="5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(7)</w:t>
            </w:r>
          </w:p>
        </w:tc>
        <w:tc>
          <w:tcPr>
            <w:tcW w:w="620" w:type="dxa"/>
            <w:vAlign w:val="bottom"/>
          </w:tcPr>
          <w:p>
            <w:pPr>
              <w:spacing w:after="0"/>
              <w:rPr>
                <w:sz w:val="13"/>
                <w:szCs w:val="13"/>
                <w:color w:val="auto"/>
              </w:rPr>
            </w:pPr>
          </w:p>
        </w:tc>
        <w:tc>
          <w:tcPr>
            <w:tcW w:w="5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(38)</w:t>
            </w:r>
          </w:p>
        </w:tc>
        <w:tc>
          <w:tcPr>
            <w:tcW w:w="11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(106)</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(224)</w:t>
            </w:r>
          </w:p>
        </w:tc>
      </w:tr>
      <w:tr>
        <w:trPr>
          <w:trHeight w:val="20"/>
        </w:trPr>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160"/>
        </w:trPr>
        <w:tc>
          <w:tcPr>
            <w:tcW w:w="660" w:type="dxa"/>
            <w:vAlign w:val="bottom"/>
          </w:tcPr>
          <w:p>
            <w:pPr>
              <w:spacing w:after="0"/>
              <w:rPr>
                <w:sz w:val="13"/>
                <w:szCs w:val="1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(14)</w:t>
            </w:r>
          </w:p>
        </w:tc>
        <w:tc>
          <w:tcPr>
            <w:tcW w:w="620" w:type="dxa"/>
            <w:vAlign w:val="bottom"/>
          </w:tcPr>
          <w:p>
            <w:pPr>
              <w:spacing w:after="0"/>
              <w:rPr>
                <w:sz w:val="13"/>
                <w:szCs w:val="13"/>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(106)</w:t>
            </w:r>
          </w:p>
        </w:tc>
        <w:tc>
          <w:tcPr>
            <w:tcW w:w="900" w:type="dxa"/>
            <w:vAlign w:val="bottom"/>
          </w:tcPr>
          <w:p>
            <w:pPr>
              <w:jc w:val="right"/>
              <w:spacing w:after="0"/>
              <w:rPr>
                <w:sz w:val="20"/>
                <w:szCs w:val="20"/>
                <w:color w:val="auto"/>
              </w:rPr>
            </w:pPr>
            <w:r>
              <w:rPr>
                <w:rFonts w:ascii="Arial" w:cs="Arial" w:eastAsia="Arial" w:hAnsi="Arial"/>
                <w:sz w:val="14"/>
                <w:szCs w:val="14"/>
                <w:color w:val="auto"/>
              </w:rPr>
              <w:t>(174)</w:t>
            </w:r>
          </w:p>
        </w:tc>
      </w:tr>
      <w:tr>
        <w:trPr>
          <w:trHeight w:val="157"/>
        </w:trPr>
        <w:tc>
          <w:tcPr>
            <w:tcW w:w="660" w:type="dxa"/>
            <w:vAlign w:val="bottom"/>
          </w:tcPr>
          <w:p>
            <w:pPr>
              <w:spacing w:after="0"/>
              <w:rPr>
                <w:sz w:val="13"/>
                <w:szCs w:val="13"/>
                <w:color w:val="auto"/>
              </w:rPr>
            </w:pPr>
          </w:p>
        </w:tc>
        <w:tc>
          <w:tcPr>
            <w:tcW w:w="5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w w:val="96"/>
              </w:rPr>
              <w:t>($9)</w:t>
            </w:r>
          </w:p>
        </w:tc>
        <w:tc>
          <w:tcPr>
            <w:tcW w:w="620" w:type="dxa"/>
            <w:vAlign w:val="bottom"/>
          </w:tcPr>
          <w:p>
            <w:pPr>
              <w:spacing w:after="0"/>
              <w:rPr>
                <w:sz w:val="13"/>
                <w:szCs w:val="13"/>
                <w:color w:val="auto"/>
              </w:rPr>
            </w:pPr>
          </w:p>
        </w:tc>
        <w:tc>
          <w:tcPr>
            <w:tcW w:w="52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($65)</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($129)</w:t>
            </w:r>
          </w:p>
        </w:tc>
      </w:tr>
      <w:tr>
        <w:trPr>
          <w:trHeight w:val="20"/>
        </w:trPr>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60" w:space="720"/>
            <w:col w:w="4640"/>
          </w:cols>
          <w:pgMar w:left="240" w:top="312" w:right="239" w:bottom="1440" w:gutter="0" w:footer="0" w:header="0"/>
          <w:type w:val="continuous"/>
        </w:sectPr>
      </w:pPr>
    </w:p>
    <w:p>
      <w:pPr>
        <w:spacing w:after="0" w:line="7" w:lineRule="exact"/>
        <w:rPr>
          <w:sz w:val="20"/>
          <w:szCs w:val="20"/>
          <w:color w:val="auto"/>
        </w:rPr>
      </w:pPr>
    </w:p>
    <w:p>
      <w:pPr>
        <w:ind w:left="260" w:right="20" w:hanging="252"/>
        <w:spacing w:after="0" w:line="258" w:lineRule="auto"/>
        <w:tabs>
          <w:tab w:leader="none" w:pos="352" w:val="left"/>
        </w:tabs>
        <w:numPr>
          <w:ilvl w:val="0"/>
          <w:numId w:val="10"/>
        </w:numPr>
        <w:rPr>
          <w:rFonts w:ascii="Arial" w:cs="Arial" w:eastAsia="Arial" w:hAnsi="Arial"/>
          <w:sz w:val="14"/>
          <w:szCs w:val="14"/>
          <w:color w:val="auto"/>
        </w:rPr>
      </w:pPr>
      <w:r>
        <w:rPr>
          <w:rFonts w:ascii="Arial" w:cs="Arial" w:eastAsia="Arial" w:hAnsi="Arial"/>
          <w:sz w:val="14"/>
          <w:szCs w:val="14"/>
          <w:color w:val="auto"/>
        </w:rPr>
        <w:t>3rd quarter 2017 net income attributable to Comcast Corporation includes $337 million of other operating gains, $209 million net of tax, recognized in connection with NBCUniversal’s relinquishment of certain spectrum rights in the FCC’s spectrum auction.</w:t>
      </w:r>
    </w:p>
    <w:p>
      <w:pPr>
        <w:spacing w:after="0" w:line="140" w:lineRule="exact"/>
        <w:rPr>
          <w:rFonts w:ascii="Arial" w:cs="Arial" w:eastAsia="Arial" w:hAnsi="Arial"/>
          <w:sz w:val="14"/>
          <w:szCs w:val="14"/>
          <w:color w:val="auto"/>
        </w:rPr>
      </w:pPr>
    </w:p>
    <w:p>
      <w:pPr>
        <w:jc w:val="both"/>
        <w:ind w:left="260" w:hanging="252"/>
        <w:spacing w:after="0" w:line="247" w:lineRule="auto"/>
        <w:tabs>
          <w:tab w:leader="none" w:pos="258" w:val="left"/>
        </w:tabs>
        <w:numPr>
          <w:ilvl w:val="0"/>
          <w:numId w:val="10"/>
        </w:numPr>
        <w:rPr>
          <w:rFonts w:ascii="Arial" w:cs="Arial" w:eastAsia="Arial" w:hAnsi="Arial"/>
          <w:sz w:val="14"/>
          <w:szCs w:val="14"/>
          <w:color w:val="auto"/>
        </w:rPr>
      </w:pPr>
      <w:r>
        <w:rPr>
          <w:rFonts w:ascii="Arial" w:cs="Arial" w:eastAsia="Arial" w:hAnsi="Arial"/>
          <w:sz w:val="14"/>
          <w:szCs w:val="14"/>
          <w:color w:val="auto"/>
        </w:rPr>
        <w:t>3rd quarter 2018 net income attributable to Comcast Corporation includes a $148 million income tax expense adjustment related to the impact of certain state tax law changes and federal tax reform. 2018 year to date net income attributable to Comcast Corporation also includes a $128 million net income tax benefit recorded in the 1st quarter 2018 as a result of federal tax legislation enacted in 2018. 3rd quarter 2017 net income attributable to Comcast Corporation includes $68 million of income tax adjustments related to an internal legal reorganization offset by the impact of certain state tax law changes.</w:t>
      </w:r>
    </w:p>
    <w:p>
      <w:pPr>
        <w:spacing w:after="0" w:line="147" w:lineRule="exact"/>
        <w:rPr>
          <w:rFonts w:ascii="Arial" w:cs="Arial" w:eastAsia="Arial" w:hAnsi="Arial"/>
          <w:sz w:val="14"/>
          <w:szCs w:val="14"/>
          <w:color w:val="auto"/>
        </w:rPr>
      </w:pPr>
    </w:p>
    <w:p>
      <w:pPr>
        <w:jc w:val="both"/>
        <w:ind w:left="260" w:hanging="252"/>
        <w:spacing w:after="0" w:line="245" w:lineRule="auto"/>
        <w:tabs>
          <w:tab w:leader="none" w:pos="244" w:val="left"/>
        </w:tabs>
        <w:numPr>
          <w:ilvl w:val="0"/>
          <w:numId w:val="10"/>
        </w:numPr>
        <w:rPr>
          <w:rFonts w:ascii="Arial" w:cs="Arial" w:eastAsia="Arial" w:hAnsi="Arial"/>
          <w:sz w:val="14"/>
          <w:szCs w:val="14"/>
          <w:color w:val="auto"/>
        </w:rPr>
      </w:pPr>
      <w:r>
        <w:rPr>
          <w:rFonts w:ascii="Arial" w:cs="Arial" w:eastAsia="Arial" w:hAnsi="Arial"/>
          <w:sz w:val="14"/>
          <w:szCs w:val="14"/>
          <w:color w:val="auto"/>
        </w:rPr>
        <w:t>3rd quarter and year to date 2018 net income attributable to Comcast Corporation includes $141 million of other operating gains, $105 million net of tax, related to the sale of a business in our Filmed Entertainment segment. 2018 year to date net income attributable to Comcast Corporation also includes $200 million of other operating gains, $148 million net of tax, resulting from the sale of a controlling interest in our arena management-related businesses and $64 million of other income, $48 million net of tax, resulting from a gain on the sale of our investment in The Weather Channel. 3rd quarter 2017 net income attributable to Comcast Corporation includes $105 million of other operating gains, $65 million net of tax, resulting from the sale of a business.</w:t>
      </w:r>
    </w:p>
    <w:p>
      <w:pPr>
        <w:spacing w:after="0" w:line="150" w:lineRule="exact"/>
        <w:rPr>
          <w:rFonts w:ascii="Arial" w:cs="Arial" w:eastAsia="Arial" w:hAnsi="Arial"/>
          <w:sz w:val="14"/>
          <w:szCs w:val="14"/>
          <w:color w:val="auto"/>
        </w:rPr>
      </w:pPr>
    </w:p>
    <w:p>
      <w:pPr>
        <w:ind w:left="260" w:hanging="252"/>
        <w:spacing w:after="0" w:line="258" w:lineRule="auto"/>
        <w:tabs>
          <w:tab w:leader="none" w:pos="258" w:val="left"/>
        </w:tabs>
        <w:numPr>
          <w:ilvl w:val="0"/>
          <w:numId w:val="10"/>
        </w:numPr>
        <w:rPr>
          <w:rFonts w:ascii="Arial" w:cs="Arial" w:eastAsia="Arial" w:hAnsi="Arial"/>
          <w:sz w:val="14"/>
          <w:szCs w:val="14"/>
          <w:color w:val="auto"/>
        </w:rPr>
      </w:pPr>
      <w:r>
        <w:rPr>
          <w:rFonts w:ascii="Arial" w:cs="Arial" w:eastAsia="Arial" w:hAnsi="Arial"/>
          <w:sz w:val="14"/>
          <w:szCs w:val="14"/>
          <w:color w:val="auto"/>
        </w:rPr>
        <w:t>3rd quarter 2017 net income attributable to Comcast Corporation includes $250 million of other operating and administrative expense, $157 million net of tax, related to a legal settlement.</w:t>
      </w:r>
    </w:p>
    <w:p>
      <w:pPr>
        <w:spacing w:after="0" w:line="140" w:lineRule="exact"/>
        <w:rPr>
          <w:rFonts w:ascii="Arial" w:cs="Arial" w:eastAsia="Arial" w:hAnsi="Arial"/>
          <w:sz w:val="14"/>
          <w:szCs w:val="14"/>
          <w:color w:val="auto"/>
        </w:rPr>
      </w:pPr>
    </w:p>
    <w:p>
      <w:pPr>
        <w:jc w:val="both"/>
        <w:ind w:left="260" w:hanging="252"/>
        <w:spacing w:after="0" w:line="247" w:lineRule="auto"/>
        <w:tabs>
          <w:tab w:leader="none" w:pos="244" w:val="left"/>
        </w:tabs>
        <w:numPr>
          <w:ilvl w:val="0"/>
          <w:numId w:val="10"/>
        </w:numPr>
        <w:rPr>
          <w:rFonts w:ascii="Arial" w:cs="Arial" w:eastAsia="Arial" w:hAnsi="Arial"/>
          <w:sz w:val="14"/>
          <w:szCs w:val="14"/>
          <w:color w:val="auto"/>
        </w:rPr>
      </w:pPr>
      <w:r>
        <w:rPr>
          <w:rFonts w:ascii="Arial" w:cs="Arial" w:eastAsia="Arial" w:hAnsi="Arial"/>
          <w:sz w:val="14"/>
          <w:szCs w:val="14"/>
          <w:color w:val="auto"/>
        </w:rPr>
        <w:t>3rd quarter 2018 net income attributable to Comcast Corporation includes $14 million of operating costs and expenses, $34 million of interest expense and $60 million of losses in other (income) loss, net, ($108 million in total, $80 million net of tax) related to the Sky transaction and the Twenty-First Century Fox offer. 2018 year to date net income attributable to Comcast Corporation includes $34 million of operating costs and expenses, $45 million of interest expense and $60 million of losses in other (income) loss, net, ($139 million in total, $103 million net of tax) related to the Sky transaction and the Twenty-First Century Fox offer.</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type w:val="continuous"/>
        </w:sectPr>
      </w:pPr>
    </w:p>
    <w:bookmarkStart w:id="15" w:name="page16"/>
    <w:bookmarkEnd w:id="15"/>
    <w:p>
      <w:pPr>
        <w:ind w:left="80"/>
        <w:spacing w:after="0"/>
        <w:rPr>
          <w:sz w:val="20"/>
          <w:szCs w:val="20"/>
          <w:color w:val="auto"/>
        </w:rPr>
      </w:pPr>
      <w:r>
        <w:rPr>
          <w:rFonts w:ascii="Arial" w:cs="Arial" w:eastAsia="Arial" w:hAnsi="Arial"/>
          <w:sz w:val="25"/>
          <w:szCs w:val="25"/>
          <w:b w:val="1"/>
          <w:bCs w:val="1"/>
          <w:color w:val="828282"/>
        </w:rPr>
        <w:t>TABLE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-111125</wp:posOffset>
            </wp:positionV>
            <wp:extent cx="1089025" cy="471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89025" cy="471805"/>
                    </a:xfrm>
                    <a:prstGeom prst="rect">
                      <a:avLst/>
                    </a:prstGeom>
                    <a:noFill/>
                  </pic:spPr>
                </pic:pic>
              </a:graphicData>
            </a:graphic>
          </wp:anchor>
        </w:drawing>
      </w:r>
    </w:p>
    <w:p>
      <w:pPr>
        <w:spacing w:after="0" w:line="284"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828282"/>
        </w:rPr>
        <w:t>Reconciliation of Cable Networks Revenue Excluding 2018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5100" w:type="dxa"/>
            <w:vAlign w:val="bottom"/>
          </w:tcPr>
          <w:p>
            <w:pPr>
              <w:spacing w:after="0"/>
              <w:rPr>
                <w:sz w:val="24"/>
                <w:szCs w:val="24"/>
                <w:color w:val="auto"/>
              </w:rPr>
            </w:pPr>
          </w:p>
        </w:tc>
        <w:tc>
          <w:tcPr>
            <w:tcW w:w="3140" w:type="dxa"/>
            <w:vAlign w:val="bottom"/>
            <w:tcBorders>
              <w:right w:val="single" w:sz="8" w:color="auto"/>
            </w:tcBorders>
            <w:gridSpan w:val="7"/>
          </w:tcPr>
          <w:p>
            <w:pPr>
              <w:jc w:val="center"/>
              <w:ind w:right="1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24"/>
                <w:szCs w:val="24"/>
                <w:color w:val="auto"/>
              </w:rPr>
            </w:pPr>
          </w:p>
        </w:tc>
        <w:tc>
          <w:tcPr>
            <w:tcW w:w="2940" w:type="dxa"/>
            <w:vAlign w:val="bottom"/>
            <w:gridSpan w:val="5"/>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Pr>
          <w:p>
            <w:pPr>
              <w:spacing w:after="0"/>
              <w:rPr>
                <w:sz w:val="18"/>
                <w:szCs w:val="18"/>
                <w:color w:val="auto"/>
              </w:rPr>
            </w:pPr>
          </w:p>
        </w:tc>
      </w:tr>
      <w:tr>
        <w:trPr>
          <w:trHeight w:val="256"/>
        </w:trPr>
        <w:tc>
          <w:tcPr>
            <w:tcW w:w="510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2017</w:t>
            </w:r>
          </w:p>
        </w:tc>
        <w:tc>
          <w:tcPr>
            <w:tcW w:w="18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 %</w:t>
            </w:r>
          </w:p>
        </w:tc>
        <w:tc>
          <w:tcPr>
            <w:tcW w:w="20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2017</w:t>
            </w:r>
          </w:p>
        </w:tc>
        <w:tc>
          <w:tcPr>
            <w:tcW w:w="160" w:type="dxa"/>
            <w:vAlign w:val="bottom"/>
          </w:tcPr>
          <w:p>
            <w:pPr>
              <w:spacing w:after="0"/>
              <w:rPr>
                <w:sz w:val="22"/>
                <w:szCs w:val="22"/>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 %</w:t>
            </w:r>
          </w:p>
        </w:tc>
      </w:tr>
      <w:tr>
        <w:trPr>
          <w:trHeight w:val="305"/>
        </w:trPr>
        <w:tc>
          <w:tcPr>
            <w:tcW w:w="5100" w:type="dxa"/>
            <w:vAlign w:val="bottom"/>
          </w:tcPr>
          <w:p>
            <w:pPr>
              <w:spacing w:after="0"/>
              <w:rPr>
                <w:sz w:val="20"/>
                <w:szCs w:val="20"/>
                <w:color w:val="auto"/>
              </w:rPr>
            </w:pPr>
            <w:r>
              <w:rPr>
                <w:rFonts w:ascii="Arial" w:cs="Arial" w:eastAsia="Arial" w:hAnsi="Arial"/>
                <w:sz w:val="16"/>
                <w:szCs w:val="16"/>
                <w:color w:val="auto"/>
              </w:rPr>
              <w:t>Revenue</w:t>
            </w:r>
          </w:p>
        </w:tc>
        <w:tc>
          <w:tcPr>
            <w:tcW w:w="860" w:type="dxa"/>
            <w:vAlign w:val="bottom"/>
          </w:tcPr>
          <w:p>
            <w:pPr>
              <w:jc w:val="right"/>
              <w:spacing w:after="0"/>
              <w:rPr>
                <w:sz w:val="20"/>
                <w:szCs w:val="20"/>
                <w:color w:val="auto"/>
              </w:rPr>
            </w:pPr>
            <w:r>
              <w:rPr>
                <w:rFonts w:ascii="Arial" w:cs="Arial" w:eastAsia="Arial" w:hAnsi="Arial"/>
                <w:sz w:val="16"/>
                <w:szCs w:val="16"/>
                <w:color w:val="auto"/>
              </w:rPr>
              <w:t>$2,603</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$2,884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$7,939</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$8,994</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351"/>
        </w:trPr>
        <w:tc>
          <w:tcPr>
            <w:tcW w:w="5100" w:type="dxa"/>
            <w:vAlign w:val="bottom"/>
          </w:tcPr>
          <w:p>
            <w:pPr>
              <w:spacing w:after="0"/>
              <w:rPr>
                <w:sz w:val="20"/>
                <w:szCs w:val="20"/>
                <w:color w:val="auto"/>
              </w:rPr>
            </w:pPr>
            <w:r>
              <w:rPr>
                <w:rFonts w:ascii="Arial" w:cs="Arial" w:eastAsia="Arial" w:hAnsi="Arial"/>
                <w:sz w:val="16"/>
                <w:szCs w:val="16"/>
                <w:color w:val="auto"/>
              </w:rPr>
              <w:t>2018 Olympics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(378)</w:t>
            </w:r>
          </w:p>
        </w:tc>
        <w:tc>
          <w:tcPr>
            <w:tcW w:w="920" w:type="dxa"/>
            <w:vAlign w:val="bottom"/>
          </w:tcPr>
          <w:p>
            <w:pPr>
              <w:spacing w:after="0"/>
              <w:rPr>
                <w:sz w:val="24"/>
                <w:szCs w:val="24"/>
                <w:color w:val="auto"/>
              </w:rPr>
            </w:pPr>
          </w:p>
        </w:tc>
      </w:tr>
      <w:tr>
        <w:trPr>
          <w:trHeight w:val="254"/>
        </w:trPr>
        <w:tc>
          <w:tcPr>
            <w:tcW w:w="5100" w:type="dxa"/>
            <w:vAlign w:val="bottom"/>
          </w:tcPr>
          <w:p>
            <w:pPr>
              <w:spacing w:after="0"/>
              <w:rPr>
                <w:sz w:val="20"/>
                <w:szCs w:val="20"/>
                <w:color w:val="auto"/>
              </w:rPr>
            </w:pPr>
            <w:r>
              <w:rPr>
                <w:rFonts w:ascii="Arial" w:cs="Arial" w:eastAsia="Arial" w:hAnsi="Arial"/>
                <w:sz w:val="16"/>
                <w:szCs w:val="16"/>
                <w:color w:val="auto"/>
              </w:rPr>
              <w:t>Revenue excluding 2018 Olympics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$2,603</w:t>
            </w:r>
          </w:p>
        </w:tc>
        <w:tc>
          <w:tcPr>
            <w:tcW w:w="18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$7,939</w:t>
            </w:r>
          </w:p>
        </w:tc>
        <w:tc>
          <w:tcPr>
            <w:tcW w:w="16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$8,616</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0"/>
        </w:trPr>
        <w:tc>
          <w:tcPr>
            <w:tcW w:w="5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386"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828282"/>
        </w:rPr>
        <w:t>Reconciliation of Broadcast Television Revenue Excluding 2018 Olympics and 2018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5100" w:type="dxa"/>
            <w:vAlign w:val="bottom"/>
          </w:tcPr>
          <w:p>
            <w:pPr>
              <w:spacing w:after="0"/>
              <w:rPr>
                <w:sz w:val="24"/>
                <w:szCs w:val="24"/>
                <w:color w:val="auto"/>
              </w:rPr>
            </w:pPr>
          </w:p>
        </w:tc>
        <w:tc>
          <w:tcPr>
            <w:tcW w:w="3140" w:type="dxa"/>
            <w:vAlign w:val="bottom"/>
            <w:tcBorders>
              <w:right w:val="single" w:sz="8" w:color="auto"/>
            </w:tcBorders>
            <w:gridSpan w:val="7"/>
          </w:tcPr>
          <w:p>
            <w:pPr>
              <w:jc w:val="center"/>
              <w:ind w:right="1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24"/>
                <w:szCs w:val="24"/>
                <w:color w:val="auto"/>
              </w:rPr>
            </w:pPr>
          </w:p>
        </w:tc>
        <w:tc>
          <w:tcPr>
            <w:tcW w:w="2940" w:type="dxa"/>
            <w:vAlign w:val="bottom"/>
            <w:gridSpan w:val="5"/>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Pr>
          <w:p>
            <w:pPr>
              <w:spacing w:after="0"/>
              <w:rPr>
                <w:sz w:val="18"/>
                <w:szCs w:val="18"/>
                <w:color w:val="auto"/>
              </w:rPr>
            </w:pPr>
          </w:p>
        </w:tc>
      </w:tr>
      <w:tr>
        <w:trPr>
          <w:trHeight w:val="256"/>
        </w:trPr>
        <w:tc>
          <w:tcPr>
            <w:tcW w:w="510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2017</w:t>
            </w:r>
          </w:p>
        </w:tc>
        <w:tc>
          <w:tcPr>
            <w:tcW w:w="18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 %</w:t>
            </w:r>
          </w:p>
        </w:tc>
        <w:tc>
          <w:tcPr>
            <w:tcW w:w="20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2017</w:t>
            </w:r>
          </w:p>
        </w:tc>
        <w:tc>
          <w:tcPr>
            <w:tcW w:w="160" w:type="dxa"/>
            <w:vAlign w:val="bottom"/>
          </w:tcPr>
          <w:p>
            <w:pPr>
              <w:spacing w:after="0"/>
              <w:rPr>
                <w:sz w:val="22"/>
                <w:szCs w:val="22"/>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Growth %</w:t>
            </w:r>
          </w:p>
        </w:tc>
      </w:tr>
      <w:tr>
        <w:trPr>
          <w:trHeight w:val="305"/>
        </w:trPr>
        <w:tc>
          <w:tcPr>
            <w:tcW w:w="5100" w:type="dxa"/>
            <w:vAlign w:val="bottom"/>
          </w:tcPr>
          <w:p>
            <w:pPr>
              <w:spacing w:after="0"/>
              <w:rPr>
                <w:sz w:val="20"/>
                <w:szCs w:val="20"/>
                <w:color w:val="auto"/>
              </w:rPr>
            </w:pPr>
            <w:r>
              <w:rPr>
                <w:rFonts w:ascii="Arial" w:cs="Arial" w:eastAsia="Arial" w:hAnsi="Arial"/>
                <w:sz w:val="16"/>
                <w:szCs w:val="16"/>
                <w:color w:val="auto"/>
              </w:rPr>
              <w:t>Revenue</w:t>
            </w:r>
          </w:p>
        </w:tc>
        <w:tc>
          <w:tcPr>
            <w:tcW w:w="860" w:type="dxa"/>
            <w:vAlign w:val="bottom"/>
          </w:tcPr>
          <w:p>
            <w:pPr>
              <w:jc w:val="right"/>
              <w:spacing w:after="0"/>
              <w:rPr>
                <w:sz w:val="20"/>
                <w:szCs w:val="20"/>
                <w:color w:val="auto"/>
              </w:rPr>
            </w:pPr>
            <w:r>
              <w:rPr>
                <w:rFonts w:ascii="Arial" w:cs="Arial" w:eastAsia="Arial" w:hAnsi="Arial"/>
                <w:sz w:val="16"/>
                <w:szCs w:val="16"/>
                <w:color w:val="auto"/>
              </w:rPr>
              <w:t>$2,125</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$2,452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$6,574</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$8,340</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338"/>
        </w:trPr>
        <w:tc>
          <w:tcPr>
            <w:tcW w:w="5100" w:type="dxa"/>
            <w:vAlign w:val="bottom"/>
          </w:tcPr>
          <w:p>
            <w:pPr>
              <w:spacing w:after="0"/>
              <w:rPr>
                <w:sz w:val="20"/>
                <w:szCs w:val="20"/>
                <w:color w:val="auto"/>
              </w:rPr>
            </w:pPr>
            <w:r>
              <w:rPr>
                <w:rFonts w:ascii="Arial" w:cs="Arial" w:eastAsia="Arial" w:hAnsi="Arial"/>
                <w:sz w:val="16"/>
                <w:szCs w:val="16"/>
                <w:color w:val="auto"/>
              </w:rPr>
              <w:t>2018 Olympics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(770)</w:t>
            </w:r>
          </w:p>
        </w:tc>
        <w:tc>
          <w:tcPr>
            <w:tcW w:w="920" w:type="dxa"/>
            <w:vAlign w:val="bottom"/>
          </w:tcPr>
          <w:p>
            <w:pPr>
              <w:spacing w:after="0"/>
              <w:rPr>
                <w:sz w:val="24"/>
                <w:szCs w:val="24"/>
                <w:color w:val="auto"/>
              </w:rPr>
            </w:pPr>
          </w:p>
        </w:tc>
      </w:tr>
      <w:tr>
        <w:trPr>
          <w:trHeight w:val="256"/>
        </w:trPr>
        <w:tc>
          <w:tcPr>
            <w:tcW w:w="5100" w:type="dxa"/>
            <w:vAlign w:val="bottom"/>
          </w:tcPr>
          <w:p>
            <w:pPr>
              <w:spacing w:after="0"/>
              <w:rPr>
                <w:sz w:val="20"/>
                <w:szCs w:val="20"/>
                <w:color w:val="auto"/>
              </w:rPr>
            </w:pPr>
            <w:r>
              <w:rPr>
                <w:rFonts w:ascii="Arial" w:cs="Arial" w:eastAsia="Arial" w:hAnsi="Arial"/>
                <w:sz w:val="16"/>
                <w:szCs w:val="16"/>
                <w:color w:val="auto"/>
              </w:rPr>
              <w:t>2018 Super Bowl</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gridSpan w:val="2"/>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(423)</w:t>
            </w:r>
          </w:p>
        </w:tc>
        <w:tc>
          <w:tcPr>
            <w:tcW w:w="920" w:type="dxa"/>
            <w:vAlign w:val="bottom"/>
          </w:tcPr>
          <w:p>
            <w:pPr>
              <w:spacing w:after="0"/>
              <w:rPr>
                <w:sz w:val="22"/>
                <w:szCs w:val="22"/>
                <w:color w:val="auto"/>
              </w:rPr>
            </w:pPr>
          </w:p>
        </w:tc>
      </w:tr>
      <w:tr>
        <w:trPr>
          <w:trHeight w:val="267"/>
        </w:trPr>
        <w:tc>
          <w:tcPr>
            <w:tcW w:w="5100" w:type="dxa"/>
            <w:vAlign w:val="bottom"/>
          </w:tcPr>
          <w:p>
            <w:pPr>
              <w:spacing w:after="0"/>
              <w:rPr>
                <w:sz w:val="20"/>
                <w:szCs w:val="20"/>
                <w:color w:val="auto"/>
              </w:rPr>
            </w:pPr>
            <w:r>
              <w:rPr>
                <w:rFonts w:ascii="Arial" w:cs="Arial" w:eastAsia="Arial" w:hAnsi="Arial"/>
                <w:sz w:val="16"/>
                <w:szCs w:val="16"/>
                <w:color w:val="auto"/>
              </w:rPr>
              <w:t>Revenue excluding 2018 Olympics and 2018 Super Bowl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$2,125</w:t>
            </w:r>
          </w:p>
        </w:tc>
        <w:tc>
          <w:tcPr>
            <w:tcW w:w="180" w:type="dxa"/>
            <w:vAlign w:val="bottom"/>
          </w:tcPr>
          <w:p>
            <w:pPr>
              <w:spacing w:after="0"/>
              <w:rPr>
                <w:sz w:val="23"/>
                <w:szCs w:val="2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$2,452</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15.4%</w:t>
            </w:r>
          </w:p>
        </w:tc>
        <w:tc>
          <w:tcPr>
            <w:tcW w:w="140" w:type="dxa"/>
            <w:vAlign w:val="bottom"/>
          </w:tcPr>
          <w:p>
            <w:pPr>
              <w:spacing w:after="0"/>
              <w:rPr>
                <w:sz w:val="23"/>
                <w:szCs w:val="2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$6,574</w:t>
            </w:r>
          </w:p>
        </w:tc>
        <w:tc>
          <w:tcPr>
            <w:tcW w:w="16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$7,147</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0"/>
        </w:trPr>
        <w:tc>
          <w:tcPr>
            <w:tcW w:w="5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12"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2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9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benefit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0"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EPS</w:t>
      </w: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Adjusted EPS is a non-GAAP financial measure that presents the earnings generated by our ongoing core operations on a per share basis. We believe Adjusted EPS is helpful to investors in evaluating our ongoing core operations and can assist in making meaningful period-over-period comparisons. Our presentation of Adjusted EPS is our diluted earnings per common share attributable to Comcast Corporation shareholders adjusted to exclude the effects of fair value investments, as well as the impact of certain events, gains, losses or other charges (such as from the sales of investments). For Adjusted EPS, the effects of fair value investments include realized and unrealized gains and losses, net, including impairments, on equity securities not accounted for under the equity method, as well as the equity in net income (losses), net, for our investment in Atairos Group, Inc. (Atairos follows investment company accounting and records its investments at their fair values each reporting period).</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08"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2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Statement of Cash Flows and are therefore excluded from capital expenditures for Free Cash Flow.</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08" w:lineRule="exact"/>
        <w:rPr>
          <w:sz w:val="20"/>
          <w:szCs w:val="20"/>
          <w:color w:val="auto"/>
        </w:rPr>
      </w:pPr>
    </w:p>
    <w:p>
      <w:pPr>
        <w:ind w:right="560"/>
        <w:spacing w:after="0" w:line="253"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32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4"/>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2019-12-28T19:10:35Z</dcterms:created>
  <dcterms:modified xsi:type="dcterms:W3CDTF">2019-12-28T19:10:35Z</dcterms:modified>
</cp:coreProperties>
</file>