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0"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0"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32"/>
          <w:szCs w:val="32"/>
          <w:b w:val="1"/>
          <w:bCs w:val="1"/>
          <w:color w:val="auto"/>
        </w:rPr>
        <w:t>FORM SD</w:t>
      </w:r>
    </w:p>
    <w:p>
      <w:pPr>
        <w:spacing w:after="0" w:line="6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SPECIALIZED DISCLOSURE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334645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40"/>
          <w:szCs w:val="40"/>
          <w:b w:val="1"/>
          <w:bCs w:val="1"/>
          <w:color w:val="auto"/>
        </w:rPr>
        <w:t>COMCAST CORPORATION</w:t>
      </w:r>
    </w:p>
    <w:p>
      <w:pPr>
        <w:spacing w:after="0" w:line="6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(Exact name of the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229870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5" w:lineRule="exact"/>
        <w:rPr>
          <w:sz w:val="24"/>
          <w:szCs w:val="24"/>
          <w:color w:val="auto"/>
        </w:rPr>
      </w:pPr>
    </w:p>
    <w:tbl>
      <w:tblPr>
        <w:tblLayout w:type="fixed"/>
        <w:tblInd w:w="940" w:type="dxa"/>
        <w:tblCellMar>
          <w:top w:w="0" w:type="dxa"/>
          <w:left w:w="0" w:type="dxa"/>
          <w:bottom w:w="0" w:type="dxa"/>
          <w:right w:w="0" w:type="dxa"/>
        </w:tblCellMar>
      </w:tblPr>
      <w:tr>
        <w:trPr>
          <w:trHeight w:val="190"/>
        </w:trPr>
        <w:tc>
          <w:tcPr>
            <w:tcW w:w="3140" w:type="dxa"/>
            <w:vAlign w:val="bottom"/>
          </w:tcPr>
          <w:p>
            <w:pPr>
              <w:jc w:val="center"/>
              <w:ind w:right="1168"/>
              <w:spacing w:after="0"/>
              <w:rPr>
                <w:sz w:val="20"/>
                <w:szCs w:val="20"/>
                <w:color w:val="auto"/>
              </w:rPr>
            </w:pPr>
            <w:r>
              <w:rPr>
                <w:rFonts w:ascii="Times New Roman" w:cs="Times New Roman" w:eastAsia="Times New Roman" w:hAnsi="Times New Roman"/>
                <w:sz w:val="14"/>
                <w:szCs w:val="14"/>
                <w:b w:val="1"/>
                <w:bCs w:val="1"/>
                <w:color w:val="auto"/>
              </w:rPr>
              <w:t>Pennsylvania</w:t>
            </w:r>
          </w:p>
        </w:tc>
        <w:tc>
          <w:tcPr>
            <w:tcW w:w="342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001-32871</w:t>
            </w:r>
          </w:p>
        </w:tc>
        <w:tc>
          <w:tcPr>
            <w:tcW w:w="2480" w:type="dxa"/>
            <w:vAlign w:val="bottom"/>
          </w:tcPr>
          <w:p>
            <w:pPr>
              <w:jc w:val="center"/>
              <w:ind w:left="1348"/>
              <w:spacing w:after="0"/>
              <w:rPr>
                <w:sz w:val="20"/>
                <w:szCs w:val="20"/>
                <w:color w:val="auto"/>
              </w:rPr>
            </w:pPr>
            <w:r>
              <w:rPr>
                <w:rFonts w:ascii="Times New Roman" w:cs="Times New Roman" w:eastAsia="Times New Roman" w:hAnsi="Times New Roman"/>
                <w:sz w:val="14"/>
                <w:szCs w:val="14"/>
                <w:b w:val="1"/>
                <w:bCs w:val="1"/>
                <w:color w:val="auto"/>
              </w:rPr>
              <w:t>27-0000798</w:t>
            </w:r>
          </w:p>
        </w:tc>
      </w:tr>
      <w:tr>
        <w:trPr>
          <w:trHeight w:val="392"/>
        </w:trPr>
        <w:tc>
          <w:tcPr>
            <w:tcW w:w="3140" w:type="dxa"/>
            <w:vAlign w:val="bottom"/>
          </w:tcPr>
          <w:p>
            <w:pPr>
              <w:jc w:val="center"/>
              <w:ind w:right="1188"/>
              <w:spacing w:after="0"/>
              <w:rPr>
                <w:sz w:val="20"/>
                <w:szCs w:val="20"/>
                <w:color w:val="auto"/>
              </w:rPr>
            </w:pPr>
            <w:r>
              <w:rPr>
                <w:rFonts w:ascii="Times New Roman" w:cs="Times New Roman" w:eastAsia="Times New Roman" w:hAnsi="Times New Roman"/>
                <w:sz w:val="14"/>
                <w:szCs w:val="14"/>
                <w:color w:val="auto"/>
              </w:rPr>
              <w:t>(State or other jurisdiction</w:t>
            </w:r>
          </w:p>
        </w:tc>
        <w:tc>
          <w:tcPr>
            <w:tcW w:w="3420" w:type="dxa"/>
            <w:vAlign w:val="bottom"/>
          </w:tcPr>
          <w:p>
            <w:pPr>
              <w:jc w:val="center"/>
              <w:ind w:right="88"/>
              <w:spacing w:after="0"/>
              <w:rPr>
                <w:sz w:val="20"/>
                <w:szCs w:val="20"/>
                <w:color w:val="auto"/>
              </w:rPr>
            </w:pPr>
            <w:r>
              <w:rPr>
                <w:rFonts w:ascii="Times New Roman" w:cs="Times New Roman" w:eastAsia="Times New Roman" w:hAnsi="Times New Roman"/>
                <w:sz w:val="14"/>
                <w:szCs w:val="14"/>
                <w:color w:val="auto"/>
              </w:rPr>
              <w:t>(Commission</w:t>
            </w:r>
          </w:p>
        </w:tc>
        <w:tc>
          <w:tcPr>
            <w:tcW w:w="2480" w:type="dxa"/>
            <w:vAlign w:val="bottom"/>
          </w:tcPr>
          <w:p>
            <w:pPr>
              <w:jc w:val="center"/>
              <w:ind w:left="1328"/>
              <w:spacing w:after="0"/>
              <w:rPr>
                <w:sz w:val="20"/>
                <w:szCs w:val="20"/>
                <w:color w:val="auto"/>
              </w:rPr>
            </w:pPr>
            <w:r>
              <w:rPr>
                <w:rFonts w:ascii="Times New Roman" w:cs="Times New Roman" w:eastAsia="Times New Roman" w:hAnsi="Times New Roman"/>
                <w:sz w:val="14"/>
                <w:szCs w:val="14"/>
                <w:color w:val="auto"/>
              </w:rPr>
              <w:t>(IRS Employer</w:t>
            </w:r>
          </w:p>
        </w:tc>
      </w:tr>
      <w:tr>
        <w:trPr>
          <w:trHeight w:val="188"/>
        </w:trPr>
        <w:tc>
          <w:tcPr>
            <w:tcW w:w="3140" w:type="dxa"/>
            <w:vAlign w:val="bottom"/>
          </w:tcPr>
          <w:p>
            <w:pPr>
              <w:jc w:val="center"/>
              <w:ind w:right="1188"/>
              <w:spacing w:after="0"/>
              <w:rPr>
                <w:sz w:val="20"/>
                <w:szCs w:val="20"/>
                <w:color w:val="auto"/>
              </w:rPr>
            </w:pPr>
            <w:r>
              <w:rPr>
                <w:rFonts w:ascii="Times New Roman" w:cs="Times New Roman" w:eastAsia="Times New Roman" w:hAnsi="Times New Roman"/>
                <w:sz w:val="14"/>
                <w:szCs w:val="14"/>
                <w:color w:val="auto"/>
              </w:rPr>
              <w:t>of incorporation or organization)</w:t>
            </w:r>
          </w:p>
        </w:tc>
        <w:tc>
          <w:tcPr>
            <w:tcW w:w="3420" w:type="dxa"/>
            <w:vAlign w:val="bottom"/>
          </w:tcPr>
          <w:p>
            <w:pPr>
              <w:jc w:val="center"/>
              <w:ind w:right="88"/>
              <w:spacing w:after="0"/>
              <w:rPr>
                <w:sz w:val="20"/>
                <w:szCs w:val="20"/>
                <w:color w:val="auto"/>
              </w:rPr>
            </w:pPr>
            <w:r>
              <w:rPr>
                <w:rFonts w:ascii="Times New Roman" w:cs="Times New Roman" w:eastAsia="Times New Roman" w:hAnsi="Times New Roman"/>
                <w:sz w:val="14"/>
                <w:szCs w:val="14"/>
                <w:color w:val="auto"/>
              </w:rPr>
              <w:t>File Number)</w:t>
            </w:r>
          </w:p>
        </w:tc>
        <w:tc>
          <w:tcPr>
            <w:tcW w:w="2480" w:type="dxa"/>
            <w:vAlign w:val="bottom"/>
          </w:tcPr>
          <w:p>
            <w:pPr>
              <w:jc w:val="center"/>
              <w:ind w:left="1328"/>
              <w:spacing w:after="0"/>
              <w:rPr>
                <w:sz w:val="20"/>
                <w:szCs w:val="20"/>
                <w:color w:val="auto"/>
              </w:rPr>
            </w:pPr>
            <w:r>
              <w:rPr>
                <w:rFonts w:ascii="Times New Roman" w:cs="Times New Roman" w:eastAsia="Times New Roman" w:hAnsi="Times New Roman"/>
                <w:sz w:val="14"/>
                <w:szCs w:val="14"/>
                <w:color w:val="auto"/>
              </w:rPr>
              <w:t>Identification No.)</w:t>
            </w: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6" w:lineRule="exact"/>
        <w:rPr>
          <w:sz w:val="24"/>
          <w:szCs w:val="24"/>
          <w:color w:val="auto"/>
        </w:rPr>
      </w:pPr>
    </w:p>
    <w:tbl>
      <w:tblPr>
        <w:tblLayout w:type="fixed"/>
        <w:tblInd w:w="1700" w:type="dxa"/>
        <w:tblCellMar>
          <w:top w:w="0" w:type="dxa"/>
          <w:left w:w="0" w:type="dxa"/>
          <w:bottom w:w="0" w:type="dxa"/>
          <w:right w:w="0" w:type="dxa"/>
        </w:tblCellMar>
      </w:tblPr>
      <w:tr>
        <w:trPr>
          <w:trHeight w:val="187"/>
        </w:trPr>
        <w:tc>
          <w:tcPr>
            <w:tcW w:w="4380" w:type="dxa"/>
            <w:vAlign w:val="bottom"/>
          </w:tcPr>
          <w:p>
            <w:pPr>
              <w:jc w:val="center"/>
              <w:ind w:right="2028"/>
              <w:spacing w:after="0"/>
              <w:rPr>
                <w:sz w:val="20"/>
                <w:szCs w:val="20"/>
                <w:color w:val="auto"/>
              </w:rPr>
            </w:pPr>
            <w:r>
              <w:rPr>
                <w:rFonts w:ascii="Times New Roman" w:cs="Times New Roman" w:eastAsia="Times New Roman" w:hAnsi="Times New Roman"/>
                <w:sz w:val="14"/>
                <w:szCs w:val="14"/>
                <w:b w:val="1"/>
                <w:bCs w:val="1"/>
                <w:color w:val="auto"/>
              </w:rPr>
              <w:t>One Comcast Center</w:t>
            </w:r>
          </w:p>
        </w:tc>
        <w:tc>
          <w:tcPr>
            <w:tcW w:w="2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19103-2838</w:t>
            </w:r>
          </w:p>
        </w:tc>
      </w:tr>
      <w:tr>
        <w:trPr>
          <w:trHeight w:val="190"/>
        </w:trPr>
        <w:tc>
          <w:tcPr>
            <w:tcW w:w="4380" w:type="dxa"/>
            <w:vAlign w:val="bottom"/>
          </w:tcPr>
          <w:p>
            <w:pPr>
              <w:jc w:val="center"/>
              <w:ind w:right="2068"/>
              <w:spacing w:after="0"/>
              <w:rPr>
                <w:sz w:val="20"/>
                <w:szCs w:val="20"/>
                <w:color w:val="auto"/>
              </w:rPr>
            </w:pPr>
            <w:r>
              <w:rPr>
                <w:rFonts w:ascii="Times New Roman" w:cs="Times New Roman" w:eastAsia="Times New Roman" w:hAnsi="Times New Roman"/>
                <w:sz w:val="14"/>
                <w:szCs w:val="14"/>
                <w:b w:val="1"/>
                <w:bCs w:val="1"/>
                <w:color w:val="auto"/>
              </w:rPr>
              <w:t>Philadelphia, PA</w:t>
            </w:r>
          </w:p>
        </w:tc>
        <w:tc>
          <w:tcPr>
            <w:tcW w:w="2800" w:type="dxa"/>
            <w:vAlign w:val="bottom"/>
          </w:tcPr>
          <w:p>
            <w:pPr>
              <w:spacing w:after="0"/>
              <w:rPr>
                <w:sz w:val="16"/>
                <w:szCs w:val="16"/>
                <w:color w:val="auto"/>
              </w:rPr>
            </w:pPr>
          </w:p>
        </w:tc>
      </w:tr>
      <w:tr>
        <w:trPr>
          <w:trHeight w:val="232"/>
        </w:trPr>
        <w:tc>
          <w:tcPr>
            <w:tcW w:w="4380" w:type="dxa"/>
            <w:vAlign w:val="bottom"/>
          </w:tcPr>
          <w:p>
            <w:pPr>
              <w:jc w:val="center"/>
              <w:ind w:right="2028"/>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2800" w:type="dxa"/>
            <w:vAlign w:val="bottom"/>
          </w:tcPr>
          <w:p>
            <w:pPr>
              <w:jc w:val="center"/>
              <w:ind w:left="2008"/>
              <w:spacing w:after="0"/>
              <w:rPr>
                <w:sz w:val="20"/>
                <w:szCs w:val="20"/>
                <w:color w:val="auto"/>
              </w:rPr>
            </w:pPr>
            <w:r>
              <w:rPr>
                <w:rFonts w:ascii="Times New Roman" w:cs="Times New Roman" w:eastAsia="Times New Roman" w:hAnsi="Times New Roman"/>
                <w:sz w:val="14"/>
                <w:szCs w:val="14"/>
                <w:color w:val="auto"/>
              </w:rPr>
              <w:t>(Zip code)</w:t>
            </w:r>
          </w:p>
        </w:tc>
      </w:tr>
    </w:tbl>
    <w:p>
      <w:pPr>
        <w:spacing w:after="0" w:line="200" w:lineRule="exact"/>
        <w:rPr>
          <w:sz w:val="24"/>
          <w:szCs w:val="24"/>
          <w:color w:val="auto"/>
        </w:rPr>
      </w:pPr>
    </w:p>
    <w:p>
      <w:pPr>
        <w:spacing w:after="0" w:line="200" w:lineRule="exact"/>
        <w:rPr>
          <w:sz w:val="24"/>
          <w:szCs w:val="24"/>
          <w:color w:val="auto"/>
        </w:rPr>
      </w:pPr>
    </w:p>
    <w:p>
      <w:pPr>
        <w:spacing w:after="0" w:line="24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Thomas J. Reid</w:t>
      </w:r>
    </w:p>
    <w:p>
      <w:pPr>
        <w:spacing w:after="0" w:line="2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Chief Legal Officer and Secretary</w:t>
      </w:r>
    </w:p>
    <w:p>
      <w:pPr>
        <w:spacing w:after="0" w:line="1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(215) 286-1700</w:t>
      </w:r>
    </w:p>
    <w:p>
      <w:pPr>
        <w:spacing w:after="0" w:line="5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color w:val="auto"/>
        </w:rPr>
        <w:t>(Name and telephone number, including area code,</w:t>
      </w:r>
    </w:p>
    <w:p>
      <w:pPr>
        <w:spacing w:after="0" w:line="163"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4"/>
          <w:szCs w:val="14"/>
          <w:color w:val="auto"/>
        </w:rPr>
        <w:t>of the person to contact in connection with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503555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to indicate the rule pursuant to which this form is being submitted, and provide the period to which the information in this form applies:</w:t>
      </w:r>
    </w:p>
    <w:p>
      <w:pPr>
        <w:spacing w:after="0" w:line="157" w:lineRule="exact"/>
        <w:rPr>
          <w:sz w:val="24"/>
          <w:szCs w:val="24"/>
          <w:color w:val="auto"/>
        </w:rPr>
      </w:pPr>
    </w:p>
    <w:p>
      <w:pPr>
        <w:ind w:left="480" w:hanging="454"/>
        <w:spacing w:after="0"/>
        <w:tabs>
          <w:tab w:leader="none" w:pos="480" w:val="left"/>
        </w:tabs>
        <w:numPr>
          <w:ilvl w:val="0"/>
          <w:numId w:val="1"/>
        </w:numPr>
        <w:rPr>
          <w:rFonts w:ascii="MS PGothic" w:cs="MS PGothic" w:eastAsia="MS PGothic" w:hAnsi="MS PGothic"/>
          <w:sz w:val="36"/>
          <w:szCs w:val="36"/>
          <w:color w:val="auto"/>
          <w:vertAlign w:val="superscript"/>
        </w:rPr>
      </w:pPr>
      <w:r>
        <w:rPr>
          <w:rFonts w:ascii="Times New Roman" w:cs="Times New Roman" w:eastAsia="Times New Roman" w:hAnsi="Times New Roman"/>
          <w:sz w:val="18"/>
          <w:szCs w:val="18"/>
          <w:color w:val="auto"/>
        </w:rPr>
        <w:t>Rule 13p-1 under the Securities Exchange Act (17 CFR 240.13p-1) for the reporting period from January 1 to December 31, 2025.</w:t>
      </w:r>
    </w:p>
    <w:p>
      <w:pPr>
        <w:spacing w:after="0" w:line="58" w:lineRule="exact"/>
        <w:rPr>
          <w:sz w:val="24"/>
          <w:szCs w:val="24"/>
          <w:color w:val="auto"/>
        </w:rPr>
      </w:pPr>
    </w:p>
    <w:p>
      <w:pPr>
        <w:ind w:left="480" w:hanging="454"/>
        <w:spacing w:after="0"/>
        <w:tabs>
          <w:tab w:leader="none" w:pos="480" w:val="left"/>
        </w:tabs>
        <w:numPr>
          <w:ilvl w:val="0"/>
          <w:numId w:val="2"/>
        </w:numPr>
        <w:rPr>
          <w:rFonts w:ascii="MS PGothic" w:cs="MS PGothic" w:eastAsia="MS PGothic" w:hAnsi="MS PGothic"/>
          <w:sz w:val="36"/>
          <w:szCs w:val="36"/>
          <w:color w:val="auto"/>
          <w:vertAlign w:val="superscript"/>
        </w:rPr>
      </w:pPr>
      <w:r>
        <w:rPr>
          <w:rFonts w:ascii="Times New Roman" w:cs="Times New Roman" w:eastAsia="Times New Roman" w:hAnsi="Times New Roman"/>
          <w:sz w:val="18"/>
          <w:szCs w:val="18"/>
          <w:color w:val="auto"/>
        </w:rPr>
        <w:t>Rule 13q-1 under the Securities Exchange Act (17 CFR 240.13q-1) for the fiscal year ended 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20"/>
          </w:cols>
          <w:pgMar w:left="320" w:top="1440" w:right="4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Section 1 – Conflict Minerals Disclosure</w:t>
      </w:r>
    </w:p>
    <w:p>
      <w:pPr>
        <w:spacing w:after="0" w:line="252"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7"/>
          <w:szCs w:val="17"/>
          <w:b w:val="1"/>
          <w:bCs w:val="1"/>
          <w:color w:val="auto"/>
        </w:rPr>
        <w:t>Conflict Minerals Disclosure and Report</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Comcast Corporation (“Comcast”) has issued a Conflict Minerals Report for the period from January 1, 2025 to December 31, 2025. A copy of the Conflict Minerals Report is filed as Exhibit 1.01 hereto and is available at </w:t>
      </w:r>
      <w:r>
        <w:rPr>
          <w:rFonts w:ascii="Times New Roman" w:cs="Times New Roman" w:eastAsia="Times New Roman" w:hAnsi="Times New Roman"/>
          <w:sz w:val="18"/>
          <w:szCs w:val="18"/>
          <w:i w:val="1"/>
          <w:iCs w:val="1"/>
          <w:color w:val="auto"/>
        </w:rPr>
        <w:t>https://www.cmcsa.com/financials/sec-filings</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1.02</w:t>
        <w:tab/>
        <w:t>Exhibit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Item 3.01.</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 – Resource Extraction Issuer Disclosure</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2.01  Resource Extraction Issuer Disclosure and Report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 – Exhibits</w:t>
      </w:r>
    </w:p>
    <w:p>
      <w:pPr>
        <w:spacing w:after="0" w:line="252"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3.01</w:t>
      </w:r>
      <w:r>
        <w:rPr>
          <w:sz w:val="20"/>
          <w:szCs w:val="20"/>
          <w:color w:val="auto"/>
        </w:rPr>
        <w:tab/>
      </w:r>
      <w:r>
        <w:rPr>
          <w:rFonts w:ascii="Times New Roman" w:cs="Times New Roman" w:eastAsia="Times New Roman" w:hAnsi="Times New Roman"/>
          <w:sz w:val="17"/>
          <w:szCs w:val="17"/>
          <w:b w:val="1"/>
          <w:bCs w:val="1"/>
          <w:color w:val="auto"/>
        </w:rPr>
        <w:t>Exhibits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Exhibit 1.01</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 Conflict Minerals Report as required by Items 1.01 and 1.02 of this Form.</w:t>
      </w:r>
    </w:p>
    <w:p>
      <w:pPr>
        <w:sectPr>
          <w:pgSz w:w="11900" w:h="16838" w:orient="portrait"/>
          <w:cols w:equalWidth="0" w:num="1">
            <w:col w:w="11240"/>
          </w:cols>
          <w:pgMar w:left="320" w:top="1413"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9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87"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12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5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COMCAST CORPORATION</w:t>
            </w:r>
          </w:p>
        </w:tc>
      </w:tr>
      <w:tr>
        <w:trPr>
          <w:trHeight w:val="473"/>
        </w:trPr>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Date: May 22, 2026</w:t>
            </w:r>
          </w:p>
        </w:tc>
        <w:tc>
          <w:tcPr>
            <w:tcW w:w="2700" w:type="dxa"/>
            <w:vAlign w:val="bottom"/>
          </w:tcPr>
          <w:p>
            <w:pPr>
              <w:ind w:left="1680"/>
              <w:spacing w:after="0"/>
              <w:rPr>
                <w:sz w:val="20"/>
                <w:szCs w:val="20"/>
                <w:color w:val="auto"/>
              </w:rPr>
            </w:pPr>
            <w:r>
              <w:rPr>
                <w:rFonts w:ascii="Times New Roman" w:cs="Times New Roman" w:eastAsia="Times New Roman" w:hAnsi="Times New Roman"/>
                <w:sz w:val="18"/>
                <w:szCs w:val="18"/>
                <w:color w:val="auto"/>
              </w:rPr>
              <w:t>By:</w:t>
            </w:r>
          </w:p>
        </w:tc>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Thomas J. Reid</w:t>
            </w:r>
          </w:p>
        </w:tc>
      </w:tr>
      <w:tr>
        <w:trPr>
          <w:trHeight w:val="176"/>
        </w:trPr>
        <w:tc>
          <w:tcPr>
            <w:tcW w:w="312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5400" w:type="dxa"/>
            <w:vAlign w:val="bottom"/>
            <w:tcBorders>
              <w:bottom w:val="single" w:sz="8" w:color="auto"/>
            </w:tcBorders>
          </w:tcPr>
          <w:p>
            <w:pPr>
              <w:spacing w:after="0"/>
              <w:rPr>
                <w:sz w:val="15"/>
                <w:szCs w:val="15"/>
                <w:color w:val="auto"/>
              </w:rPr>
            </w:pPr>
          </w:p>
        </w:tc>
      </w:tr>
      <w:tr>
        <w:trPr>
          <w:trHeight w:val="236"/>
        </w:trPr>
        <w:tc>
          <w:tcPr>
            <w:tcW w:w="3120" w:type="dxa"/>
            <w:vAlign w:val="bottom"/>
          </w:tcPr>
          <w:p>
            <w:pPr>
              <w:spacing w:after="0"/>
              <w:rPr>
                <w:sz w:val="20"/>
                <w:szCs w:val="20"/>
                <w:color w:val="auto"/>
              </w:rPr>
            </w:pPr>
          </w:p>
        </w:tc>
        <w:tc>
          <w:tcPr>
            <w:tcW w:w="2700" w:type="dxa"/>
            <w:vAlign w:val="bottom"/>
          </w:tcPr>
          <w:p>
            <w:pPr>
              <w:ind w:left="1680"/>
              <w:spacing w:after="0"/>
              <w:rPr>
                <w:sz w:val="20"/>
                <w:szCs w:val="20"/>
                <w:color w:val="auto"/>
              </w:rPr>
            </w:pPr>
            <w:r>
              <w:rPr>
                <w:rFonts w:ascii="Times New Roman" w:cs="Times New Roman" w:eastAsia="Times New Roman" w:hAnsi="Times New Roman"/>
                <w:sz w:val="18"/>
                <w:szCs w:val="18"/>
                <w:color w:val="auto"/>
              </w:rPr>
              <w:t>Name:</w:t>
            </w:r>
          </w:p>
        </w:tc>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Thomas J. Reid</w:t>
            </w:r>
          </w:p>
        </w:tc>
      </w:tr>
      <w:tr>
        <w:trPr>
          <w:trHeight w:val="419"/>
        </w:trPr>
        <w:tc>
          <w:tcPr>
            <w:tcW w:w="3120" w:type="dxa"/>
            <w:vAlign w:val="bottom"/>
          </w:tcPr>
          <w:p>
            <w:pPr>
              <w:spacing w:after="0"/>
              <w:rPr>
                <w:sz w:val="24"/>
                <w:szCs w:val="24"/>
                <w:color w:val="auto"/>
              </w:rPr>
            </w:pPr>
          </w:p>
        </w:tc>
        <w:tc>
          <w:tcPr>
            <w:tcW w:w="2700" w:type="dxa"/>
            <w:vAlign w:val="bottom"/>
          </w:tcPr>
          <w:p>
            <w:pPr>
              <w:ind w:left="1680"/>
              <w:spacing w:after="0"/>
              <w:rPr>
                <w:sz w:val="20"/>
                <w:szCs w:val="20"/>
                <w:color w:val="auto"/>
              </w:rPr>
            </w:pPr>
            <w:r>
              <w:rPr>
                <w:rFonts w:ascii="Times New Roman" w:cs="Times New Roman" w:eastAsia="Times New Roman" w:hAnsi="Times New Roman"/>
                <w:sz w:val="18"/>
                <w:szCs w:val="18"/>
                <w:color w:val="auto"/>
              </w:rPr>
              <w:t>Title:</w:t>
            </w:r>
          </w:p>
        </w:tc>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Legal Officer and Secretary</w:t>
            </w:r>
          </w:p>
        </w:tc>
      </w:tr>
    </w:tbl>
    <w:p>
      <w:pPr>
        <w:sectPr>
          <w:pgSz w:w="11900" w:h="16838" w:orient="portrait"/>
          <w:cols w:equalWidth="0" w:num="1">
            <w:col w:w="11240"/>
          </w:cols>
          <w:pgMar w:left="320" w:top="1413"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0"/>
          <w:szCs w:val="20"/>
          <w:b w:val="1"/>
          <w:bCs w:val="1"/>
          <w:color w:val="auto"/>
        </w:rPr>
        <w:t>Exhibit 1.01</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Comcast Corporation</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Conflict Minerals Report</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 the Year Ended December 31, 2025</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Introduction</w:t>
      </w:r>
    </w:p>
    <w:p>
      <w:pPr>
        <w:spacing w:after="0" w:line="2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This Conflict Minerals Report (this “Report”) of Comcast Corporation ( “Comcast”, the “Company,” “we,” “us,” or “our”) for calendar year 2025 has been prepared in accordance with Rule 13p-1 under the Securities Exchange Act of 1934 (“Rule 13p-1”), as modified by guidance of the U.S. Securities and Exchange Commission (“SEC”) (the “Conflict Minerals Rule”).</w:t>
      </w:r>
    </w:p>
    <w:p>
      <w:pPr>
        <w:spacing w:after="0" w:line="20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Conflict Minerals Rule requires issuers to annually file a Form SD with the SEC to disclose information regarding the use and origin of “Conflict Minerals” necessary for the functionality or production of products manufactured or contracted to be manufactured by such issuer. Under the Conflict Minerals Rule, “Conflict Minerals” currently include columbite-tantalite (coltan), cassiterite, gold, wolframite, and also their derivatives, tantalum, tin and tungsten. We refer to gold, tantalum, tin and tungsten collectively as “3TG.” The purpose of the Conflict Minerals Rule is to discover if issuers’ use of 3TG may have directly or indirectly financed or benefited armed groups in the Democratic Republic of Congo and its adjoining countries (the “Covered Countries”).</w:t>
      </w:r>
    </w:p>
    <w:p>
      <w:pPr>
        <w:spacing w:after="0" w:line="20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0"/>
          <w:szCs w:val="20"/>
          <w:color w:val="auto"/>
        </w:rPr>
        <w:t>This Report describes the Company’s compliance program for products covered by the Conflict Minerals Rule, as well as steps taken to implement the compliance program, conduct in good faith an investigation as to the country of origin of the minerals used in the products that are within the scope of the Conflict Minerals Rule and perform due diligence on the source and chain of custody of such minerals (see “Product Description and Determination” below).</w:t>
      </w:r>
    </w:p>
    <w:p>
      <w:pPr>
        <w:spacing w:after="0" w:line="21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This Report is based on information available at the time of filing. This Report may contain forward-looking statements regarding steps to be taken in the future, and those statements are subject to risks and uncertainties. References to any website in this Form SD or Report do not incorporate information from that website into this filing.</w:t>
      </w:r>
    </w:p>
    <w:p>
      <w:pPr>
        <w:spacing w:after="0" w:line="208" w:lineRule="exact"/>
        <w:rPr>
          <w:sz w:val="20"/>
          <w:szCs w:val="20"/>
          <w:color w:val="auto"/>
        </w:rPr>
      </w:pPr>
    </w:p>
    <w:p>
      <w:pPr>
        <w:ind w:right="80"/>
        <w:spacing w:after="0" w:line="251" w:lineRule="auto"/>
        <w:rPr>
          <w:sz w:val="20"/>
          <w:szCs w:val="20"/>
          <w:color w:val="auto"/>
        </w:rPr>
      </w:pPr>
      <w:r>
        <w:rPr>
          <w:rFonts w:ascii="Times New Roman" w:cs="Times New Roman" w:eastAsia="Times New Roman" w:hAnsi="Times New Roman"/>
          <w:sz w:val="20"/>
          <w:szCs w:val="20"/>
          <w:color w:val="auto"/>
        </w:rPr>
        <w:t>Forward-looking statements are subject to risks and uncertainties that could cause actual actions or performance to differ materially from those expressed in the forward-looking statements. These risks and uncertainties include, but are not limited to, (1) the implementation of satisfactory traceability and other compliance measures by our direct and indirect suppliers on a timely basis or at all, (2) whether smelters and refiners and other market participants responsibly source conflict minerals, (3) internal and external resource constraints and (4) political and regulatory developments, whether in the Covered Countries, the United States or elsewhere. You are cautioned not to place undue reliance on these forward-looking statements, which speak only as of the date of filing of this Report. We do not intend, and undertake no obligation, to publish revised forward-looking statements to reflect events or circumstances after the date of filing of this Report or to reflect the occurrence of unanticipated events.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Product Description and Determination</w:t>
      </w:r>
    </w:p>
    <w:p>
      <w:pPr>
        <w:spacing w:after="0" w:line="260" w:lineRule="exact"/>
        <w:rPr>
          <w:sz w:val="20"/>
          <w:szCs w:val="20"/>
          <w:color w:val="auto"/>
        </w:rPr>
      </w:pPr>
    </w:p>
    <w:p>
      <w:pPr>
        <w:ind w:right="180"/>
        <w:spacing w:after="0" w:line="283" w:lineRule="auto"/>
        <w:rPr>
          <w:sz w:val="20"/>
          <w:szCs w:val="20"/>
          <w:color w:val="auto"/>
        </w:rPr>
      </w:pPr>
      <w:r>
        <w:rPr>
          <w:rFonts w:ascii="Times New Roman" w:cs="Times New Roman" w:eastAsia="Times New Roman" w:hAnsi="Times New Roman"/>
          <w:sz w:val="20"/>
          <w:szCs w:val="20"/>
          <w:color w:val="auto"/>
        </w:rPr>
        <w:t>The due diligence measures set forth below were undertaken with respect to suppliers of the following products that the Company contracts to manufacture certain televisions, streaming devices and lighting fixtures (collectively, the “Covered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ectPr>
          <w:pgSz w:w="11900" w:h="16838" w:orient="portrait"/>
          <w:cols w:equalWidth="0" w:num="1">
            <w:col w:w="11240"/>
          </w:cols>
          <w:pgMar w:left="320" w:top="1220" w:right="339" w:bottom="1440" w:gutter="0" w:footer="0" w:header="0"/>
        </w:sectPr>
      </w:pPr>
    </w:p>
    <w:bookmarkStart w:id="4" w:name="page5"/>
    <w:bookmarkEnd w:id="4"/>
    <w:p>
      <w:pPr>
        <w:jc w:val="both"/>
        <w:ind w:right="140"/>
        <w:spacing w:after="0" w:line="261" w:lineRule="auto"/>
        <w:rPr>
          <w:sz w:val="20"/>
          <w:szCs w:val="20"/>
          <w:color w:val="auto"/>
        </w:rPr>
      </w:pPr>
      <w:r>
        <w:rPr>
          <w:rFonts w:ascii="Times New Roman" w:cs="Times New Roman" w:eastAsia="Times New Roman" w:hAnsi="Times New Roman"/>
          <w:sz w:val="20"/>
          <w:szCs w:val="20"/>
          <w:color w:val="auto"/>
        </w:rPr>
        <w:t>After taking the due diligence measures described below, we are not able to determine whether the 3TG smelter/refiner facilities used in our supply chain sourced 3TG from the Covered Countries and, if so, whether that 3TG was sourced from recycled, scrap or other conflict-free sources.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Reasonable Country of Origin Inquiry</w:t>
      </w:r>
    </w:p>
    <w:p>
      <w:pPr>
        <w:spacing w:after="0" w:line="247" w:lineRule="exact"/>
        <w:rPr>
          <w:sz w:val="20"/>
          <w:szCs w:val="20"/>
          <w:color w:val="auto"/>
        </w:rPr>
      </w:pPr>
    </w:p>
    <w:p>
      <w:pPr>
        <w:ind w:right="200"/>
        <w:spacing w:after="0" w:line="283" w:lineRule="auto"/>
        <w:rPr>
          <w:sz w:val="20"/>
          <w:szCs w:val="20"/>
          <w:color w:val="auto"/>
        </w:rPr>
      </w:pPr>
      <w:r>
        <w:rPr>
          <w:rFonts w:ascii="Times New Roman" w:cs="Times New Roman" w:eastAsia="Times New Roman" w:hAnsi="Times New Roman"/>
          <w:sz w:val="20"/>
          <w:szCs w:val="20"/>
          <w:color w:val="auto"/>
        </w:rPr>
        <w:t>In accordance with the Conflict Minerals Rule, our compliance process includes a Reasonable Country of Origin Inquiry (“RCOI”) seeking the location of the smelter/refiner facilities used to refine or process the 3TG used in the Covered Products.</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Because the smelters and refiners that produce 3TG metals, and the mines from which the minerals are originally sourced, are many steps away from the Company in the supply chain, we rely on our suppliers to provide information to support our due diligence efforts. We have requested that the direct suppliers involved in our Covered Products conduct due diligence to identify the origin of the 3TG metals in the components or products they sell to us in seeking to ensure that the 3TG metals are sourced responsibly.</w:t>
      </w:r>
    </w:p>
    <w:p>
      <w:pPr>
        <w:spacing w:after="0" w:line="213"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0"/>
          <w:szCs w:val="20"/>
          <w:color w:val="auto"/>
        </w:rPr>
        <w:t>We conducted our RCOI based on the smelter information received from these suppliers. We then compared this information with the RCOI database compiled by the Responsible Minerals Initiative (“RMI”), an industry initiative of which we are a member. The RMI supports the collection of information, increased transparency, and smelter audits for due diligence over the mineral supply chain. Their RCOI database contains aggregated data on the origins of 3TG metals from smelters that conform with the RMI’s Responsible Minerals Assurance Process (“RMAP”). In some cases, information provided by our direct suppliers is incomplete, and suppliers are unable to confirm the country of origin information for 3TG metals. Based on data collected from the suppliers for the year ended December 31, 2025, we have reason to believe that 3TG metals contained in the Covered Products may have originated from one or more of the Covered Countries and were not from recycled or scrap sources.</w:t>
      </w:r>
    </w:p>
    <w:p>
      <w:pPr>
        <w:spacing w:after="0" w:line="209"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See Annex 1 for a list of the identified smelters included in the Conflict Minerals Reporting Templates (“CMRT”) submitted by suppliers for the Covered Products and the smelter’s geographic location.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Comcast’s Due Diligence Framework</w:t>
      </w:r>
    </w:p>
    <w:p>
      <w:pPr>
        <w:spacing w:after="0" w:line="24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 xml:space="preserve">We have designed our due diligence measures with respect to the source and chain of custody of conflict minerals in the Covered Products to conform, in all material respects, with the internationally recognized five-step framework recommended by the Organization for Economic Cooperation and Development (“OECD”) in its </w:t>
      </w:r>
      <w:r>
        <w:rPr>
          <w:rFonts w:ascii="Times New Roman" w:cs="Times New Roman" w:eastAsia="Times New Roman" w:hAnsi="Times New Roman"/>
          <w:sz w:val="20"/>
          <w:szCs w:val="20"/>
          <w:i w:val="1"/>
          <w:iCs w:val="1"/>
          <w:color w:val="auto"/>
        </w:rPr>
        <w:t>Due Diligence Guidance for Responsible Supply Chains of Minerals from Conflict-Affected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and High-Risk Areas</w:t>
      </w:r>
      <w:r>
        <w:rPr>
          <w:rFonts w:ascii="Times New Roman" w:cs="Times New Roman" w:eastAsia="Times New Roman" w:hAnsi="Times New Roman"/>
          <w:sz w:val="20"/>
          <w:szCs w:val="20"/>
          <w:color w:val="auto"/>
        </w:rPr>
        <w:t>, Third Edition (OECD, 2016) (the “OECD Framework”). These five steps are as follows: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OECD Step 1: Establish Strong Company Management Systems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date, we have taken the following steps to strengthen our company management systems with respect to Conflicts Minerals matters:</w:t>
      </w:r>
    </w:p>
    <w:p>
      <w:pPr>
        <w:spacing w:after="0" w:line="252" w:lineRule="exact"/>
        <w:rPr>
          <w:sz w:val="20"/>
          <w:szCs w:val="20"/>
          <w:color w:val="auto"/>
        </w:rPr>
      </w:pPr>
    </w:p>
    <w:p>
      <w:pPr>
        <w:jc w:val="both"/>
        <w:ind w:left="660" w:hanging="328"/>
        <w:spacing w:after="0" w:line="260" w:lineRule="auto"/>
        <w:tabs>
          <w:tab w:leader="none" w:pos="64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Instituted a Conflicts Minerals Policy</w:t>
      </w:r>
      <w:r>
        <w:rPr>
          <w:rFonts w:ascii="Times New Roman" w:cs="Times New Roman" w:eastAsia="Times New Roman" w:hAnsi="Times New Roman"/>
          <w:sz w:val="20"/>
          <w:szCs w:val="20"/>
          <w:color w:val="auto"/>
        </w:rPr>
        <w:t>. We maintain a Conflict Minerals Policy (the “Conflict Minerals Policy”) with respect to</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Covered Products that sets forth (i) our support for sourcing conflict-free materials from the Covered Countries in accordance with the OECD Framework and (ii) our expectations of suppliers in support of our compliance activities. The Conflict Minerals Policy is publicly available at </w:t>
      </w:r>
      <w:r>
        <w:rPr>
          <w:rFonts w:ascii="Times New Roman" w:cs="Times New Roman" w:eastAsia="Times New Roman" w:hAnsi="Times New Roman"/>
          <w:sz w:val="20"/>
          <w:szCs w:val="20"/>
          <w:i w:val="1"/>
          <w:iCs w:val="1"/>
          <w:color w:val="auto"/>
        </w:rPr>
        <w:t>https://www.cmcsa.com/corporate-responsibility-reporting</w:t>
      </w:r>
      <w:r>
        <w:rPr>
          <w:rFonts w:ascii="Times New Roman" w:cs="Times New Roman" w:eastAsia="Times New Roman" w:hAnsi="Times New Roman"/>
          <w:sz w:val="20"/>
          <w:szCs w:val="20"/>
          <w:color w:val="auto"/>
        </w:rPr>
        <w:t>.</w:t>
      </w:r>
    </w:p>
    <w:p>
      <w:pPr>
        <w:spacing w:after="0" w:line="191" w:lineRule="exact"/>
        <w:rPr>
          <w:rFonts w:ascii="Times New Roman" w:cs="Times New Roman" w:eastAsia="Times New Roman" w:hAnsi="Times New Roman"/>
          <w:sz w:val="20"/>
          <w:szCs w:val="20"/>
          <w:color w:val="auto"/>
        </w:rPr>
      </w:pPr>
    </w:p>
    <w:p>
      <w:pPr>
        <w:ind w:left="660" w:hanging="328"/>
        <w:spacing w:after="0" w:line="287" w:lineRule="auto"/>
        <w:tabs>
          <w:tab w:leader="none" w:pos="648"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Created a Cross-Functional Working Group to Support Conflict Minerals Due Diligence</w:t>
      </w:r>
      <w:r>
        <w:rPr>
          <w:rFonts w:ascii="Times New Roman" w:cs="Times New Roman" w:eastAsia="Times New Roman" w:hAnsi="Times New Roman"/>
          <w:sz w:val="20"/>
          <w:szCs w:val="20"/>
          <w:color w:val="auto"/>
        </w:rPr>
        <w:t>. The implementation of our RCOI,</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conducting due diligence on the source and chain of custody of conflict</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ectPr>
          <w:pgSz w:w="11900" w:h="16838" w:orient="portrait"/>
          <w:cols w:equalWidth="0" w:num="1">
            <w:col w:w="11240"/>
          </w:cols>
          <w:pgMar w:left="320" w:top="1156" w:right="339" w:bottom="1440" w:gutter="0" w:footer="0" w:header="0"/>
        </w:sectPr>
      </w:pPr>
    </w:p>
    <w:bookmarkStart w:id="5" w:name="page6"/>
    <w:bookmarkEnd w:id="5"/>
    <w:p>
      <w:pPr>
        <w:jc w:val="both"/>
        <w:ind w:left="660"/>
        <w:spacing w:after="0" w:line="258" w:lineRule="auto"/>
        <w:rPr>
          <w:sz w:val="20"/>
          <w:szCs w:val="20"/>
          <w:color w:val="auto"/>
        </w:rPr>
      </w:pPr>
      <w:r>
        <w:rPr>
          <w:rFonts w:ascii="Times New Roman" w:cs="Times New Roman" w:eastAsia="Times New Roman" w:hAnsi="Times New Roman"/>
          <w:sz w:val="20"/>
          <w:szCs w:val="20"/>
          <w:color w:val="auto"/>
        </w:rPr>
        <w:t>minerals in the Covered Products and identifying Covered Products are managed by a cross-functional working group that includes representatives across our primary business units from procurement, compliance, sustainability, accounting and legal departments (the “Conflict Minerals Working Group”). We have in the past also worked with specialist consultancy service providers to assist in tracking data, assessing risks and preparing our reporting information.</w:t>
      </w:r>
    </w:p>
    <w:p>
      <w:pPr>
        <w:spacing w:after="0" w:line="195" w:lineRule="exact"/>
        <w:rPr>
          <w:sz w:val="20"/>
          <w:szCs w:val="20"/>
          <w:color w:val="auto"/>
        </w:rPr>
      </w:pPr>
    </w:p>
    <w:p>
      <w:pPr>
        <w:jc w:val="both"/>
        <w:ind w:left="660" w:hanging="328"/>
        <w:spacing w:after="0" w:line="254" w:lineRule="auto"/>
        <w:tabs>
          <w:tab w:leader="none" w:pos="648"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Established a Conflict Minerals Supply Chain Due Diligence Process</w:t>
      </w:r>
      <w:r>
        <w:rPr>
          <w:rFonts w:ascii="Times New Roman" w:cs="Times New Roman" w:eastAsia="Times New Roman" w:hAnsi="Times New Roman"/>
          <w:sz w:val="20"/>
          <w:szCs w:val="20"/>
          <w:color w:val="auto"/>
        </w:rPr>
        <w:t>. We have requested that the direct suppliers involved in our</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Covered Products conduct due diligence to identify the origin of the 3TG metals in the components or products they sell to us in seeking to ensure that the 3TG metals are sourced responsibly. These suppliers are expected to extend a similar identification process to their own suppliers and cascade them down the supply chain until the origin of 3TG metals contained in the products supplied to us can be identified. These suppliers report their progress through the RMI’s CMRT. The CMRT is designed to identify the smelters from which any 3TG metals in each of the Covered Products are sourced.</w:t>
      </w:r>
    </w:p>
    <w:p>
      <w:pPr>
        <w:spacing w:after="0" w:line="213" w:lineRule="exact"/>
        <w:rPr>
          <w:rFonts w:ascii="Times New Roman" w:cs="Times New Roman" w:eastAsia="Times New Roman" w:hAnsi="Times New Roman"/>
          <w:sz w:val="20"/>
          <w:szCs w:val="20"/>
          <w:color w:val="auto"/>
        </w:rPr>
      </w:pPr>
    </w:p>
    <w:p>
      <w:pPr>
        <w:jc w:val="both"/>
        <w:ind w:left="660" w:hanging="328"/>
        <w:spacing w:after="0" w:line="250" w:lineRule="auto"/>
        <w:tabs>
          <w:tab w:leader="none" w:pos="648"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Provided a Company-level Grievance Mechanism for Reporting Concerns</w:t>
      </w:r>
      <w:r>
        <w:rPr>
          <w:rFonts w:ascii="Times New Roman" w:cs="Times New Roman" w:eastAsia="Times New Roman" w:hAnsi="Times New Roman"/>
          <w:sz w:val="20"/>
          <w:szCs w:val="20"/>
          <w:color w:val="auto"/>
        </w:rPr>
        <w:t>. Our Comcast NBCUniversal Listens and Sky Listens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programs outlined in our Code of Conduct (available at </w:t>
      </w:r>
      <w:r>
        <w:rPr>
          <w:rFonts w:ascii="Times New Roman" w:cs="Times New Roman" w:eastAsia="Times New Roman" w:hAnsi="Times New Roman"/>
          <w:sz w:val="20"/>
          <w:szCs w:val="20"/>
          <w:i w:val="1"/>
          <w:iCs w:val="1"/>
          <w:color w:val="auto"/>
        </w:rPr>
        <w:t>https://corporate.comcast.com/impact/values-integrity/integrity/code-of-conduct</w:t>
      </w:r>
      <w:r>
        <w:rPr>
          <w:rFonts w:ascii="Times New Roman" w:cs="Times New Roman" w:eastAsia="Times New Roman" w:hAnsi="Times New Roman"/>
          <w:sz w:val="20"/>
          <w:szCs w:val="20"/>
          <w:color w:val="auto"/>
        </w:rPr>
        <w:t>) provides a company-level grievance mechanism for reporting any concerns related to allegations of illegal or unethical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conduct or violations of Comcast’s Code of Conduct and policies, including those related to conflict minerals. It can be used by employees, contractors, suppliers’ employees or contractors, business partners or any other individual or organization to report concerns, anonymously if they prefer. Information on our Code of Conduct for Suppliers and Business Partners, which we communicate to our largest suppliers annually along with a note encouraging those suppliers to contact the Company directly or report through the grievance mechanism described above any concerns or reports of unethical conduct, is available on our website at </w:t>
      </w:r>
      <w:r>
        <w:rPr>
          <w:rFonts w:ascii="Times New Roman" w:cs="Times New Roman" w:eastAsia="Times New Roman" w:hAnsi="Times New Roman"/>
          <w:sz w:val="20"/>
          <w:szCs w:val="20"/>
          <w:i w:val="1"/>
          <w:iCs w:val="1"/>
          <w:color w:val="auto"/>
        </w:rPr>
        <w:t>https://corporate.comcast.com/impact/values-integrity/integrity/our-suppliers-and-business-partners</w:t>
      </w:r>
      <w:r>
        <w:rPr>
          <w:rFonts w:ascii="Times New Roman" w:cs="Times New Roman" w:eastAsia="Times New Roman" w:hAnsi="Times New Roman"/>
          <w:sz w:val="20"/>
          <w:szCs w:val="20"/>
          <w:color w:val="auto"/>
        </w:rPr>
        <w:t>.</w:t>
      </w:r>
    </w:p>
    <w:p>
      <w:pPr>
        <w:spacing w:after="0" w:line="219" w:lineRule="exact"/>
        <w:rPr>
          <w:rFonts w:ascii="Times New Roman" w:cs="Times New Roman" w:eastAsia="Times New Roman" w:hAnsi="Times New Roman"/>
          <w:sz w:val="20"/>
          <w:szCs w:val="20"/>
          <w:color w:val="auto"/>
        </w:rPr>
      </w:pPr>
    </w:p>
    <w:p>
      <w:pPr>
        <w:ind w:left="660" w:hanging="328"/>
        <w:spacing w:after="0" w:line="287" w:lineRule="auto"/>
        <w:tabs>
          <w:tab w:leader="none" w:pos="648"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Collaboration with industry coalitions in support of our due diligence efforts</w:t>
      </w:r>
      <w:r>
        <w:rPr>
          <w:rFonts w:ascii="Times New Roman" w:cs="Times New Roman" w:eastAsia="Times New Roman" w:hAnsi="Times New Roman"/>
          <w:sz w:val="20"/>
          <w:szCs w:val="20"/>
          <w:color w:val="auto"/>
        </w:rPr>
        <w:t>. Comcast is a member of the Responsible Business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Alliance and the RMI and engages with these organizations to better understand best practices and help improve due diligence.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OECD Step 2: Identify and Assess Risks in the Supply Chain</w:t>
      </w:r>
    </w:p>
    <w:p>
      <w:pPr>
        <w:spacing w:after="0" w:line="260"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20"/>
          <w:szCs w:val="20"/>
          <w:color w:val="auto"/>
        </w:rPr>
        <w:t>To help identify and assess conflict minerals risks in our supply chain, we requested that the suppliers of Covered Products complete the CMRT. We then analyzed their responses, and if we identified disclosure-related risks, we followed up with such supplier to further assess.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Certain individuals within the Conflict Minerals Working Group:</w:t>
      </w:r>
    </w:p>
    <w:p>
      <w:pPr>
        <w:spacing w:after="0" w:line="28" w:lineRule="exact"/>
        <w:rPr>
          <w:sz w:val="20"/>
          <w:szCs w:val="20"/>
          <w:color w:val="auto"/>
        </w:rPr>
      </w:pPr>
    </w:p>
    <w:p>
      <w:pPr>
        <w:ind w:left="640" w:hanging="308"/>
        <w:spacing w:after="0"/>
        <w:tabs>
          <w:tab w:leader="none" w:pos="64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managed the collection of information reported on the CMRT;</w:t>
      </w:r>
    </w:p>
    <w:p>
      <w:pPr>
        <w:spacing w:after="0" w:line="6"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coordinated follow-up communications with suppliers as needed; and</w:t>
      </w:r>
    </w:p>
    <w:p>
      <w:pPr>
        <w:spacing w:after="0" w:line="6"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reviewed additional information that may be available from other sources to evaluate for potential red flags and other risks.</w:t>
      </w:r>
    </w:p>
    <w:p>
      <w:pPr>
        <w:spacing w:after="0" w:line="22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We also compared the smelters identified in our supplier responses with the RMI List of All Operational 3TG Smelters, the RMI Smelter Revision History List, the RMI List of Conformant Smelters and the RMI List of Active Smelters. These lists are maintained online by the RMI and are frequently updated to reflect changes in the reporting status of various smelters.</w:t>
      </w:r>
    </w:p>
    <w:p>
      <w:pPr>
        <w:spacing w:after="0" w:line="188"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See Annex 1 for a list of the identified smelters included in the CMRT submitted by suppliers for the Covered Products and the smelter’s geographic location.</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ectPr>
          <w:pgSz w:w="11900" w:h="16838" w:orient="portrait"/>
          <w:cols w:equalWidth="0" w:num="1">
            <w:col w:w="11240"/>
          </w:cols>
          <w:pgMar w:left="320" w:top="1156"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0"/>
          <w:szCs w:val="20"/>
          <w:b w:val="1"/>
          <w:bCs w:val="1"/>
          <w:i w:val="1"/>
          <w:iCs w:val="1"/>
          <w:color w:val="auto"/>
        </w:rPr>
        <w:t>OECD Step 3: Design and Implement a Strategy to Respond to Identified Risks</w:t>
      </w:r>
    </w:p>
    <w:p>
      <w:pPr>
        <w:spacing w:after="0" w:line="247" w:lineRule="exact"/>
        <w:rPr>
          <w:sz w:val="20"/>
          <w:szCs w:val="20"/>
          <w:color w:val="auto"/>
        </w:rPr>
      </w:pPr>
    </w:p>
    <w:p>
      <w:pPr>
        <w:ind w:right="20"/>
        <w:spacing w:after="0" w:line="283" w:lineRule="auto"/>
        <w:rPr>
          <w:sz w:val="20"/>
          <w:szCs w:val="20"/>
          <w:color w:val="auto"/>
        </w:rPr>
      </w:pPr>
      <w:r>
        <w:rPr>
          <w:rFonts w:ascii="Times New Roman" w:cs="Times New Roman" w:eastAsia="Times New Roman" w:hAnsi="Times New Roman"/>
          <w:sz w:val="20"/>
          <w:szCs w:val="20"/>
          <w:color w:val="auto"/>
        </w:rPr>
        <w:t>Our strategy to respond to material identified risks in the supply chain includes a range of measures that form part of our due diligence process.</w:t>
      </w:r>
    </w:p>
    <w:p>
      <w:pPr>
        <w:spacing w:after="0" w:line="187" w:lineRule="exact"/>
        <w:rPr>
          <w:sz w:val="20"/>
          <w:szCs w:val="20"/>
          <w:color w:val="auto"/>
        </w:rPr>
      </w:pPr>
    </w:p>
    <w:p>
      <w:pPr>
        <w:ind w:left="660" w:hanging="328"/>
        <w:spacing w:after="0" w:line="269" w:lineRule="auto"/>
        <w:tabs>
          <w:tab w:leader="none" w:pos="648"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review supplier responses to the CMRT and follow up with suppliers to request clarification or more complete responses where necessary.</w:t>
      </w:r>
    </w:p>
    <w:p>
      <w:pPr>
        <w:spacing w:after="0" w:line="199" w:lineRule="exact"/>
        <w:rPr>
          <w:rFonts w:ascii="Times New Roman" w:cs="Times New Roman" w:eastAsia="Times New Roman" w:hAnsi="Times New Roman"/>
          <w:sz w:val="20"/>
          <w:szCs w:val="20"/>
          <w:color w:val="auto"/>
        </w:rPr>
      </w:pPr>
    </w:p>
    <w:p>
      <w:pPr>
        <w:ind w:left="660" w:right="20" w:hanging="328"/>
        <w:spacing w:after="0" w:line="269" w:lineRule="auto"/>
        <w:tabs>
          <w:tab w:leader="none" w:pos="648"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Where potentially material risks are identified, we have communication processes to notify relevant management and engage with suppliers and request their commitment to corrective actions to manage these risks, including to improve data quality.</w:t>
      </w:r>
    </w:p>
    <w:p>
      <w:pPr>
        <w:spacing w:after="0" w:line="199" w:lineRule="exact"/>
        <w:rPr>
          <w:rFonts w:ascii="Times New Roman" w:cs="Times New Roman" w:eastAsia="Times New Roman" w:hAnsi="Times New Roman"/>
          <w:sz w:val="20"/>
          <w:szCs w:val="20"/>
          <w:color w:val="auto"/>
        </w:rPr>
      </w:pPr>
    </w:p>
    <w:p>
      <w:pPr>
        <w:ind w:left="660" w:right="20" w:hanging="328"/>
        <w:spacing w:after="0" w:line="283" w:lineRule="auto"/>
        <w:tabs>
          <w:tab w:leader="none" w:pos="648"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ask that, when suppliers of Covered Products identify smelters within the supply chain that are RMAP Non-Conformant, suppliers encourage the smelters to participate in the RMAP process or consider alternate sourcing arrangements.</w:t>
      </w:r>
    </w:p>
    <w:p>
      <w:pPr>
        <w:spacing w:after="0" w:line="173" w:lineRule="exact"/>
        <w:rPr>
          <w:rFonts w:ascii="Times New Roman" w:cs="Times New Roman" w:eastAsia="Times New Roman" w:hAnsi="Times New Roman"/>
          <w:sz w:val="20"/>
          <w:szCs w:val="20"/>
          <w:color w:val="auto"/>
        </w:rPr>
      </w:pPr>
    </w:p>
    <w:p>
      <w:pPr>
        <w:ind w:left="660" w:hanging="328"/>
        <w:spacing w:after="0" w:line="283" w:lineRule="auto"/>
        <w:tabs>
          <w:tab w:leader="none" w:pos="648"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request CMRT data from any new direct suppliers of Covered Products as part of their onboarding process and qualification criteria, helping to identify and address potential risks at an early stage of the supplier relationship.</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OECD Step 4: Carry Out Independent Third-Party Audit of Smelter/Refiner’s Due Diligence Practices</w:t>
      </w:r>
    </w:p>
    <w:p>
      <w:pPr>
        <w:spacing w:after="0" w:line="260" w:lineRule="exact"/>
        <w:rPr>
          <w:sz w:val="20"/>
          <w:szCs w:val="20"/>
          <w:color w:val="auto"/>
        </w:rPr>
      </w:pPr>
    </w:p>
    <w:p>
      <w:pPr>
        <w:ind w:right="180"/>
        <w:spacing w:after="0" w:line="253" w:lineRule="auto"/>
        <w:rPr>
          <w:sz w:val="20"/>
          <w:szCs w:val="20"/>
          <w:color w:val="auto"/>
        </w:rPr>
      </w:pPr>
      <w:r>
        <w:rPr>
          <w:rFonts w:ascii="Times New Roman" w:cs="Times New Roman" w:eastAsia="Times New Roman" w:hAnsi="Times New Roman"/>
          <w:sz w:val="20"/>
          <w:szCs w:val="20"/>
          <w:color w:val="auto"/>
        </w:rPr>
        <w:t>We are a downstream consumer of 3TG and are many steps removed from the smelters that provide minerals and ores. Because we do not have a direct relationship with any smelter/refiner facilities for minerals contained in the Covered Products, we are unable to conduct audits of these entities. Instead, as recommended by the OECD Framework, we participate in industry initiatives for the development and implementation of a smelter/refiner audit program through our membership with the RMI, which administers the RMAP, which includes an audit.</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OECD Step 5: Report Annually on Supply Chain Due Diligence</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This Report and the related Form SD are publicly available online at </w:t>
      </w:r>
      <w:r>
        <w:rPr>
          <w:rFonts w:ascii="Times New Roman" w:cs="Times New Roman" w:eastAsia="Times New Roman" w:hAnsi="Times New Roman"/>
          <w:sz w:val="20"/>
          <w:szCs w:val="20"/>
          <w:i w:val="1"/>
          <w:iCs w:val="1"/>
          <w:color w:val="auto"/>
        </w:rPr>
        <w:t>https://www.cmcsa.com/financials/sec-filings</w:t>
      </w:r>
      <w:r>
        <w:rPr>
          <w:rFonts w:ascii="Times New Roman" w:cs="Times New Roman" w:eastAsia="Times New Roman" w:hAnsi="Times New Roman"/>
          <w:sz w:val="20"/>
          <w:szCs w:val="20"/>
          <w:color w:val="auto"/>
        </w:rPr>
        <w: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Due Diligence Performed and Results</w:t>
      </w:r>
    </w:p>
    <w:p>
      <w:pPr>
        <w:spacing w:after="0" w:line="260" w:lineRule="exact"/>
        <w:rPr>
          <w:sz w:val="20"/>
          <w:szCs w:val="20"/>
          <w:color w:val="auto"/>
        </w:rPr>
      </w:pPr>
    </w:p>
    <w:p>
      <w:pPr>
        <w:ind w:right="720"/>
        <w:spacing w:after="0" w:line="269" w:lineRule="auto"/>
        <w:rPr>
          <w:sz w:val="20"/>
          <w:szCs w:val="20"/>
          <w:color w:val="auto"/>
        </w:rPr>
      </w:pPr>
      <w:r>
        <w:rPr>
          <w:rFonts w:ascii="Times New Roman" w:cs="Times New Roman" w:eastAsia="Times New Roman" w:hAnsi="Times New Roman"/>
          <w:sz w:val="20"/>
          <w:szCs w:val="20"/>
          <w:color w:val="auto"/>
        </w:rPr>
        <w:t>With respect to the 2025 calendar year reporting period, we performed the following due diligence measures with respect to Covered Products:</w:t>
      </w:r>
    </w:p>
    <w:p>
      <w:pPr>
        <w:spacing w:after="0" w:line="200" w:lineRule="exact"/>
        <w:rPr>
          <w:sz w:val="20"/>
          <w:szCs w:val="20"/>
          <w:color w:val="auto"/>
        </w:rPr>
      </w:pPr>
    </w:p>
    <w:p>
      <w:pPr>
        <w:ind w:left="660" w:right="140" w:hanging="328"/>
        <w:spacing w:after="0" w:line="269" w:lineRule="auto"/>
        <w:tabs>
          <w:tab w:leader="none" w:pos="648"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Collected information through the CMRT from suppliers on the smelters and refiners of conflict minerals that were reported to be in the supply chain;</w:t>
      </w:r>
    </w:p>
    <w:p>
      <w:pPr>
        <w:spacing w:after="0" w:line="199" w:lineRule="exact"/>
        <w:rPr>
          <w:rFonts w:ascii="Times New Roman" w:cs="Times New Roman" w:eastAsia="Times New Roman" w:hAnsi="Times New Roman"/>
          <w:sz w:val="20"/>
          <w:szCs w:val="20"/>
          <w:color w:val="auto"/>
        </w:rPr>
      </w:pPr>
    </w:p>
    <w:p>
      <w:pPr>
        <w:ind w:left="660" w:right="100" w:hanging="328"/>
        <w:spacing w:after="0" w:line="283" w:lineRule="auto"/>
        <w:tabs>
          <w:tab w:leader="none" w:pos="648"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Compared the reported smelters and refiners to the list of smelters and refiners found by RMI to be conformant (or actively pursuing conformity) with the RMAP standards;</w:t>
      </w:r>
    </w:p>
    <w:p>
      <w:pPr>
        <w:spacing w:after="0" w:line="173" w:lineRule="exact"/>
        <w:rPr>
          <w:rFonts w:ascii="Times New Roman" w:cs="Times New Roman" w:eastAsia="Times New Roman" w:hAnsi="Times New Roman"/>
          <w:sz w:val="20"/>
          <w:szCs w:val="20"/>
          <w:color w:val="auto"/>
        </w:rPr>
      </w:pPr>
    </w:p>
    <w:p>
      <w:pPr>
        <w:ind w:left="660" w:right="720" w:hanging="328"/>
        <w:spacing w:after="0" w:line="283" w:lineRule="auto"/>
        <w:tabs>
          <w:tab w:leader="none" w:pos="648"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Reviewed available information from certain additional resources on the sourcing and due diligence practices of the reported smelters and refiners; and</w:t>
      </w:r>
    </w:p>
    <w:p>
      <w:pPr>
        <w:spacing w:after="0" w:line="173" w:lineRule="exact"/>
        <w:rPr>
          <w:rFonts w:ascii="Times New Roman" w:cs="Times New Roman" w:eastAsia="Times New Roman" w:hAnsi="Times New Roman"/>
          <w:sz w:val="20"/>
          <w:szCs w:val="20"/>
          <w:color w:val="auto"/>
        </w:rPr>
      </w:pPr>
    </w:p>
    <w:p>
      <w:pPr>
        <w:ind w:left="660" w:right="280" w:hanging="328"/>
        <w:spacing w:after="0" w:line="283" w:lineRule="auto"/>
        <w:tabs>
          <w:tab w:leader="none" w:pos="648"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Supported the RMI’s programs and initiatives, such as the RMAP, and attended RMI working group meetings and the RMI annual conference.</w:t>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w:t>
      </w:r>
    </w:p>
    <w:p>
      <w:pPr>
        <w:sectPr>
          <w:pgSz w:w="11900" w:h="16838" w:orient="portrait"/>
          <w:cols w:equalWidth="0" w:num="1">
            <w:col w:w="11240"/>
          </w:cols>
          <w:pgMar w:left="320" w:top="1395" w:right="339" w:bottom="1440" w:gutter="0" w:footer="0" w:header="0"/>
        </w:sectPr>
      </w:pPr>
    </w:p>
    <w:bookmarkStart w:id="7" w:name="page8"/>
    <w:bookmarkEnd w:id="7"/>
    <w:p>
      <w:pPr>
        <w:jc w:val="both"/>
        <w:spacing w:after="0" w:line="253" w:lineRule="auto"/>
        <w:rPr>
          <w:sz w:val="20"/>
          <w:szCs w:val="20"/>
          <w:color w:val="auto"/>
        </w:rPr>
      </w:pPr>
      <w:r>
        <w:rPr>
          <w:rFonts w:ascii="Times New Roman" w:cs="Times New Roman" w:eastAsia="Times New Roman" w:hAnsi="Times New Roman"/>
          <w:sz w:val="20"/>
          <w:szCs w:val="20"/>
          <w:color w:val="auto"/>
        </w:rPr>
        <w:t>Our efforts to determine the mine or location of origin consisted of the due diligence measures described in this Report. As a downstream consumer of 3TG, we do not have a direct relationship with any of the reported smelters and refiners, and we relied upon our suppliers and third-party organizations such as RMI to review upstream information, including the mine or location of origin of necessary conflict minerals. We believe that seeking information about 3TG smelter/refiner facilities in our supply chain and otherwise participating in the RMI’s assessment program as described above represents a reasonable effort to determine the mines or locations of origin of 3TG in our supply chain.</w:t>
      </w:r>
    </w:p>
    <w:p>
      <w:pPr>
        <w:spacing w:after="0" w:line="2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We received responses from 100% of the suppliers surveyed. The survey included 130 suppliers identified as potentially incorporating 3TG into Covered Products supplied to the Company. The relevant suppliers declared a total of 311 unique smelter names as the source of 3TG in the Covered Products. Of those smelters, 224 were designated as conformant or active under the RMAP as of December 31, 2025. However, we are unable to link specific smelters to our applicable products.</w:t>
      </w:r>
    </w:p>
    <w:p>
      <w:pPr>
        <w:spacing w:after="0" w:line="21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9"/>
          <w:szCs w:val="19"/>
          <w:color w:val="auto"/>
        </w:rPr>
        <w:t>Annex 1 contains a list of the unique smelter names disclosed to us by suppliers of the Covered Products and the smelter’s geographic location. Based on the information provided by the suppliers, from the RMAP and from other sources, we believe that the countries of origin of the conflict minerals contained in some of our Covered Products might include Covered Countries, as well as recycled and scrap sources.</w:t>
      </w:r>
    </w:p>
    <w:p>
      <w:pPr>
        <w:spacing w:after="0" w:line="19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Annex 2 contains the aggregated list of countries of origin of the conflict minerals used by the smelter facilities listed in Annex 1 based on input from RMI and our suppliers.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Continuous Improvement Efforts to Mitigate Risk</w:t>
      </w:r>
    </w:p>
    <w:p>
      <w:pPr>
        <w:spacing w:after="0" w:line="247"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We recognize that efforts to reduce violence associated with conflict minerals are ongoing and require us to adapt to changing situations. We are committed to improving our compliance processes and engaging with suppliers of Covered Products.</w:t>
      </w:r>
    </w:p>
    <w:p>
      <w:pPr>
        <w:spacing w:after="0" w:line="173" w:lineRule="exact"/>
        <w:rPr>
          <w:sz w:val="20"/>
          <w:szCs w:val="20"/>
          <w:color w:val="auto"/>
        </w:rPr>
      </w:pPr>
    </w:p>
    <w:p>
      <w:pPr>
        <w:jc w:val="both"/>
        <w:ind w:right="20"/>
        <w:spacing w:after="0" w:line="283" w:lineRule="auto"/>
        <w:rPr>
          <w:sz w:val="20"/>
          <w:szCs w:val="20"/>
          <w:color w:val="auto"/>
        </w:rPr>
      </w:pPr>
      <w:r>
        <w:rPr>
          <w:rFonts w:ascii="Times New Roman" w:cs="Times New Roman" w:eastAsia="Times New Roman" w:hAnsi="Times New Roman"/>
          <w:sz w:val="20"/>
          <w:szCs w:val="20"/>
          <w:color w:val="auto"/>
        </w:rPr>
        <w:t>We will continue to improve our compliance processes including, but not limited to, taking the following steps for the 2026 reporting year with respect to Covered Products:</w:t>
      </w:r>
    </w:p>
    <w:p>
      <w:pPr>
        <w:spacing w:after="0" w:line="187" w:lineRule="exact"/>
        <w:rPr>
          <w:sz w:val="20"/>
          <w:szCs w:val="20"/>
          <w:color w:val="auto"/>
        </w:rPr>
      </w:pPr>
    </w:p>
    <w:p>
      <w:pPr>
        <w:ind w:left="660" w:hanging="328"/>
        <w:spacing w:after="0" w:line="269" w:lineRule="auto"/>
        <w:tabs>
          <w:tab w:leader="none" w:pos="648"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will continue to engage with our in-scope suppliers to gain better visibility of the country of origin and chain of custody of the 3TG used in our in-scope products.</w:t>
      </w:r>
    </w:p>
    <w:p>
      <w:pPr>
        <w:spacing w:after="0" w:line="199" w:lineRule="exact"/>
        <w:rPr>
          <w:rFonts w:ascii="Times New Roman" w:cs="Times New Roman" w:eastAsia="Times New Roman" w:hAnsi="Times New Roman"/>
          <w:sz w:val="20"/>
          <w:szCs w:val="20"/>
          <w:color w:val="auto"/>
        </w:rPr>
      </w:pPr>
    </w:p>
    <w:p>
      <w:pPr>
        <w:ind w:left="660" w:hanging="328"/>
        <w:spacing w:after="0" w:line="269" w:lineRule="auto"/>
        <w:tabs>
          <w:tab w:leader="none" w:pos="648"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will use and encourage our in-scope suppliers to use publicly available tools from the RMI and to source from conflict-free smelters that are listed as conformant by the RMI.</w:t>
      </w:r>
    </w:p>
    <w:p>
      <w:pPr>
        <w:spacing w:after="0" w:line="199" w:lineRule="exact"/>
        <w:rPr>
          <w:rFonts w:ascii="Times New Roman" w:cs="Times New Roman" w:eastAsia="Times New Roman" w:hAnsi="Times New Roman"/>
          <w:sz w:val="20"/>
          <w:szCs w:val="20"/>
          <w:color w:val="auto"/>
        </w:rPr>
      </w:pPr>
    </w:p>
    <w:p>
      <w:pPr>
        <w:ind w:left="660" w:hanging="328"/>
        <w:spacing w:after="0" w:line="283" w:lineRule="auto"/>
        <w:tabs>
          <w:tab w:leader="none" w:pos="648"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will continue to work with our in-scope suppliers and engage with our supply chain to increase the quality of the data provided to us.</w:t>
      </w:r>
    </w:p>
    <w:p>
      <w:pPr>
        <w:spacing w:after="0" w:line="173"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will continue to be a member of the RMI and contribute to their various initiatives.</w:t>
      </w:r>
    </w:p>
    <w:p>
      <w:pPr>
        <w:spacing w:after="0" w:line="256" w:lineRule="exact"/>
        <w:rPr>
          <w:rFonts w:ascii="Times New Roman" w:cs="Times New Roman" w:eastAsia="Times New Roman" w:hAnsi="Times New Roman"/>
          <w:sz w:val="20"/>
          <w:szCs w:val="20"/>
          <w:color w:val="auto"/>
        </w:rPr>
      </w:pPr>
    </w:p>
    <w:p>
      <w:pPr>
        <w:ind w:left="660" w:hanging="328"/>
        <w:spacing w:after="0" w:line="269" w:lineRule="auto"/>
        <w:tabs>
          <w:tab w:leader="none" w:pos="648"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will continue to require our in-scope suppliers to adhere to applicable laws and regulations and support our due diligence efforts if their products do contain conflict minerals.</w:t>
      </w:r>
    </w:p>
    <w:p>
      <w:pPr>
        <w:spacing w:after="0" w:line="199"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will continue to review our policy and enhance our strategy with regards to conflict minerals.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ectPr>
          <w:pgSz w:w="11900" w:h="16838" w:orient="portrait"/>
          <w:cols w:equalWidth="0" w:num="1">
            <w:col w:w="11240"/>
          </w:cols>
          <w:pgMar w:left="320" w:top="1399" w:right="339" w:bottom="1440" w:gutter="0" w:footer="0" w:header="0"/>
        </w:sectPr>
      </w:pPr>
    </w:p>
    <w:bookmarkStart w:id="8" w:name="page9"/>
    <w:bookmarkEnd w:id="8"/>
    <w:p>
      <w:pPr>
        <w:jc w:val="center"/>
        <w:ind w:right="20"/>
        <w:spacing w:after="0"/>
        <w:rPr>
          <w:sz w:val="20"/>
          <w:szCs w:val="20"/>
          <w:color w:val="auto"/>
        </w:rPr>
      </w:pPr>
      <w:r>
        <w:rPr>
          <w:rFonts w:ascii="Times New Roman" w:cs="Times New Roman" w:eastAsia="Times New Roman" w:hAnsi="Times New Roman"/>
          <w:sz w:val="22"/>
          <w:szCs w:val="22"/>
          <w:b w:val="1"/>
          <w:bCs w:val="1"/>
          <w:u w:val="single" w:color="auto"/>
          <w:color w:val="auto"/>
        </w:rPr>
        <w:t>ANNEX 1</w:t>
      </w:r>
    </w:p>
    <w:p>
      <w:pPr>
        <w:spacing w:after="0" w:line="2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Identified Smelters</w:t>
      </w:r>
    </w:p>
    <w:p>
      <w:pPr>
        <w:spacing w:after="0" w:line="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(Of the 311 identified Smelters, 224 were RMAP “Conformant” or “Active” as of December 31, 2025)</w:t>
      </w:r>
    </w:p>
    <w:p>
      <w:pPr>
        <w:spacing w:after="0" w:line="257"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2180" w:type="dxa"/>
            <w:vAlign w:val="bottom"/>
            <w:tcBorders>
              <w:top w:val="single" w:sz="8" w:color="auto"/>
              <w:left w:val="single" w:sz="8" w:color="auto"/>
              <w:bottom w:val="single" w:sz="8" w:color="auto"/>
              <w:right w:val="single" w:sz="8" w:color="auto"/>
            </w:tcBorders>
            <w:shd w:val="clear" w:color="auto" w:fill="203764"/>
          </w:tcPr>
          <w:p>
            <w:pPr>
              <w:ind w:left="40"/>
              <w:spacing w:after="0"/>
              <w:rPr>
                <w:sz w:val="20"/>
                <w:szCs w:val="20"/>
                <w:color w:val="auto"/>
              </w:rPr>
            </w:pPr>
            <w:r>
              <w:rPr>
                <w:rFonts w:ascii="Times New Roman" w:cs="Times New Roman" w:eastAsia="Times New Roman" w:hAnsi="Times New Roman"/>
                <w:sz w:val="20"/>
                <w:szCs w:val="20"/>
                <w:b w:val="1"/>
                <w:bCs w:val="1"/>
                <w:color w:val="FFFFFF"/>
              </w:rPr>
              <w:t>Metal</w:t>
            </w:r>
          </w:p>
        </w:tc>
        <w:tc>
          <w:tcPr>
            <w:tcW w:w="7320" w:type="dxa"/>
            <w:vAlign w:val="bottom"/>
            <w:tcBorders>
              <w:top w:val="single" w:sz="8" w:color="auto"/>
              <w:bottom w:val="single" w:sz="8" w:color="auto"/>
              <w:right w:val="single" w:sz="8" w:color="auto"/>
            </w:tcBorders>
            <w:shd w:val="clear" w:color="auto" w:fill="203764"/>
          </w:tcPr>
          <w:p>
            <w:pPr>
              <w:spacing w:after="0"/>
              <w:rPr>
                <w:sz w:val="20"/>
                <w:szCs w:val="20"/>
                <w:color w:val="auto"/>
              </w:rPr>
            </w:pPr>
            <w:r>
              <w:rPr>
                <w:rFonts w:ascii="Times New Roman" w:cs="Times New Roman" w:eastAsia="Times New Roman" w:hAnsi="Times New Roman"/>
                <w:sz w:val="20"/>
                <w:szCs w:val="20"/>
                <w:b w:val="1"/>
                <w:bCs w:val="1"/>
                <w:color w:val="FFFFFF"/>
              </w:rPr>
              <w:t>Smelter Name</w:t>
            </w:r>
          </w:p>
        </w:tc>
        <w:tc>
          <w:tcPr>
            <w:tcW w:w="1760" w:type="dxa"/>
            <w:vAlign w:val="bottom"/>
            <w:tcBorders>
              <w:top w:val="single" w:sz="8" w:color="auto"/>
              <w:bottom w:val="single" w:sz="8" w:color="auto"/>
              <w:right w:val="single" w:sz="8" w:color="auto"/>
            </w:tcBorders>
            <w:shd w:val="clear" w:color="auto" w:fill="203764"/>
          </w:tcPr>
          <w:p>
            <w:pPr>
              <w:ind w:left="20"/>
              <w:spacing w:after="0"/>
              <w:rPr>
                <w:sz w:val="20"/>
                <w:szCs w:val="20"/>
                <w:color w:val="auto"/>
              </w:rPr>
            </w:pPr>
            <w:r>
              <w:rPr>
                <w:rFonts w:ascii="Times New Roman" w:cs="Times New Roman" w:eastAsia="Times New Roman" w:hAnsi="Times New Roman"/>
                <w:sz w:val="20"/>
                <w:szCs w:val="20"/>
                <w:b w:val="1"/>
                <w:bCs w:val="1"/>
                <w:color w:val="FFFFFF"/>
              </w:rPr>
              <w:t>Country</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8853 S.p.A.</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IT</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ABC Refinery Pty Ltd.</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AU</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Abington Reldan Metals, LLC</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US</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Advanced Chemical Company</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US</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Agosi AG</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Aida Chemical Industries Co., Ltd.</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JP</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Al Etihad Gold Refinery DMCC</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AE</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Albino Mountinho Lda.</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PT</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Alexy Metals</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US</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Almalyk Mining and Metallurgical Complex (AMMC)</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UZ</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AngloGold Ashanti Corrego do Sitio Mineracao</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BR</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Argor-Heraeus S.A.</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CH</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ASAHI METALFINE, Inc.</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JP</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Asahi Refining Canada Ltd.</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CA</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Asahi Refining USA Inc.</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US</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Asaka Riken Co., Ltd.</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JP</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Atasay Kuyumculuk Sanayi Ve Ticaret A.S.</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TR</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Attero Recycling Pvt Ltd</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IN</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AU Traders and Refiners</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ZA</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Augmont Enterprises Private Limited</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IN</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Aurubis AG</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Bangalore Refinery</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IN</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Bangko Sentral ng Pilipinas (Central Bank of the Philippines)</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PH</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Boliden Ronnskar</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SE</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C. Hafner GmbH + Co. KG</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Caridad</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MX</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CCR Refinery - Glencore Canada Corporation</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CA</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Cendres + Metaux S.A.</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CH</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CGR Metalloys Pvt Ltd.</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IN</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Chimet S.p.A.</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IT</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Chugai Mining</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JP</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Coimpa Industrial LTDA</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BR</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Degussa Sonne / Mond Goldhandel GmbH</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Dijllah Gold Refinery FZC</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AE</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Dowa</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JP</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DSC (Do Sung Corporation)</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KR</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Eco-System Recycling Co., Ltd. East Plant</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JP</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Eco-System Recycling Co., Ltd. North Plant</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JP</w:t>
            </w:r>
          </w:p>
        </w:tc>
      </w:tr>
    </w:tbl>
    <w:p>
      <w:pPr>
        <w:spacing w:after="0" w:line="200" w:lineRule="exact"/>
        <w:rPr>
          <w:sz w:val="20"/>
          <w:szCs w:val="20"/>
          <w:color w:val="auto"/>
        </w:rPr>
      </w:pPr>
    </w:p>
    <w:p>
      <w:pPr>
        <w:sectPr>
          <w:pgSz w:w="11900" w:h="16838" w:orient="portrait"/>
          <w:cols w:equalWidth="0" w:num="1">
            <w:col w:w="11260"/>
          </w:cols>
          <w:pgMar w:left="320" w:top="1418"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A-1</w:t>
      </w:r>
    </w:p>
    <w:p>
      <w:pPr>
        <w:sectPr>
          <w:pgSz w:w="11900" w:h="16838" w:orient="portrait"/>
          <w:cols w:equalWidth="0" w:num="1">
            <w:col w:w="11260"/>
          </w:cols>
          <w:pgMar w:left="320" w:top="1418" w:right="319" w:bottom="1440" w:gutter="0" w:footer="0" w:header="0"/>
          <w:type w:val="continuous"/>
        </w:sectPr>
      </w:pPr>
    </w:p>
    <w:bookmarkStart w:id="9" w:name="page10"/>
    <w:bookmarkEnd w:id="9"/>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218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Eco-System Recycling Co., Ltd. West Plant</w:t>
            </w:r>
          </w:p>
        </w:tc>
        <w:tc>
          <w:tcPr>
            <w:tcW w:w="176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JP</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Elite Industech Co., Ltd.</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TW</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Emerald Jewel Industry India Limited (Unit 1)</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IN</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Emerald Jewel Industry India Limited (Unit 2)</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IN</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Emerald Jewel Industry India Limited (Unit 3)</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IN</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Emerald Jewel Industry India Limited (Unit 4)</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IN</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Emirates Gold DMCC</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AE</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Fujairah Gold FZC</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AE</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GG Refinery Ltd.</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TZ</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GGC Gujrat Gold Centre Pvt. Ltd.</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IN</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Gold by Gold Colombia</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CO</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Gold Coast Refinery</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GH</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Gold Corporation - The Perth Mint</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AU</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Heimerle + Meule GmbH</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Heraeus Germany GmbH Co. KG</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Heraeus Metals Hong Kong Ltd.</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CN</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HwaSeong CJ CO., LTD.</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KR</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Impala Platinum - Platinum Metals Refinery (PMR)</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ZA</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Inner Mongolia Qiankun Gold and Silver Refinery Share Co., Ltd.</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CN</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International Precious Metal Refiners</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AE</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Ishifuku Metal Industry Co., Ltd.</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JP</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Istanbul Gold Refinery</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TR</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Italpreziosi</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IT</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JALAN &amp; Company</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IN</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Japan Mint</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JP</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Jiangxi Copper Co., Ltd.</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CN</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JX Advanced Metals Corporation</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JP</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JX Nippon Mining &amp; Metals Co., Ltd.</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JP</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K.A. Rasmussen</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NO</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Kazakhmys Smelting LLC</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KZ</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Kazzinc</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KZ</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Kennecott Utah Copper LLC</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US</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KGHM Polska Miedz Spolka Akcyjna</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PL</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Kojima Chemicals Co., Ltd.</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JP</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Korea Zinc Co., Ltd.</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KR</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Kundan Care Products Ltd.</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IN</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Kyrgyzaltyn JSC</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KG</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L'azurde Company For Jewelry</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SA</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L'Orfebre S.A.</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AD</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LS MnM Inc.</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KR</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LSM&amp;M</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KR</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LT Metal Ltd.</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KR</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Marsam Metals</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BR</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Materion</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US</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Matsuda Sangyo Co., Ltd.</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JP</w:t>
            </w:r>
          </w:p>
        </w:tc>
      </w:tr>
    </w:tbl>
    <w:p>
      <w:pPr>
        <w:spacing w:after="0" w:line="200" w:lineRule="exact"/>
        <w:rPr>
          <w:sz w:val="20"/>
          <w:szCs w:val="20"/>
          <w:color w:val="auto"/>
        </w:rPr>
      </w:pPr>
    </w:p>
    <w:p>
      <w:pPr>
        <w:sectPr>
          <w:pgSz w:w="11900" w:h="16838" w:orient="portrait"/>
          <w:cols w:equalWidth="0" w:num="1">
            <w:col w:w="11260"/>
          </w:cols>
          <w:pgMar w:left="320" w:top="1440"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A-2</w:t>
      </w:r>
    </w:p>
    <w:p>
      <w:pPr>
        <w:sectPr>
          <w:pgSz w:w="11900" w:h="16838" w:orient="portrait"/>
          <w:cols w:equalWidth="0" w:num="1">
            <w:col w:w="11260"/>
          </w:cols>
          <w:pgMar w:left="320" w:top="1440" w:right="319" w:bottom="1440" w:gutter="0" w:footer="0" w:header="0"/>
          <w:type w:val="continuous"/>
        </w:sectPr>
      </w:pPr>
    </w:p>
    <w:bookmarkStart w:id="10" w:name="page11"/>
    <w:bookmarkEnd w:id="10"/>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218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MD Overseas</w:t>
            </w:r>
          </w:p>
        </w:tc>
        <w:tc>
          <w:tcPr>
            <w:tcW w:w="176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IN</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Metal Concentrators SA (Pty) Ltd.</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ZA</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Metallix Refining Inc.</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US</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Metalor Technologies (Hong Kong) Ltd.</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CN</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Metalor Technologies (Singapore) Pte., Ltd.</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SG</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Metalor Technologies (Suzhou) Ltd.</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CN</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Metalor Technologies S.A.</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CH</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Metalor USA Refining Corporation</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US</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Metalurgica Met-Mex Penoles S.A. De C.V.</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MX</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Mitsubishi Materials Corporation</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JP</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Mitsui Mining and Smelting Co., Ltd.</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JP</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MKS PAMP SA</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CH</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MMTC-PAMP India Pvt., Ltd.</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IN</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Modeltech Sdn Bhd</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MY</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Morris and Watson</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NZ</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Nadir Metal Rafineri San. Ve Tic. A.S.</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TR</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Navoi Mining and Metallurgical Combinat</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UZ</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NH Recytech Company</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KR</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Nihon Material Co., Ltd.</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JP</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NOBLE METAL SERVICES</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US</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Oegussa Oesterreichische Gold- und Silber-Scheideanstalt Gesm.b.H.</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AT</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Ohura Precious Metal Industry Co., Ltd.</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JP</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Pease &amp; Curren</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US</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Planta Recuperadora de Metales SpA</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CL</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PT Aneka Tambang (Persero) Tbk</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ID</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PX Precinox S.A.</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CH</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QG Refining, LLC</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US</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Rand Refinery (Pty) Ltd.</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ZA</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REMONDIS PMR B.V.</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NL</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Royal Canadian Mint</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CA</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SAAMP</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FR</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Sabin Metal Corp.</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US</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Safimet S.p.A</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IT</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SAFINA A.S.</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CZ</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Sai Refinery</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IN</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SAM Precious Metals FZ-LLC</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AE</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Samduck Precious Metals</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KR</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Samwon Metals Corp.</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KR</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SEMPSA Joyeria Plateria S.A.</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ES</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Shandong Gold Smelting Co., Ltd.</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CN</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Shandong Zhaojin Gold &amp; Silver Refinery Co., Ltd.</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CN</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Shirpur Gold Refinery Ltd.</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IN</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Sichuan Tianze Precious Metals Co., Ltd.</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CN</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Singway Technology Co., Ltd.</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TW</w:t>
            </w:r>
          </w:p>
        </w:tc>
      </w:tr>
    </w:tbl>
    <w:p>
      <w:pPr>
        <w:spacing w:after="0" w:line="200" w:lineRule="exact"/>
        <w:rPr>
          <w:sz w:val="20"/>
          <w:szCs w:val="20"/>
          <w:color w:val="auto"/>
        </w:rPr>
      </w:pPr>
    </w:p>
    <w:p>
      <w:pPr>
        <w:sectPr>
          <w:pgSz w:w="11900" w:h="16838" w:orient="portrait"/>
          <w:cols w:equalWidth="0" w:num="1">
            <w:col w:w="11260"/>
          </w:cols>
          <w:pgMar w:left="320" w:top="1440"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A-3</w:t>
      </w:r>
    </w:p>
    <w:p>
      <w:pPr>
        <w:sectPr>
          <w:pgSz w:w="11900" w:h="16838" w:orient="portrait"/>
          <w:cols w:equalWidth="0" w:num="1">
            <w:col w:w="11260"/>
          </w:cols>
          <w:pgMar w:left="320" w:top="1440" w:right="319" w:bottom="1440" w:gutter="0" w:footer="0" w:header="0"/>
          <w:type w:val="continuous"/>
        </w:sectPr>
      </w:pPr>
    </w:p>
    <w:bookmarkStart w:id="11" w:name="page12"/>
    <w:bookmarkEnd w:id="11"/>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218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Solar Applied Materials Technology Corp.</w:t>
            </w:r>
          </w:p>
        </w:tc>
        <w:tc>
          <w:tcPr>
            <w:tcW w:w="176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TW</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Sovereign Metals</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IN</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State Research Institute Center for Physical Sciences and Technology</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LT</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Sumitomo Metal Mining Co., Ltd.</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JP</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SungEel HiMetal Co., Ltd.</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KR</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Super Dragon Technology Co., Ltd.</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TW</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T.C.A S.p.A</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IT</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Tanaka Kikinzoku Kogyo K.K.</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JP</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Tokuriki Honten Co., Ltd.</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JP</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TOO Tau-Ken-Altyn</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KZ</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Torecom</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KR</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Umicore Precious Metals Thailand</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TH</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Umicore S.A. Business Unit Precious Metals Refining</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BE</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United Precious Metal Refining, Inc.</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US</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Valcambi S.A.</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CH</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WEEEREFINING</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FR</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Western Australian Mint (T/a The Perth Mint)</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AU</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WIELAND Edelmetalle GmbH</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Yamakin Co., Ltd.</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JP</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Yokohama Metal Co., Ltd.</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JP</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Zhongyuan Gold Smelter of Zhongjin Gold Corporation</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CN</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Gold (Au)</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Zijin Mining Group Gold Smelting Co. Ltd.</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CN</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Tantalum (Ta)</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AMG Brasil</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BR</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Tantalum (Ta)</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Changsha South Tantalum Niobium Co., Ltd.</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CN</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Tantalum (Ta)</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D Block Metals, LLC</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US</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Tantalum (Ta)</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F&amp;X Electro-Materials Ltd.</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CN</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Tantalum (Ta)</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FIR Metals &amp; Resource Ltd.</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CN</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Tantalum (Ta)</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Global Advanced Metals Aizu</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JP</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Tantalum (Ta)</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Global Advanced Metals Boyertown</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US</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Tantalum (Ta)</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Guangdong Rising Rare Metals-EO Materials Ltd.</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CN</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Tantalum (Ta)</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Hengyang King Xing Lifeng New Materials Co., Ltd.</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CN</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Tantalum (Ta)</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Jiangxi Dinghai Tantalum &amp; Niobium Co., Ltd.</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CN</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Tantalum (Ta)</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Jiangxi Tuohong New Raw Material</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CN</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Tantalum (Ta)</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Jiujiang Janny New Material Co., Ltd.</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CN</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Tantalum (Ta)</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JiuJiang JinXin Nonferrous Metals Co., Ltd.</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CN</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Tantalum (Ta)</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Jiujiang Tanbre Co., Ltd.</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CN</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Tantalum (Ta)</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Jiujiang Zhongao Tantalum &amp; Niobium Co., Ltd.</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CN</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Tantalum (Ta)</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KEMET de Mexico</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MX</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Tantalum (Ta)</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Materion Newton Inc.</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US</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Tantalum (Ta)</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Metallurgical Products India Pvt., Ltd.</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IN</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Tantalum (Ta)</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Mineracao Taboca S.A.</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BR</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Tantalum (Ta)</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Mitsui Mining and Smelting Co., Ltd.</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JP</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Tantalum (Ta)</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Ningxia Orient Tantalum Industry Co., Ltd.</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CN</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Tantalum (Ta)</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NPM Silmet AS</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EE</w:t>
            </w:r>
          </w:p>
        </w:tc>
      </w:tr>
    </w:tbl>
    <w:p>
      <w:pPr>
        <w:spacing w:after="0" w:line="200" w:lineRule="exact"/>
        <w:rPr>
          <w:sz w:val="20"/>
          <w:szCs w:val="20"/>
          <w:color w:val="auto"/>
        </w:rPr>
      </w:pPr>
    </w:p>
    <w:p>
      <w:pPr>
        <w:sectPr>
          <w:pgSz w:w="11900" w:h="16838" w:orient="portrait"/>
          <w:cols w:equalWidth="0" w:num="1">
            <w:col w:w="11260"/>
          </w:cols>
          <w:pgMar w:left="320" w:top="1440"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A-4</w:t>
      </w:r>
    </w:p>
    <w:p>
      <w:pPr>
        <w:sectPr>
          <w:pgSz w:w="11900" w:h="16838" w:orient="portrait"/>
          <w:cols w:equalWidth="0" w:num="1">
            <w:col w:w="11260"/>
          </w:cols>
          <w:pgMar w:left="320" w:top="1440" w:right="319" w:bottom="1440" w:gutter="0" w:footer="0" w:header="0"/>
          <w:type w:val="continuous"/>
        </w:sectPr>
      </w:pPr>
    </w:p>
    <w:bookmarkStart w:id="12" w:name="page13"/>
    <w:bookmarkEnd w:id="12"/>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218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Tantalum (Ta)</w:t>
            </w:r>
          </w:p>
        </w:tc>
        <w:tc>
          <w:tcPr>
            <w:tcW w:w="732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PowerX Ltd.</w:t>
            </w:r>
          </w:p>
        </w:tc>
        <w:tc>
          <w:tcPr>
            <w:tcW w:w="176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RW</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Tantalum (Ta)</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QuantumClean</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US</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Tantalum (Ta)</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Resind Industria e Comercio Ltda.</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BR</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Tantalum (Ta)</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RFH Yancheng Jinye New Material Technology Co., Ltd.</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CN</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Tantalum (Ta)</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Taki Chemical Co., Ltd.</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JP</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Tantalum (Ta)</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TANIOBIS Co., Ltd.</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TH</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Tantalum (Ta)</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TANIOBIS GmbH</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Tantalum (Ta)</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TANIOBIS Japan Co., Ltd.</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JP</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Tantalum (Ta)</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TANIOBIS Smelting GmbH &amp; Co. KG</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Tantalum (Ta)</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Telex Metals</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US</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Tantalum (Ta)</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Ulba Metallurgical Plant JSC</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KZ</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Tantalum (Ta)</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XIMEI RESOURCES (GUANGDONG) LIMITED</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CN</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Tantalum (Ta)</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XinXing HaoRong Electronic Material Co., Ltd.</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CN</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Tantalum (Ta)</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Yanling Jincheng Tantalum &amp; Niobium Co., Ltd.</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CN</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Tin (Sn)</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Alpha Assembly Solutions Inc</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US</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Tin (Sn)</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An Vinh Joint Stock Mineral Processing Company</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VN</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Tin (Sn)</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Aurubis Beerse</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BE</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Tin (Sn)</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Aurubis Berango</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ES</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Tin (Sn)</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Chenzhou Yunxiang Mining and Metallurgy Co., Ltd.</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CN</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Tin (Sn)</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Chifeng Dajingzi Tin Industry Co., Ltd.</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CN</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Tin (Sn)</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China Tin Group Co., Ltd.</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CN</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Tin (Sn)</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CRM Fundicao De Metais E Comercio De Equipamentos Eletronicos Do Brasil Ltda</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BR</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Tin (Sn)</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CRM Synergies</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ES</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Tin (Sn)</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CV Ayi Jaya</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ID</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Tin (Sn)</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CV Venus Inti Perkasa</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ID</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Tin (Sn)</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Dongguan Best Alloys Co., Ltd.</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CN</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Tin (Sn)</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Dowa</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JP</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Tin (Sn)</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DS Myanmar</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MM</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Tin (Sn)</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Electro-Mechanical Facility of the Cao Bang Minerals &amp; Metallurgy Joint Stock Company</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VN</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Tin (Sn)</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EM Vinto</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BO</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Tin (Sn)</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Estanho de Rondonia S.A.</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BR</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Tin (Sn)</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Fabrica Auricchio Industria e Comercio Ltda.</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BR</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Tin (Sn)</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Feinhutte Halsbrucke GmbH</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Tin (Sn)</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Fenix Metals</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PL</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Tin (Sn)</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Gejiu Non-Ferrous Metal Processing Co., Ltd.</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CN</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Tin (Sn)</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Gejiu Zili Mining And Metallurgy Co., Ltd.</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CN</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Tin (Sn)</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Global Advanced Metals Greenbushes Pty Ltd.</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AU</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Tin (Sn)</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Guangdong Hanhe Non-Ferrous Metal Co., Ltd.</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CN</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Tin (Sn)</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HuiChang Hill Tin Industry Co., Ltd.</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CN</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Tin (Sn)</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Jiangxi New Nanshan Technology Ltd.</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CN</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Tin (Sn)</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Luna Smelter, Ltd.</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RW</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Tin (Sn)</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Magnu's Minerais Metais e Ligas Ltda.</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BR</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Tin (Sn)</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Malaysia Smelting Corporation (MSC)</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MY</w:t>
            </w:r>
          </w:p>
        </w:tc>
      </w:tr>
    </w:tbl>
    <w:p>
      <w:pPr>
        <w:spacing w:after="0" w:line="200" w:lineRule="exact"/>
        <w:rPr>
          <w:sz w:val="20"/>
          <w:szCs w:val="20"/>
          <w:color w:val="auto"/>
        </w:rPr>
      </w:pPr>
    </w:p>
    <w:p>
      <w:pPr>
        <w:sectPr>
          <w:pgSz w:w="11900" w:h="16838" w:orient="portrait"/>
          <w:cols w:equalWidth="0" w:num="1">
            <w:col w:w="11260"/>
          </w:cols>
          <w:pgMar w:left="320" w:top="1440"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A-5</w:t>
      </w:r>
    </w:p>
    <w:p>
      <w:pPr>
        <w:sectPr>
          <w:pgSz w:w="11900" w:h="16838" w:orient="portrait"/>
          <w:cols w:equalWidth="0" w:num="1">
            <w:col w:w="11260"/>
          </w:cols>
          <w:pgMar w:left="320" w:top="1440" w:right="319" w:bottom="1440" w:gutter="0" w:footer="0" w:header="0"/>
          <w:type w:val="continuous"/>
        </w:sectPr>
      </w:pPr>
    </w:p>
    <w:bookmarkStart w:id="13" w:name="page14"/>
    <w:bookmarkEnd w:id="13"/>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218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Tin (Sn)</w:t>
            </w:r>
          </w:p>
        </w:tc>
        <w:tc>
          <w:tcPr>
            <w:tcW w:w="732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Malaysia Smelting Corporation Berhad (Port Klang)</w:t>
            </w:r>
          </w:p>
        </w:tc>
        <w:tc>
          <w:tcPr>
            <w:tcW w:w="176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MY</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Tin (Sn)</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Melt Metais e Ligas S.A.</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BR</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Tin (Sn)</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Metallic Resources, Inc.</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US</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Tin (Sn)</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Mineracao Taboca S.A.</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BR</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Tin (Sn)</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Mining Minerals Resources SARL</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CD</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Tin (Sn)</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Minsur</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PE</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Tin (Sn)</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Mitsubishi Materials Corporation</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JP</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Tin (Sn)</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Modeltech Sdn Bhd</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MY</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Tin (Sn)</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Nghe Tinh Non-Ferrous Metals Joint Stock Company</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VN</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Tin (Sn)</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O.M. Manufacturing (Thailand) Co., Ltd.</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TH</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Tin (Sn)</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O.M. Manufacturing Philippines, Inc.</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PH</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Tin (Sn)</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Operaciones Metalurgicas S.A.</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BO</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Tin (Sn)</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Pongpipat Company Limited</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MM</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Tin (Sn)</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Precious Minerals and Smelting Limited</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IN</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Tin (Sn)</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PT Aries Kencana Sejahtera</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ID</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Tin (Sn)</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PT Arsed Indonesia</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ID</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Tin (Sn)</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PT Artha Cipta Langgeng</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ID</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Tin (Sn)</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PT ATD Makmur Mandiri Jaya</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ID</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Tin (Sn)</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PT Babel Inti Perkasa</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ID</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Tin (Sn)</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PT Babel Surya Alam Lestari</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ID</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Tin (Sn)</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PT Bangka Prima Tin</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ID</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Tin (Sn)</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PT Bangka Serumpun</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ID</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Tin (Sn)</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PT Bangka Tin Industry</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ID</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Tin (Sn)</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PT Belitung Industri Sejahtera</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ID</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Tin (Sn)</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PT Bukit Timah</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ID</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Tin (Sn)</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PT Cipta Persada Mulia</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ID</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Tin (Sn)</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PT Menara Cipta Mulia</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ID</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Tin (Sn)</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PT Mitra Stania Prima</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ID</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Tin (Sn)</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PT Mitra Sukses Globalindo</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ID</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Tin (Sn)</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PT Premium Tin Indonesia</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ID</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Tin (Sn)</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PT Prima Timah Utama</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ID</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Tin (Sn)</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PT Putera Sarana Shakti (PT PSS)</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ID</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Tin (Sn)</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PT Rajawali Rimba Perkasa</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ID</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Tin (Sn)</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PT Rajehan Ariq</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ID</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Tin (Sn)</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PT Refined Bangka Tin</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ID</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Tin (Sn)</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PT Sariwiguna Binasentosa</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ID</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Tin (Sn)</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PT Stanindo Inti Perkasa</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ID</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Tin (Sn)</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PT Sukses Inti Makmur (SIM)</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ID</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Tin (Sn)</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PT Timah Nusantara</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ID</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Tin (Sn)</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PT Timah Tbk Kundur</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ID</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Tin (Sn)</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PT Timah Tbk Mentok</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ID</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Tin (Sn)</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PT Tinindo Inter Nusa</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ID</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Tin (Sn)</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PT Tommy Utama</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ID</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Tin (Sn)</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Resind Industria e Comercio Ltda.</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BR</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Tin (Sn)</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RIKAYAA GREENTECH PRIVATE LIMITED</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IN</w:t>
            </w:r>
          </w:p>
        </w:tc>
      </w:tr>
    </w:tbl>
    <w:p>
      <w:pPr>
        <w:spacing w:after="0" w:line="200" w:lineRule="exact"/>
        <w:rPr>
          <w:sz w:val="20"/>
          <w:szCs w:val="20"/>
          <w:color w:val="auto"/>
        </w:rPr>
      </w:pPr>
    </w:p>
    <w:p>
      <w:pPr>
        <w:sectPr>
          <w:pgSz w:w="11900" w:h="16838" w:orient="portrait"/>
          <w:cols w:equalWidth="0" w:num="1">
            <w:col w:w="11260"/>
          </w:cols>
          <w:pgMar w:left="320" w:top="1440"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A-6</w:t>
      </w:r>
    </w:p>
    <w:p>
      <w:pPr>
        <w:sectPr>
          <w:pgSz w:w="11900" w:h="16838" w:orient="portrait"/>
          <w:cols w:equalWidth="0" w:num="1">
            <w:col w:w="11260"/>
          </w:cols>
          <w:pgMar w:left="320" w:top="1440" w:right="319" w:bottom="1440" w:gutter="0" w:footer="0" w:header="0"/>
          <w:type w:val="continuous"/>
        </w:sectPr>
      </w:pPr>
    </w:p>
    <w:bookmarkStart w:id="14" w:name="page15"/>
    <w:bookmarkEnd w:id="14"/>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218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Tin (Sn)</w:t>
            </w:r>
          </w:p>
        </w:tc>
        <w:tc>
          <w:tcPr>
            <w:tcW w:w="732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Rui Da Hung</w:t>
            </w:r>
          </w:p>
        </w:tc>
        <w:tc>
          <w:tcPr>
            <w:tcW w:w="176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TW</w:t>
            </w:r>
          </w:p>
        </w:tc>
        <w:tc>
          <w:tcPr>
            <w:tcW w:w="0" w:type="dxa"/>
            <w:vAlign w:val="bottom"/>
          </w:tcPr>
          <w:p>
            <w:pPr>
              <w:spacing w:after="0"/>
              <w:rPr>
                <w:sz w:val="1"/>
                <w:szCs w:val="1"/>
                <w:color w:val="auto"/>
              </w:rPr>
            </w:pP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Tin (Sn)</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Soft Metais Ltda.</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BR</w:t>
            </w:r>
          </w:p>
        </w:tc>
        <w:tc>
          <w:tcPr>
            <w:tcW w:w="0" w:type="dxa"/>
            <w:vAlign w:val="bottom"/>
          </w:tcPr>
          <w:p>
            <w:pPr>
              <w:spacing w:after="0"/>
              <w:rPr>
                <w:sz w:val="1"/>
                <w:szCs w:val="1"/>
                <w:color w:val="auto"/>
              </w:rPr>
            </w:pP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Tin (Sn)</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Super Ligas</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BR</w:t>
            </w:r>
          </w:p>
        </w:tc>
        <w:tc>
          <w:tcPr>
            <w:tcW w:w="0" w:type="dxa"/>
            <w:vAlign w:val="bottom"/>
          </w:tcPr>
          <w:p>
            <w:pPr>
              <w:spacing w:after="0"/>
              <w:rPr>
                <w:sz w:val="1"/>
                <w:szCs w:val="1"/>
                <w:color w:val="auto"/>
              </w:rPr>
            </w:pPr>
          </w:p>
        </w:tc>
      </w:tr>
      <w:tr>
        <w:trPr>
          <w:trHeight w:val="187"/>
        </w:trPr>
        <w:tc>
          <w:tcPr>
            <w:tcW w:w="2180" w:type="dxa"/>
            <w:vAlign w:val="bottom"/>
            <w:tcBorders>
              <w:left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20"/>
                <w:szCs w:val="20"/>
                <w:color w:val="auto"/>
              </w:rPr>
              <w:t>Tin (Sn)</w:t>
            </w:r>
          </w:p>
        </w:tc>
        <w:tc>
          <w:tcPr>
            <w:tcW w:w="7320" w:type="dxa"/>
            <w:vAlign w:val="bottom"/>
            <w:tcBorders>
              <w:right w:val="single" w:sz="8" w:color="auto"/>
            </w:tcBorders>
          </w:tcPr>
          <w:p>
            <w:pPr>
              <w:spacing w:after="0" w:line="186" w:lineRule="exact"/>
              <w:rPr>
                <w:sz w:val="20"/>
                <w:szCs w:val="20"/>
                <w:color w:val="auto"/>
              </w:rPr>
            </w:pPr>
            <w:r>
              <w:rPr>
                <w:rFonts w:ascii="Times New Roman" w:cs="Times New Roman" w:eastAsia="Times New Roman" w:hAnsi="Times New Roman"/>
                <w:sz w:val="20"/>
                <w:szCs w:val="20"/>
                <w:color w:val="auto"/>
              </w:rPr>
              <w:t>Takehara PVD Materials Plant / PVD Materials Division of MITSUI MINING &amp;</w:t>
            </w:r>
          </w:p>
        </w:tc>
        <w:tc>
          <w:tcPr>
            <w:tcW w:w="176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20"/>
                <w:szCs w:val="20"/>
                <w:color w:val="auto"/>
              </w:rPr>
              <w:t>JP</w:t>
            </w:r>
          </w:p>
        </w:tc>
        <w:tc>
          <w:tcPr>
            <w:tcW w:w="0" w:type="dxa"/>
            <w:vAlign w:val="bottom"/>
          </w:tcPr>
          <w:p>
            <w:pPr>
              <w:spacing w:after="0"/>
              <w:rPr>
                <w:sz w:val="1"/>
                <w:szCs w:val="1"/>
                <w:color w:val="auto"/>
              </w:rPr>
            </w:pPr>
          </w:p>
        </w:tc>
      </w:tr>
      <w:tr>
        <w:trPr>
          <w:trHeight w:val="150"/>
        </w:trPr>
        <w:tc>
          <w:tcPr>
            <w:tcW w:w="2180" w:type="dxa"/>
            <w:vAlign w:val="bottom"/>
            <w:tcBorders>
              <w:left w:val="single" w:sz="8" w:color="auto"/>
              <w:right w:val="single" w:sz="8" w:color="auto"/>
            </w:tcBorders>
            <w:vMerge w:val="continue"/>
          </w:tcPr>
          <w:p>
            <w:pPr>
              <w:spacing w:after="0"/>
              <w:rPr>
                <w:sz w:val="13"/>
                <w:szCs w:val="13"/>
                <w:color w:val="auto"/>
              </w:rPr>
            </w:pPr>
          </w:p>
        </w:tc>
        <w:tc>
          <w:tcPr>
            <w:tcW w:w="73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20"/>
                <w:szCs w:val="20"/>
                <w:color w:val="auto"/>
              </w:rPr>
              <w:t>SMELTING CO., LTD.</w:t>
            </w:r>
          </w:p>
        </w:tc>
        <w:tc>
          <w:tcPr>
            <w:tcW w:w="176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2180" w:type="dxa"/>
            <w:vAlign w:val="bottom"/>
            <w:tcBorders>
              <w:left w:val="single" w:sz="8" w:color="auto"/>
              <w:bottom w:val="single" w:sz="8" w:color="auto"/>
              <w:right w:val="single" w:sz="8" w:color="auto"/>
            </w:tcBorders>
          </w:tcPr>
          <w:p>
            <w:pPr>
              <w:spacing w:after="0"/>
              <w:rPr>
                <w:sz w:val="8"/>
                <w:szCs w:val="8"/>
                <w:color w:val="auto"/>
              </w:rPr>
            </w:pPr>
          </w:p>
        </w:tc>
        <w:tc>
          <w:tcPr>
            <w:tcW w:w="7320" w:type="dxa"/>
            <w:vAlign w:val="bottom"/>
            <w:tcBorders>
              <w:bottom w:val="single" w:sz="8" w:color="auto"/>
              <w:right w:val="single" w:sz="8" w:color="auto"/>
            </w:tcBorders>
            <w:vMerge w:val="continue"/>
          </w:tcPr>
          <w:p>
            <w:pPr>
              <w:spacing w:after="0"/>
              <w:rPr>
                <w:sz w:val="8"/>
                <w:szCs w:val="8"/>
                <w:color w:val="auto"/>
              </w:rPr>
            </w:pPr>
          </w:p>
        </w:tc>
        <w:tc>
          <w:tcPr>
            <w:tcW w:w="17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Tin (Sn)</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Thaisarco</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TH</w:t>
            </w:r>
          </w:p>
        </w:tc>
        <w:tc>
          <w:tcPr>
            <w:tcW w:w="0" w:type="dxa"/>
            <w:vAlign w:val="bottom"/>
          </w:tcPr>
          <w:p>
            <w:pPr>
              <w:spacing w:after="0"/>
              <w:rPr>
                <w:sz w:val="1"/>
                <w:szCs w:val="1"/>
                <w:color w:val="auto"/>
              </w:rPr>
            </w:pP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Tin (Sn)</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Tin Smelting Branch of Yunnan Tin Co., Ltd.</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CN</w:t>
            </w:r>
          </w:p>
        </w:tc>
        <w:tc>
          <w:tcPr>
            <w:tcW w:w="0" w:type="dxa"/>
            <w:vAlign w:val="bottom"/>
          </w:tcPr>
          <w:p>
            <w:pPr>
              <w:spacing w:after="0"/>
              <w:rPr>
                <w:sz w:val="1"/>
                <w:szCs w:val="1"/>
                <w:color w:val="auto"/>
              </w:rPr>
            </w:pP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Tin (Sn)</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Tin Technology &amp; Refining</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US</w:t>
            </w:r>
          </w:p>
        </w:tc>
        <w:tc>
          <w:tcPr>
            <w:tcW w:w="0" w:type="dxa"/>
            <w:vAlign w:val="bottom"/>
          </w:tcPr>
          <w:p>
            <w:pPr>
              <w:spacing w:after="0"/>
              <w:rPr>
                <w:sz w:val="1"/>
                <w:szCs w:val="1"/>
                <w:color w:val="auto"/>
              </w:rPr>
            </w:pP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Tin (Sn)</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TRATHO Metal Quimica</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BR</w:t>
            </w:r>
          </w:p>
        </w:tc>
        <w:tc>
          <w:tcPr>
            <w:tcW w:w="0" w:type="dxa"/>
            <w:vAlign w:val="bottom"/>
          </w:tcPr>
          <w:p>
            <w:pPr>
              <w:spacing w:after="0"/>
              <w:rPr>
                <w:sz w:val="1"/>
                <w:szCs w:val="1"/>
                <w:color w:val="auto"/>
              </w:rPr>
            </w:pP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Tin (Sn)</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Tuyen Quang Non-Ferrous Metals Joint Stock Company</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VN</w:t>
            </w:r>
          </w:p>
        </w:tc>
        <w:tc>
          <w:tcPr>
            <w:tcW w:w="0" w:type="dxa"/>
            <w:vAlign w:val="bottom"/>
          </w:tcPr>
          <w:p>
            <w:pPr>
              <w:spacing w:after="0"/>
              <w:rPr>
                <w:sz w:val="1"/>
                <w:szCs w:val="1"/>
                <w:color w:val="auto"/>
              </w:rPr>
            </w:pP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Tin (Sn)</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VQB Mineral and Trading Group JSC</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VN</w:t>
            </w:r>
          </w:p>
        </w:tc>
        <w:tc>
          <w:tcPr>
            <w:tcW w:w="0" w:type="dxa"/>
            <w:vAlign w:val="bottom"/>
          </w:tcPr>
          <w:p>
            <w:pPr>
              <w:spacing w:after="0"/>
              <w:rPr>
                <w:sz w:val="1"/>
                <w:szCs w:val="1"/>
                <w:color w:val="auto"/>
              </w:rPr>
            </w:pP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Tin (Sn)</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White Solder Metalurgia e Mineracao Ltda.</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BR</w:t>
            </w:r>
          </w:p>
        </w:tc>
        <w:tc>
          <w:tcPr>
            <w:tcW w:w="0" w:type="dxa"/>
            <w:vAlign w:val="bottom"/>
          </w:tcPr>
          <w:p>
            <w:pPr>
              <w:spacing w:after="0"/>
              <w:rPr>
                <w:sz w:val="1"/>
                <w:szCs w:val="1"/>
                <w:color w:val="auto"/>
              </w:rPr>
            </w:pP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Tin (Sn)</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Woodcross Smelting Company Limited</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UG</w:t>
            </w:r>
          </w:p>
        </w:tc>
        <w:tc>
          <w:tcPr>
            <w:tcW w:w="0" w:type="dxa"/>
            <w:vAlign w:val="bottom"/>
          </w:tcPr>
          <w:p>
            <w:pPr>
              <w:spacing w:after="0"/>
              <w:rPr>
                <w:sz w:val="1"/>
                <w:szCs w:val="1"/>
                <w:color w:val="auto"/>
              </w:rPr>
            </w:pP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Tin (Sn)</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Yunnan Chengfeng Non-ferrous Metals Co., Ltd.</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CN</w:t>
            </w:r>
          </w:p>
        </w:tc>
        <w:tc>
          <w:tcPr>
            <w:tcW w:w="0" w:type="dxa"/>
            <w:vAlign w:val="bottom"/>
          </w:tcPr>
          <w:p>
            <w:pPr>
              <w:spacing w:after="0"/>
              <w:rPr>
                <w:sz w:val="1"/>
                <w:szCs w:val="1"/>
                <w:color w:val="auto"/>
              </w:rPr>
            </w:pP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Tin (Sn)</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Yunnan Yunfan Non-ferrous Metals Co., Ltd.</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CN</w:t>
            </w:r>
          </w:p>
        </w:tc>
        <w:tc>
          <w:tcPr>
            <w:tcW w:w="0" w:type="dxa"/>
            <w:vAlign w:val="bottom"/>
          </w:tcPr>
          <w:p>
            <w:pPr>
              <w:spacing w:after="0"/>
              <w:rPr>
                <w:sz w:val="1"/>
                <w:szCs w:val="1"/>
                <w:color w:val="auto"/>
              </w:rPr>
            </w:pP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Tungsten (W)</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A.L.M.T. Corp.</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JP</w:t>
            </w:r>
          </w:p>
        </w:tc>
        <w:tc>
          <w:tcPr>
            <w:tcW w:w="0" w:type="dxa"/>
            <w:vAlign w:val="bottom"/>
          </w:tcPr>
          <w:p>
            <w:pPr>
              <w:spacing w:after="0"/>
              <w:rPr>
                <w:sz w:val="1"/>
                <w:szCs w:val="1"/>
                <w:color w:val="auto"/>
              </w:rPr>
            </w:pP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Tungsten (W)</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Asia Tungsten Products Vietnam Ltd.</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VN</w:t>
            </w:r>
          </w:p>
        </w:tc>
        <w:tc>
          <w:tcPr>
            <w:tcW w:w="0" w:type="dxa"/>
            <w:vAlign w:val="bottom"/>
          </w:tcPr>
          <w:p>
            <w:pPr>
              <w:spacing w:after="0"/>
              <w:rPr>
                <w:sz w:val="1"/>
                <w:szCs w:val="1"/>
                <w:color w:val="auto"/>
              </w:rPr>
            </w:pP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Tungsten (W)</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China Molybdenum Tungsten Co., Ltd.</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CN</w:t>
            </w:r>
          </w:p>
        </w:tc>
        <w:tc>
          <w:tcPr>
            <w:tcW w:w="0" w:type="dxa"/>
            <w:vAlign w:val="bottom"/>
          </w:tcPr>
          <w:p>
            <w:pPr>
              <w:spacing w:after="0"/>
              <w:rPr>
                <w:sz w:val="1"/>
                <w:szCs w:val="1"/>
                <w:color w:val="auto"/>
              </w:rPr>
            </w:pP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Tungsten (W)</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Chongyi Zhangyuan Tungsten Co., Ltd.</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CN</w:t>
            </w:r>
          </w:p>
        </w:tc>
        <w:tc>
          <w:tcPr>
            <w:tcW w:w="0" w:type="dxa"/>
            <w:vAlign w:val="bottom"/>
          </w:tcPr>
          <w:p>
            <w:pPr>
              <w:spacing w:after="0"/>
              <w:rPr>
                <w:sz w:val="1"/>
                <w:szCs w:val="1"/>
                <w:color w:val="auto"/>
              </w:rPr>
            </w:pP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Tungsten (W)</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Cronimet Brasil Ltda</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BR</w:t>
            </w:r>
          </w:p>
        </w:tc>
        <w:tc>
          <w:tcPr>
            <w:tcW w:w="0" w:type="dxa"/>
            <w:vAlign w:val="bottom"/>
          </w:tcPr>
          <w:p>
            <w:pPr>
              <w:spacing w:after="0"/>
              <w:rPr>
                <w:sz w:val="1"/>
                <w:szCs w:val="1"/>
                <w:color w:val="auto"/>
              </w:rPr>
            </w:pP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Tungsten (W)</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Fujian Xinlu Tungsten Co., Ltd.</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CN</w:t>
            </w:r>
          </w:p>
        </w:tc>
        <w:tc>
          <w:tcPr>
            <w:tcW w:w="0" w:type="dxa"/>
            <w:vAlign w:val="bottom"/>
          </w:tcPr>
          <w:p>
            <w:pPr>
              <w:spacing w:after="0"/>
              <w:rPr>
                <w:sz w:val="1"/>
                <w:szCs w:val="1"/>
                <w:color w:val="auto"/>
              </w:rPr>
            </w:pP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Tungsten (W)</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Ganzhou Jiangwu Ferrotungsten Co., Ltd.</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CN</w:t>
            </w:r>
          </w:p>
        </w:tc>
        <w:tc>
          <w:tcPr>
            <w:tcW w:w="0" w:type="dxa"/>
            <w:vAlign w:val="bottom"/>
          </w:tcPr>
          <w:p>
            <w:pPr>
              <w:spacing w:after="0"/>
              <w:rPr>
                <w:sz w:val="1"/>
                <w:szCs w:val="1"/>
                <w:color w:val="auto"/>
              </w:rPr>
            </w:pP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Tungsten (W)</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Ganzhou Seadragon W &amp; Mo Co., Ltd.</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CN</w:t>
            </w:r>
          </w:p>
        </w:tc>
        <w:tc>
          <w:tcPr>
            <w:tcW w:w="0" w:type="dxa"/>
            <w:vAlign w:val="bottom"/>
          </w:tcPr>
          <w:p>
            <w:pPr>
              <w:spacing w:after="0"/>
              <w:rPr>
                <w:sz w:val="1"/>
                <w:szCs w:val="1"/>
                <w:color w:val="auto"/>
              </w:rPr>
            </w:pP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Tungsten (W)</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Global Tungsten &amp; Powders LLC</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US</w:t>
            </w:r>
          </w:p>
        </w:tc>
        <w:tc>
          <w:tcPr>
            <w:tcW w:w="0" w:type="dxa"/>
            <w:vAlign w:val="bottom"/>
          </w:tcPr>
          <w:p>
            <w:pPr>
              <w:spacing w:after="0"/>
              <w:rPr>
                <w:sz w:val="1"/>
                <w:szCs w:val="1"/>
                <w:color w:val="auto"/>
              </w:rPr>
            </w:pP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Tungsten (W)</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Guangdong Xianglu Tungsten Co., Ltd.</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CN</w:t>
            </w:r>
          </w:p>
        </w:tc>
        <w:tc>
          <w:tcPr>
            <w:tcW w:w="0" w:type="dxa"/>
            <w:vAlign w:val="bottom"/>
          </w:tcPr>
          <w:p>
            <w:pPr>
              <w:spacing w:after="0"/>
              <w:rPr>
                <w:sz w:val="1"/>
                <w:szCs w:val="1"/>
                <w:color w:val="auto"/>
              </w:rPr>
            </w:pP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Tungsten (W)</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H.C. Starck Tungsten GmbH</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w:t>
            </w:r>
          </w:p>
        </w:tc>
        <w:tc>
          <w:tcPr>
            <w:tcW w:w="0" w:type="dxa"/>
            <w:vAlign w:val="bottom"/>
          </w:tcPr>
          <w:p>
            <w:pPr>
              <w:spacing w:after="0"/>
              <w:rPr>
                <w:sz w:val="1"/>
                <w:szCs w:val="1"/>
                <w:color w:val="auto"/>
              </w:rPr>
            </w:pP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Tungsten (W)</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Hubei Green Tungsten Co., Ltd.</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CN</w:t>
            </w:r>
          </w:p>
        </w:tc>
        <w:tc>
          <w:tcPr>
            <w:tcW w:w="0" w:type="dxa"/>
            <w:vAlign w:val="bottom"/>
          </w:tcPr>
          <w:p>
            <w:pPr>
              <w:spacing w:after="0"/>
              <w:rPr>
                <w:sz w:val="1"/>
                <w:szCs w:val="1"/>
                <w:color w:val="auto"/>
              </w:rPr>
            </w:pP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Tungsten (W)</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Hunan Chenzhou Mining Co., Ltd.</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CN</w:t>
            </w:r>
          </w:p>
        </w:tc>
        <w:tc>
          <w:tcPr>
            <w:tcW w:w="0" w:type="dxa"/>
            <w:vAlign w:val="bottom"/>
          </w:tcPr>
          <w:p>
            <w:pPr>
              <w:spacing w:after="0"/>
              <w:rPr>
                <w:sz w:val="1"/>
                <w:szCs w:val="1"/>
                <w:color w:val="auto"/>
              </w:rPr>
            </w:pP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Tungsten (W)</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Hunan Shizhuyuan Nonferrous Metals Co., Ltd. Chenzhou Tungsten Products Branch</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CN</w:t>
            </w:r>
          </w:p>
        </w:tc>
        <w:tc>
          <w:tcPr>
            <w:tcW w:w="0" w:type="dxa"/>
            <w:vAlign w:val="bottom"/>
          </w:tcPr>
          <w:p>
            <w:pPr>
              <w:spacing w:after="0"/>
              <w:rPr>
                <w:sz w:val="1"/>
                <w:szCs w:val="1"/>
                <w:color w:val="auto"/>
              </w:rPr>
            </w:pP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Tungsten (W)</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Japan New Metals Co., Ltd.</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JP</w:t>
            </w:r>
          </w:p>
        </w:tc>
        <w:tc>
          <w:tcPr>
            <w:tcW w:w="0" w:type="dxa"/>
            <w:vAlign w:val="bottom"/>
          </w:tcPr>
          <w:p>
            <w:pPr>
              <w:spacing w:after="0"/>
              <w:rPr>
                <w:sz w:val="1"/>
                <w:szCs w:val="1"/>
                <w:color w:val="auto"/>
              </w:rPr>
            </w:pP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Tungsten (W)</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Jiangwu H.C. Starck Tungsten Products Co., Ltd.</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CN</w:t>
            </w:r>
          </w:p>
        </w:tc>
        <w:tc>
          <w:tcPr>
            <w:tcW w:w="0" w:type="dxa"/>
            <w:vAlign w:val="bottom"/>
          </w:tcPr>
          <w:p>
            <w:pPr>
              <w:spacing w:after="0"/>
              <w:rPr>
                <w:sz w:val="1"/>
                <w:szCs w:val="1"/>
                <w:color w:val="auto"/>
              </w:rPr>
            </w:pP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Tungsten (W)</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Jiangxi Gan Bei Tungsten Co., Ltd.</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CN</w:t>
            </w:r>
          </w:p>
        </w:tc>
        <w:tc>
          <w:tcPr>
            <w:tcW w:w="0" w:type="dxa"/>
            <w:vAlign w:val="bottom"/>
          </w:tcPr>
          <w:p>
            <w:pPr>
              <w:spacing w:after="0"/>
              <w:rPr>
                <w:sz w:val="1"/>
                <w:szCs w:val="1"/>
                <w:color w:val="auto"/>
              </w:rPr>
            </w:pP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Tungsten (W)</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Jiangxi Suns Nonferrous Materials Co. Ltd.</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CN</w:t>
            </w:r>
          </w:p>
        </w:tc>
        <w:tc>
          <w:tcPr>
            <w:tcW w:w="0" w:type="dxa"/>
            <w:vAlign w:val="bottom"/>
          </w:tcPr>
          <w:p>
            <w:pPr>
              <w:spacing w:after="0"/>
              <w:rPr>
                <w:sz w:val="1"/>
                <w:szCs w:val="1"/>
                <w:color w:val="auto"/>
              </w:rPr>
            </w:pP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Tungsten (W)</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Jiangxi Tonggu Non-ferrous Metallurgical &amp; Chemical Co., Ltd.</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CN</w:t>
            </w:r>
          </w:p>
        </w:tc>
        <w:tc>
          <w:tcPr>
            <w:tcW w:w="0" w:type="dxa"/>
            <w:vAlign w:val="bottom"/>
          </w:tcPr>
          <w:p>
            <w:pPr>
              <w:spacing w:after="0"/>
              <w:rPr>
                <w:sz w:val="1"/>
                <w:szCs w:val="1"/>
                <w:color w:val="auto"/>
              </w:rPr>
            </w:pP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Tungsten (W)</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Jiangxi Xinsheng Tungsten Industry Co., Ltd.</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CN</w:t>
            </w:r>
          </w:p>
        </w:tc>
        <w:tc>
          <w:tcPr>
            <w:tcW w:w="0" w:type="dxa"/>
            <w:vAlign w:val="bottom"/>
          </w:tcPr>
          <w:p>
            <w:pPr>
              <w:spacing w:after="0"/>
              <w:rPr>
                <w:sz w:val="1"/>
                <w:szCs w:val="1"/>
                <w:color w:val="auto"/>
              </w:rPr>
            </w:pP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Tungsten (W)</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Jiangxi Yaosheng Tungsten Co., Ltd.</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CN</w:t>
            </w:r>
          </w:p>
        </w:tc>
        <w:tc>
          <w:tcPr>
            <w:tcW w:w="0" w:type="dxa"/>
            <w:vAlign w:val="bottom"/>
          </w:tcPr>
          <w:p>
            <w:pPr>
              <w:spacing w:after="0"/>
              <w:rPr>
                <w:sz w:val="1"/>
                <w:szCs w:val="1"/>
                <w:color w:val="auto"/>
              </w:rPr>
            </w:pP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Tungsten (W)</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Jing Yuan Tungsten Technology Co., Ltd.</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TW</w:t>
            </w:r>
          </w:p>
        </w:tc>
        <w:tc>
          <w:tcPr>
            <w:tcW w:w="0" w:type="dxa"/>
            <w:vAlign w:val="bottom"/>
          </w:tcPr>
          <w:p>
            <w:pPr>
              <w:spacing w:after="0"/>
              <w:rPr>
                <w:sz w:val="1"/>
                <w:szCs w:val="1"/>
                <w:color w:val="auto"/>
              </w:rPr>
            </w:pP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Tungsten (W)</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KENEE MINING VIETNAM COMPANY LIMITED</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VN</w:t>
            </w:r>
          </w:p>
        </w:tc>
        <w:tc>
          <w:tcPr>
            <w:tcW w:w="0" w:type="dxa"/>
            <w:vAlign w:val="bottom"/>
          </w:tcPr>
          <w:p>
            <w:pPr>
              <w:spacing w:after="0"/>
              <w:rPr>
                <w:sz w:val="1"/>
                <w:szCs w:val="1"/>
                <w:color w:val="auto"/>
              </w:rPr>
            </w:pP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Tungsten (W)</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Kennametal Fallon</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US</w:t>
            </w:r>
          </w:p>
        </w:tc>
        <w:tc>
          <w:tcPr>
            <w:tcW w:w="0" w:type="dxa"/>
            <w:vAlign w:val="bottom"/>
          </w:tcPr>
          <w:p>
            <w:pPr>
              <w:spacing w:after="0"/>
              <w:rPr>
                <w:sz w:val="1"/>
                <w:szCs w:val="1"/>
                <w:color w:val="auto"/>
              </w:rPr>
            </w:pP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Tungsten (W)</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Kennametal Huntsville</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US</w:t>
            </w:r>
          </w:p>
        </w:tc>
        <w:tc>
          <w:tcPr>
            <w:tcW w:w="0" w:type="dxa"/>
            <w:vAlign w:val="bottom"/>
          </w:tcPr>
          <w:p>
            <w:pPr>
              <w:spacing w:after="0"/>
              <w:rPr>
                <w:sz w:val="1"/>
                <w:szCs w:val="1"/>
                <w:color w:val="auto"/>
              </w:rPr>
            </w:pP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Tungsten (W)</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Lianyou Metals Co., Ltd.</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TW</w:t>
            </w:r>
          </w:p>
        </w:tc>
        <w:tc>
          <w:tcPr>
            <w:tcW w:w="0" w:type="dxa"/>
            <w:vAlign w:val="bottom"/>
          </w:tcPr>
          <w:p>
            <w:pPr>
              <w:spacing w:after="0"/>
              <w:rPr>
                <w:sz w:val="1"/>
                <w:szCs w:val="1"/>
                <w:color w:val="auto"/>
              </w:rPr>
            </w:pP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Tungsten (W)</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Lianyou Resources Co., Ltd.</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TW</w:t>
            </w:r>
          </w:p>
        </w:tc>
        <w:tc>
          <w:tcPr>
            <w:tcW w:w="0" w:type="dxa"/>
            <w:vAlign w:val="bottom"/>
          </w:tcPr>
          <w:p>
            <w:pPr>
              <w:spacing w:after="0"/>
              <w:rPr>
                <w:sz w:val="1"/>
                <w:szCs w:val="1"/>
                <w:color w:val="auto"/>
              </w:rPr>
            </w:pP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Tungsten (W)</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Malipo Haiyu Tungsten Co., Ltd.</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CN</w:t>
            </w:r>
          </w:p>
        </w:tc>
        <w:tc>
          <w:tcPr>
            <w:tcW w:w="0" w:type="dxa"/>
            <w:vAlign w:val="bottom"/>
          </w:tcPr>
          <w:p>
            <w:pPr>
              <w:spacing w:after="0"/>
              <w:rPr>
                <w:sz w:val="1"/>
                <w:szCs w:val="1"/>
                <w:color w:val="auto"/>
              </w:rPr>
            </w:pP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Tungsten (W)</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Masan High-Tech Materials</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VN</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60"/>
          </w:cols>
          <w:pgMar w:left="320" w:top="1440"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A-7</w:t>
      </w:r>
    </w:p>
    <w:p>
      <w:pPr>
        <w:sectPr>
          <w:pgSz w:w="11900" w:h="16838" w:orient="portrait"/>
          <w:cols w:equalWidth="0" w:num="1">
            <w:col w:w="11260"/>
          </w:cols>
          <w:pgMar w:left="320" w:top="1440" w:right="319" w:bottom="1440" w:gutter="0" w:footer="0" w:header="0"/>
          <w:type w:val="continuous"/>
        </w:sectPr>
      </w:pPr>
    </w:p>
    <w:bookmarkStart w:id="15" w:name="page16"/>
    <w:bookmarkEnd w:id="15"/>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218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Tungsten (W)</w:t>
            </w:r>
          </w:p>
        </w:tc>
        <w:tc>
          <w:tcPr>
            <w:tcW w:w="732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Niagara Refining LLC</w:t>
            </w:r>
          </w:p>
        </w:tc>
        <w:tc>
          <w:tcPr>
            <w:tcW w:w="176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US</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Tungsten (W)</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Philippine Bonway Manufacturing Industrial Corporation</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PH</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Tungsten (W)</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Philippine Chuangxin Industrial Co., Inc.</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PH</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Tungsten (W)</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Shinwon Tungsten (Fujian Shanghang) Co., Ltd.</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CN</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Tungsten (W)</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TANIOBIS Smelting GmbH &amp; Co. KG</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DE</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Tungsten (W)</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Tungsten Vietnam Joint Stock Company</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VN</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Tungsten (W)</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Wolfram Bergbau und Hutten AG</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AT</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Tungsten (W)</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Xiamen Tungsten (H.C.) Co., Ltd.</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CN</w:t>
            </w:r>
          </w:p>
        </w:tc>
      </w:tr>
      <w:tr>
        <w:trPr>
          <w:trHeight w:val="250"/>
        </w:trPr>
        <w:tc>
          <w:tcPr>
            <w:tcW w:w="218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Tungsten (W)</w:t>
            </w:r>
          </w:p>
        </w:tc>
        <w:tc>
          <w:tcPr>
            <w:tcW w:w="73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Xiamen Tungsten Co., Ltd.</w:t>
            </w:r>
          </w:p>
        </w:tc>
        <w:tc>
          <w:tcPr>
            <w:tcW w:w="1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CN</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A-8</w:t>
      </w:r>
    </w:p>
    <w:p>
      <w:pPr>
        <w:sectPr>
          <w:pgSz w:w="11900" w:h="16838" w:orient="portrait"/>
          <w:cols w:equalWidth="0" w:num="1">
            <w:col w:w="11260"/>
          </w:cols>
          <w:pgMar w:left="320" w:top="1440" w:right="319" w:bottom="1440" w:gutter="0" w:footer="0" w:header="0"/>
        </w:sectPr>
      </w:pPr>
    </w:p>
    <w:bookmarkStart w:id="16" w:name="page17"/>
    <w:bookmarkEnd w:id="16"/>
    <w:p>
      <w:pPr>
        <w:jc w:val="center"/>
        <w:ind w:right="20"/>
        <w:spacing w:after="0"/>
        <w:rPr>
          <w:sz w:val="20"/>
          <w:szCs w:val="20"/>
          <w:color w:val="auto"/>
        </w:rPr>
      </w:pPr>
      <w:r>
        <w:rPr>
          <w:rFonts w:ascii="Times New Roman" w:cs="Times New Roman" w:eastAsia="Times New Roman" w:hAnsi="Times New Roman"/>
          <w:sz w:val="22"/>
          <w:szCs w:val="22"/>
          <w:b w:val="1"/>
          <w:bCs w:val="1"/>
          <w:u w:val="single" w:color="auto"/>
          <w:color w:val="auto"/>
        </w:rPr>
        <w:t>ANNEX 2</w:t>
      </w:r>
    </w:p>
    <w:p>
      <w:pPr>
        <w:spacing w:after="0" w:line="2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Countries of Origin of 3TG</w:t>
      </w:r>
    </w:p>
    <w:p>
      <w:pPr>
        <w:spacing w:after="0" w:line="3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Based on RMI March 27, 2026 Data</w:t>
      </w:r>
    </w:p>
    <w:p>
      <w:pPr>
        <w:spacing w:after="0" w:line="257" w:lineRule="exact"/>
        <w:rPr>
          <w:sz w:val="20"/>
          <w:szCs w:val="20"/>
          <w:color w:val="auto"/>
        </w:rPr>
      </w:pPr>
    </w:p>
    <w:tbl>
      <w:tblPr>
        <w:tblLayout w:type="fixed"/>
        <w:tblInd w:w="10" w:type="dxa"/>
        <w:tblCellMar>
          <w:top w:w="0" w:type="dxa"/>
          <w:left w:w="0" w:type="dxa"/>
          <w:bottom w:w="0" w:type="dxa"/>
          <w:right w:w="0" w:type="dxa"/>
        </w:tblCellMar>
      </w:tblPr>
      <w:tr>
        <w:trPr>
          <w:trHeight w:val="270"/>
        </w:trPr>
        <w:tc>
          <w:tcPr>
            <w:tcW w:w="422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Argentina</w:t>
            </w:r>
          </w:p>
        </w:tc>
        <w:tc>
          <w:tcPr>
            <w:tcW w:w="328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Greenland</w:t>
            </w:r>
          </w:p>
        </w:tc>
        <w:tc>
          <w:tcPr>
            <w:tcW w:w="3760" w:type="dxa"/>
            <w:vAlign w:val="bottom"/>
            <w:tcBorders>
              <w:top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Peru</w:t>
            </w:r>
          </w:p>
        </w:tc>
      </w:tr>
      <w:tr>
        <w:trPr>
          <w:trHeight w:val="250"/>
        </w:trPr>
        <w:tc>
          <w:tcPr>
            <w:tcW w:w="42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Armenia</w:t>
            </w:r>
          </w:p>
        </w:tc>
        <w:tc>
          <w:tcPr>
            <w:tcW w:w="32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Guatemala</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Philippines</w:t>
            </w:r>
          </w:p>
        </w:tc>
      </w:tr>
      <w:tr>
        <w:trPr>
          <w:trHeight w:val="250"/>
        </w:trPr>
        <w:tc>
          <w:tcPr>
            <w:tcW w:w="42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Australia</w:t>
            </w:r>
          </w:p>
        </w:tc>
        <w:tc>
          <w:tcPr>
            <w:tcW w:w="32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Guinea</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Poland</w:t>
            </w:r>
          </w:p>
        </w:tc>
      </w:tr>
      <w:tr>
        <w:trPr>
          <w:trHeight w:val="250"/>
        </w:trPr>
        <w:tc>
          <w:tcPr>
            <w:tcW w:w="42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Austria</w:t>
            </w:r>
          </w:p>
        </w:tc>
        <w:tc>
          <w:tcPr>
            <w:tcW w:w="32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Guyana</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Portugal</w:t>
            </w:r>
          </w:p>
        </w:tc>
      </w:tr>
      <w:tr>
        <w:trPr>
          <w:trHeight w:val="250"/>
        </w:trPr>
        <w:tc>
          <w:tcPr>
            <w:tcW w:w="42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Azerbaijan</w:t>
            </w:r>
          </w:p>
        </w:tc>
        <w:tc>
          <w:tcPr>
            <w:tcW w:w="32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Honduras</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Russian Federation</w:t>
            </w:r>
          </w:p>
        </w:tc>
      </w:tr>
      <w:tr>
        <w:trPr>
          <w:trHeight w:val="250"/>
        </w:trPr>
        <w:tc>
          <w:tcPr>
            <w:tcW w:w="42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Benin</w:t>
            </w:r>
          </w:p>
        </w:tc>
        <w:tc>
          <w:tcPr>
            <w:tcW w:w="32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India</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Rwanda*</w:t>
            </w:r>
          </w:p>
        </w:tc>
      </w:tr>
      <w:tr>
        <w:trPr>
          <w:trHeight w:val="250"/>
        </w:trPr>
        <w:tc>
          <w:tcPr>
            <w:tcW w:w="42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Bolivia</w:t>
            </w:r>
          </w:p>
        </w:tc>
        <w:tc>
          <w:tcPr>
            <w:tcW w:w="32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Indonesia</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Saudi Arabia</w:t>
            </w:r>
          </w:p>
        </w:tc>
      </w:tr>
      <w:tr>
        <w:trPr>
          <w:trHeight w:val="250"/>
        </w:trPr>
        <w:tc>
          <w:tcPr>
            <w:tcW w:w="42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Brazil</w:t>
            </w:r>
          </w:p>
        </w:tc>
        <w:tc>
          <w:tcPr>
            <w:tcW w:w="32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Ivory Coast</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Senegal</w:t>
            </w:r>
          </w:p>
        </w:tc>
      </w:tr>
      <w:tr>
        <w:trPr>
          <w:trHeight w:val="250"/>
        </w:trPr>
        <w:tc>
          <w:tcPr>
            <w:tcW w:w="42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Bulgaria</w:t>
            </w:r>
          </w:p>
        </w:tc>
        <w:tc>
          <w:tcPr>
            <w:tcW w:w="32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Japan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Serbia</w:t>
            </w:r>
          </w:p>
        </w:tc>
      </w:tr>
      <w:tr>
        <w:trPr>
          <w:trHeight w:val="250"/>
        </w:trPr>
        <w:tc>
          <w:tcPr>
            <w:tcW w:w="42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Burkina Faso</w:t>
            </w:r>
          </w:p>
        </w:tc>
        <w:tc>
          <w:tcPr>
            <w:tcW w:w="32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Kazakhstan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Sierra Leone</w:t>
            </w:r>
          </w:p>
        </w:tc>
      </w:tr>
      <w:tr>
        <w:trPr>
          <w:trHeight w:val="250"/>
        </w:trPr>
        <w:tc>
          <w:tcPr>
            <w:tcW w:w="42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Burundi*</w:t>
            </w:r>
          </w:p>
        </w:tc>
        <w:tc>
          <w:tcPr>
            <w:tcW w:w="32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Kenya</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Slovakia</w:t>
            </w:r>
          </w:p>
        </w:tc>
      </w:tr>
      <w:tr>
        <w:trPr>
          <w:trHeight w:val="250"/>
        </w:trPr>
        <w:tc>
          <w:tcPr>
            <w:tcW w:w="42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Cambodia</w:t>
            </w:r>
          </w:p>
        </w:tc>
        <w:tc>
          <w:tcPr>
            <w:tcW w:w="32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Kyrgyzstan</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Solomon Islands</w:t>
            </w:r>
          </w:p>
        </w:tc>
      </w:tr>
      <w:tr>
        <w:trPr>
          <w:trHeight w:val="250"/>
        </w:trPr>
        <w:tc>
          <w:tcPr>
            <w:tcW w:w="42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Canada</w:t>
            </w:r>
          </w:p>
        </w:tc>
        <w:tc>
          <w:tcPr>
            <w:tcW w:w="32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Laos</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South Africa</w:t>
            </w:r>
          </w:p>
        </w:tc>
      </w:tr>
      <w:tr>
        <w:trPr>
          <w:trHeight w:val="250"/>
        </w:trPr>
        <w:tc>
          <w:tcPr>
            <w:tcW w:w="42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Chile</w:t>
            </w:r>
          </w:p>
        </w:tc>
        <w:tc>
          <w:tcPr>
            <w:tcW w:w="32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Liberia</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Spain</w:t>
            </w:r>
          </w:p>
        </w:tc>
      </w:tr>
      <w:tr>
        <w:trPr>
          <w:trHeight w:val="250"/>
        </w:trPr>
        <w:tc>
          <w:tcPr>
            <w:tcW w:w="42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China</w:t>
            </w:r>
          </w:p>
        </w:tc>
        <w:tc>
          <w:tcPr>
            <w:tcW w:w="32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Madagascar</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Suriname</w:t>
            </w:r>
          </w:p>
        </w:tc>
      </w:tr>
      <w:tr>
        <w:trPr>
          <w:trHeight w:val="250"/>
        </w:trPr>
        <w:tc>
          <w:tcPr>
            <w:tcW w:w="42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Colombia</w:t>
            </w:r>
          </w:p>
        </w:tc>
        <w:tc>
          <w:tcPr>
            <w:tcW w:w="32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Malaysia</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Sweden</w:t>
            </w:r>
          </w:p>
        </w:tc>
      </w:tr>
      <w:tr>
        <w:trPr>
          <w:trHeight w:val="250"/>
        </w:trPr>
        <w:tc>
          <w:tcPr>
            <w:tcW w:w="42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Congo, Democratic Republic of the *</w:t>
            </w:r>
          </w:p>
        </w:tc>
        <w:tc>
          <w:tcPr>
            <w:tcW w:w="32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Mali</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Tajikistan</w:t>
            </w:r>
          </w:p>
        </w:tc>
      </w:tr>
      <w:tr>
        <w:trPr>
          <w:trHeight w:val="250"/>
        </w:trPr>
        <w:tc>
          <w:tcPr>
            <w:tcW w:w="42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Costa Rica</w:t>
            </w:r>
          </w:p>
        </w:tc>
        <w:tc>
          <w:tcPr>
            <w:tcW w:w="32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Mauritania</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Tanzania*</w:t>
            </w:r>
          </w:p>
        </w:tc>
      </w:tr>
      <w:tr>
        <w:trPr>
          <w:trHeight w:val="250"/>
        </w:trPr>
        <w:tc>
          <w:tcPr>
            <w:tcW w:w="42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Dominican Republic</w:t>
            </w:r>
          </w:p>
        </w:tc>
        <w:tc>
          <w:tcPr>
            <w:tcW w:w="32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Mexico</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Thailand</w:t>
            </w:r>
          </w:p>
        </w:tc>
      </w:tr>
      <w:tr>
        <w:trPr>
          <w:trHeight w:val="250"/>
        </w:trPr>
        <w:tc>
          <w:tcPr>
            <w:tcW w:w="42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Ecuador</w:t>
            </w:r>
          </w:p>
        </w:tc>
        <w:tc>
          <w:tcPr>
            <w:tcW w:w="32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Mongolia</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Turkey</w:t>
            </w:r>
          </w:p>
        </w:tc>
      </w:tr>
      <w:tr>
        <w:trPr>
          <w:trHeight w:val="250"/>
        </w:trPr>
        <w:tc>
          <w:tcPr>
            <w:tcW w:w="42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Egypt</w:t>
            </w:r>
          </w:p>
        </w:tc>
        <w:tc>
          <w:tcPr>
            <w:tcW w:w="32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Morocco</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Uganda*</w:t>
            </w:r>
          </w:p>
        </w:tc>
      </w:tr>
      <w:tr>
        <w:trPr>
          <w:trHeight w:val="250"/>
        </w:trPr>
        <w:tc>
          <w:tcPr>
            <w:tcW w:w="42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Eswatini</w:t>
            </w:r>
          </w:p>
        </w:tc>
        <w:tc>
          <w:tcPr>
            <w:tcW w:w="32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Mozambique</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Ukraine</w:t>
            </w:r>
          </w:p>
        </w:tc>
      </w:tr>
      <w:tr>
        <w:trPr>
          <w:trHeight w:val="187"/>
        </w:trPr>
        <w:tc>
          <w:tcPr>
            <w:tcW w:w="4220" w:type="dxa"/>
            <w:vAlign w:val="bottom"/>
            <w:tcBorders>
              <w:left w:val="single" w:sz="8" w:color="auto"/>
              <w:right w:val="single" w:sz="8" w:color="auto"/>
            </w:tcBorders>
          </w:tcPr>
          <w:p>
            <w:pPr>
              <w:ind w:left="40"/>
              <w:spacing w:after="0" w:line="186" w:lineRule="exact"/>
              <w:rPr>
                <w:sz w:val="20"/>
                <w:szCs w:val="20"/>
                <w:color w:val="auto"/>
              </w:rPr>
            </w:pPr>
            <w:r>
              <w:rPr>
                <w:rFonts w:ascii="Times New Roman" w:cs="Times New Roman" w:eastAsia="Times New Roman" w:hAnsi="Times New Roman"/>
                <w:sz w:val="20"/>
                <w:szCs w:val="20"/>
                <w:color w:val="auto"/>
              </w:rPr>
              <w:t>Ethiopia</w:t>
            </w:r>
          </w:p>
        </w:tc>
        <w:tc>
          <w:tcPr>
            <w:tcW w:w="3280" w:type="dxa"/>
            <w:vAlign w:val="bottom"/>
            <w:tcBorders>
              <w:right w:val="single" w:sz="8" w:color="auto"/>
            </w:tcBorders>
          </w:tcPr>
          <w:p>
            <w:pPr>
              <w:ind w:left="20"/>
              <w:spacing w:after="0" w:line="186" w:lineRule="exact"/>
              <w:rPr>
                <w:sz w:val="20"/>
                <w:szCs w:val="20"/>
                <w:color w:val="auto"/>
              </w:rPr>
            </w:pPr>
            <w:r>
              <w:rPr>
                <w:rFonts w:ascii="Times New Roman" w:cs="Times New Roman" w:eastAsia="Times New Roman" w:hAnsi="Times New Roman"/>
                <w:sz w:val="20"/>
                <w:szCs w:val="20"/>
                <w:color w:val="auto"/>
              </w:rPr>
              <w:t>Myanmar</w:t>
            </w:r>
          </w:p>
        </w:tc>
        <w:tc>
          <w:tcPr>
            <w:tcW w:w="3760" w:type="dxa"/>
            <w:vAlign w:val="bottom"/>
            <w:tcBorders>
              <w:right w:val="single" w:sz="8" w:color="auto"/>
            </w:tcBorders>
          </w:tcPr>
          <w:p>
            <w:pPr>
              <w:ind w:left="20"/>
              <w:spacing w:after="0" w:line="186" w:lineRule="exact"/>
              <w:rPr>
                <w:sz w:val="20"/>
                <w:szCs w:val="20"/>
                <w:color w:val="auto"/>
              </w:rPr>
            </w:pPr>
            <w:r>
              <w:rPr>
                <w:rFonts w:ascii="Times New Roman" w:cs="Times New Roman" w:eastAsia="Times New Roman" w:hAnsi="Times New Roman"/>
                <w:sz w:val="20"/>
                <w:szCs w:val="20"/>
                <w:color w:val="auto"/>
              </w:rPr>
              <w:t>United Kingdom of Great Britain and</w:t>
            </w:r>
          </w:p>
        </w:tc>
      </w:tr>
      <w:tr>
        <w:trPr>
          <w:trHeight w:val="252"/>
        </w:trPr>
        <w:tc>
          <w:tcPr>
            <w:tcW w:w="4220" w:type="dxa"/>
            <w:vAlign w:val="bottom"/>
            <w:tcBorders>
              <w:left w:val="single" w:sz="8" w:color="auto"/>
              <w:bottom w:val="single" w:sz="8" w:color="auto"/>
              <w:right w:val="single" w:sz="8" w:color="auto"/>
            </w:tcBorders>
          </w:tcPr>
          <w:p>
            <w:pPr>
              <w:spacing w:after="0"/>
              <w:rPr>
                <w:sz w:val="21"/>
                <w:szCs w:val="21"/>
                <w:color w:val="auto"/>
              </w:rPr>
            </w:pPr>
          </w:p>
        </w:tc>
        <w:tc>
          <w:tcPr>
            <w:tcW w:w="3280" w:type="dxa"/>
            <w:vAlign w:val="bottom"/>
            <w:tcBorders>
              <w:bottom w:val="single" w:sz="8" w:color="auto"/>
              <w:right w:val="single" w:sz="8" w:color="auto"/>
            </w:tcBorders>
          </w:tcPr>
          <w:p>
            <w:pPr>
              <w:spacing w:after="0"/>
              <w:rPr>
                <w:sz w:val="21"/>
                <w:szCs w:val="21"/>
                <w:color w:val="auto"/>
              </w:rPr>
            </w:pP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Northern Ireland</w:t>
            </w:r>
          </w:p>
        </w:tc>
      </w:tr>
      <w:tr>
        <w:trPr>
          <w:trHeight w:val="250"/>
        </w:trPr>
        <w:tc>
          <w:tcPr>
            <w:tcW w:w="42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Fiji</w:t>
            </w:r>
          </w:p>
        </w:tc>
        <w:tc>
          <w:tcPr>
            <w:tcW w:w="32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Namibia</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United States of America</w:t>
            </w:r>
          </w:p>
        </w:tc>
      </w:tr>
      <w:tr>
        <w:trPr>
          <w:trHeight w:val="250"/>
        </w:trPr>
        <w:tc>
          <w:tcPr>
            <w:tcW w:w="42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Finland</w:t>
            </w:r>
          </w:p>
        </w:tc>
        <w:tc>
          <w:tcPr>
            <w:tcW w:w="32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New Zealand</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Uzbekistan</w:t>
            </w:r>
          </w:p>
        </w:tc>
      </w:tr>
      <w:tr>
        <w:trPr>
          <w:trHeight w:val="250"/>
        </w:trPr>
        <w:tc>
          <w:tcPr>
            <w:tcW w:w="42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France</w:t>
            </w:r>
          </w:p>
        </w:tc>
        <w:tc>
          <w:tcPr>
            <w:tcW w:w="32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Nicaragua</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Vietnam</w:t>
            </w:r>
          </w:p>
        </w:tc>
      </w:tr>
      <w:tr>
        <w:trPr>
          <w:trHeight w:val="250"/>
        </w:trPr>
        <w:tc>
          <w:tcPr>
            <w:tcW w:w="42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French Guiana</w:t>
            </w:r>
          </w:p>
        </w:tc>
        <w:tc>
          <w:tcPr>
            <w:tcW w:w="32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Niger</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Zambia*</w:t>
            </w:r>
          </w:p>
        </w:tc>
      </w:tr>
      <w:tr>
        <w:trPr>
          <w:trHeight w:val="250"/>
        </w:trPr>
        <w:tc>
          <w:tcPr>
            <w:tcW w:w="42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Georgia</w:t>
            </w:r>
          </w:p>
        </w:tc>
        <w:tc>
          <w:tcPr>
            <w:tcW w:w="32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Nigeria</w:t>
            </w:r>
          </w:p>
        </w:tc>
        <w:tc>
          <w:tcPr>
            <w:tcW w:w="37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Zimbabwe</w:t>
            </w:r>
          </w:p>
        </w:tc>
      </w:tr>
      <w:tr>
        <w:trPr>
          <w:trHeight w:val="250"/>
        </w:trPr>
        <w:tc>
          <w:tcPr>
            <w:tcW w:w="42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Germany</w:t>
            </w:r>
          </w:p>
        </w:tc>
        <w:tc>
          <w:tcPr>
            <w:tcW w:w="32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Norway</w:t>
            </w:r>
          </w:p>
        </w:tc>
        <w:tc>
          <w:tcPr>
            <w:tcW w:w="3760" w:type="dxa"/>
            <w:vAlign w:val="bottom"/>
            <w:tcBorders>
              <w:bottom w:val="single" w:sz="8" w:color="auto"/>
              <w:right w:val="single" w:sz="8" w:color="auto"/>
            </w:tcBorders>
          </w:tcPr>
          <w:p>
            <w:pPr>
              <w:spacing w:after="0"/>
              <w:rPr>
                <w:sz w:val="21"/>
                <w:szCs w:val="21"/>
                <w:color w:val="auto"/>
              </w:rPr>
            </w:pPr>
          </w:p>
        </w:tc>
      </w:tr>
      <w:tr>
        <w:trPr>
          <w:trHeight w:val="250"/>
        </w:trPr>
        <w:tc>
          <w:tcPr>
            <w:tcW w:w="42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20"/>
                <w:szCs w:val="20"/>
                <w:color w:val="auto"/>
              </w:rPr>
              <w:t>Ghana</w:t>
            </w:r>
          </w:p>
        </w:tc>
        <w:tc>
          <w:tcPr>
            <w:tcW w:w="32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Papua New Guinea</w:t>
            </w:r>
          </w:p>
        </w:tc>
        <w:tc>
          <w:tcPr>
            <w:tcW w:w="3760" w:type="dxa"/>
            <w:vAlign w:val="bottom"/>
            <w:tcBorders>
              <w:bottom w:val="single" w:sz="8" w:color="auto"/>
              <w:right w:val="single" w:sz="8" w:color="auto"/>
            </w:tcBorders>
          </w:tcPr>
          <w:p>
            <w:pPr>
              <w:spacing w:after="0"/>
              <w:rPr>
                <w:sz w:val="21"/>
                <w:szCs w:val="21"/>
                <w:color w:val="auto"/>
              </w:rPr>
            </w:pPr>
          </w:p>
        </w:tc>
      </w:tr>
    </w:tbl>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*Covered Country</w:t>
      </w:r>
    </w:p>
    <w:sectPr>
      <w:pgSz w:w="11900" w:h="16838" w:orient="portrait"/>
      <w:cols w:equalWidth="0" w:num="1">
        <w:col w:w="11260"/>
      </w:cols>
      <w:pgMar w:left="320" w:top="1418"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2026-05-22T09:06:58Z</dcterms:created>
  <dcterms:modified xsi:type="dcterms:W3CDTF">2026-05-22T09:06:58Z</dcterms:modified>
</cp:coreProperties>
</file>