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333-191239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August 5, 2014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$1,000,000,000 3.375% NOTES DUE 2025</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$1,000,000,000 4.200% NOTES DUE 2034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420"/>
          </w:cols>
          <w:pgMar w:left="240" w:top="229" w:right="23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140"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Cable Guarantors: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Comcast Cable Communications, LLC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Comcast Cable Holdings,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Comcast MO Group,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Comcast MO of Delaware,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112"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3.375% Notes due 2025</w:t>
      </w:r>
    </w:p>
    <w:p>
      <w:pPr>
        <w:spacing w:after="0" w:line="154"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ind w:left="3340"/>
        <w:spacing w:after="0"/>
        <w:rPr>
          <w:sz w:val="20"/>
          <w:szCs w:val="20"/>
          <w:color w:val="auto"/>
        </w:rPr>
      </w:pPr>
      <w:r>
        <w:rPr>
          <w:rFonts w:ascii="Arial" w:cs="Arial" w:eastAsia="Arial" w:hAnsi="Arial"/>
          <w:sz w:val="16"/>
          <w:szCs w:val="16"/>
          <w:color w:val="auto"/>
        </w:rPr>
        <w:t>4.200% Notes due 2034</w:t>
      </w:r>
    </w:p>
    <w:p>
      <w:pPr>
        <w:sectPr>
          <w:pgSz w:w="11900" w:h="16838" w:orient="portrait"/>
          <w:cols w:equalWidth="0" w:num="1">
            <w:col w:w="11420"/>
          </w:cols>
          <w:pgMar w:left="240" w:top="229" w:right="239" w:bottom="1440" w:gutter="0" w:footer="0" w:header="0"/>
          <w:type w:val="continuous"/>
        </w:sectPr>
      </w:pP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Denominations: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color w:val="auto"/>
        </w:rPr>
        <w:t>$2,000 and multiples of $1,000 in excess thereof</w:t>
      </w:r>
    </w:p>
    <w:p>
      <w:pPr>
        <w:spacing w:after="0" w:line="136"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4"/>
          <w:szCs w:val="24"/>
          <w:color w:val="auto"/>
        </w:rPr>
      </w:pPr>
      <w:r>
        <w:rPr>
          <w:sz w:val="24"/>
          <w:szCs w:val="24"/>
          <w:color w:val="auto"/>
        </w:rPr>
        <w:br w:type="column"/>
      </w:r>
    </w:p>
    <w:p>
      <w:pPr>
        <w:jc w:val="both"/>
        <w:ind w:right="80"/>
        <w:spacing w:after="0" w:line="279" w:lineRule="auto"/>
        <w:rPr>
          <w:sz w:val="20"/>
          <w:szCs w:val="20"/>
          <w:color w:val="auto"/>
        </w:rPr>
      </w:pPr>
      <w:r>
        <w:rPr>
          <w:rFonts w:ascii="Arial" w:cs="Arial" w:eastAsia="Arial" w:hAnsi="Arial"/>
          <w:sz w:val="17"/>
          <w:szCs w:val="17"/>
          <w:color w:val="auto"/>
        </w:rPr>
        <w:t>The Company intends to use the net proceeds from this offering, after deducting the underwriters’ discount and expenses, for working capital and general corporate purposes, which may include repayment, in January 2015, of our 6.5% notes due 2015 ($900 million principal amount outstanding) and repayment, in April 2015, of our 3.65% notes due 2015 ($1.0 billion principal amount outstanding).</w:t>
      </w:r>
    </w:p>
    <w:p>
      <w:pPr>
        <w:spacing w:after="0" w:line="59" w:lineRule="exact"/>
        <w:rPr>
          <w:sz w:val="24"/>
          <w:szCs w:val="24"/>
          <w:color w:val="auto"/>
        </w:rPr>
      </w:pPr>
    </w:p>
    <w:p>
      <w:pPr>
        <w:sectPr>
          <w:pgSz w:w="11900" w:h="16838" w:orient="portrait"/>
          <w:cols w:equalWidth="0" w:num="2">
            <w:col w:w="2620" w:space="720"/>
            <w:col w:w="808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Indenture:</w:t>
      </w:r>
    </w:p>
    <w:p>
      <w:pPr>
        <w:spacing w:after="0" w:line="20" w:lineRule="exact"/>
        <w:rPr>
          <w:sz w:val="24"/>
          <w:szCs w:val="24"/>
          <w:color w:val="auto"/>
        </w:rPr>
      </w:pPr>
      <w:r>
        <w:rPr>
          <w:sz w:val="24"/>
          <w:szCs w:val="24"/>
          <w:color w:val="auto"/>
        </w:rPr>
        <w:br w:type="column"/>
      </w:r>
    </w:p>
    <w:p>
      <w:pPr>
        <w:ind w:right="200"/>
        <w:spacing w:after="0" w:line="277" w:lineRule="auto"/>
        <w:rPr>
          <w:sz w:val="20"/>
          <w:szCs w:val="20"/>
          <w:color w:val="auto"/>
        </w:rPr>
      </w:pPr>
      <w:r>
        <w:rPr>
          <w:rFonts w:ascii="Arial" w:cs="Arial" w:eastAsia="Arial" w:hAnsi="Arial"/>
          <w:sz w:val="18"/>
          <w:szCs w:val="18"/>
          <w:color w:val="auto"/>
        </w:rPr>
        <w:t>Indenture dated as of September 18, 2013 by and among the Company, the guarantors named therein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ectPr>
          <w:pgSz w:w="11900" w:h="16838" w:orient="portrait"/>
          <w:cols w:equalWidth="0" w:num="2">
            <w:col w:w="2620" w:space="720"/>
            <w:col w:w="8080"/>
          </w:cols>
          <w:pgMar w:left="240" w:top="22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-201295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2620" w:space="720"/>
            <w:col w:w="7940"/>
          </w:cols>
          <w:pgMar w:left="240" w:top="270" w:right="379" w:bottom="1440" w:gutter="0" w:footer="0" w:header="0"/>
        </w:sectPr>
      </w:pPr>
    </w:p>
    <w:p>
      <w:pPr>
        <w:spacing w:after="0"/>
        <w:rPr>
          <w:sz w:val="20"/>
          <w:szCs w:val="20"/>
          <w:color w:val="auto"/>
        </w:rPr>
      </w:pPr>
      <w:r>
        <w:rPr>
          <w:rFonts w:ascii="Arial" w:cs="Arial" w:eastAsia="Arial" w:hAnsi="Arial"/>
          <w:sz w:val="16"/>
          <w:szCs w:val="16"/>
          <w:b w:val="1"/>
          <w:bCs w:val="1"/>
          <w:color w:val="auto"/>
        </w:rPr>
        <w:t>Expected Ratings:</w:t>
      </w: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Moody’s: A3; S&amp;P: A-; Fitch: A-</w:t>
      </w:r>
    </w:p>
    <w:p>
      <w:pPr>
        <w:spacing w:after="0" w:line="125" w:lineRule="exact"/>
        <w:rPr>
          <w:sz w:val="20"/>
          <w:szCs w:val="20"/>
          <w:color w:val="auto"/>
        </w:rPr>
      </w:pPr>
    </w:p>
    <w:p>
      <w:pPr>
        <w:sectPr>
          <w:pgSz w:w="11900" w:h="16838" w:orient="portrait"/>
          <w:cols w:equalWidth="0" w:num="2">
            <w:col w:w="2620" w:space="720"/>
            <w:col w:w="7940"/>
          </w:cols>
          <w:pgMar w:left="240" w:top="270" w:right="3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Credit Suisse Securities (USA)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Lloyds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135" w:lineRule="exact"/>
        <w:rPr>
          <w:sz w:val="20"/>
          <w:szCs w:val="20"/>
          <w:color w:val="auto"/>
        </w:rPr>
      </w:pPr>
    </w:p>
    <w:p>
      <w:pPr>
        <w:sectPr>
          <w:pgSz w:w="11900" w:h="16838" w:orient="portrait"/>
          <w:cols w:equalWidth="0" w:num="2">
            <w:col w:w="2620" w:space="720"/>
            <w:col w:w="7940"/>
          </w:cols>
          <w:pgMar w:left="240" w:top="270" w:right="3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Mitsubishi UFJ Securities (USA),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RBS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Santander Investment Securities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DNB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112" w:lineRule="exact"/>
        <w:rPr>
          <w:sz w:val="20"/>
          <w:szCs w:val="20"/>
          <w:color w:val="auto"/>
        </w:rPr>
      </w:pPr>
    </w:p>
    <w:p>
      <w:pPr>
        <w:sectPr>
          <w:pgSz w:w="11900" w:h="16838" w:orient="portrait"/>
          <w:cols w:equalWidth="0" w:num="2">
            <w:col w:w="2620" w:space="720"/>
            <w:col w:w="7940"/>
          </w:cols>
          <w:pgMar w:left="240" w:top="270" w:right="3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Junior 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The Williams Capital Group,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Drexel Hamilton,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Lebenthal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MFR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Mischler Financial Group,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Samuel A. Ramirez &amp; Company, Inc.</w:t>
      </w:r>
    </w:p>
    <w:p>
      <w:pPr>
        <w:spacing w:after="0" w:line="135" w:lineRule="exact"/>
        <w:rPr>
          <w:sz w:val="20"/>
          <w:szCs w:val="20"/>
          <w:color w:val="auto"/>
        </w:rPr>
      </w:pPr>
    </w:p>
    <w:p>
      <w:pPr>
        <w:sectPr>
          <w:pgSz w:w="11900" w:h="16838" w:orient="portrait"/>
          <w:cols w:equalWidth="0" w:num="2">
            <w:col w:w="2620" w:space="720"/>
            <w:col w:w="7940"/>
          </w:cols>
          <w:pgMar w:left="240" w:top="270" w:right="3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August 5, 2014</w:t>
      </w:r>
    </w:p>
    <w:p>
      <w:pPr>
        <w:spacing w:after="0" w:line="136" w:lineRule="exact"/>
        <w:rPr>
          <w:sz w:val="20"/>
          <w:szCs w:val="20"/>
          <w:color w:val="auto"/>
        </w:rPr>
      </w:pPr>
    </w:p>
    <w:p>
      <w:pPr>
        <w:sectPr>
          <w:pgSz w:w="11900" w:h="16838" w:orient="portrait"/>
          <w:cols w:equalWidth="0" w:num="2">
            <w:col w:w="2620" w:space="720"/>
            <w:col w:w="7940"/>
          </w:cols>
          <w:pgMar w:left="240" w:top="270" w:right="3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August 12, 2014 (T+5)</w:t>
      </w:r>
    </w:p>
    <w:p>
      <w:pPr>
        <w:spacing w:after="0" w:line="136" w:lineRule="exact"/>
        <w:rPr>
          <w:sz w:val="20"/>
          <w:szCs w:val="20"/>
          <w:color w:val="auto"/>
        </w:rPr>
      </w:pPr>
    </w:p>
    <w:p>
      <w:pPr>
        <w:sectPr>
          <w:pgSz w:w="11900" w:h="16838" w:orient="portrait"/>
          <w:cols w:equalWidth="0" w:num="2">
            <w:col w:w="2620" w:space="720"/>
            <w:col w:w="7940"/>
          </w:cols>
          <w:pgMar w:left="240" w:top="270" w:right="3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Recent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614045</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On February 12, 2014, Comcast entered into an agreement and plan of merger (the “merger agreement”) with Time Warner Cable Inc. (“Time Warner Cable”). As a result of the merger agreement, Comcast will acquire 100% of Time Warner Cable’s outstanding shares of common stock in exchange for shares of Comcast’s Class A common stock (the “Time Warner</w:t>
      </w:r>
    </w:p>
    <w:p>
      <w:pPr>
        <w:spacing w:after="0" w:line="200" w:lineRule="exact"/>
        <w:rPr>
          <w:sz w:val="20"/>
          <w:szCs w:val="20"/>
          <w:color w:val="auto"/>
        </w:rPr>
      </w:pPr>
    </w:p>
    <w:p>
      <w:pPr>
        <w:sectPr>
          <w:pgSz w:w="11900" w:h="16838" w:orient="portrait"/>
          <w:cols w:equalWidth="0" w:num="2">
            <w:col w:w="2620" w:space="720"/>
            <w:col w:w="7940"/>
          </w:cols>
          <w:pgMar w:left="240" w:top="270" w:right="379" w:bottom="1440" w:gutter="0" w:footer="0" w:header="0"/>
          <w:type w:val="continuous"/>
        </w:sectPr>
      </w:pPr>
    </w:p>
    <w:p>
      <w:pPr>
        <w:spacing w:after="0" w:line="81"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6"/>
          <w:szCs w:val="16"/>
          <w:color w:val="auto"/>
        </w:rPr>
        <w:t>A securities rating is not a recommendation to buy, sell or hold securities and may be subject to revision or withdrawal at any time.</w:t>
      </w:r>
    </w:p>
    <w:p>
      <w:pPr>
        <w:sectPr>
          <w:pgSz w:w="11900" w:h="16838" w:orient="portrait"/>
          <w:cols w:equalWidth="0" w:num="1">
            <w:col w:w="11280"/>
          </w:cols>
          <w:pgMar w:left="240" w:top="270" w:right="379" w:bottom="1440" w:gutter="0" w:footer="0" w:header="0"/>
          <w:type w:val="continuous"/>
        </w:sectPr>
      </w:pPr>
    </w:p>
    <w:bookmarkStart w:id="2" w:name="page3"/>
    <w:bookmarkEnd w:id="2"/>
    <w:p>
      <w:pPr>
        <w:ind w:left="2240"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Cable merger”). Time Warner Cable stockholders will receive, in exchange for each share of Time Warner Cable common stock owned immediately prior to the Time Warner Cable merger, 2.875 shares of Class A common stock. Time Warner Cable stockholders will then own approximately 23% of Comcast’s common stock, an estimate based on the number of shares outstanding as of the date of the merger agreement. Because the exchange ratio was fixed at the time of the merger agreement and the market value of Comcast’s Class A common stock will continue to fluctuate, the number of shares of Class A common stock to be issued and the total value of the consideration exchanged will not be determinable until the closing date. Following the close of the Time Warner Cable merger, Time Warner Cable will be a wholly owned subsidiary of Comcast. The Time Warner Cable merger remains subject to shareholder approval at both companies, regulatory review and other customary conditions. It is reasonably possible that the Time Warner Cable merger will close by the end of 2014.</w:t>
      </w:r>
    </w:p>
    <w:p>
      <w:pPr>
        <w:spacing w:after="0" w:line="88" w:lineRule="exact"/>
        <w:rPr>
          <w:sz w:val="20"/>
          <w:szCs w:val="20"/>
          <w:color w:val="auto"/>
        </w:rPr>
      </w:pPr>
    </w:p>
    <w:p>
      <w:pPr>
        <w:ind w:left="2240" w:right="20"/>
        <w:spacing w:after="0" w:line="269" w:lineRule="auto"/>
        <w:rPr>
          <w:sz w:val="20"/>
          <w:szCs w:val="20"/>
          <w:color w:val="auto"/>
        </w:rPr>
      </w:pPr>
      <w:r>
        <w:rPr>
          <w:rFonts w:ascii="Arial" w:cs="Arial" w:eastAsia="Arial" w:hAnsi="Arial"/>
          <w:sz w:val="17"/>
          <w:szCs w:val="17"/>
          <w:color w:val="auto"/>
        </w:rPr>
        <w:t>The terms of the merger agreement contemplate that Comcast is prepared to divest systems serving up to approximately 3 million video customers of the combined company to reduce competitive concerns. As a result of this commitment, on April 25, 2014, Comcast entered into a transactions agreement with Charter Communications, Inc. (“Charter”) that, if consummated, would satisfy the divestiture undertaking. Under the transactions agreement, following the close of the Time Warner Cable merger and subject to various conditions, Comcast would divest cable systems resulting in a net disposition of approximately 3.9 million video customers through three transactions: (1) a spin-off of cable systems serving approximately 2.5 million video customers (the “spin-off transaction”) into a newly formed public entity (“SpinCo”), (2) an exchange of cable systems serving approximately 1.5 million Time Warner Cable video customers for cable systems serving approximately 1.7 million Charter video customers, and (3) a sale to Charter of cable systems serving approximately 1.5 million Time Warner Cable video customers for cash (collectively, the “divestiture transactions”).</w:t>
      </w:r>
    </w:p>
    <w:p>
      <w:pPr>
        <w:spacing w:after="0" w:line="85" w:lineRule="exact"/>
        <w:rPr>
          <w:sz w:val="20"/>
          <w:szCs w:val="20"/>
          <w:color w:val="auto"/>
        </w:rPr>
      </w:pPr>
    </w:p>
    <w:p>
      <w:pPr>
        <w:ind w:left="2240"/>
        <w:spacing w:after="0" w:line="253" w:lineRule="auto"/>
        <w:rPr>
          <w:sz w:val="20"/>
          <w:szCs w:val="20"/>
          <w:color w:val="auto"/>
        </w:rPr>
      </w:pPr>
      <w:r>
        <w:rPr>
          <w:rFonts w:ascii="Arial" w:cs="Arial" w:eastAsia="Arial" w:hAnsi="Arial"/>
          <w:sz w:val="18"/>
          <w:szCs w:val="18"/>
          <w:color w:val="auto"/>
        </w:rPr>
        <w:t>In connection with the spin-off transaction and prior to the spin-off, it is expected that SpinCo will incur new debt to fund a distribution to Comcast in the form of cash and notes, which will enable Comcast to retire a portion of its debt. In the spin-off transaction, Comcast will distribute common stock of SpinCo pro rata to the holders of all of its outstanding common stock, including the former Time Warner Cable stockholders who continue to hold shares through the record date of the spin-off transaction. After the spin-off transaction, a newly formed, wholly owned indirect subsidiary of Charter will merge with and into Charter with the effect that all shares of Charter will be converted into shares of a new holding company, which will survive as the publicly traded parent company of Charter (“New Charter”). New Charter will then acquire an interest in SpinCo by issuing New Charter stock in exchange for a portion of the outstanding SpinCo stock, following which Comcast</w:t>
      </w:r>
    </w:p>
    <w:p>
      <w:pPr>
        <w:sectPr>
          <w:pgSz w:w="11900" w:h="16838" w:orient="portrait"/>
          <w:cols w:equalWidth="0" w:num="1">
            <w:col w:w="10180"/>
          </w:cols>
          <w:pgMar w:left="1440" w:top="274" w:right="279" w:bottom="1440" w:gutter="0" w:footer="0" w:header="0"/>
        </w:sectPr>
      </w:pPr>
    </w:p>
    <w:bookmarkStart w:id="3" w:name="page4"/>
    <w:bookmarkEnd w:id="3"/>
    <w:p>
      <w:pPr>
        <w:ind w:left="3440"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shareholders, including the former Time Warner Cable stockholders, are expected to own approximately 67% of SpinCo and New Charter is expected to own approximately 33% of SpinCo.</w:t>
      </w:r>
    </w:p>
    <w:p>
      <w:pPr>
        <w:spacing w:after="0" w:line="76" w:lineRule="exact"/>
        <w:rPr>
          <w:sz w:val="20"/>
          <w:szCs w:val="20"/>
          <w:color w:val="auto"/>
        </w:rPr>
      </w:pPr>
    </w:p>
    <w:p>
      <w:pPr>
        <w:ind w:left="3440"/>
        <w:spacing w:after="0" w:line="257" w:lineRule="auto"/>
        <w:rPr>
          <w:sz w:val="20"/>
          <w:szCs w:val="20"/>
          <w:color w:val="auto"/>
        </w:rPr>
      </w:pPr>
      <w:r>
        <w:rPr>
          <w:rFonts w:ascii="Arial" w:cs="Arial" w:eastAsia="Arial" w:hAnsi="Arial"/>
          <w:sz w:val="18"/>
          <w:szCs w:val="18"/>
          <w:color w:val="auto"/>
        </w:rPr>
        <w:t>The close of the divestiture transactions is subject to the completion of the Time Warner Cable merger, Charter stockholder approval, completion of the SpinCo financing transactions, regulatory approvals and other customary conditions. The Time Warner Cable merger and the divestiture transactions are subject to separate conditions, and the Time Warner Cable merger can be completed regardless of whether the divestiture transactions are ultimately completed.</w:t>
      </w:r>
    </w:p>
    <w:p>
      <w:pPr>
        <w:spacing w:after="0" w:line="94" w:lineRule="exact"/>
        <w:rPr>
          <w:sz w:val="20"/>
          <w:szCs w:val="20"/>
          <w:color w:val="auto"/>
        </w:rPr>
      </w:pPr>
    </w:p>
    <w:p>
      <w:pPr>
        <w:ind w:left="3440" w:right="160"/>
        <w:spacing w:after="0" w:line="264" w:lineRule="auto"/>
        <w:rPr>
          <w:sz w:val="20"/>
          <w:szCs w:val="20"/>
          <w:color w:val="auto"/>
        </w:rPr>
      </w:pPr>
      <w:r>
        <w:rPr>
          <w:rFonts w:ascii="Arial" w:cs="Arial" w:eastAsia="Arial" w:hAnsi="Arial"/>
          <w:sz w:val="18"/>
          <w:szCs w:val="18"/>
          <w:color w:val="auto"/>
        </w:rPr>
        <w:t>According to its publicly available information, as of June 30, 2014, Time Warner Cable had $24.580 billion aggregate outstanding debt and its ratio of earnings to fixed charges for the year ended December 31, 2013 was 2.8x.</w:t>
      </w:r>
    </w:p>
    <w:p>
      <w:pPr>
        <w:sectPr>
          <w:pgSz w:w="11900" w:h="16838" w:orient="portrait"/>
          <w:cols w:equalWidth="0" w:num="1">
            <w:col w:w="11420"/>
          </w:cols>
          <w:pgMar w:left="240" w:top="274" w:right="239" w:bottom="1440" w:gutter="0" w:footer="0" w:header="0"/>
        </w:sectPr>
      </w:pP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Relationships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Barclays Capital Inc. and J.P. Morgan Securities LLC have acted as financial advisors to the Company in connection with the Time Warner Cable merger, and affiliates of J.P. Morgan Securities LLC have acted as financial advisors to the Company in connection with the divestiture transactions, and in each case, they received or may in the future receive customary fees and commissions. Certain of the underwriters and/or their affiliates may hold some of the Company’s 6.5% Notes due 2015 and/or 3.65% Notes due 2015, and therefore, the underwriters and/or their respective affiliates may indirectly receive a portion of the net proceeds from this offering.</w:t>
      </w:r>
    </w:p>
    <w:p>
      <w:pPr>
        <w:sectPr>
          <w:pgSz w:w="11900" w:h="16838" w:orient="portrait"/>
          <w:cols w:equalWidth="0" w:num="2">
            <w:col w:w="2720" w:space="720"/>
            <w:col w:w="7980"/>
          </w:cols>
          <w:pgMar w:left="240" w:top="274"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3.375% Notes Due 2025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Benchmark Treasury Price/Yield: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11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-430530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February 15, 2025</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3.375% per annum, accruing from August 12, 2014 (calculated on the basis of a 360-day year consisting of twelve 30-day months)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February 15 and August 15, commencing February 15,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UST 2.50% due May 15,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100-04 / 2.485%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+90 bps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3.385%</w:t>
      </w:r>
    </w:p>
    <w:p>
      <w:pPr>
        <w:spacing w:after="0" w:line="117"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3.375% Notes due 2025 are redeemable at the option of the Company at any time, in whole or in part, at the “Redemption Price.” Prior to November 15, 2024 (three months prior to the maturity of the Notes due</w:t>
      </w:r>
    </w:p>
    <w:p>
      <w:pPr>
        <w:spacing w:after="0" w:line="290" w:lineRule="auto"/>
        <w:rPr>
          <w:sz w:val="20"/>
          <w:szCs w:val="20"/>
          <w:color w:val="auto"/>
        </w:rPr>
      </w:pPr>
      <w:r>
        <w:rPr>
          <w:rFonts w:ascii="Arial" w:cs="Arial" w:eastAsia="Arial" w:hAnsi="Arial"/>
          <w:sz w:val="16"/>
          <w:szCs w:val="16"/>
          <w:color w:val="auto"/>
        </w:rPr>
        <w:t>2025), the Redemption Price is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at the Treasury Rate plus 15 basis points. On and after November 15, 2024 (three months prior to the maturity of the Notes due 2025), the Redemption Price will equal 100% of the principal amount of such notes. In each case described in this paragraph, the Redemption Price will include accrued and unpaid interest thereon to the date of redemption</w:t>
      </w:r>
    </w:p>
    <w:p>
      <w:pPr>
        <w:spacing w:after="0" w:line="56"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An unlimited amount of additional 3.375% Notes due 2025 may be issued. The 3.375% Notes due 2025 and any additional 3.375% Notes due 2025 that may be issued may be treated as a single series for all purposes under the indenture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20030NBL4 / US20030NBL47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99.912% plus accrued interest, if any, from August 12,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0.45%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99.462% per $1,000 principal amount of Notes due 2025; $994,620,000 total</w:t>
      </w:r>
    </w:p>
    <w:p>
      <w:pPr>
        <w:sectPr>
          <w:pgSz w:w="11900" w:h="16838" w:orient="portrait"/>
          <w:cols w:equalWidth="0" w:num="2">
            <w:col w:w="2620" w:space="720"/>
            <w:col w:w="8060"/>
          </w:cols>
          <w:pgMar w:left="240" w:top="270"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b w:val="1"/>
                <w:bCs w:val="1"/>
                <w:u w:val="single" w:color="auto"/>
                <w:color w:val="auto"/>
              </w:rPr>
              <w:t>200%</w:t>
            </w:r>
            <w:r>
              <w:rPr>
                <w:rFonts w:ascii="Arial" w:cs="Arial" w:eastAsia="Arial" w:hAnsi="Arial"/>
                <w:sz w:val="18"/>
                <w:szCs w:val="18"/>
                <w:b w:val="1"/>
                <w:bCs w:val="1"/>
                <w:color w:val="auto"/>
              </w:rPr>
              <w:t xml:space="preserve"> Notes Due 2034</w:t>
            </w:r>
          </w:p>
        </w:tc>
        <w:tc>
          <w:tcPr>
            <w:tcW w:w="8440" w:type="dxa"/>
            <w:vAlign w:val="bottom"/>
          </w:tcPr>
          <w:p>
            <w:pPr>
              <w:spacing w:after="0"/>
              <w:rPr>
                <w:sz w:val="17"/>
                <w:szCs w:val="17"/>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r>
      <w:tr>
        <w:trPr>
          <w:trHeight w:val="358"/>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Aggregate Principal Amount:</w:t>
            </w:r>
          </w:p>
        </w:tc>
        <w:tc>
          <w:tcPr>
            <w:tcW w:w="8440" w:type="dxa"/>
            <w:vAlign w:val="bottom"/>
          </w:tcPr>
          <w:p>
            <w:pPr>
              <w:ind w:left="380"/>
              <w:spacing w:after="0"/>
              <w:rPr>
                <w:sz w:val="20"/>
                <w:szCs w:val="20"/>
                <w:color w:val="auto"/>
              </w:rPr>
            </w:pPr>
            <w:r>
              <w:rPr>
                <w:rFonts w:ascii="Arial" w:cs="Arial" w:eastAsia="Arial" w:hAnsi="Arial"/>
                <w:sz w:val="18"/>
                <w:szCs w:val="18"/>
                <w:color w:val="auto"/>
              </w:rPr>
              <w:t>$1,000,000,000</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Maturity:</w:t>
            </w:r>
          </w:p>
        </w:tc>
        <w:tc>
          <w:tcPr>
            <w:tcW w:w="8440" w:type="dxa"/>
            <w:vAlign w:val="bottom"/>
          </w:tcPr>
          <w:p>
            <w:pPr>
              <w:ind w:left="380"/>
              <w:spacing w:after="0"/>
              <w:rPr>
                <w:sz w:val="20"/>
                <w:szCs w:val="20"/>
                <w:color w:val="auto"/>
              </w:rPr>
            </w:pPr>
            <w:r>
              <w:rPr>
                <w:rFonts w:ascii="Arial" w:cs="Arial" w:eastAsia="Arial" w:hAnsi="Arial"/>
                <w:sz w:val="18"/>
                <w:szCs w:val="18"/>
                <w:color w:val="auto"/>
              </w:rPr>
              <w:t>August 15, 2034</w:t>
            </w:r>
          </w:p>
        </w:tc>
      </w:tr>
      <w:tr>
        <w:trPr>
          <w:trHeight w:val="310"/>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Interest Rate:</w:t>
            </w:r>
          </w:p>
        </w:tc>
        <w:tc>
          <w:tcPr>
            <w:tcW w:w="8440" w:type="dxa"/>
            <w:vAlign w:val="bottom"/>
          </w:tcPr>
          <w:p>
            <w:pPr>
              <w:ind w:left="380"/>
              <w:spacing w:after="0"/>
              <w:rPr>
                <w:sz w:val="20"/>
                <w:szCs w:val="20"/>
                <w:color w:val="auto"/>
              </w:rPr>
            </w:pPr>
            <w:r>
              <w:rPr>
                <w:rFonts w:ascii="Arial" w:cs="Arial" w:eastAsia="Arial" w:hAnsi="Arial"/>
                <w:sz w:val="18"/>
                <w:szCs w:val="18"/>
                <w:color w:val="auto"/>
                <w:w w:val="94"/>
              </w:rPr>
              <w:t>4.200% per annum, accruing from August 12, 2014 (calculated on the basis of a 360-day year consisting of</w:t>
            </w:r>
          </w:p>
        </w:tc>
      </w:tr>
      <w:tr>
        <w:trPr>
          <w:trHeight w:val="230"/>
        </w:trPr>
        <w:tc>
          <w:tcPr>
            <w:tcW w:w="1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40" w:type="dxa"/>
            <w:vAlign w:val="bottom"/>
          </w:tcPr>
          <w:p>
            <w:pPr>
              <w:ind w:left="380"/>
              <w:spacing w:after="0"/>
              <w:rPr>
                <w:sz w:val="20"/>
                <w:szCs w:val="20"/>
                <w:color w:val="auto"/>
              </w:rPr>
            </w:pPr>
            <w:r>
              <w:rPr>
                <w:rFonts w:ascii="Arial" w:cs="Arial" w:eastAsia="Arial" w:hAnsi="Arial"/>
                <w:sz w:val="18"/>
                <w:szCs w:val="18"/>
                <w:color w:val="auto"/>
              </w:rPr>
              <w:t>twelve 30-day months)</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Interest Payment Dates:</w:t>
            </w:r>
          </w:p>
        </w:tc>
        <w:tc>
          <w:tcPr>
            <w:tcW w:w="8440" w:type="dxa"/>
            <w:vAlign w:val="bottom"/>
          </w:tcPr>
          <w:p>
            <w:pPr>
              <w:ind w:left="380"/>
              <w:spacing w:after="0"/>
              <w:rPr>
                <w:sz w:val="20"/>
                <w:szCs w:val="20"/>
                <w:color w:val="auto"/>
              </w:rPr>
            </w:pPr>
            <w:r>
              <w:rPr>
                <w:rFonts w:ascii="Arial" w:cs="Arial" w:eastAsia="Arial" w:hAnsi="Arial"/>
                <w:sz w:val="18"/>
                <w:szCs w:val="18"/>
                <w:color w:val="auto"/>
              </w:rPr>
              <w:t>February 15 and August 15, commencing February 15, 2015</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Benchmark Treasury:</w:t>
            </w:r>
          </w:p>
        </w:tc>
        <w:tc>
          <w:tcPr>
            <w:tcW w:w="8440" w:type="dxa"/>
            <w:vAlign w:val="bottom"/>
          </w:tcPr>
          <w:p>
            <w:pPr>
              <w:ind w:left="380"/>
              <w:spacing w:after="0"/>
              <w:rPr>
                <w:sz w:val="20"/>
                <w:szCs w:val="20"/>
                <w:color w:val="auto"/>
              </w:rPr>
            </w:pPr>
            <w:r>
              <w:rPr>
                <w:rFonts w:ascii="Arial" w:cs="Arial" w:eastAsia="Arial" w:hAnsi="Arial"/>
                <w:sz w:val="18"/>
                <w:szCs w:val="18"/>
                <w:color w:val="auto"/>
              </w:rPr>
              <w:t>UST 3.625% due February 15, 2044</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Benchmark Treasury Price/Yield:</w:t>
            </w:r>
          </w:p>
        </w:tc>
        <w:tc>
          <w:tcPr>
            <w:tcW w:w="8440" w:type="dxa"/>
            <w:vAlign w:val="bottom"/>
          </w:tcPr>
          <w:p>
            <w:pPr>
              <w:ind w:left="380"/>
              <w:spacing w:after="0"/>
              <w:rPr>
                <w:sz w:val="20"/>
                <w:szCs w:val="20"/>
                <w:color w:val="auto"/>
              </w:rPr>
            </w:pPr>
            <w:r>
              <w:rPr>
                <w:rFonts w:ascii="Arial" w:cs="Arial" w:eastAsia="Arial" w:hAnsi="Arial"/>
                <w:sz w:val="18"/>
                <w:szCs w:val="18"/>
                <w:color w:val="auto"/>
              </w:rPr>
              <w:t>106-17 /3.278%</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Spread to Benchmark:</w:t>
            </w:r>
          </w:p>
        </w:tc>
        <w:tc>
          <w:tcPr>
            <w:tcW w:w="8440" w:type="dxa"/>
            <w:vAlign w:val="bottom"/>
          </w:tcPr>
          <w:p>
            <w:pPr>
              <w:ind w:left="380"/>
              <w:spacing w:after="0"/>
              <w:rPr>
                <w:sz w:val="20"/>
                <w:szCs w:val="20"/>
                <w:color w:val="auto"/>
              </w:rPr>
            </w:pPr>
            <w:r>
              <w:rPr>
                <w:rFonts w:ascii="Arial" w:cs="Arial" w:eastAsia="Arial" w:hAnsi="Arial"/>
                <w:sz w:val="18"/>
                <w:szCs w:val="18"/>
                <w:color w:val="auto"/>
              </w:rPr>
              <w:t>+95 bps</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Yield to Maturity:</w:t>
            </w:r>
          </w:p>
        </w:tc>
        <w:tc>
          <w:tcPr>
            <w:tcW w:w="8440" w:type="dxa"/>
            <w:vAlign w:val="bottom"/>
          </w:tcPr>
          <w:p>
            <w:pPr>
              <w:ind w:left="380"/>
              <w:spacing w:after="0"/>
              <w:rPr>
                <w:sz w:val="20"/>
                <w:szCs w:val="20"/>
                <w:color w:val="auto"/>
              </w:rPr>
            </w:pPr>
            <w:r>
              <w:rPr>
                <w:rFonts w:ascii="Arial" w:cs="Arial" w:eastAsia="Arial" w:hAnsi="Arial"/>
                <w:sz w:val="18"/>
                <w:szCs w:val="18"/>
                <w:color w:val="auto"/>
              </w:rPr>
              <w:t>4.228%</w:t>
            </w:r>
          </w:p>
        </w:tc>
      </w:tr>
      <w:tr>
        <w:trPr>
          <w:trHeight w:val="310"/>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Optional Redemption:</w:t>
            </w:r>
          </w:p>
        </w:tc>
        <w:tc>
          <w:tcPr>
            <w:tcW w:w="8440" w:type="dxa"/>
            <w:vAlign w:val="bottom"/>
          </w:tcPr>
          <w:p>
            <w:pPr>
              <w:ind w:left="380"/>
              <w:spacing w:after="0"/>
              <w:rPr>
                <w:sz w:val="20"/>
                <w:szCs w:val="20"/>
                <w:color w:val="auto"/>
              </w:rPr>
            </w:pPr>
            <w:r>
              <w:rPr>
                <w:rFonts w:ascii="Arial" w:cs="Arial" w:eastAsia="Arial" w:hAnsi="Arial"/>
                <w:sz w:val="18"/>
                <w:szCs w:val="18"/>
                <w:color w:val="auto"/>
                <w:w w:val="92"/>
              </w:rPr>
              <w:t>The 4.200% Notes due 2034 are redeemable at the option of the Company at any time, in whole or in part, at</w:t>
            </w:r>
          </w:p>
        </w:tc>
      </w:tr>
      <w:tr>
        <w:trPr>
          <w:trHeight w:val="216"/>
        </w:trPr>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40" w:type="dxa"/>
            <w:vAlign w:val="bottom"/>
          </w:tcPr>
          <w:p>
            <w:pPr>
              <w:ind w:left="380"/>
              <w:spacing w:after="0"/>
              <w:rPr>
                <w:sz w:val="20"/>
                <w:szCs w:val="20"/>
                <w:color w:val="auto"/>
              </w:rPr>
            </w:pPr>
            <w:r>
              <w:rPr>
                <w:rFonts w:ascii="Arial" w:cs="Arial" w:eastAsia="Arial" w:hAnsi="Arial"/>
                <w:sz w:val="18"/>
                <w:szCs w:val="18"/>
                <w:color w:val="auto"/>
                <w:w w:val="93"/>
              </w:rPr>
              <w:t>the “Redemption Price.” Prior to February 15, 2034 (six months prior to the maturity of the Notes due 2034),</w:t>
            </w:r>
          </w:p>
        </w:tc>
      </w:tr>
      <w:tr>
        <w:trPr>
          <w:trHeight w:val="216"/>
        </w:trPr>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40" w:type="dxa"/>
            <w:vAlign w:val="bottom"/>
          </w:tcPr>
          <w:p>
            <w:pPr>
              <w:ind w:left="380"/>
              <w:spacing w:after="0"/>
              <w:rPr>
                <w:sz w:val="20"/>
                <w:szCs w:val="20"/>
                <w:color w:val="auto"/>
              </w:rPr>
            </w:pPr>
            <w:r>
              <w:rPr>
                <w:rFonts w:ascii="Arial" w:cs="Arial" w:eastAsia="Arial" w:hAnsi="Arial"/>
                <w:sz w:val="18"/>
                <w:szCs w:val="18"/>
                <w:color w:val="auto"/>
                <w:w w:val="93"/>
              </w:rPr>
              <w:t>the Redemption Price is the greater of (i) 100% of the principal amount of such notes, and (ii) the sum of the</w:t>
            </w:r>
          </w:p>
        </w:tc>
      </w:tr>
      <w:tr>
        <w:trPr>
          <w:trHeight w:val="216"/>
        </w:trPr>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40" w:type="dxa"/>
            <w:vAlign w:val="bottom"/>
          </w:tcPr>
          <w:p>
            <w:pPr>
              <w:ind w:left="380"/>
              <w:spacing w:after="0"/>
              <w:rPr>
                <w:sz w:val="20"/>
                <w:szCs w:val="20"/>
                <w:color w:val="auto"/>
              </w:rPr>
            </w:pPr>
            <w:r>
              <w:rPr>
                <w:rFonts w:ascii="Arial" w:cs="Arial" w:eastAsia="Arial" w:hAnsi="Arial"/>
                <w:sz w:val="18"/>
                <w:szCs w:val="18"/>
                <w:color w:val="auto"/>
                <w:w w:val="94"/>
              </w:rPr>
              <w:t>present values of the remaining scheduled payments of principal and interest thereon (exclusive of interest</w:t>
            </w:r>
          </w:p>
        </w:tc>
      </w:tr>
      <w:tr>
        <w:trPr>
          <w:trHeight w:val="216"/>
        </w:trPr>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40" w:type="dxa"/>
            <w:vAlign w:val="bottom"/>
          </w:tcPr>
          <w:p>
            <w:pPr>
              <w:ind w:left="380"/>
              <w:spacing w:after="0"/>
              <w:rPr>
                <w:sz w:val="20"/>
                <w:szCs w:val="20"/>
                <w:color w:val="auto"/>
              </w:rPr>
            </w:pPr>
            <w:r>
              <w:rPr>
                <w:rFonts w:ascii="Arial" w:cs="Arial" w:eastAsia="Arial" w:hAnsi="Arial"/>
                <w:sz w:val="18"/>
                <w:szCs w:val="18"/>
                <w:color w:val="auto"/>
                <w:w w:val="88"/>
              </w:rPr>
              <w:t>accrued to the date of redemption) discounted to the redemption date on a semiannual basis at the Treasury Rate</w:t>
            </w:r>
          </w:p>
        </w:tc>
      </w:tr>
      <w:tr>
        <w:trPr>
          <w:trHeight w:val="216"/>
        </w:trPr>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40" w:type="dxa"/>
            <w:vAlign w:val="bottom"/>
          </w:tcPr>
          <w:p>
            <w:pPr>
              <w:ind w:left="380"/>
              <w:spacing w:after="0"/>
              <w:rPr>
                <w:sz w:val="20"/>
                <w:szCs w:val="20"/>
                <w:color w:val="auto"/>
              </w:rPr>
            </w:pPr>
            <w:r>
              <w:rPr>
                <w:rFonts w:ascii="Arial" w:cs="Arial" w:eastAsia="Arial" w:hAnsi="Arial"/>
                <w:sz w:val="18"/>
                <w:szCs w:val="18"/>
                <w:color w:val="auto"/>
                <w:w w:val="92"/>
              </w:rPr>
              <w:t>plus 15 basis points. On and after February 15, 2034 (six months prior to the maturity of the Notes due 2034),</w:t>
            </w:r>
          </w:p>
        </w:tc>
      </w:tr>
      <w:tr>
        <w:trPr>
          <w:trHeight w:val="216"/>
        </w:trPr>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40" w:type="dxa"/>
            <w:vAlign w:val="bottom"/>
          </w:tcPr>
          <w:p>
            <w:pPr>
              <w:ind w:left="380"/>
              <w:spacing w:after="0"/>
              <w:rPr>
                <w:sz w:val="20"/>
                <w:szCs w:val="20"/>
                <w:color w:val="auto"/>
              </w:rPr>
            </w:pPr>
            <w:r>
              <w:rPr>
                <w:rFonts w:ascii="Arial" w:cs="Arial" w:eastAsia="Arial" w:hAnsi="Arial"/>
                <w:sz w:val="18"/>
                <w:szCs w:val="18"/>
                <w:color w:val="auto"/>
                <w:w w:val="94"/>
              </w:rPr>
              <w:t>the Redemption Price will equal 100% of the principal amount of such notes. In each case described in this</w:t>
            </w:r>
          </w:p>
        </w:tc>
      </w:tr>
      <w:tr>
        <w:trPr>
          <w:trHeight w:val="230"/>
        </w:trPr>
        <w:tc>
          <w:tcPr>
            <w:tcW w:w="1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40" w:type="dxa"/>
            <w:vAlign w:val="bottom"/>
          </w:tcPr>
          <w:p>
            <w:pPr>
              <w:ind w:left="380"/>
              <w:spacing w:after="0"/>
              <w:rPr>
                <w:sz w:val="20"/>
                <w:szCs w:val="20"/>
                <w:color w:val="auto"/>
              </w:rPr>
            </w:pPr>
            <w:r>
              <w:rPr>
                <w:rFonts w:ascii="Arial" w:cs="Arial" w:eastAsia="Arial" w:hAnsi="Arial"/>
                <w:sz w:val="18"/>
                <w:szCs w:val="18"/>
                <w:color w:val="auto"/>
                <w:w w:val="93"/>
              </w:rPr>
              <w:t>paragraph, the Redemption Price will include accrued and unpaid interest thereon to the date of redemption</w:t>
            </w:r>
          </w:p>
        </w:tc>
      </w:tr>
      <w:tr>
        <w:trPr>
          <w:trHeight w:val="310"/>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Additional Issuances:</w:t>
            </w:r>
          </w:p>
        </w:tc>
        <w:tc>
          <w:tcPr>
            <w:tcW w:w="8440" w:type="dxa"/>
            <w:vAlign w:val="bottom"/>
          </w:tcPr>
          <w:p>
            <w:pPr>
              <w:ind w:left="380"/>
              <w:spacing w:after="0"/>
              <w:rPr>
                <w:sz w:val="20"/>
                <w:szCs w:val="20"/>
                <w:color w:val="auto"/>
              </w:rPr>
            </w:pPr>
            <w:r>
              <w:rPr>
                <w:rFonts w:ascii="Arial" w:cs="Arial" w:eastAsia="Arial" w:hAnsi="Arial"/>
                <w:sz w:val="18"/>
                <w:szCs w:val="18"/>
                <w:color w:val="auto"/>
                <w:w w:val="93"/>
              </w:rPr>
              <w:t>An unlimited amount of additional 4.200% Notes due 2034 may be issued. The 4.200% Notes due 2034 and</w:t>
            </w:r>
          </w:p>
        </w:tc>
      </w:tr>
      <w:tr>
        <w:trPr>
          <w:trHeight w:val="216"/>
        </w:trPr>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440" w:type="dxa"/>
            <w:vAlign w:val="bottom"/>
          </w:tcPr>
          <w:p>
            <w:pPr>
              <w:ind w:left="380"/>
              <w:spacing w:after="0"/>
              <w:rPr>
                <w:sz w:val="20"/>
                <w:szCs w:val="20"/>
                <w:color w:val="auto"/>
              </w:rPr>
            </w:pPr>
            <w:r>
              <w:rPr>
                <w:rFonts w:ascii="Arial" w:cs="Arial" w:eastAsia="Arial" w:hAnsi="Arial"/>
                <w:sz w:val="18"/>
                <w:szCs w:val="18"/>
                <w:color w:val="auto"/>
                <w:w w:val="93"/>
              </w:rPr>
              <w:t>any additional 4.200% Notes due 2034 that may be issued may be treated as a single series for all purposes</w:t>
            </w:r>
          </w:p>
        </w:tc>
      </w:tr>
      <w:tr>
        <w:trPr>
          <w:trHeight w:val="230"/>
        </w:trPr>
        <w:tc>
          <w:tcPr>
            <w:tcW w:w="1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40" w:type="dxa"/>
            <w:vAlign w:val="bottom"/>
          </w:tcPr>
          <w:p>
            <w:pPr>
              <w:ind w:left="380"/>
              <w:spacing w:after="0"/>
              <w:rPr>
                <w:sz w:val="20"/>
                <w:szCs w:val="20"/>
                <w:color w:val="auto"/>
              </w:rPr>
            </w:pPr>
            <w:r>
              <w:rPr>
                <w:rFonts w:ascii="Arial" w:cs="Arial" w:eastAsia="Arial" w:hAnsi="Arial"/>
                <w:sz w:val="18"/>
                <w:szCs w:val="18"/>
                <w:color w:val="auto"/>
              </w:rPr>
              <w:t>under the indenture</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CUSIP / ISIN:</w:t>
            </w:r>
          </w:p>
        </w:tc>
        <w:tc>
          <w:tcPr>
            <w:tcW w:w="8440" w:type="dxa"/>
            <w:vAlign w:val="bottom"/>
          </w:tcPr>
          <w:p>
            <w:pPr>
              <w:ind w:left="380"/>
              <w:spacing w:after="0"/>
              <w:rPr>
                <w:sz w:val="20"/>
                <w:szCs w:val="20"/>
                <w:color w:val="auto"/>
              </w:rPr>
            </w:pPr>
            <w:r>
              <w:rPr>
                <w:rFonts w:ascii="Arial" w:cs="Arial" w:eastAsia="Arial" w:hAnsi="Arial"/>
                <w:sz w:val="18"/>
                <w:szCs w:val="18"/>
                <w:color w:val="auto"/>
              </w:rPr>
              <w:t>20030NBM2 / US20030NBM20</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Public Offering Price:</w:t>
            </w:r>
          </w:p>
        </w:tc>
        <w:tc>
          <w:tcPr>
            <w:tcW w:w="8440" w:type="dxa"/>
            <w:vAlign w:val="bottom"/>
          </w:tcPr>
          <w:p>
            <w:pPr>
              <w:ind w:left="380"/>
              <w:spacing w:after="0"/>
              <w:rPr>
                <w:sz w:val="20"/>
                <w:szCs w:val="20"/>
                <w:color w:val="auto"/>
              </w:rPr>
            </w:pPr>
            <w:r>
              <w:rPr>
                <w:rFonts w:ascii="Arial" w:cs="Arial" w:eastAsia="Arial" w:hAnsi="Arial"/>
                <w:sz w:val="18"/>
                <w:szCs w:val="18"/>
                <w:color w:val="auto"/>
              </w:rPr>
              <w:t>99.624% plus accrued interest, if any, from August 12, 2014</w:t>
            </w:r>
          </w:p>
        </w:tc>
      </w:tr>
      <w:tr>
        <w:trPr>
          <w:trHeight w:val="324"/>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Underwriters’ Discount:</w:t>
            </w:r>
          </w:p>
        </w:tc>
        <w:tc>
          <w:tcPr>
            <w:tcW w:w="8440" w:type="dxa"/>
            <w:vAlign w:val="bottom"/>
          </w:tcPr>
          <w:p>
            <w:pPr>
              <w:ind w:left="380"/>
              <w:spacing w:after="0"/>
              <w:rPr>
                <w:sz w:val="20"/>
                <w:szCs w:val="20"/>
                <w:color w:val="auto"/>
              </w:rPr>
            </w:pPr>
            <w:r>
              <w:rPr>
                <w:rFonts w:ascii="Arial" w:cs="Arial" w:eastAsia="Arial" w:hAnsi="Arial"/>
                <w:sz w:val="18"/>
                <w:szCs w:val="18"/>
                <w:color w:val="auto"/>
              </w:rPr>
              <w:t>0.65%</w:t>
            </w:r>
          </w:p>
        </w:tc>
      </w:tr>
    </w:tbl>
    <w:p>
      <w:pPr>
        <w:ind w:left="380"/>
        <w:spacing w:after="0"/>
        <w:rPr>
          <w:sz w:val="20"/>
          <w:szCs w:val="20"/>
          <w:color w:val="auto"/>
        </w:rPr>
        <w:sectPr>
          <w:pgSz w:w="11900" w:h="16838" w:orient="portrait"/>
          <w:cols w:equalWidth="0" w:num="1">
            <w:col w:w="11400"/>
          </w:cols>
          <w:pgMar w:left="240" w:top="257"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ind w:right="140"/>
        <w:spacing w:after="0" w:line="282" w:lineRule="auto"/>
        <w:rPr>
          <w:sz w:val="20"/>
          <w:szCs w:val="20"/>
          <w:color w:val="auto"/>
        </w:rPr>
      </w:pPr>
      <w:r>
        <w:rPr>
          <w:rFonts w:ascii="Arial" w:cs="Arial" w:eastAsia="Arial" w:hAnsi="Arial"/>
          <w:sz w:val="18"/>
          <w:szCs w:val="18"/>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98.974% per $1,000 principal amount of Notes due 2034; $989,740,000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-201295</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64" w:lineRule="exact"/>
        <w:rPr>
          <w:sz w:val="20"/>
          <w:szCs w:val="20"/>
          <w:color w:val="auto"/>
        </w:rPr>
      </w:pPr>
    </w:p>
    <w:p>
      <w:pPr>
        <w:sectPr>
          <w:pgSz w:w="11900" w:h="16838" w:orient="portrait"/>
          <w:cols w:equalWidth="0" w:num="2">
            <w:col w:w="2620" w:space="720"/>
            <w:col w:w="8080"/>
          </w:cols>
          <w:pgMar w:left="240" w:top="270" w:right="239" w:bottom="1440" w:gutter="0" w:footer="0" w:header="0"/>
        </w:sectPr>
      </w:pPr>
    </w:p>
    <w:p>
      <w:pPr>
        <w:ind w:right="20"/>
        <w:spacing w:after="0" w:line="297" w:lineRule="auto"/>
        <w:rPr>
          <w:sz w:val="20"/>
          <w:szCs w:val="20"/>
          <w:color w:val="auto"/>
        </w:rPr>
      </w:pPr>
      <w:r>
        <w:rPr>
          <w:rFonts w:ascii="Arial" w:cs="Arial" w:eastAsia="Arial" w:hAnsi="Arial"/>
          <w:sz w:val="16"/>
          <w:szCs w:val="16"/>
          <w:color w:val="auto"/>
        </w:rPr>
        <w:t>It is expected that delivery of the notes will be made against payment therefor on or about August 12, 2014,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and should consult their own advisors.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Alternatively, the issuer, any underwriter or any dealer participating in the offering will arrange to send you the prospectus if you request it by calling Credit Suisse Securities (USA) LLC at (800) 221-1037, J.P. Morgan Securities LLC at (212) 834-4533, Lloyds Securities Inc. at (212) 930-5000, Mizuho Securities USA Inc. at (866) 271-7403 or SunTrust Robinson Humphrey, Inc. at (800) 685-4786.</w:t>
      </w:r>
    </w:p>
    <w:sectPr>
      <w:pgSz w:w="11900" w:h="16838" w:orient="portrait"/>
      <w:cols w:equalWidth="0" w:num="1">
        <w:col w:w="11420"/>
      </w:cols>
      <w:pgMar w:left="240" w:top="27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2019-12-07T03:03:57Z</dcterms:created>
  <dcterms:modified xsi:type="dcterms:W3CDTF">2019-12-07T03:03:57Z</dcterms:modified>
</cp:coreProperties>
</file>