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60" w:type="dxa"/>
            <w:vAlign w:val="bottom"/>
          </w:tcPr>
          <w:p>
            <w:pPr>
              <w:spacing w:after="0"/>
              <w:rPr>
                <w:sz w:val="20"/>
                <w:szCs w:val="20"/>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January 26, 2023</w:t>
            </w:r>
          </w:p>
        </w:tc>
      </w:tr>
      <w:tr>
        <w:trPr>
          <w:trHeight w:val="45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60" w:type="dxa"/>
            <w:vAlign w:val="bottom"/>
          </w:tcPr>
          <w:p>
            <w:pPr>
              <w:spacing w:after="0"/>
              <w:rPr>
                <w:sz w:val="12"/>
                <w:szCs w:val="12"/>
                <w:color w:val="auto"/>
              </w:rPr>
            </w:pPr>
          </w:p>
        </w:tc>
        <w:tc>
          <w:tcPr>
            <w:tcW w:w="7200" w:type="dxa"/>
            <w:vAlign w:val="bottom"/>
          </w:tcPr>
          <w:p>
            <w:pPr>
              <w:jc w:val="center"/>
              <w:ind w:right="220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83"/>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92"/>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 File Number)</w:t>
            </w:r>
          </w:p>
        </w:tc>
        <w:tc>
          <w:tcPr>
            <w:tcW w:w="7200" w:type="dxa"/>
            <w:vAlign w:val="bottom"/>
          </w:tcPr>
          <w:p>
            <w:pPr>
              <w:jc w:val="center"/>
              <w:ind w:left="512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67"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26, 2023, Comcast Corporation (“Comcast”) issued a press release reporting the results of its operations for the three and twelve months ended December 31, 2022.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January 26, 2023.</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26, 2023</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6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448310</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4th QUARTER AND FULL YEAR 2022 RESULTS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PHILADELPHIA - January 26, 2023… Comcast Corporation (NASDAQ: CMCSA) today reported results for the quarter and year ended December 31, 2022.</w:t>
      </w:r>
    </w:p>
    <w:p>
      <w:pPr>
        <w:jc w:val="both"/>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 am proud of how our team executed throughout 2022,</w:t>
      </w:r>
      <w:r>
        <w:rPr>
          <w:rFonts w:ascii="Arial" w:cs="Arial" w:eastAsia="Arial" w:hAnsi="Arial"/>
          <w:sz w:val="18"/>
          <w:szCs w:val="18"/>
          <w:color w:val="auto"/>
        </w:rPr>
        <w:t>" said Brian L. Roberts, Chairman and Chief Executive Officer of Comcast Corporation. "</w:t>
      </w:r>
      <w:r>
        <w:rPr>
          <w:rFonts w:ascii="Arial" w:cs="Arial" w:eastAsia="Arial" w:hAnsi="Arial"/>
          <w:sz w:val="18"/>
          <w:szCs w:val="18"/>
          <w:i w:val="1"/>
          <w:iCs w:val="1"/>
          <w:color w:val="auto"/>
        </w:rPr>
        <w:t>We achieved the highest levels of Revenue, Adjusted EBITDA and Adjusted EPS in our history and returned a record $17.7</w:t>
      </w:r>
      <w:r>
        <w:rPr>
          <w:rFonts w:ascii="Arial" w:cs="Arial" w:eastAsia="Arial" w:hAnsi="Arial"/>
          <w:sz w:val="18"/>
          <w:szCs w:val="18"/>
          <w:color w:val="auto"/>
        </w:rPr>
        <w:t xml:space="preserve"> </w:t>
      </w:r>
      <w:r>
        <w:rPr>
          <w:rFonts w:ascii="Arial" w:cs="Arial" w:eastAsia="Arial" w:hAnsi="Arial"/>
          <w:sz w:val="18"/>
          <w:szCs w:val="18"/>
          <w:i w:val="1"/>
          <w:iCs w:val="1"/>
          <w:color w:val="auto"/>
        </w:rPr>
        <w:t>billion of capital to shareholders. We delivered impressive revenue growth in broadband; grew wireless lines by 1.3 million, our best result since launch; more than doubled our Peacock subscribers, surpassing 20 million at year-end; nearly tripled Peacock revenue to $2.1 billion; ranked second in worldwide box office; and generated record Adjusted EBITDA at our theme parks. Importantly, we achieved these results while continuing to invest in broadband, our 10G network evolution, Xfinity Mobile, Peacock, and theme parks, and we also took cost actions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to further our growth in the future. We are excited to begin the new year as an innovative leader in large profitable markets with a strong balance sheet and a strategy to drive incremental returns and bring outstanding content and experiences to our customers. The Board's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confidence in our position and path forward is underscored by today's announcement that we are increasing our dividend for the 15th consecutive year.</w:t>
      </w:r>
      <w:r>
        <w:rPr>
          <w:rFonts w:ascii="Arial" w:cs="Arial" w:eastAsia="Arial" w:hAnsi="Arial"/>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1"/>
                <w:szCs w:val="11"/>
                <w:i w:val="1"/>
                <w:iCs w:val="1"/>
                <w:color w:val="auto"/>
              </w:rPr>
              <w:t>($ in millions, except per share data)</w:t>
            </w:r>
          </w:p>
        </w:tc>
        <w:tc>
          <w:tcPr>
            <w:tcW w:w="6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4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6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right w:val="single" w:sz="8" w:color="D9D9D6"/>
            </w:tcBorders>
            <w:shd w:val="clear" w:color="auto" w:fill="D9D9D6"/>
          </w:tcPr>
          <w:p>
            <w:pPr>
              <w:spacing w:after="0"/>
              <w:rPr>
                <w:sz w:val="17"/>
                <w:szCs w:val="17"/>
                <w:color w:val="auto"/>
              </w:rPr>
            </w:pPr>
          </w:p>
        </w:tc>
        <w:tc>
          <w:tcPr>
            <w:tcW w:w="86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4440" w:type="dxa"/>
            <w:vAlign w:val="bottom"/>
            <w:tcBorders>
              <w:bottom w:val="single" w:sz="8" w:color="D9D9D6"/>
            </w:tcBorders>
            <w:shd w:val="clear" w:color="auto" w:fill="D9D9D6"/>
          </w:tcPr>
          <w:p>
            <w:pPr>
              <w:spacing w:after="0"/>
              <w:rPr>
                <w:sz w:val="14"/>
                <w:szCs w:val="14"/>
                <w:color w:val="auto"/>
              </w:rPr>
            </w:pPr>
          </w:p>
        </w:tc>
        <w:tc>
          <w:tcPr>
            <w:tcW w:w="64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right w:val="single" w:sz="8" w:color="D9D9D6"/>
            </w:tcBorders>
            <w:shd w:val="clear" w:color="auto" w:fill="D9D9D6"/>
          </w:tcPr>
          <w:p>
            <w:pPr>
              <w:spacing w:after="0"/>
              <w:rPr>
                <w:sz w:val="14"/>
                <w:szCs w:val="14"/>
                <w:color w:val="auto"/>
              </w:rPr>
            </w:pPr>
          </w:p>
        </w:tc>
        <w:tc>
          <w:tcPr>
            <w:tcW w:w="200" w:type="dxa"/>
            <w:vAlign w:val="bottom"/>
            <w:tcBorders>
              <w:bottom w:val="single" w:sz="8" w:color="D9D9D6"/>
            </w:tcBorders>
            <w:shd w:val="clear" w:color="auto" w:fill="D9D9D6"/>
          </w:tcPr>
          <w:p>
            <w:pPr>
              <w:spacing w:after="0"/>
              <w:rPr>
                <w:sz w:val="14"/>
                <w:szCs w:val="14"/>
                <w:color w:val="auto"/>
              </w:rPr>
            </w:pPr>
          </w:p>
        </w:tc>
        <w:tc>
          <w:tcPr>
            <w:tcW w:w="780" w:type="dxa"/>
            <w:vAlign w:val="bottom"/>
            <w:tcBorders>
              <w:bottom w:val="single" w:sz="8" w:color="auto"/>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4th Quarter</w:t>
            </w:r>
          </w:p>
        </w:tc>
        <w:tc>
          <w:tcPr>
            <w:tcW w:w="60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300" w:type="dxa"/>
            <w:vAlign w:val="bottom"/>
            <w:tcBorders>
              <w:bottom w:val="single" w:sz="8" w:color="D9D9D6"/>
              <w:right w:val="single" w:sz="8" w:color="828282"/>
            </w:tcBorders>
            <w:shd w:val="clear" w:color="auto" w:fill="D9D9D6"/>
          </w:tcPr>
          <w:p>
            <w:pPr>
              <w:spacing w:after="0"/>
              <w:rPr>
                <w:sz w:val="14"/>
                <w:szCs w:val="14"/>
                <w:color w:val="auto"/>
              </w:rPr>
            </w:pPr>
          </w:p>
        </w:tc>
        <w:tc>
          <w:tcPr>
            <w:tcW w:w="86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56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w w:val="96"/>
              </w:rPr>
              <w:t>Full Year</w:t>
            </w:r>
          </w:p>
        </w:tc>
        <w:tc>
          <w:tcPr>
            <w:tcW w:w="400" w:type="dxa"/>
            <w:vAlign w:val="bottom"/>
            <w:tcBorders>
              <w:bottom w:val="single" w:sz="8" w:color="D9D9D6"/>
            </w:tcBorders>
            <w:gridSpan w:val="2"/>
            <w:shd w:val="clear" w:color="auto" w:fill="D9D9D6"/>
          </w:tcPr>
          <w:p>
            <w:pPr>
              <w:spacing w:after="0"/>
              <w:rPr>
                <w:sz w:val="14"/>
                <w:szCs w:val="14"/>
                <w:color w:val="auto"/>
              </w:rPr>
            </w:pPr>
          </w:p>
        </w:tc>
        <w:tc>
          <w:tcPr>
            <w:tcW w:w="360" w:type="dxa"/>
            <w:vAlign w:val="bottom"/>
            <w:tcBorders>
              <w:bottom w:val="single" w:sz="8" w:color="D9D9D6"/>
            </w:tcBorders>
            <w:shd w:val="clear" w:color="auto" w:fill="D9D9D6"/>
          </w:tcPr>
          <w:p>
            <w:pPr>
              <w:spacing w:after="0"/>
              <w:rPr>
                <w:sz w:val="14"/>
                <w:szCs w:val="14"/>
                <w:color w:val="auto"/>
              </w:rPr>
            </w:pPr>
          </w:p>
        </w:tc>
        <w:tc>
          <w:tcPr>
            <w:tcW w:w="500" w:type="dxa"/>
            <w:vAlign w:val="bottom"/>
            <w:tcBorders>
              <w:bottom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r>
      <w:tr>
        <w:trPr>
          <w:trHeight w:val="183"/>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b w:val="1"/>
                <w:bCs w:val="1"/>
                <w:color w:val="auto"/>
              </w:rPr>
              <w:t>Consolidated Results</w:t>
            </w:r>
          </w:p>
        </w:tc>
        <w:tc>
          <w:tcPr>
            <w:tcW w:w="64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2022</w:t>
            </w: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400" w:type="dxa"/>
            <w:vAlign w:val="bottom"/>
            <w:tcBorders>
              <w:right w:val="single" w:sz="8" w:color="828282"/>
            </w:tcBorders>
            <w:gridSpan w:val="4"/>
            <w:shd w:val="clear" w:color="auto" w:fill="D9D9D6"/>
          </w:tcPr>
          <w:p>
            <w:pPr>
              <w:ind w:left="600"/>
              <w:spacing w:after="0"/>
              <w:rPr>
                <w:sz w:val="20"/>
                <w:szCs w:val="20"/>
                <w:color w:val="auto"/>
              </w:rPr>
            </w:pPr>
            <w:r>
              <w:rPr>
                <w:rFonts w:ascii="Arial" w:cs="Arial" w:eastAsia="Arial" w:hAnsi="Arial"/>
                <w:sz w:val="14"/>
                <w:szCs w:val="14"/>
                <w:color w:val="auto"/>
              </w:rPr>
              <w:t>Change</w:t>
            </w:r>
          </w:p>
        </w:tc>
        <w:tc>
          <w:tcPr>
            <w:tcW w:w="150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2022</w:t>
            </w:r>
          </w:p>
        </w:tc>
        <w:tc>
          <w:tcPr>
            <w:tcW w:w="960" w:type="dxa"/>
            <w:vAlign w:val="bottom"/>
            <w:gridSpan w:val="4"/>
            <w:shd w:val="clear" w:color="auto" w:fill="D9D9D6"/>
          </w:tcPr>
          <w:p>
            <w:pPr>
              <w:jc w:val="right"/>
              <w:ind w:right="300"/>
              <w:spacing w:after="0"/>
              <w:rPr>
                <w:sz w:val="20"/>
                <w:szCs w:val="20"/>
                <w:color w:val="auto"/>
              </w:rPr>
            </w:pPr>
            <w:r>
              <w:rPr>
                <w:rFonts w:ascii="Arial" w:cs="Arial" w:eastAsia="Arial" w:hAnsi="Arial"/>
                <w:sz w:val="14"/>
                <w:szCs w:val="14"/>
                <w:color w:val="auto"/>
              </w:rPr>
              <w:t>2021</w:t>
            </w:r>
          </w:p>
        </w:tc>
        <w:tc>
          <w:tcPr>
            <w:tcW w:w="360" w:type="dxa"/>
            <w:vAlign w:val="bottom"/>
            <w:shd w:val="clear" w:color="auto" w:fill="D9D9D6"/>
          </w:tcPr>
          <w:p>
            <w:pPr>
              <w:spacing w:after="0"/>
              <w:rPr>
                <w:sz w:val="15"/>
                <w:szCs w:val="15"/>
                <w:color w:val="auto"/>
              </w:rPr>
            </w:pPr>
          </w:p>
        </w:tc>
        <w:tc>
          <w:tcPr>
            <w:tcW w:w="6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444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828282"/>
            </w:tcBorders>
            <w:shd w:val="clear" w:color="auto" w:fill="D9D9D6"/>
          </w:tcPr>
          <w:p>
            <w:pPr>
              <w:spacing w:after="0" w:line="20" w:lineRule="exact"/>
              <w:rPr>
                <w:sz w:val="1"/>
                <w:szCs w:val="1"/>
                <w:color w:val="auto"/>
              </w:rPr>
            </w:pPr>
          </w:p>
        </w:tc>
        <w:tc>
          <w:tcPr>
            <w:tcW w:w="86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309"/>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Revenue</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$30,552</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$30,336</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0.7 %</w:t>
            </w:r>
          </w:p>
        </w:tc>
        <w:tc>
          <w:tcPr>
            <w:tcW w:w="300" w:type="dxa"/>
            <w:vAlign w:val="bottom"/>
            <w:tcBorders>
              <w:right w:val="single" w:sz="8" w:color="828282"/>
            </w:tcBorders>
            <w:shd w:val="clear" w:color="auto" w:fill="D9D9D6"/>
          </w:tcPr>
          <w:p>
            <w:pPr>
              <w:spacing w:after="0"/>
              <w:rPr>
                <w:sz w:val="24"/>
                <w:szCs w:val="24"/>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$121,427</w:t>
            </w:r>
          </w:p>
        </w:tc>
        <w:tc>
          <w:tcPr>
            <w:tcW w:w="320" w:type="dxa"/>
            <w:vAlign w:val="bottom"/>
            <w:shd w:val="clear" w:color="auto" w:fill="D9D9D6"/>
          </w:tcPr>
          <w:p>
            <w:pPr>
              <w:spacing w:after="0"/>
              <w:rPr>
                <w:sz w:val="24"/>
                <w:szCs w:val="24"/>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$116,385</w:t>
            </w:r>
          </w:p>
        </w:tc>
        <w:tc>
          <w:tcPr>
            <w:tcW w:w="3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4.3 %</w:t>
            </w:r>
          </w:p>
        </w:tc>
        <w:tc>
          <w:tcPr>
            <w:tcW w:w="120" w:type="dxa"/>
            <w:vAlign w:val="bottom"/>
            <w:shd w:val="clear" w:color="auto" w:fill="D9D9D6"/>
          </w:tcPr>
          <w:p>
            <w:pPr>
              <w:spacing w:after="0"/>
              <w:rPr>
                <w:sz w:val="24"/>
                <w:szCs w:val="24"/>
                <w:color w:val="auto"/>
              </w:rPr>
            </w:pPr>
          </w:p>
        </w:tc>
      </w:tr>
      <w:tr>
        <w:trPr>
          <w:trHeight w:val="203"/>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Net Income Attributable to Comcast</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$3,024</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$3,057</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(1.1 %)</w:t>
            </w:r>
          </w:p>
        </w:tc>
        <w:tc>
          <w:tcPr>
            <w:tcW w:w="300" w:type="dxa"/>
            <w:vAlign w:val="bottom"/>
            <w:tcBorders>
              <w:right w:val="single" w:sz="8" w:color="828282"/>
            </w:tcBorders>
            <w:shd w:val="clear" w:color="auto" w:fill="D9D9D6"/>
          </w:tcPr>
          <w:p>
            <w:pPr>
              <w:spacing w:after="0"/>
              <w:rPr>
                <w:sz w:val="17"/>
                <w:szCs w:val="17"/>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$5,370</w:t>
            </w:r>
          </w:p>
        </w:tc>
        <w:tc>
          <w:tcPr>
            <w:tcW w:w="320" w:type="dxa"/>
            <w:vAlign w:val="bottom"/>
            <w:shd w:val="clear" w:color="auto" w:fill="D9D9D6"/>
          </w:tcPr>
          <w:p>
            <w:pPr>
              <w:spacing w:after="0"/>
              <w:rPr>
                <w:sz w:val="17"/>
                <w:szCs w:val="17"/>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$14,159</w:t>
            </w:r>
          </w:p>
        </w:tc>
        <w:tc>
          <w:tcPr>
            <w:tcW w:w="30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(62.1 %)</w:t>
            </w:r>
          </w:p>
        </w:tc>
        <w:tc>
          <w:tcPr>
            <w:tcW w:w="120" w:type="dxa"/>
            <w:vAlign w:val="bottom"/>
            <w:shd w:val="clear" w:color="auto" w:fill="D9D9D6"/>
          </w:tcPr>
          <w:p>
            <w:pPr>
              <w:spacing w:after="0"/>
              <w:rPr>
                <w:sz w:val="17"/>
                <w:szCs w:val="17"/>
                <w:color w:val="auto"/>
              </w:rPr>
            </w:pPr>
          </w:p>
        </w:tc>
      </w:tr>
      <w:tr>
        <w:trPr>
          <w:trHeight w:val="210"/>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$3,520</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$3,534</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(0.4 %)</w:t>
            </w:r>
          </w:p>
        </w:tc>
        <w:tc>
          <w:tcPr>
            <w:tcW w:w="300" w:type="dxa"/>
            <w:vAlign w:val="bottom"/>
            <w:tcBorders>
              <w:right w:val="single" w:sz="8" w:color="828282"/>
            </w:tcBorders>
            <w:shd w:val="clear" w:color="auto" w:fill="D9D9D6"/>
          </w:tcPr>
          <w:p>
            <w:pPr>
              <w:spacing w:after="0"/>
              <w:rPr>
                <w:sz w:val="18"/>
                <w:szCs w:val="18"/>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$16,147</w:t>
            </w:r>
          </w:p>
        </w:tc>
        <w:tc>
          <w:tcPr>
            <w:tcW w:w="320" w:type="dxa"/>
            <w:vAlign w:val="bottom"/>
            <w:shd w:val="clear" w:color="auto" w:fill="D9D9D6"/>
          </w:tcPr>
          <w:p>
            <w:pPr>
              <w:spacing w:after="0"/>
              <w:rPr>
                <w:sz w:val="18"/>
                <w:szCs w:val="18"/>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$15,045</w:t>
            </w:r>
          </w:p>
        </w:tc>
        <w:tc>
          <w:tcPr>
            <w:tcW w:w="300" w:type="dxa"/>
            <w:vAlign w:val="bottom"/>
            <w:shd w:val="clear" w:color="auto" w:fill="D9D9D6"/>
          </w:tcPr>
          <w:p>
            <w:pPr>
              <w:spacing w:after="0"/>
              <w:rPr>
                <w:sz w:val="18"/>
                <w:szCs w:val="18"/>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7.3 %</w:t>
            </w:r>
          </w:p>
        </w:tc>
        <w:tc>
          <w:tcPr>
            <w:tcW w:w="120" w:type="dxa"/>
            <w:vAlign w:val="bottom"/>
            <w:shd w:val="clear" w:color="auto" w:fill="D9D9D6"/>
          </w:tcPr>
          <w:p>
            <w:pPr>
              <w:spacing w:after="0"/>
              <w:rPr>
                <w:sz w:val="18"/>
                <w:szCs w:val="18"/>
                <w:color w:val="auto"/>
              </w:rPr>
            </w:pPr>
          </w:p>
        </w:tc>
      </w:tr>
      <w:tr>
        <w:trPr>
          <w:trHeight w:val="203"/>
        </w:trPr>
        <w:tc>
          <w:tcPr>
            <w:tcW w:w="444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$8,000</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$8,411</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(4.9 %)</w:t>
            </w:r>
          </w:p>
        </w:tc>
        <w:tc>
          <w:tcPr>
            <w:tcW w:w="300" w:type="dxa"/>
            <w:vAlign w:val="bottom"/>
            <w:tcBorders>
              <w:right w:val="single" w:sz="8" w:color="828282"/>
            </w:tcBorders>
            <w:shd w:val="clear" w:color="auto" w:fill="D9D9D6"/>
          </w:tcPr>
          <w:p>
            <w:pPr>
              <w:spacing w:after="0"/>
              <w:rPr>
                <w:sz w:val="17"/>
                <w:szCs w:val="17"/>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$36,459</w:t>
            </w:r>
          </w:p>
        </w:tc>
        <w:tc>
          <w:tcPr>
            <w:tcW w:w="320" w:type="dxa"/>
            <w:vAlign w:val="bottom"/>
            <w:shd w:val="clear" w:color="auto" w:fill="D9D9D6"/>
          </w:tcPr>
          <w:p>
            <w:pPr>
              <w:spacing w:after="0"/>
              <w:rPr>
                <w:sz w:val="17"/>
                <w:szCs w:val="17"/>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$34,708</w:t>
            </w:r>
          </w:p>
        </w:tc>
        <w:tc>
          <w:tcPr>
            <w:tcW w:w="30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D9D9D6"/>
          </w:tcPr>
          <w:p>
            <w:pPr>
              <w:spacing w:after="0"/>
              <w:rPr>
                <w:sz w:val="17"/>
                <w:szCs w:val="17"/>
                <w:color w:val="auto"/>
              </w:rPr>
            </w:pPr>
          </w:p>
        </w:tc>
      </w:tr>
      <w:tr>
        <w:trPr>
          <w:trHeight w:val="203"/>
        </w:trPr>
        <w:tc>
          <w:tcPr>
            <w:tcW w:w="444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$0.70</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$0.66</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828282"/>
            </w:tcBorders>
            <w:shd w:val="clear" w:color="auto" w:fill="D9D9D6"/>
          </w:tcPr>
          <w:p>
            <w:pPr>
              <w:spacing w:after="0"/>
              <w:rPr>
                <w:sz w:val="17"/>
                <w:szCs w:val="17"/>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$1.21</w:t>
            </w:r>
          </w:p>
        </w:tc>
        <w:tc>
          <w:tcPr>
            <w:tcW w:w="320" w:type="dxa"/>
            <w:vAlign w:val="bottom"/>
            <w:shd w:val="clear" w:color="auto" w:fill="D9D9D6"/>
          </w:tcPr>
          <w:p>
            <w:pPr>
              <w:spacing w:after="0"/>
              <w:rPr>
                <w:sz w:val="17"/>
                <w:szCs w:val="17"/>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$3.04</w:t>
            </w:r>
          </w:p>
        </w:tc>
        <w:tc>
          <w:tcPr>
            <w:tcW w:w="30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(60.2 %)</w:t>
            </w:r>
          </w:p>
        </w:tc>
        <w:tc>
          <w:tcPr>
            <w:tcW w:w="120" w:type="dxa"/>
            <w:vAlign w:val="bottom"/>
            <w:shd w:val="clear" w:color="auto" w:fill="D9D9D6"/>
          </w:tcPr>
          <w:p>
            <w:pPr>
              <w:spacing w:after="0"/>
              <w:rPr>
                <w:sz w:val="17"/>
                <w:szCs w:val="17"/>
                <w:color w:val="auto"/>
              </w:rPr>
            </w:pPr>
          </w:p>
        </w:tc>
      </w:tr>
      <w:tr>
        <w:trPr>
          <w:trHeight w:val="203"/>
        </w:trPr>
        <w:tc>
          <w:tcPr>
            <w:tcW w:w="4440" w:type="dxa"/>
            <w:vAlign w:val="bottom"/>
            <w:shd w:val="clear" w:color="auto" w:fill="D9D9D6"/>
          </w:tcPr>
          <w:p>
            <w:pPr>
              <w:ind w:left="120"/>
              <w:spacing w:after="0" w:line="202"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$0.82</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$0.77</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828282"/>
            </w:tcBorders>
            <w:shd w:val="clear" w:color="auto" w:fill="D9D9D6"/>
          </w:tcPr>
          <w:p>
            <w:pPr>
              <w:spacing w:after="0"/>
              <w:rPr>
                <w:sz w:val="17"/>
                <w:szCs w:val="17"/>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$3.64</w:t>
            </w:r>
          </w:p>
        </w:tc>
        <w:tc>
          <w:tcPr>
            <w:tcW w:w="320" w:type="dxa"/>
            <w:vAlign w:val="bottom"/>
            <w:shd w:val="clear" w:color="auto" w:fill="D9D9D6"/>
          </w:tcPr>
          <w:p>
            <w:pPr>
              <w:spacing w:after="0"/>
              <w:rPr>
                <w:sz w:val="17"/>
                <w:szCs w:val="17"/>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$3.23</w:t>
            </w:r>
          </w:p>
        </w:tc>
        <w:tc>
          <w:tcPr>
            <w:tcW w:w="30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12.7 %</w:t>
            </w:r>
          </w:p>
        </w:tc>
        <w:tc>
          <w:tcPr>
            <w:tcW w:w="120" w:type="dxa"/>
            <w:vAlign w:val="bottom"/>
            <w:shd w:val="clear" w:color="auto" w:fill="D9D9D6"/>
          </w:tcPr>
          <w:p>
            <w:pPr>
              <w:spacing w:after="0"/>
              <w:rPr>
                <w:sz w:val="17"/>
                <w:szCs w:val="17"/>
                <w:color w:val="auto"/>
              </w:rPr>
            </w:pPr>
          </w:p>
        </w:tc>
      </w:tr>
      <w:tr>
        <w:trPr>
          <w:trHeight w:val="194"/>
        </w:trPr>
        <w:tc>
          <w:tcPr>
            <w:tcW w:w="4440" w:type="dxa"/>
            <w:vAlign w:val="bottom"/>
            <w:shd w:val="clear" w:color="auto" w:fill="D9D9D6"/>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$5,883</w:t>
            </w:r>
          </w:p>
        </w:tc>
        <w:tc>
          <w:tcPr>
            <w:tcW w:w="9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$7,689</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300" w:type="dxa"/>
            <w:vAlign w:val="bottom"/>
            <w:tcBorders>
              <w:right w:val="single" w:sz="8" w:color="828282"/>
            </w:tcBorders>
            <w:shd w:val="clear" w:color="auto" w:fill="D9D9D6"/>
          </w:tcPr>
          <w:p>
            <w:pPr>
              <w:spacing w:after="0"/>
              <w:rPr>
                <w:sz w:val="16"/>
                <w:szCs w:val="16"/>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$26,413</w:t>
            </w:r>
          </w:p>
        </w:tc>
        <w:tc>
          <w:tcPr>
            <w:tcW w:w="320" w:type="dxa"/>
            <w:vAlign w:val="bottom"/>
            <w:shd w:val="clear" w:color="auto" w:fill="D9D9D6"/>
          </w:tcPr>
          <w:p>
            <w:pPr>
              <w:spacing w:after="0"/>
              <w:rPr>
                <w:sz w:val="16"/>
                <w:szCs w:val="16"/>
                <w:color w:val="auto"/>
              </w:rPr>
            </w:pPr>
          </w:p>
        </w:tc>
        <w:tc>
          <w:tcPr>
            <w:tcW w:w="6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$29,146</w:t>
            </w:r>
          </w:p>
        </w:tc>
        <w:tc>
          <w:tcPr>
            <w:tcW w:w="3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(9.4 %)</w:t>
            </w:r>
          </w:p>
        </w:tc>
        <w:tc>
          <w:tcPr>
            <w:tcW w:w="120" w:type="dxa"/>
            <w:vAlign w:val="bottom"/>
            <w:shd w:val="clear" w:color="auto" w:fill="D9D9D6"/>
          </w:tcPr>
          <w:p>
            <w:pPr>
              <w:spacing w:after="0"/>
              <w:rPr>
                <w:sz w:val="16"/>
                <w:szCs w:val="16"/>
                <w:color w:val="auto"/>
              </w:rPr>
            </w:pPr>
          </w:p>
        </w:tc>
      </w:tr>
      <w:tr>
        <w:trPr>
          <w:trHeight w:val="245"/>
        </w:trPr>
        <w:tc>
          <w:tcPr>
            <w:tcW w:w="444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8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$1,330</w:t>
            </w:r>
          </w:p>
        </w:tc>
        <w:tc>
          <w:tcPr>
            <w:tcW w:w="980" w:type="dxa"/>
            <w:vAlign w:val="bottom"/>
            <w:tcBorders>
              <w:bottom w:val="single" w:sz="8" w:color="D9D9D6"/>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$3,784</w:t>
            </w:r>
          </w:p>
        </w:tc>
        <w:tc>
          <w:tcPr>
            <w:tcW w:w="92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(64.9</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300" w:type="dxa"/>
            <w:vAlign w:val="bottom"/>
            <w:tcBorders>
              <w:bottom w:val="single" w:sz="8" w:color="D9D9D6"/>
              <w:right w:val="single" w:sz="8" w:color="828282"/>
            </w:tcBorders>
            <w:shd w:val="clear" w:color="auto" w:fill="D9D9D6"/>
          </w:tcPr>
          <w:p>
            <w:pPr>
              <w:spacing w:after="0"/>
              <w:rPr>
                <w:sz w:val="21"/>
                <w:szCs w:val="21"/>
                <w:color w:val="auto"/>
              </w:rPr>
            </w:pPr>
          </w:p>
        </w:tc>
        <w:tc>
          <w:tcPr>
            <w:tcW w:w="118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$12,646</w:t>
            </w:r>
          </w:p>
        </w:tc>
        <w:tc>
          <w:tcPr>
            <w:tcW w:w="320" w:type="dxa"/>
            <w:vAlign w:val="bottom"/>
            <w:tcBorders>
              <w:bottom w:val="single" w:sz="8" w:color="D9D9D6"/>
            </w:tcBorders>
            <w:shd w:val="clear" w:color="auto" w:fill="D9D9D6"/>
          </w:tcPr>
          <w:p>
            <w:pPr>
              <w:spacing w:after="0"/>
              <w:rPr>
                <w:sz w:val="21"/>
                <w:szCs w:val="21"/>
                <w:color w:val="auto"/>
              </w:rPr>
            </w:pPr>
          </w:p>
        </w:tc>
        <w:tc>
          <w:tcPr>
            <w:tcW w:w="660" w:type="dxa"/>
            <w:vAlign w:val="bottom"/>
            <w:tcBorders>
              <w:bottom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$17,089</w:t>
            </w:r>
          </w:p>
        </w:tc>
        <w:tc>
          <w:tcPr>
            <w:tcW w:w="300" w:type="dxa"/>
            <w:vAlign w:val="bottom"/>
            <w:tcBorders>
              <w:bottom w:val="single" w:sz="8" w:color="D9D9D6"/>
            </w:tcBorders>
            <w:shd w:val="clear" w:color="auto" w:fill="D9D9D6"/>
          </w:tcPr>
          <w:p>
            <w:pPr>
              <w:spacing w:after="0"/>
              <w:rPr>
                <w:sz w:val="21"/>
                <w:szCs w:val="21"/>
                <w:color w:val="auto"/>
              </w:rPr>
            </w:pPr>
          </w:p>
        </w:tc>
        <w:tc>
          <w:tcPr>
            <w:tcW w:w="8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(26.0 %)</w:t>
            </w:r>
          </w:p>
        </w:tc>
        <w:tc>
          <w:tcPr>
            <w:tcW w:w="120" w:type="dxa"/>
            <w:vAlign w:val="bottom"/>
            <w:tcBorders>
              <w:bottom w:val="single" w:sz="8" w:color="D9D9D6"/>
            </w:tcBorders>
            <w:shd w:val="clear" w:color="auto" w:fill="D9D9D6"/>
          </w:tcPr>
          <w:p>
            <w:pPr>
              <w:spacing w:after="0"/>
              <w:rPr>
                <w:sz w:val="21"/>
                <w:szCs w:val="21"/>
                <w:color w:val="auto"/>
              </w:rPr>
            </w:pPr>
          </w:p>
        </w:tc>
      </w:tr>
    </w:tbl>
    <w:p>
      <w:pPr>
        <w:spacing w:after="0" w:line="16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Highlights:</w:t>
      </w:r>
    </w:p>
    <w:p>
      <w:pPr>
        <w:spacing w:after="0" w:line="63" w:lineRule="exact"/>
        <w:rPr>
          <w:sz w:val="20"/>
          <w:szCs w:val="20"/>
          <w:color w:val="auto"/>
        </w:rPr>
      </w:pPr>
    </w:p>
    <w:p>
      <w:pPr>
        <w:ind w:left="340" w:right="2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5.0% to $36.5 Billion and Adjusted EPS Increased 12.7% to $3.64; Generated Free Cash Flow of $12.6 Billion</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4.6% to $29.4 Billion; Achieved the Highest Full Year Adjusted EBITDA Margin on Record</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 Net Additions Were 75,000 and Total Broadband Customer Net Additions Were 250,000</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Wireless Customer Line Net Additions Were 1.3 Million, the Best Annual Result on Record; Surpassed 5 Million Customer Lines in Just 5 Years</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Started Rolling Out Multi-Gig Broadband Speeds in Markets Across the U.S. and Announced the Launch of Even Faster, Multi-Gig Symmetrical Speeds Beginning in 2023</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Adjusted EBITDA Increased 4.9% to $6.0 Billion, Driven by Growth at Theme Parks. NBCUniversal Adjusted EBITDA in 2022 Included Higher Peacock Losses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Paid Subscribers in the U.S. More Than Doubled, Surpassing 20 Million; Peacock Revenue Nearly Tripled to $2.1 Billion</w:t>
      </w:r>
    </w:p>
    <w:p>
      <w:pPr>
        <w:spacing w:after="0" w:line="63"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Studios Adjusted EBITDA Increased 6.6% to $942 Million; Ranked #2 Studio in Worldwide Box Office for the Year, Driven by the Successful Theatrical Performance of </w:t>
      </w:r>
      <w:r>
        <w:rPr>
          <w:rFonts w:ascii="Arial" w:cs="Arial" w:eastAsia="Arial" w:hAnsi="Arial"/>
          <w:sz w:val="18"/>
          <w:szCs w:val="18"/>
          <w:i w:val="1"/>
          <w:iCs w:val="1"/>
          <w:color w:val="auto"/>
        </w:rPr>
        <w:t>Jurassic World: Dominion</w:t>
      </w:r>
      <w:r>
        <w:rPr>
          <w:rFonts w:ascii="Arial" w:cs="Arial" w:eastAsia="Arial" w:hAnsi="Arial"/>
          <w:sz w:val="18"/>
          <w:szCs w:val="18"/>
          <w:color w:val="auto"/>
        </w:rPr>
        <w:t xml:space="preserve"> and </w:t>
      </w:r>
      <w:r>
        <w:rPr>
          <w:rFonts w:ascii="Arial" w:cs="Arial" w:eastAsia="Arial" w:hAnsi="Arial"/>
          <w:sz w:val="18"/>
          <w:szCs w:val="18"/>
          <w:i w:val="1"/>
          <w:iCs w:val="1"/>
          <w:color w:val="auto"/>
        </w:rPr>
        <w:t>Minions: The Rise of Gru</w:t>
      </w:r>
    </w:p>
    <w:p>
      <w:pPr>
        <w:spacing w:after="0" w:line="1" w:lineRule="exact"/>
        <w:rPr>
          <w:rFonts w:ascii="Arial" w:cs="Arial" w:eastAsia="Arial" w:hAnsi="Arial"/>
          <w:sz w:val="18"/>
          <w:szCs w:val="18"/>
          <w:color w:val="auto"/>
        </w:rPr>
      </w:pPr>
    </w:p>
    <w:p>
      <w:pPr>
        <w:ind w:left="340" w:right="20" w:hanging="332"/>
        <w:spacing w:after="0" w:line="28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Theme Parks Adjusted EBITDA Increased $1.4 Billion to $2.7 Billion, Its Highest Adjusted EBITDA on Record, Reflecting Increases at Each Park Compared to 2021</w:t>
      </w:r>
    </w:p>
    <w:p>
      <w:pPr>
        <w:sectPr>
          <w:pgSz w:w="11900" w:h="16838" w:orient="portrait"/>
          <w:cols w:equalWidth="0" w:num="1">
            <w:col w:w="11240"/>
          </w:cols>
          <w:pgMar w:left="320" w:top="737" w:right="339" w:bottom="1440" w:gutter="0" w:footer="0" w:header="0"/>
        </w:sectPr>
      </w:pPr>
    </w:p>
    <w:bookmarkStart w:id="4" w:name="page5"/>
    <w:bookmarkEnd w:id="4"/>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Sky Adjusted EBITDA Increased 7.0% to $2.5 Billion; On a Constant Currency Basis, Adjusted EBITDA Increased 20.3%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4th Quarter 2022 Highlights:</w:t>
      </w:r>
    </w:p>
    <w:p>
      <w:pPr>
        <w:spacing w:after="0" w:line="50" w:lineRule="exact"/>
        <w:rPr>
          <w:sz w:val="20"/>
          <w:szCs w:val="20"/>
          <w:color w:val="auto"/>
        </w:rPr>
      </w:pPr>
    </w:p>
    <w:p>
      <w:pPr>
        <w:jc w:val="both"/>
        <w:ind w:left="340" w:hanging="332"/>
        <w:spacing w:after="0" w:line="232"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Adjusted EBITDA Decreased 4.9% to $8.0 Billion, Including $541 Million in Higher Severance Expense; Excluding the Higher Severance</w:t>
      </w:r>
      <w:r>
        <w:rPr>
          <w:rFonts w:ascii="Arial" w:cs="Arial" w:eastAsia="Arial" w:hAnsi="Arial"/>
          <w:sz w:val="23"/>
          <w:szCs w:val="23"/>
          <w:color w:val="auto"/>
          <w:vertAlign w:val="superscript"/>
        </w:rPr>
        <w:t>5</w:t>
      </w:r>
      <w:r>
        <w:rPr>
          <w:rFonts w:ascii="Arial" w:cs="Arial" w:eastAsia="Arial" w:hAnsi="Arial"/>
          <w:sz w:val="18"/>
          <w:szCs w:val="18"/>
          <w:color w:val="auto"/>
        </w:rPr>
        <w:t>, Adjusted EBITDA Increased 1.5%; Adjusted EPS Increased 6.5% to $0.82; Generated Free Cash Flow of $1.3 Billion</w:t>
      </w:r>
    </w:p>
    <w:p>
      <w:pPr>
        <w:spacing w:after="0" w:line="19" w:lineRule="exact"/>
        <w:rPr>
          <w:rFonts w:ascii="Arial" w:cs="Arial" w:eastAsia="Arial" w:hAnsi="Arial"/>
          <w:sz w:val="18"/>
          <w:szCs w:val="18"/>
          <w:color w:val="auto"/>
        </w:rPr>
      </w:pPr>
    </w:p>
    <w:p>
      <w:pPr>
        <w:ind w:left="340" w:hanging="332"/>
        <w:spacing w:after="0" w:line="249"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Communications Adjusted EBITDA Increased 1.5% to $7.2 Billion, Including $305 Million in Higher Severance Expense; Excluding the Higher Severance</w:t>
      </w:r>
      <w:r>
        <w:rPr>
          <w:rFonts w:ascii="Arial" w:cs="Arial" w:eastAsia="Arial" w:hAnsi="Arial"/>
          <w:sz w:val="23"/>
          <w:szCs w:val="23"/>
          <w:color w:val="auto"/>
          <w:vertAlign w:val="superscript"/>
        </w:rPr>
        <w:t>5</w:t>
      </w:r>
      <w:r>
        <w:rPr>
          <w:rFonts w:ascii="Arial" w:cs="Arial" w:eastAsia="Arial" w:hAnsi="Arial"/>
          <w:sz w:val="18"/>
          <w:szCs w:val="18"/>
          <w:color w:val="auto"/>
        </w:rPr>
        <w:t>, Adjusted EBITDA Increased 5.8%</w:t>
      </w:r>
    </w:p>
    <w:p>
      <w:pPr>
        <w:spacing w:after="0" w:line="1" w:lineRule="exact"/>
        <w:rPr>
          <w:rFonts w:ascii="Arial" w:cs="Arial" w:eastAsia="Arial" w:hAnsi="Arial"/>
          <w:sz w:val="18"/>
          <w:szCs w:val="18"/>
          <w:color w:val="auto"/>
        </w:rPr>
      </w:pPr>
    </w:p>
    <w:p>
      <w:pPr>
        <w:jc w:val="both"/>
        <w:ind w:left="340" w:hanging="332"/>
        <w:spacing w:after="0" w:line="242"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Communications Customer Relationships of 34.3 Million and Broadband Customers of 32.2 Million Were Consistent with the Prior Quarter. Excluding the Negative Impact From Hurricane Ian, Estimated Total Customer Relationship Net Losses Were 36,000 and Total Broadband Net Additions Were 4,000</w:t>
      </w:r>
    </w:p>
    <w:p>
      <w:pPr>
        <w:spacing w:after="0" w:line="30"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Communications Wireless Customer Line Net Additions Were 365,000, the Best Quarterly Result Since Launch in 2017</w:t>
      </w:r>
    </w:p>
    <w:p>
      <w:pPr>
        <w:spacing w:after="0" w:line="4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Adjusted EBITDA Reflected Higher Peacock Losses and $182 Million in Severance Expense in Headquarters and Other</w:t>
      </w:r>
    </w:p>
    <w:p>
      <w:pPr>
        <w:spacing w:after="0" w:line="63"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Peacock Paid Subscriber Net Additions in the U.S. Were 5 Million, Fueled by Live Sports, Our Recent Films and Originals; the Best Quarterly Result Since Launch in 2020</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Theme Parks Delivered Its Highest Adjusted EBITDA on Record for a Fourth Quarter, Driven by Higher Attendance and Increases in Guest Spending at Our Parks in the U.S. and Japan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Sky Total Customer Relationship Net Additions Were 129,000, Reflecting Net Additions in All Markets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Share Repurchases:</w:t>
      </w:r>
    </w:p>
    <w:p>
      <w:pPr>
        <w:spacing w:after="0" w:line="63" w:lineRule="exact"/>
        <w:rPr>
          <w:sz w:val="20"/>
          <w:szCs w:val="20"/>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Returned $17.7 Billion to Shareholders in 2022 Through a Combination of $4.7 Billion in Dividend Payments and $13.0 Billion in Share Repurchases</w:t>
      </w:r>
    </w:p>
    <w:p>
      <w:pPr>
        <w:spacing w:after="0" w:line="1"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Dividend By $0.08, or 7.4% Year-over-Year, to $1.16 per Share on an Annualized Basis for 2023, the 15th Consecutive Annual Increase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fourth quarter of 2022 increased 0.7% to $30.6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decreased 1.1% to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decreased 0.4% to $3.5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decreased 4.9% to $ 8.0 billion, including $541 million in higher severance expense compared to the prior year period. Excluding the higher severance</w:t>
      </w:r>
      <w:r>
        <w:rPr>
          <w:rFonts w:ascii="Arial" w:cs="Arial" w:eastAsia="Arial" w:hAnsi="Arial"/>
          <w:sz w:val="23"/>
          <w:szCs w:val="23"/>
          <w:color w:val="auto"/>
          <w:vertAlign w:val="superscript"/>
        </w:rPr>
        <w:t>5</w:t>
      </w:r>
      <w:r>
        <w:rPr>
          <w:rFonts w:ascii="Arial" w:cs="Arial" w:eastAsia="Arial" w:hAnsi="Arial"/>
          <w:sz w:val="18"/>
          <w:szCs w:val="18"/>
          <w:color w:val="auto"/>
        </w:rPr>
        <w:t>, Adjusted EBITDA increased 1.5%.</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twelve months ended December 31, 2022, revenue increased 4.3% to $121.4 billion. Net income attributable to Comcast decreased 62.1% to $5.4 billion. Adjusted Net Income increased 7.3% to $16.1 billion. Adjusted EBITDA increased 5.0% to $36.5 billion.</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third quarter of 2022, we recorded noncash impairment charges related to goodwill and intangible assets in our Sky segment totaling $8.6 billion. The impairments primarily reflected an increased discount rate and reduced estimated future cash flows as a result of macroeconomic conditions in Sky's territories, are recorded in "Goodwill and long-lived asset impairments" in the Condensed Consolidated Statement of Income and are excluded from Adjusted Net Income and Adjusted Earnings per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2022 increased 6.8% to $0.70.</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6.5% to $0.82.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twelve months ended December 31, 2022, EPS decreased 60.2% to $1.21. Adjusted EPS increased 12.7% to $3.64.</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17.7% to $3.6 billion in the fourth quarter of 2022.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9.7% to $2.4 billion. NBCUniversal’s capital expenditures increased 82.6% to $916 million, reflecting increased investment in constructing the Epic Universe theme park in Orlando, which is scheduled to open in 2025. Sky's capital expenditures decreased 43.9% to $186 million.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twelve months ended December 31, 2022, capital expenditures increased 15.8% to $10.6 billion. Cable Communications' capital expenditures increased 9.2% to $7.6 billion. NBCUniversal's capital expenditures increased $ 1.2 billion to $2.3 billion, reflecting the increased investment in constructing Epic Universe. Sky's capital expenditures decreased 40.9% to $560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$5.9 billion in the fourth quarter of 2022.</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$1.3 billion.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twelve months ended December 31, 2022, net cash provided by operating activities was $26.4 billion. Free cash flow was $12.6 billion.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fourth quarter of 2022, Comcast paid dividends totaling $1.2 billion and repurchased 106.3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$3.5 billion, resulting in a total return of capital to shareholders of $4.7 billion, compared to $3.1 billion in the prior year period.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twelve months ended December 31, 2022, Comcast paid dividends totaling $4.7 billion and repurchased 332.0 million of its common shares for $13.0 billion, resulting in a total return of capital to shareholders of $17.7 billion, compared to $8.5 billion in 2021.</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Today, Comcast announced that it increased its dividend by $0.08, or 7.4% year-over-year, to $1.16 per share on an annualized basis for 2023. In accordance with the increase, the Board of Directors declared a quarterly cash dividend of $0.29 per share on the company's stock, payable April 26, 2023, to shareholders of record as of the close of business on April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58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0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560" w:type="dxa"/>
            <w:vAlign w:val="bottom"/>
            <w:tcBorders>
              <w:bottom w:val="single" w:sz="8" w:color="D9D9D6"/>
              <w:right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120" w:type="dxa"/>
            <w:vAlign w:val="bottom"/>
            <w:shd w:val="clear" w:color="auto" w:fill="D9D9D6"/>
          </w:tcPr>
          <w:p>
            <w:pPr>
              <w:spacing w:after="0"/>
              <w:rPr>
                <w:sz w:val="14"/>
                <w:szCs w:val="14"/>
                <w:color w:val="auto"/>
              </w:rPr>
            </w:pPr>
          </w:p>
        </w:tc>
        <w:tc>
          <w:tcPr>
            <w:tcW w:w="4000" w:type="dxa"/>
            <w:vAlign w:val="bottom"/>
            <w:shd w:val="clear" w:color="auto" w:fill="D9D9D6"/>
          </w:tcPr>
          <w:p>
            <w:pPr>
              <w:spacing w:after="0"/>
              <w:rPr>
                <w:sz w:val="14"/>
                <w:szCs w:val="14"/>
                <w:color w:val="auto"/>
              </w:rPr>
            </w:pPr>
          </w:p>
        </w:tc>
        <w:tc>
          <w:tcPr>
            <w:tcW w:w="7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74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4th Quarter</w:t>
            </w:r>
          </w:p>
        </w:tc>
        <w:tc>
          <w:tcPr>
            <w:tcW w:w="240" w:type="dxa"/>
            <w:vAlign w:val="bottom"/>
            <w:gridSpan w:val="2"/>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80" w:type="dxa"/>
            <w:vAlign w:val="bottom"/>
            <w:tcBorders>
              <w:right w:val="single" w:sz="8" w:color="97999B"/>
            </w:tcBorders>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8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140" w:type="dxa"/>
            <w:vAlign w:val="bottom"/>
            <w:gridSpan w:val="4"/>
            <w:shd w:val="clear" w:color="auto" w:fill="D9D9D6"/>
          </w:tcPr>
          <w:p>
            <w:pPr>
              <w:jc w:val="right"/>
              <w:ind w:right="320"/>
              <w:spacing w:after="0"/>
              <w:rPr>
                <w:sz w:val="20"/>
                <w:szCs w:val="20"/>
                <w:color w:val="auto"/>
              </w:rPr>
            </w:pPr>
            <w:r>
              <w:rPr>
                <w:rFonts w:ascii="Arial" w:cs="Arial" w:eastAsia="Arial" w:hAnsi="Arial"/>
                <w:sz w:val="14"/>
                <w:szCs w:val="14"/>
                <w:color w:val="auto"/>
              </w:rPr>
              <w:t>Full Year</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000" w:type="dxa"/>
            <w:vAlign w:val="bottom"/>
            <w:shd w:val="clear" w:color="auto" w:fill="D9D9D6"/>
          </w:tcPr>
          <w:p>
            <w:pPr>
              <w:spacing w:after="0" w:line="20" w:lineRule="exact"/>
              <w:rPr>
                <w:sz w:val="1"/>
                <w:szCs w:val="1"/>
                <w:color w:val="auto"/>
              </w:rPr>
            </w:pPr>
          </w:p>
        </w:tc>
        <w:tc>
          <w:tcPr>
            <w:tcW w:w="7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80" w:type="dxa"/>
            <w:vAlign w:val="bottom"/>
            <w:tcBorders>
              <w:right w:val="single" w:sz="8" w:color="97999B"/>
            </w:tcBorders>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000" w:type="dxa"/>
            <w:vAlign w:val="bottom"/>
            <w:shd w:val="clear" w:color="auto" w:fill="D9D9D6"/>
          </w:tcPr>
          <w:p>
            <w:pPr>
              <w:spacing w:after="0"/>
              <w:rPr>
                <w:sz w:val="15"/>
                <w:szCs w:val="15"/>
                <w:color w:val="auto"/>
              </w:rPr>
            </w:pP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D9D9D6"/>
          </w:tcPr>
          <w:p>
            <w:pPr>
              <w:spacing w:after="0"/>
              <w:rPr>
                <w:sz w:val="15"/>
                <w:szCs w:val="15"/>
                <w:color w:val="auto"/>
              </w:rPr>
            </w:pPr>
          </w:p>
        </w:tc>
        <w:tc>
          <w:tcPr>
            <w:tcW w:w="9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540" w:type="dxa"/>
            <w:vAlign w:val="bottom"/>
            <w:shd w:val="clear" w:color="auto" w:fill="D9D9D6"/>
          </w:tcPr>
          <w:p>
            <w:pPr>
              <w:spacing w:after="0"/>
              <w:rPr>
                <w:sz w:val="15"/>
                <w:szCs w:val="15"/>
                <w:color w:val="auto"/>
              </w:rPr>
            </w:pPr>
          </w:p>
        </w:tc>
        <w:tc>
          <w:tcPr>
            <w:tcW w:w="5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Change</w:t>
            </w:r>
          </w:p>
        </w:tc>
        <w:tc>
          <w:tcPr>
            <w:tcW w:w="180" w:type="dxa"/>
            <w:vAlign w:val="bottom"/>
            <w:tcBorders>
              <w:right w:val="single" w:sz="8" w:color="97999B"/>
            </w:tcBorders>
            <w:shd w:val="clear" w:color="auto" w:fill="D9D9D6"/>
          </w:tcPr>
          <w:p>
            <w:pPr>
              <w:spacing w:after="0"/>
              <w:rPr>
                <w:sz w:val="15"/>
                <w:szCs w:val="15"/>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40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7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64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right w:val="single" w:sz="8" w:color="97999B"/>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8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right w:val="single" w:sz="8" w:color="D9D9D6"/>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Broadband</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$6,177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$5,861</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$24,469</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$22,979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6.5 %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5,100</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5,403</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21,314</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22,079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(3.5 %)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Voice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716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825</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3,010</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3,417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(11.9 %)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Wireless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883</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709</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3,071</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2,380</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29.0 %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Business Services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2,444</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2,337</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9,700</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8,933</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8.6 %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892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818</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3,067</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2,820</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40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424</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454</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(6.5</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right w:val="single" w:sz="8" w:color="97999B"/>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1,687</w:t>
            </w:r>
          </w:p>
        </w:tc>
        <w:tc>
          <w:tcPr>
            <w:tcW w:w="114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1,719</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$16,638</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$16,406</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$66,318</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$64,328</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9"/>
        </w:trPr>
        <w:tc>
          <w:tcPr>
            <w:tcW w:w="120" w:type="dxa"/>
            <w:vAlign w:val="bottom"/>
            <w:shd w:val="clear" w:color="auto" w:fill="D9D9D6"/>
          </w:tcPr>
          <w:p>
            <w:pPr>
              <w:spacing w:after="0"/>
              <w:rPr>
                <w:sz w:val="24"/>
                <w:szCs w:val="24"/>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$7,231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$7,125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1.5 %</w:t>
            </w:r>
          </w:p>
        </w:tc>
        <w:tc>
          <w:tcPr>
            <w:tcW w:w="20" w:type="dxa"/>
            <w:vAlign w:val="bottom"/>
            <w:shd w:val="clear" w:color="auto" w:fill="D9D9D6"/>
          </w:tcPr>
          <w:p>
            <w:pPr>
              <w:spacing w:after="0"/>
              <w:rPr>
                <w:sz w:val="24"/>
                <w:szCs w:val="24"/>
                <w:color w:val="auto"/>
              </w:rPr>
            </w:pPr>
          </w:p>
        </w:tc>
        <w:tc>
          <w:tcPr>
            <w:tcW w:w="18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$29,403</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$28,097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4.6 %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43.5 %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43.4 %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44.3 %</w:t>
            </w:r>
          </w:p>
        </w:tc>
        <w:tc>
          <w:tcPr>
            <w:tcW w:w="20" w:type="dxa"/>
            <w:vAlign w:val="bottom"/>
            <w:shd w:val="clear" w:color="auto" w:fill="D9D9D6"/>
          </w:tcPr>
          <w:p>
            <w:pPr>
              <w:spacing w:after="0"/>
              <w:rPr>
                <w:sz w:val="17"/>
                <w:szCs w:val="17"/>
                <w:color w:val="auto"/>
              </w:rPr>
            </w:pPr>
          </w:p>
        </w:tc>
        <w:tc>
          <w:tcPr>
            <w:tcW w:w="112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43.7 %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24"/>
        </w:trPr>
        <w:tc>
          <w:tcPr>
            <w:tcW w:w="120" w:type="dxa"/>
            <w:vAlign w:val="bottom"/>
            <w:shd w:val="clear" w:color="auto" w:fill="D9D9D6"/>
          </w:tcPr>
          <w:p>
            <w:pPr>
              <w:spacing w:after="0"/>
              <w:rPr>
                <w:sz w:val="24"/>
                <w:szCs w:val="24"/>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$2,404</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$2,192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9.7 %</w:t>
            </w:r>
          </w:p>
        </w:tc>
        <w:tc>
          <w:tcPr>
            <w:tcW w:w="20" w:type="dxa"/>
            <w:vAlign w:val="bottom"/>
            <w:shd w:val="clear" w:color="auto" w:fill="D9D9D6"/>
          </w:tcPr>
          <w:p>
            <w:pPr>
              <w:spacing w:after="0"/>
              <w:rPr>
                <w:sz w:val="24"/>
                <w:szCs w:val="24"/>
                <w:color w:val="auto"/>
              </w:rPr>
            </w:pPr>
          </w:p>
        </w:tc>
        <w:tc>
          <w:tcPr>
            <w:tcW w:w="18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$7,568</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$6,930</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9.2 %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4"/>
        </w:trPr>
        <w:tc>
          <w:tcPr>
            <w:tcW w:w="120" w:type="dxa"/>
            <w:vAlign w:val="bottom"/>
            <w:shd w:val="clear" w:color="auto" w:fill="D9D9D6"/>
          </w:tcPr>
          <w:p>
            <w:pPr>
              <w:spacing w:after="0"/>
              <w:rPr>
                <w:sz w:val="17"/>
                <w:szCs w:val="17"/>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Percent of Cable Communications Revenue</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14.4 %</w:t>
            </w:r>
          </w:p>
        </w:tc>
        <w:tc>
          <w:tcPr>
            <w:tcW w:w="20" w:type="dxa"/>
            <w:vAlign w:val="bottom"/>
            <w:shd w:val="clear" w:color="auto" w:fill="D9D9D6"/>
          </w:tcPr>
          <w:p>
            <w:pPr>
              <w:spacing w:after="0"/>
              <w:rPr>
                <w:sz w:val="17"/>
                <w:szCs w:val="17"/>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13.4 %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tcBorders>
              <w:right w:val="single" w:sz="8" w:color="97999B"/>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11.4 %</w:t>
            </w:r>
          </w:p>
        </w:tc>
        <w:tc>
          <w:tcPr>
            <w:tcW w:w="20" w:type="dxa"/>
            <w:vAlign w:val="bottom"/>
            <w:shd w:val="clear" w:color="auto" w:fill="D9D9D6"/>
          </w:tcPr>
          <w:p>
            <w:pPr>
              <w:spacing w:after="0"/>
              <w:rPr>
                <w:sz w:val="17"/>
                <w:szCs w:val="17"/>
                <w:color w:val="auto"/>
              </w:rPr>
            </w:pPr>
          </w:p>
        </w:tc>
        <w:tc>
          <w:tcPr>
            <w:tcW w:w="112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10.8 %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95"/>
        </w:trPr>
        <w:tc>
          <w:tcPr>
            <w:tcW w:w="120" w:type="dxa"/>
            <w:vAlign w:val="bottom"/>
            <w:shd w:val="clear" w:color="auto" w:fill="D9D9D6"/>
          </w:tcPr>
          <w:p>
            <w:pPr>
              <w:spacing w:after="0"/>
              <w:rPr>
                <w:sz w:val="8"/>
                <w:szCs w:val="8"/>
                <w:color w:val="auto"/>
              </w:rPr>
            </w:pPr>
          </w:p>
        </w:tc>
        <w:tc>
          <w:tcPr>
            <w:tcW w:w="4000" w:type="dxa"/>
            <w:vAlign w:val="bottom"/>
            <w:shd w:val="clear" w:color="auto" w:fill="D9D9D6"/>
          </w:tcPr>
          <w:p>
            <w:pPr>
              <w:spacing w:after="0"/>
              <w:rPr>
                <w:sz w:val="8"/>
                <w:szCs w:val="8"/>
                <w:color w:val="auto"/>
              </w:rPr>
            </w:pPr>
          </w:p>
        </w:tc>
        <w:tc>
          <w:tcPr>
            <w:tcW w:w="78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640" w:type="dxa"/>
            <w:vAlign w:val="bottom"/>
            <w:shd w:val="clear" w:color="auto" w:fill="D9D9D6"/>
          </w:tcPr>
          <w:p>
            <w:pPr>
              <w:spacing w:after="0"/>
              <w:rPr>
                <w:sz w:val="8"/>
                <w:szCs w:val="8"/>
                <w:color w:val="auto"/>
              </w:rPr>
            </w:pPr>
          </w:p>
        </w:tc>
        <w:tc>
          <w:tcPr>
            <w:tcW w:w="100" w:type="dxa"/>
            <w:vAlign w:val="bottom"/>
            <w:shd w:val="clear" w:color="auto" w:fill="D9D9D6"/>
          </w:tcPr>
          <w:p>
            <w:pPr>
              <w:spacing w:after="0"/>
              <w:rPr>
                <w:sz w:val="8"/>
                <w:szCs w:val="8"/>
                <w:color w:val="auto"/>
              </w:rPr>
            </w:pPr>
          </w:p>
        </w:tc>
        <w:tc>
          <w:tcPr>
            <w:tcW w:w="2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80" w:type="dxa"/>
            <w:vAlign w:val="bottom"/>
            <w:tcBorders>
              <w:right w:val="single" w:sz="8" w:color="D9D9D6"/>
            </w:tcBorders>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260" w:type="dxa"/>
            <w:vAlign w:val="bottom"/>
            <w:shd w:val="clear" w:color="auto" w:fill="D9D9D6"/>
          </w:tcPr>
          <w:p>
            <w:pPr>
              <w:spacing w:after="0"/>
              <w:rPr>
                <w:sz w:val="8"/>
                <w:szCs w:val="8"/>
                <w:color w:val="auto"/>
              </w:rPr>
            </w:pPr>
          </w:p>
        </w:tc>
        <w:tc>
          <w:tcPr>
            <w:tcW w:w="560" w:type="dxa"/>
            <w:vAlign w:val="bottom"/>
            <w:tcBorders>
              <w:right w:val="single" w:sz="8" w:color="D9D9D6"/>
            </w:tcBorders>
            <w:shd w:val="clear" w:color="auto" w:fill="D9D9D6"/>
          </w:tcPr>
          <w:p>
            <w:pPr>
              <w:spacing w:after="0"/>
              <w:rPr>
                <w:sz w:val="8"/>
                <w:szCs w:val="8"/>
                <w:color w:val="auto"/>
              </w:rPr>
            </w:pPr>
          </w:p>
        </w:tc>
        <w:tc>
          <w:tcPr>
            <w:tcW w:w="3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r>
    </w:tbl>
    <w:p>
      <w:pPr>
        <w:spacing w:after="0" w:line="30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1.4% to $16.6 billion in the fourth quarter of 2022, driven by increases in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business services and advertising revenue, partially offset by decreases in video, voice and other revenue. Broadband revenue increased 5.4% due to an increase in average rates and an increase in the number of residential broadband customers compared to the prior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year period. Wireless revenue increased 24.7% due to an increase in the number of customer lines and an increase in device sales. Business services revenue increased 4.6% due to an increase in average rates and an increase in the number of customers receiving our services compared to the prior year period. Advertising revenue increased 9.1%, primarily driven by an increase in political advertising.</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Excluding political revenue, advertising revenue decreased by 7.4%, reflecting the previously announced transition of our Xumo Play streaming service from Cable Communications to a joint venture reported in Corporate and Other and lower local and national advertising revenue, partially offset by higher revenue from our advanced advertising businesses. Video revenue decreased 5.6%, reflecting a decrease in the number of residential video customers, partially offset by an increase in average rates. Voice revenue decreased 13.2%, primarily</w:t>
      </w:r>
    </w:p>
    <w:p>
      <w:pPr>
        <w:jc w:val="both"/>
        <w:ind w:right="20"/>
        <w:spacing w:after="0" w:line="237" w:lineRule="auto"/>
        <w:rPr>
          <w:sz w:val="20"/>
          <w:szCs w:val="20"/>
          <w:color w:val="auto"/>
        </w:rPr>
      </w:pPr>
      <w:r>
        <w:rPr>
          <w:rFonts w:ascii="Arial" w:cs="Arial" w:eastAsia="Arial" w:hAnsi="Arial"/>
          <w:sz w:val="18"/>
          <w:szCs w:val="18"/>
          <w:color w:val="auto"/>
        </w:rPr>
        <w:t>reflecting a decrease in the number of residential voice customers. Other revenue decreased 6.5%, reflecting a decrease in revenue from our security and automation services.</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twelve months ended December 31, 2022, Cable revenue increased 3.1% to $66.3 billion, driven by growth in broadband, business services, wireless and advertising revenue, partially offset by a decrease in video and voice revenue.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71,000 to 34.3 million in the fourth quarter of 2022. Excluding the negative impact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Hurricane Ian, we estimate that total customer relationships decreased by 36,000. Total broadband customer net losses were 26,000. Excluding the negative impact from Hurricane Ian, we estimate that total broadband net additions were 4,000. Total video customer net losses were 440,000 and total voice customer net losses were 288,000. In addition, Cable Communications added 365,000 wireless lines in the quarter.</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twelve months ended December 31, 2022, total customer relationships increased by 75,000. Residential customer relationships increased by 54,000 and business customer relationships increased by 21,000. Total broadband customer net additions were 250,000. Total</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video customer net losses were 2.0 million and total voice customer net losses were 1.2 million. In addition, Cable Communications added 1.3 million wireless lines in 2022.</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7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6"/>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54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38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4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620" w:type="dxa"/>
            <w:vAlign w:val="bottom"/>
            <w:tcBorders>
              <w:right w:val="single" w:sz="8" w:color="D9D9D6"/>
            </w:tcBorders>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360" w:type="dxa"/>
            <w:vAlign w:val="bottom"/>
            <w:tcBorders>
              <w:right w:val="single" w:sz="8" w:color="D9D9D6"/>
            </w:tcBorders>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182"/>
        </w:trPr>
        <w:tc>
          <w:tcPr>
            <w:tcW w:w="100" w:type="dxa"/>
            <w:vAlign w:val="bottom"/>
            <w:shd w:val="clear" w:color="auto" w:fill="D9D9D6"/>
          </w:tcPr>
          <w:p>
            <w:pPr>
              <w:spacing w:after="0"/>
              <w:rPr>
                <w:sz w:val="15"/>
                <w:szCs w:val="15"/>
                <w:color w:val="auto"/>
              </w:rPr>
            </w:pPr>
          </w:p>
        </w:tc>
        <w:tc>
          <w:tcPr>
            <w:tcW w:w="474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4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540" w:type="dxa"/>
            <w:vAlign w:val="bottom"/>
            <w:tcBorders>
              <w:right w:val="single" w:sz="8" w:color="D9D9D6"/>
            </w:tcBorders>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2560" w:type="dxa"/>
            <w:vAlign w:val="bottom"/>
            <w:tcBorders>
              <w:right w:val="single" w:sz="8" w:color="D9D9D6"/>
            </w:tcBorders>
            <w:gridSpan w:val="9"/>
            <w:shd w:val="clear" w:color="auto" w:fill="D9D9D6"/>
          </w:tcPr>
          <w:p>
            <w:pPr>
              <w:jc w:val="right"/>
              <w:ind w:right="680"/>
              <w:spacing w:after="0"/>
              <w:rPr>
                <w:sz w:val="20"/>
                <w:szCs w:val="20"/>
                <w:color w:val="auto"/>
              </w:rPr>
            </w:pPr>
            <w:r>
              <w:rPr>
                <w:rFonts w:ascii="Arial" w:cs="Arial" w:eastAsia="Arial" w:hAnsi="Arial"/>
                <w:sz w:val="14"/>
                <w:szCs w:val="14"/>
                <w:color w:val="auto"/>
              </w:rPr>
              <w:t>Net Additions / (Losses)</w:t>
            </w:r>
          </w:p>
        </w:tc>
        <w:tc>
          <w:tcPr>
            <w:tcW w:w="2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r>
      <w:tr>
        <w:trPr>
          <w:trHeight w:val="21"/>
        </w:trPr>
        <w:tc>
          <w:tcPr>
            <w:tcW w:w="100" w:type="dxa"/>
            <w:vAlign w:val="bottom"/>
            <w:tcBorders>
              <w:bottom w:val="single" w:sz="8" w:color="D9D9D6"/>
            </w:tcBorders>
            <w:shd w:val="clear" w:color="auto" w:fill="D9D9D6"/>
          </w:tcPr>
          <w:p>
            <w:pPr>
              <w:spacing w:after="0" w:line="20" w:lineRule="exact"/>
              <w:rPr>
                <w:sz w:val="1"/>
                <w:szCs w:val="1"/>
                <w:color w:val="auto"/>
              </w:rPr>
            </w:pPr>
          </w:p>
        </w:tc>
        <w:tc>
          <w:tcPr>
            <w:tcW w:w="474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36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34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520" w:type="dxa"/>
            <w:vAlign w:val="bottom"/>
            <w:tcBorders>
              <w:bottom w:val="single" w:sz="8" w:color="D9D9D6"/>
            </w:tcBorders>
            <w:shd w:val="clear" w:color="auto" w:fill="D9D9D6"/>
          </w:tcPr>
          <w:p>
            <w:pPr>
              <w:spacing w:after="0" w:line="20" w:lineRule="exact"/>
              <w:rPr>
                <w:sz w:val="1"/>
                <w:szCs w:val="1"/>
                <w:color w:val="auto"/>
              </w:rPr>
            </w:pPr>
          </w:p>
        </w:tc>
        <w:tc>
          <w:tcPr>
            <w:tcW w:w="540" w:type="dxa"/>
            <w:vAlign w:val="bottom"/>
            <w:tcBorders>
              <w:bottom w:val="single" w:sz="8" w:color="D9D9D6"/>
              <w:right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380" w:type="dxa"/>
            <w:vAlign w:val="bottom"/>
            <w:tcBorders>
              <w:bottom w:val="single" w:sz="8" w:color="D9D9D6"/>
              <w:right w:val="single" w:sz="8" w:color="auto"/>
            </w:tcBorders>
            <w:shd w:val="clear" w:color="auto" w:fill="D9D9D6"/>
          </w:tcPr>
          <w:p>
            <w:pPr>
              <w:spacing w:after="0" w:line="20" w:lineRule="exact"/>
              <w:rPr>
                <w:sz w:val="1"/>
                <w:szCs w:val="1"/>
                <w:color w:val="auto"/>
              </w:rPr>
            </w:pPr>
          </w:p>
        </w:tc>
        <w:tc>
          <w:tcPr>
            <w:tcW w:w="180" w:type="dxa"/>
            <w:vAlign w:val="bottom"/>
            <w:tcBorders>
              <w:bottom w:val="single" w:sz="8" w:color="D9D9D6"/>
            </w:tcBorders>
            <w:shd w:val="clear" w:color="auto" w:fill="000000"/>
          </w:tcPr>
          <w:p>
            <w:pPr>
              <w:spacing w:after="0" w:line="20" w:lineRule="exact"/>
              <w:rPr>
                <w:sz w:val="1"/>
                <w:szCs w:val="1"/>
                <w:color w:val="auto"/>
              </w:rPr>
            </w:pPr>
          </w:p>
        </w:tc>
        <w:tc>
          <w:tcPr>
            <w:tcW w:w="320" w:type="dxa"/>
            <w:vAlign w:val="bottom"/>
            <w:tcBorders>
              <w:bottom w:val="single" w:sz="8" w:color="D9D9D6"/>
            </w:tcBorders>
            <w:shd w:val="clear" w:color="auto" w:fill="000000"/>
          </w:tcPr>
          <w:p>
            <w:pPr>
              <w:spacing w:after="0" w:line="20" w:lineRule="exact"/>
              <w:rPr>
                <w:sz w:val="1"/>
                <w:szCs w:val="1"/>
                <w:color w:val="auto"/>
              </w:rPr>
            </w:pPr>
          </w:p>
        </w:tc>
        <w:tc>
          <w:tcPr>
            <w:tcW w:w="20" w:type="dxa"/>
            <w:vAlign w:val="bottom"/>
            <w:tcBorders>
              <w:bottom w:val="single" w:sz="8" w:color="D9D9D6"/>
            </w:tcBorders>
            <w:shd w:val="clear" w:color="auto" w:fill="000000"/>
          </w:tcPr>
          <w:p>
            <w:pPr>
              <w:spacing w:after="0" w:line="20" w:lineRule="exact"/>
              <w:rPr>
                <w:sz w:val="1"/>
                <w:szCs w:val="1"/>
                <w:color w:val="auto"/>
              </w:rPr>
            </w:pPr>
          </w:p>
        </w:tc>
        <w:tc>
          <w:tcPr>
            <w:tcW w:w="240" w:type="dxa"/>
            <w:vAlign w:val="bottom"/>
            <w:tcBorders>
              <w:bottom w:val="single" w:sz="8" w:color="D9D9D6"/>
              <w:right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D9D9D6"/>
            </w:tcBorders>
            <w:shd w:val="clear" w:color="auto" w:fill="000000"/>
          </w:tcPr>
          <w:p>
            <w:pPr>
              <w:spacing w:after="0" w:line="20" w:lineRule="exact"/>
              <w:rPr>
                <w:sz w:val="1"/>
                <w:szCs w:val="1"/>
                <w:color w:val="auto"/>
              </w:rPr>
            </w:pPr>
          </w:p>
        </w:tc>
        <w:tc>
          <w:tcPr>
            <w:tcW w:w="620" w:type="dxa"/>
            <w:vAlign w:val="bottom"/>
            <w:tcBorders>
              <w:bottom w:val="single" w:sz="8" w:color="D9D9D6"/>
              <w:right w:val="single" w:sz="8" w:color="D9D9D6"/>
            </w:tcBorders>
            <w:shd w:val="clear" w:color="auto" w:fill="000000"/>
          </w:tcPr>
          <w:p>
            <w:pPr>
              <w:spacing w:after="0" w:line="20" w:lineRule="exact"/>
              <w:rPr>
                <w:sz w:val="1"/>
                <w:szCs w:val="1"/>
                <w:color w:val="auto"/>
              </w:rPr>
            </w:pPr>
          </w:p>
        </w:tc>
        <w:tc>
          <w:tcPr>
            <w:tcW w:w="260" w:type="dxa"/>
            <w:vAlign w:val="bottom"/>
            <w:tcBorders>
              <w:bottom w:val="single" w:sz="8" w:color="D9D9D6"/>
            </w:tcBorders>
            <w:shd w:val="clear" w:color="auto" w:fill="D9D9D6"/>
          </w:tcPr>
          <w:p>
            <w:pPr>
              <w:spacing w:after="0" w:line="20" w:lineRule="exact"/>
              <w:rPr>
                <w:sz w:val="1"/>
                <w:szCs w:val="1"/>
                <w:color w:val="auto"/>
              </w:rPr>
            </w:pPr>
          </w:p>
        </w:tc>
        <w:tc>
          <w:tcPr>
            <w:tcW w:w="360" w:type="dxa"/>
            <w:vAlign w:val="bottom"/>
            <w:tcBorders>
              <w:bottom w:val="single" w:sz="8" w:color="D9D9D6"/>
              <w:right w:val="single" w:sz="8" w:color="D9D9D6"/>
            </w:tcBorders>
            <w:shd w:val="clear" w:color="auto" w:fill="D9D9D6"/>
          </w:tcPr>
          <w:p>
            <w:pPr>
              <w:spacing w:after="0" w:line="20" w:lineRule="exact"/>
              <w:rPr>
                <w:sz w:val="1"/>
                <w:szCs w:val="1"/>
                <w:color w:val="auto"/>
              </w:rPr>
            </w:pPr>
          </w:p>
        </w:tc>
        <w:tc>
          <w:tcPr>
            <w:tcW w:w="220" w:type="dxa"/>
            <w:vAlign w:val="bottom"/>
            <w:tcBorders>
              <w:bottom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20" w:type="dxa"/>
            <w:vAlign w:val="bottom"/>
            <w:tcBorders>
              <w:bottom w:val="single" w:sz="8" w:color="D9D9D6"/>
            </w:tcBorders>
            <w:shd w:val="clear" w:color="auto" w:fill="D9D9D6"/>
          </w:tcPr>
          <w:p>
            <w:pPr>
              <w:spacing w:after="0" w:line="20" w:lineRule="exact"/>
              <w:rPr>
                <w:sz w:val="1"/>
                <w:szCs w:val="1"/>
                <w:color w:val="auto"/>
              </w:rPr>
            </w:pPr>
          </w:p>
        </w:tc>
        <w:tc>
          <w:tcPr>
            <w:tcW w:w="100" w:type="dxa"/>
            <w:vAlign w:val="bottom"/>
            <w:tcBorders>
              <w:bottom w:val="single" w:sz="8" w:color="D9D9D6"/>
            </w:tcBorders>
            <w:shd w:val="clear" w:color="auto" w:fill="D9D9D6"/>
          </w:tcPr>
          <w:p>
            <w:pPr>
              <w:spacing w:after="0" w:line="20" w:lineRule="exact"/>
              <w:rPr>
                <w:sz w:val="1"/>
                <w:szCs w:val="1"/>
                <w:color w:val="auto"/>
              </w:rPr>
            </w:pPr>
          </w:p>
        </w:tc>
      </w:tr>
      <w:tr>
        <w:trPr>
          <w:trHeight w:val="162"/>
        </w:trPr>
        <w:tc>
          <w:tcPr>
            <w:tcW w:w="100" w:type="dxa"/>
            <w:vAlign w:val="bottom"/>
            <w:shd w:val="clear" w:color="auto" w:fill="D9D9D6"/>
          </w:tcPr>
          <w:p>
            <w:pPr>
              <w:spacing w:after="0"/>
              <w:rPr>
                <w:sz w:val="14"/>
                <w:szCs w:val="14"/>
                <w:color w:val="auto"/>
              </w:rPr>
            </w:pPr>
          </w:p>
        </w:tc>
        <w:tc>
          <w:tcPr>
            <w:tcW w:w="474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4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540" w:type="dxa"/>
            <w:vAlign w:val="bottom"/>
            <w:tcBorders>
              <w:right w:val="single" w:sz="8" w:color="D9D9D6"/>
            </w:tcBorders>
            <w:shd w:val="clear" w:color="auto" w:fill="D9D9D6"/>
          </w:tcPr>
          <w:p>
            <w:pPr>
              <w:spacing w:after="0"/>
              <w:rPr>
                <w:sz w:val="14"/>
                <w:szCs w:val="14"/>
                <w:color w:val="auto"/>
              </w:rPr>
            </w:pPr>
          </w:p>
        </w:tc>
        <w:tc>
          <w:tcPr>
            <w:tcW w:w="720" w:type="dxa"/>
            <w:vAlign w:val="bottom"/>
            <w:tcBorders>
              <w:right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w w:val="95"/>
              </w:rPr>
              <w:t>4th Quarter</w:t>
            </w:r>
          </w:p>
        </w:tc>
        <w:tc>
          <w:tcPr>
            <w:tcW w:w="520" w:type="dxa"/>
            <w:vAlign w:val="bottom"/>
            <w:gridSpan w:val="3"/>
            <w:shd w:val="clear" w:color="auto" w:fill="D9D9D6"/>
          </w:tcPr>
          <w:p>
            <w:pPr>
              <w:spacing w:after="0"/>
              <w:rPr>
                <w:sz w:val="14"/>
                <w:szCs w:val="14"/>
                <w:color w:val="auto"/>
              </w:rPr>
            </w:pPr>
          </w:p>
        </w:tc>
        <w:tc>
          <w:tcPr>
            <w:tcW w:w="240" w:type="dxa"/>
            <w:vAlign w:val="bottom"/>
            <w:tcBorders>
              <w:right w:val="single" w:sz="8" w:color="97999B"/>
            </w:tcBorders>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620" w:type="dxa"/>
            <w:vAlign w:val="bottom"/>
            <w:tcBorders>
              <w:right w:val="single" w:sz="8" w:color="D9D9D6"/>
            </w:tcBorders>
            <w:shd w:val="clear" w:color="auto" w:fill="D9D9D6"/>
          </w:tcPr>
          <w:p>
            <w:pPr>
              <w:spacing w:after="0"/>
              <w:rPr>
                <w:sz w:val="14"/>
                <w:szCs w:val="14"/>
                <w:color w:val="auto"/>
              </w:rPr>
            </w:pPr>
          </w:p>
        </w:tc>
        <w:tc>
          <w:tcPr>
            <w:tcW w:w="62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w w:val="96"/>
              </w:rPr>
              <w:t>Full Year</w:t>
            </w:r>
          </w:p>
        </w:tc>
        <w:tc>
          <w:tcPr>
            <w:tcW w:w="2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00" w:type="dxa"/>
            <w:vAlign w:val="bottom"/>
            <w:shd w:val="clear" w:color="auto" w:fill="D9D9D6"/>
          </w:tcPr>
          <w:p>
            <w:pPr>
              <w:spacing w:after="0"/>
              <w:rPr>
                <w:sz w:val="14"/>
                <w:szCs w:val="14"/>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474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54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620" w:type="dxa"/>
            <w:vAlign w:val="bottom"/>
            <w:tcBorders>
              <w:right w:val="single" w:sz="8" w:color="D9D9D6"/>
            </w:tcBorders>
            <w:shd w:val="clear" w:color="auto" w:fill="D9D9D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D9D9D6"/>
            </w:tcBorders>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183"/>
        </w:trPr>
        <w:tc>
          <w:tcPr>
            <w:tcW w:w="100" w:type="dxa"/>
            <w:vAlign w:val="bottom"/>
            <w:shd w:val="clear" w:color="auto" w:fill="D9D9D6"/>
          </w:tcPr>
          <w:p>
            <w:pPr>
              <w:spacing w:after="0"/>
              <w:rPr>
                <w:sz w:val="15"/>
                <w:szCs w:val="15"/>
                <w:color w:val="auto"/>
              </w:rPr>
            </w:pPr>
          </w:p>
        </w:tc>
        <w:tc>
          <w:tcPr>
            <w:tcW w:w="4740" w:type="dxa"/>
            <w:vAlign w:val="bottom"/>
            <w:shd w:val="clear" w:color="auto" w:fill="D9D9D6"/>
          </w:tcPr>
          <w:p>
            <w:pPr>
              <w:spacing w:after="0"/>
              <w:rPr>
                <w:sz w:val="15"/>
                <w:szCs w:val="15"/>
                <w:color w:val="auto"/>
              </w:rPr>
            </w:pPr>
          </w:p>
        </w:tc>
        <w:tc>
          <w:tcPr>
            <w:tcW w:w="900" w:type="dxa"/>
            <w:vAlign w:val="bottom"/>
            <w:gridSpan w:val="3"/>
            <w:shd w:val="clear" w:color="auto" w:fill="D9D9D6"/>
          </w:tcPr>
          <w:p>
            <w:pPr>
              <w:ind w:left="520"/>
              <w:spacing w:after="0"/>
              <w:rPr>
                <w:sz w:val="20"/>
                <w:szCs w:val="20"/>
                <w:color w:val="auto"/>
              </w:rPr>
            </w:pPr>
            <w:r>
              <w:rPr>
                <w:rFonts w:ascii="Arial" w:cs="Arial" w:eastAsia="Arial" w:hAnsi="Arial"/>
                <w:sz w:val="14"/>
                <w:szCs w:val="14"/>
                <w:color w:val="auto"/>
              </w:rPr>
              <w:t>4Q22</w:t>
            </w:r>
          </w:p>
        </w:tc>
        <w:tc>
          <w:tcPr>
            <w:tcW w:w="880" w:type="dxa"/>
            <w:vAlign w:val="bottom"/>
            <w:gridSpan w:val="3"/>
            <w:shd w:val="clear" w:color="auto" w:fill="D9D9D6"/>
          </w:tcPr>
          <w:p>
            <w:pPr>
              <w:ind w:left="520"/>
              <w:spacing w:after="0"/>
              <w:rPr>
                <w:sz w:val="20"/>
                <w:szCs w:val="20"/>
                <w:color w:val="auto"/>
              </w:rPr>
            </w:pPr>
            <w:r>
              <w:rPr>
                <w:rFonts w:ascii="Arial" w:cs="Arial" w:eastAsia="Arial" w:hAnsi="Arial"/>
                <w:sz w:val="14"/>
                <w:szCs w:val="14"/>
                <w:color w:val="auto"/>
                <w:w w:val="99"/>
              </w:rPr>
              <w:t>4Q21</w:t>
            </w:r>
          </w:p>
        </w:tc>
        <w:tc>
          <w:tcPr>
            <w:tcW w:w="1060" w:type="dxa"/>
            <w:vAlign w:val="bottom"/>
            <w:tcBorders>
              <w:right w:val="single" w:sz="8" w:color="D9D9D6"/>
            </w:tcBorders>
            <w:gridSpan w:val="2"/>
            <w:shd w:val="clear" w:color="auto" w:fill="D9D9D6"/>
          </w:tcPr>
          <w:p>
            <w:pPr>
              <w:spacing w:after="0"/>
              <w:rPr>
                <w:sz w:val="15"/>
                <w:szCs w:val="15"/>
                <w:color w:val="auto"/>
              </w:rPr>
            </w:pPr>
          </w:p>
        </w:tc>
        <w:tc>
          <w:tcPr>
            <w:tcW w:w="340" w:type="dxa"/>
            <w:vAlign w:val="bottom"/>
            <w:gridSpan w:val="2"/>
            <w:shd w:val="clear" w:color="auto" w:fill="D9D9D6"/>
          </w:tcPr>
          <w:p>
            <w:pPr>
              <w:jc w:val="center"/>
              <w:ind w:right="20"/>
              <w:spacing w:after="0"/>
              <w:rPr>
                <w:sz w:val="20"/>
                <w:szCs w:val="20"/>
                <w:color w:val="auto"/>
              </w:rPr>
            </w:pPr>
            <w:r>
              <w:rPr>
                <w:rFonts w:ascii="Arial" w:cs="Arial" w:eastAsia="Arial" w:hAnsi="Arial"/>
                <w:sz w:val="14"/>
                <w:szCs w:val="14"/>
                <w:color w:val="auto"/>
              </w:rPr>
              <w:t>2022</w:t>
            </w:r>
          </w:p>
        </w:tc>
        <w:tc>
          <w:tcPr>
            <w:tcW w:w="380" w:type="dxa"/>
            <w:vAlign w:val="bottom"/>
            <w:tcBorders>
              <w:right w:val="single" w:sz="8" w:color="D9D9D6"/>
            </w:tcBorders>
            <w:shd w:val="clear" w:color="auto" w:fill="D9D9D6"/>
          </w:tcPr>
          <w:p>
            <w:pPr>
              <w:spacing w:after="0"/>
              <w:rPr>
                <w:sz w:val="15"/>
                <w:szCs w:val="15"/>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240" w:type="dxa"/>
            <w:vAlign w:val="bottom"/>
            <w:tcBorders>
              <w:right w:val="single" w:sz="8" w:color="97999B"/>
            </w:tcBorders>
            <w:shd w:val="clear" w:color="auto" w:fill="D9D9D6"/>
          </w:tcPr>
          <w:p>
            <w:pPr>
              <w:spacing w:after="0"/>
              <w:rPr>
                <w:sz w:val="15"/>
                <w:szCs w:val="15"/>
                <w:color w:val="auto"/>
              </w:rPr>
            </w:pPr>
          </w:p>
        </w:tc>
        <w:tc>
          <w:tcPr>
            <w:tcW w:w="1420" w:type="dxa"/>
            <w:vAlign w:val="bottom"/>
            <w:tcBorders>
              <w:right w:val="single" w:sz="8" w:color="D9D9D6"/>
            </w:tcBorders>
            <w:gridSpan w:val="4"/>
            <w:shd w:val="clear" w:color="auto" w:fill="D9D9D6"/>
          </w:tcPr>
          <w:p>
            <w:pPr>
              <w:jc w:val="right"/>
              <w:ind w:right="360"/>
              <w:spacing w:after="0"/>
              <w:rPr>
                <w:sz w:val="20"/>
                <w:szCs w:val="20"/>
                <w:color w:val="auto"/>
              </w:rPr>
            </w:pPr>
            <w:r>
              <w:rPr>
                <w:rFonts w:ascii="Arial" w:cs="Arial" w:eastAsia="Arial" w:hAnsi="Arial"/>
                <w:sz w:val="14"/>
                <w:szCs w:val="14"/>
                <w:color w:val="auto"/>
              </w:rPr>
              <w:t>2022</w:t>
            </w:r>
          </w:p>
        </w:tc>
        <w:tc>
          <w:tcPr>
            <w:tcW w:w="5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D9D9D6"/>
          </w:tcPr>
          <w:p>
            <w:pPr>
              <w:spacing w:after="0"/>
              <w:rPr>
                <w:sz w:val="15"/>
                <w:szCs w:val="15"/>
                <w:color w:val="auto"/>
              </w:rPr>
            </w:pPr>
          </w:p>
        </w:tc>
      </w:tr>
      <w:tr>
        <w:trPr>
          <w:trHeight w:val="221"/>
        </w:trPr>
        <w:tc>
          <w:tcPr>
            <w:tcW w:w="100" w:type="dxa"/>
            <w:vAlign w:val="bottom"/>
            <w:tcBorders>
              <w:top w:val="single" w:sz="8" w:color="D9D9D6"/>
            </w:tcBorders>
            <w:shd w:val="clear" w:color="auto" w:fill="D9D9D6"/>
          </w:tcPr>
          <w:p>
            <w:pPr>
              <w:spacing w:after="0"/>
              <w:rPr>
                <w:sz w:val="19"/>
                <w:szCs w:val="19"/>
                <w:color w:val="auto"/>
              </w:rPr>
            </w:pPr>
          </w:p>
        </w:tc>
        <w:tc>
          <w:tcPr>
            <w:tcW w:w="47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right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right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right w:val="single" w:sz="8" w:color="97999B"/>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620" w:type="dxa"/>
            <w:vAlign w:val="bottom"/>
            <w:tcBorders>
              <w:top w:val="single" w:sz="8" w:color="D9D9D6"/>
              <w:right w:val="single" w:sz="8" w:color="D9D9D6"/>
            </w:tcBorders>
            <w:shd w:val="clear" w:color="auto" w:fill="D9D9D6"/>
          </w:tcPr>
          <w:p>
            <w:pPr>
              <w:spacing w:after="0"/>
              <w:rPr>
                <w:sz w:val="19"/>
                <w:szCs w:val="19"/>
                <w:color w:val="auto"/>
              </w:rPr>
            </w:pPr>
          </w:p>
        </w:tc>
        <w:tc>
          <w:tcPr>
            <w:tcW w:w="260" w:type="dxa"/>
            <w:vAlign w:val="bottom"/>
            <w:tcBorders>
              <w:top w:val="single" w:sz="8" w:color="auto"/>
            </w:tcBorders>
            <w:shd w:val="clear" w:color="auto" w:fill="D9D9D6"/>
          </w:tcPr>
          <w:p>
            <w:pPr>
              <w:spacing w:after="0"/>
              <w:rPr>
                <w:sz w:val="19"/>
                <w:szCs w:val="19"/>
                <w:color w:val="auto"/>
              </w:rPr>
            </w:pPr>
          </w:p>
        </w:tc>
        <w:tc>
          <w:tcPr>
            <w:tcW w:w="360" w:type="dxa"/>
            <w:vAlign w:val="bottom"/>
            <w:tcBorders>
              <w:top w:val="single" w:sz="8" w:color="D9D9D6"/>
              <w:right w:val="single" w:sz="8" w:color="D9D9D6"/>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r>
      <w:tr>
        <w:trPr>
          <w:trHeight w:val="197"/>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31,782</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31,728</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(67)</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153</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54</w:t>
            </w:r>
          </w:p>
        </w:tc>
        <w:tc>
          <w:tcPr>
            <w:tcW w:w="360" w:type="dxa"/>
            <w:vAlign w:val="bottom"/>
            <w:tcBorders>
              <w:right w:val="single" w:sz="8" w:color="D9D9D6"/>
            </w:tcBorders>
            <w:shd w:val="clear" w:color="auto" w:fill="D9D9D6"/>
          </w:tcPr>
          <w:p>
            <w:pPr>
              <w:spacing w:after="0"/>
              <w:rPr>
                <w:sz w:val="17"/>
                <w:szCs w:val="17"/>
                <w:color w:val="auto"/>
              </w:rPr>
            </w:pPr>
          </w:p>
        </w:tc>
        <w:tc>
          <w:tcPr>
            <w:tcW w:w="5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1,036</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2,510</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2,489</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360" w:type="dxa"/>
            <w:vAlign w:val="bottom"/>
            <w:tcBorders>
              <w:bottom w:val="single" w:sz="8" w:color="auto"/>
              <w:right w:val="single" w:sz="8" w:color="D9D9D6"/>
            </w:tcBorders>
            <w:shd w:val="clear" w:color="auto" w:fill="D9D9D6"/>
          </w:tcPr>
          <w:p>
            <w:pPr>
              <w:spacing w:after="0"/>
              <w:rPr>
                <w:sz w:val="17"/>
                <w:szCs w:val="17"/>
                <w:color w:val="auto"/>
              </w:rPr>
            </w:pPr>
          </w:p>
        </w:tc>
        <w:tc>
          <w:tcPr>
            <w:tcW w:w="5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63</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34,293</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34,218</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(71)</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169</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75</w:t>
            </w:r>
          </w:p>
        </w:tc>
        <w:tc>
          <w:tcPr>
            <w:tcW w:w="360" w:type="dxa"/>
            <w:vAlign w:val="bottom"/>
            <w:tcBorders>
              <w:right w:val="single" w:sz="8" w:color="D9D9D6"/>
            </w:tcBorders>
            <w:shd w:val="clear" w:color="auto" w:fill="D9D9D6"/>
          </w:tcPr>
          <w:p>
            <w:pPr>
              <w:spacing w:after="0"/>
              <w:rPr>
                <w:sz w:val="17"/>
                <w:szCs w:val="17"/>
                <w:color w:val="auto"/>
              </w:rPr>
            </w:pPr>
          </w:p>
        </w:tc>
        <w:tc>
          <w:tcPr>
            <w:tcW w:w="5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1,099</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8"/>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540" w:type="dxa"/>
            <w:vAlign w:val="bottom"/>
            <w:tcBorders>
              <w:right w:val="single" w:sz="8" w:color="D9D9D6"/>
            </w:tcBorders>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80" w:type="dxa"/>
            <w:vAlign w:val="bottom"/>
            <w:tcBorders>
              <w:right w:val="single" w:sz="8" w:color="D9D9D6"/>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620" w:type="dxa"/>
            <w:vAlign w:val="bottom"/>
            <w:tcBorders>
              <w:right w:val="single" w:sz="8" w:color="D9D9D6"/>
            </w:tcBorders>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360" w:type="dxa"/>
            <w:vAlign w:val="bottom"/>
            <w:tcBorders>
              <w:right w:val="single" w:sz="8" w:color="D9D9D6"/>
            </w:tcBorders>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197"/>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15,652</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14,330</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center"/>
              <w:ind w:left="468"/>
              <w:spacing w:after="0"/>
              <w:rPr>
                <w:sz w:val="20"/>
                <w:szCs w:val="20"/>
                <w:color w:val="auto"/>
              </w:rPr>
            </w:pPr>
            <w:r>
              <w:rPr>
                <w:rFonts w:ascii="Arial" w:cs="Arial" w:eastAsia="Arial" w:hAnsi="Arial"/>
                <w:sz w:val="14"/>
                <w:szCs w:val="14"/>
                <w:color w:val="auto"/>
              </w:rPr>
              <w:t>189</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371</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1,322</w:t>
            </w:r>
          </w:p>
        </w:tc>
        <w:tc>
          <w:tcPr>
            <w:tcW w:w="360" w:type="dxa"/>
            <w:vAlign w:val="bottom"/>
            <w:tcBorders>
              <w:right w:val="single" w:sz="8" w:color="D9D9D6"/>
            </w:tcBorders>
            <w:shd w:val="clear" w:color="auto" w:fill="D9D9D6"/>
          </w:tcPr>
          <w:p>
            <w:pPr>
              <w:spacing w:after="0"/>
              <w:rPr>
                <w:sz w:val="17"/>
                <w:szCs w:val="17"/>
                <w:color w:val="auto"/>
              </w:rPr>
            </w:pPr>
          </w:p>
        </w:tc>
        <w:tc>
          <w:tcPr>
            <w:tcW w:w="5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1,922</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203"/>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8,188</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8,407</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(67)</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(218)</w:t>
            </w:r>
          </w:p>
        </w:tc>
        <w:tc>
          <w:tcPr>
            <w:tcW w:w="360" w:type="dxa"/>
            <w:vAlign w:val="bottom"/>
            <w:tcBorders>
              <w:right w:val="single" w:sz="8" w:color="D9D9D6"/>
            </w:tcBorders>
            <w:shd w:val="clear" w:color="auto" w:fill="D9D9D6"/>
          </w:tcPr>
          <w:p>
            <w:pPr>
              <w:spacing w:after="0"/>
              <w:rPr>
                <w:sz w:val="17"/>
                <w:szCs w:val="17"/>
                <w:color w:val="auto"/>
              </w:rPr>
            </w:pPr>
          </w:p>
        </w:tc>
        <w:tc>
          <w:tcPr>
            <w:tcW w:w="5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(328)</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203"/>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7,942</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8,992</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(240)</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(152)</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(1,050)</w:t>
            </w:r>
          </w:p>
        </w:tc>
        <w:tc>
          <w:tcPr>
            <w:tcW w:w="360" w:type="dxa"/>
            <w:vAlign w:val="bottom"/>
            <w:tcBorders>
              <w:right w:val="single" w:sz="8" w:color="D9D9D6"/>
            </w:tcBorders>
            <w:shd w:val="clear" w:color="auto" w:fill="D9D9D6"/>
          </w:tcPr>
          <w:p>
            <w:pPr>
              <w:spacing w:after="0"/>
              <w:rPr>
                <w:sz w:val="17"/>
                <w:szCs w:val="17"/>
                <w:color w:val="auto"/>
              </w:rPr>
            </w:pPr>
          </w:p>
        </w:tc>
        <w:tc>
          <w:tcPr>
            <w:tcW w:w="5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(558)</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8"/>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Broadband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29,812</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29,583</w:t>
            </w: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194</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230</w:t>
            </w:r>
          </w:p>
        </w:tc>
        <w:tc>
          <w:tcPr>
            <w:tcW w:w="360" w:type="dxa"/>
            <w:vAlign w:val="bottom"/>
            <w:tcBorders>
              <w:right w:val="single" w:sz="8" w:color="D9D9D6"/>
            </w:tcBorders>
            <w:shd w:val="clear" w:color="auto" w:fill="D9D9D6"/>
          </w:tcPr>
          <w:p>
            <w:pPr>
              <w:spacing w:after="0"/>
              <w:rPr>
                <w:sz w:val="24"/>
                <w:szCs w:val="24"/>
                <w:color w:val="auto"/>
              </w:rPr>
            </w:pPr>
          </w:p>
        </w:tc>
        <w:tc>
          <w:tcPr>
            <w:tcW w:w="5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1,257</w:t>
            </w: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Broadband Customers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2,339</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2,318</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360" w:type="dxa"/>
            <w:vAlign w:val="bottom"/>
            <w:tcBorders>
              <w:bottom w:val="single" w:sz="8" w:color="auto"/>
              <w:right w:val="single" w:sz="8" w:color="D9D9D6"/>
            </w:tcBorders>
            <w:shd w:val="clear" w:color="auto" w:fill="D9D9D6"/>
          </w:tcPr>
          <w:p>
            <w:pPr>
              <w:spacing w:after="0"/>
              <w:rPr>
                <w:sz w:val="17"/>
                <w:szCs w:val="17"/>
                <w:color w:val="auto"/>
              </w:rPr>
            </w:pPr>
          </w:p>
        </w:tc>
        <w:tc>
          <w:tcPr>
            <w:tcW w:w="5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70</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1"/>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Broadband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32,151</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31,901</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(26)</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212</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250</w:t>
            </w:r>
          </w:p>
        </w:tc>
        <w:tc>
          <w:tcPr>
            <w:tcW w:w="360" w:type="dxa"/>
            <w:vAlign w:val="bottom"/>
            <w:tcBorders>
              <w:right w:val="single" w:sz="8" w:color="D9D9D6"/>
            </w:tcBorders>
            <w:shd w:val="clear" w:color="auto" w:fill="D9D9D6"/>
          </w:tcPr>
          <w:p>
            <w:pPr>
              <w:spacing w:after="0"/>
              <w:rPr>
                <w:sz w:val="17"/>
                <w:szCs w:val="17"/>
                <w:color w:val="auto"/>
              </w:rPr>
            </w:pPr>
          </w:p>
        </w:tc>
        <w:tc>
          <w:tcPr>
            <w:tcW w:w="5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1,327</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3"/>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15,554</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17,495</w:t>
            </w: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(419)</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(349)</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(1,941)</w:t>
            </w:r>
          </w:p>
        </w:tc>
        <w:tc>
          <w:tcPr>
            <w:tcW w:w="360" w:type="dxa"/>
            <w:vAlign w:val="bottom"/>
            <w:tcBorders>
              <w:right w:val="single" w:sz="8" w:color="D9D9D6"/>
            </w:tcBorders>
            <w:shd w:val="clear" w:color="auto" w:fill="D9D9D6"/>
          </w:tcPr>
          <w:p>
            <w:pPr>
              <w:spacing w:after="0"/>
              <w:rPr>
                <w:sz w:val="24"/>
                <w:szCs w:val="24"/>
                <w:color w:val="auto"/>
              </w:rPr>
            </w:pPr>
          </w:p>
        </w:tc>
        <w:tc>
          <w:tcPr>
            <w:tcW w:w="5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(1,498)</w:t>
            </w: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589</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681</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(24)</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(93)</w:t>
            </w:r>
          </w:p>
        </w:tc>
        <w:tc>
          <w:tcPr>
            <w:tcW w:w="360" w:type="dxa"/>
            <w:vAlign w:val="bottom"/>
            <w:tcBorders>
              <w:bottom w:val="single" w:sz="8" w:color="auto"/>
              <w:right w:val="single" w:sz="8" w:color="D9D9D6"/>
            </w:tcBorders>
            <w:shd w:val="clear" w:color="auto" w:fill="D9D9D6"/>
          </w:tcPr>
          <w:p>
            <w:pPr>
              <w:spacing w:after="0"/>
              <w:rPr>
                <w:sz w:val="17"/>
                <w:szCs w:val="17"/>
                <w:color w:val="auto"/>
              </w:rPr>
            </w:pPr>
          </w:p>
        </w:tc>
        <w:tc>
          <w:tcPr>
            <w:tcW w:w="54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(171)</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16,142</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18,176</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(440)</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(373)</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(2,034)</w:t>
            </w:r>
          </w:p>
        </w:tc>
        <w:tc>
          <w:tcPr>
            <w:tcW w:w="360" w:type="dxa"/>
            <w:vAlign w:val="bottom"/>
            <w:tcBorders>
              <w:right w:val="single" w:sz="8" w:color="D9D9D6"/>
            </w:tcBorders>
            <w:shd w:val="clear" w:color="auto" w:fill="D9D9D6"/>
          </w:tcPr>
          <w:p>
            <w:pPr>
              <w:spacing w:after="0"/>
              <w:rPr>
                <w:sz w:val="17"/>
                <w:szCs w:val="17"/>
                <w:color w:val="auto"/>
              </w:rPr>
            </w:pPr>
          </w:p>
        </w:tc>
        <w:tc>
          <w:tcPr>
            <w:tcW w:w="5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(1,669)</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13"/>
        </w:trPr>
        <w:tc>
          <w:tcPr>
            <w:tcW w:w="100" w:type="dxa"/>
            <w:vAlign w:val="bottom"/>
            <w:shd w:val="clear" w:color="auto" w:fill="D9D9D6"/>
          </w:tcPr>
          <w:p>
            <w:pPr>
              <w:spacing w:after="0"/>
              <w:rPr>
                <w:sz w:val="24"/>
                <w:szCs w:val="24"/>
                <w:color w:val="auto"/>
              </w:rPr>
            </w:pPr>
          </w:p>
        </w:tc>
        <w:tc>
          <w:tcPr>
            <w:tcW w:w="47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7,912</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9,062</w:t>
            </w: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(278)</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(183)</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(1,150)</w:t>
            </w:r>
          </w:p>
        </w:tc>
        <w:tc>
          <w:tcPr>
            <w:tcW w:w="360" w:type="dxa"/>
            <w:vAlign w:val="bottom"/>
            <w:tcBorders>
              <w:right w:val="single" w:sz="8" w:color="D9D9D6"/>
            </w:tcBorders>
            <w:shd w:val="clear" w:color="auto" w:fill="D9D9D6"/>
          </w:tcPr>
          <w:p>
            <w:pPr>
              <w:spacing w:after="0"/>
              <w:rPr>
                <w:sz w:val="24"/>
                <w:szCs w:val="24"/>
                <w:color w:val="auto"/>
              </w:rPr>
            </w:pPr>
          </w:p>
        </w:tc>
        <w:tc>
          <w:tcPr>
            <w:tcW w:w="5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(583)</w:t>
            </w:r>
          </w:p>
        </w:tc>
        <w:tc>
          <w:tcPr>
            <w:tcW w:w="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47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1,369</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1,391</w:t>
            </w:r>
          </w:p>
        </w:tc>
        <w:tc>
          <w:tcPr>
            <w:tcW w:w="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w:t>
            </w:r>
          </w:p>
        </w:tc>
        <w:tc>
          <w:tcPr>
            <w:tcW w:w="360" w:type="dxa"/>
            <w:vAlign w:val="bottom"/>
            <w:tcBorders>
              <w:bottom w:val="single" w:sz="8" w:color="auto"/>
              <w:right w:val="single" w:sz="8" w:color="D9D9D6"/>
            </w:tcBorders>
            <w:shd w:val="clear" w:color="auto" w:fill="D9D9D6"/>
          </w:tcPr>
          <w:p>
            <w:pPr>
              <w:spacing w:after="0"/>
              <w:rPr>
                <w:sz w:val="17"/>
                <w:szCs w:val="17"/>
                <w:color w:val="auto"/>
              </w:rPr>
            </w:pPr>
          </w:p>
        </w:tc>
        <w:tc>
          <w:tcPr>
            <w:tcW w:w="5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47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9,282</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10,454</w:t>
            </w:r>
          </w:p>
        </w:tc>
        <w:tc>
          <w:tcPr>
            <w:tcW w:w="20" w:type="dxa"/>
            <w:vAlign w:val="bottom"/>
            <w:shd w:val="clear" w:color="auto" w:fill="D9D9D6"/>
          </w:tcPr>
          <w:p>
            <w:pPr>
              <w:spacing w:after="0"/>
              <w:rPr>
                <w:sz w:val="17"/>
                <w:szCs w:val="17"/>
                <w:color w:val="auto"/>
              </w:rPr>
            </w:pPr>
          </w:p>
        </w:tc>
        <w:tc>
          <w:tcPr>
            <w:tcW w:w="5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(288)</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(176)</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(1,172)</w:t>
            </w:r>
          </w:p>
        </w:tc>
        <w:tc>
          <w:tcPr>
            <w:tcW w:w="360" w:type="dxa"/>
            <w:vAlign w:val="bottom"/>
            <w:tcBorders>
              <w:right w:val="single" w:sz="8" w:color="D9D9D6"/>
            </w:tcBorders>
            <w:shd w:val="clear" w:color="auto" w:fill="D9D9D6"/>
          </w:tcPr>
          <w:p>
            <w:pPr>
              <w:spacing w:after="0"/>
              <w:rPr>
                <w:sz w:val="17"/>
                <w:szCs w:val="17"/>
                <w:color w:val="auto"/>
              </w:rPr>
            </w:pPr>
          </w:p>
        </w:tc>
        <w:tc>
          <w:tcPr>
            <w:tcW w:w="5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(548)</w:t>
            </w:r>
          </w:p>
        </w:tc>
        <w:tc>
          <w:tcPr>
            <w:tcW w:w="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r>
      <w:tr>
        <w:trPr>
          <w:trHeight w:val="455"/>
        </w:trPr>
        <w:tc>
          <w:tcPr>
            <w:tcW w:w="100" w:type="dxa"/>
            <w:vAlign w:val="bottom"/>
            <w:tcBorders>
              <w:bottom w:val="single" w:sz="8" w:color="D9D9D6"/>
            </w:tcBorders>
            <w:shd w:val="clear" w:color="auto" w:fill="D9D9D6"/>
          </w:tcPr>
          <w:p>
            <w:pPr>
              <w:spacing w:after="0"/>
              <w:rPr>
                <w:sz w:val="24"/>
                <w:szCs w:val="24"/>
                <w:color w:val="auto"/>
              </w:rPr>
            </w:pPr>
          </w:p>
        </w:tc>
        <w:tc>
          <w:tcPr>
            <w:tcW w:w="4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88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5,313</w:t>
            </w:r>
          </w:p>
        </w:tc>
        <w:tc>
          <w:tcPr>
            <w:tcW w:w="2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3,980</w:t>
            </w:r>
          </w:p>
        </w:tc>
        <w:tc>
          <w:tcPr>
            <w:tcW w:w="20" w:type="dxa"/>
            <w:vAlign w:val="bottom"/>
            <w:tcBorders>
              <w:bottom w:val="single" w:sz="8" w:color="D9D9D6"/>
            </w:tcBorders>
            <w:shd w:val="clear" w:color="auto" w:fill="D9D9D6"/>
          </w:tcPr>
          <w:p>
            <w:pPr>
              <w:spacing w:after="0"/>
              <w:rPr>
                <w:sz w:val="24"/>
                <w:szCs w:val="24"/>
                <w:color w:val="auto"/>
              </w:rPr>
            </w:pPr>
          </w:p>
        </w:tc>
        <w:tc>
          <w:tcPr>
            <w:tcW w:w="52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2"/>
            <w:shd w:val="clear" w:color="auto" w:fill="D9D9D6"/>
          </w:tcPr>
          <w:p>
            <w:pPr>
              <w:jc w:val="center"/>
              <w:ind w:left="468"/>
              <w:spacing w:after="0"/>
              <w:rPr>
                <w:sz w:val="20"/>
                <w:szCs w:val="20"/>
                <w:color w:val="auto"/>
              </w:rPr>
            </w:pPr>
            <w:r>
              <w:rPr>
                <w:rFonts w:ascii="Arial" w:cs="Arial" w:eastAsia="Arial" w:hAnsi="Arial"/>
                <w:sz w:val="14"/>
                <w:szCs w:val="14"/>
                <w:b w:val="1"/>
                <w:bCs w:val="1"/>
                <w:color w:val="auto"/>
              </w:rPr>
              <w:t>365</w:t>
            </w:r>
          </w:p>
        </w:tc>
        <w:tc>
          <w:tcPr>
            <w:tcW w:w="2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312</w:t>
            </w:r>
          </w:p>
        </w:tc>
        <w:tc>
          <w:tcPr>
            <w:tcW w:w="2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18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1,334</w:t>
            </w:r>
          </w:p>
        </w:tc>
        <w:tc>
          <w:tcPr>
            <w:tcW w:w="360" w:type="dxa"/>
            <w:vAlign w:val="bottom"/>
            <w:tcBorders>
              <w:bottom w:val="single" w:sz="8" w:color="D9D9D6"/>
              <w:right w:val="single" w:sz="8" w:color="D9D9D6"/>
            </w:tcBorders>
            <w:shd w:val="clear" w:color="auto" w:fill="D9D9D6"/>
          </w:tcPr>
          <w:p>
            <w:pPr>
              <w:spacing w:after="0"/>
              <w:rPr>
                <w:sz w:val="24"/>
                <w:szCs w:val="24"/>
                <w:color w:val="auto"/>
              </w:rPr>
            </w:pPr>
          </w:p>
        </w:tc>
        <w:tc>
          <w:tcPr>
            <w:tcW w:w="54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1,154</w:t>
            </w:r>
          </w:p>
        </w:tc>
        <w:tc>
          <w:tcPr>
            <w:tcW w:w="2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1.5% to $7.2 billion in the fourth quarter of 2022, reflecting higher revenue, partially</w:t>
      </w:r>
    </w:p>
    <w:p>
      <w:pPr>
        <w:spacing w:after="0" w:line="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offset by a 1.4% increase in operating expenses due to higher severance expense. Excluding the higher severance</w:t>
      </w:r>
      <w:r>
        <w:rPr>
          <w:rFonts w:ascii="Arial" w:cs="Arial" w:eastAsia="Arial" w:hAnsi="Arial"/>
          <w:sz w:val="23"/>
          <w:szCs w:val="23"/>
          <w:color w:val="auto"/>
          <w:vertAlign w:val="superscript"/>
        </w:rPr>
        <w:t>5</w:t>
      </w:r>
      <w:r>
        <w:rPr>
          <w:rFonts w:ascii="Arial" w:cs="Arial" w:eastAsia="Arial" w:hAnsi="Arial"/>
          <w:sz w:val="18"/>
          <w:szCs w:val="18"/>
          <w:color w:val="auto"/>
        </w:rPr>
        <w:t>, Adjusted EBITDA increased 5.8%. Programming expenses decreased 5.9%, primarily reflecting a decline in the number of video subscribers, partially offset by contractual rate increases. Non-programming expenses increased 5.6%, reflecting higher other expenses, including $305 million in higher severance expense, and an increase in technical and product support expenses, partially offset by lower advertising, marketing and</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promotion expenses, franchise and regulatory fees and customer service expenses. Adjusted EBITDA margin was 43.5% compared to 43.4% in the prior year period. Excluding the higher severance</w:t>
      </w:r>
      <w:r>
        <w:rPr>
          <w:rFonts w:ascii="Arial" w:cs="Arial" w:eastAsia="Arial" w:hAnsi="Arial"/>
          <w:sz w:val="23"/>
          <w:szCs w:val="23"/>
          <w:color w:val="auto"/>
          <w:vertAlign w:val="superscript"/>
        </w:rPr>
        <w:t>5</w:t>
      </w:r>
      <w:r>
        <w:rPr>
          <w:rFonts w:ascii="Arial" w:cs="Arial" w:eastAsia="Arial" w:hAnsi="Arial"/>
          <w:sz w:val="18"/>
          <w:szCs w:val="18"/>
          <w:color w:val="auto"/>
        </w:rPr>
        <w:t>, Adjusted EBITDA margin was 45.3% in the fourth quarter of 2022.</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twelve months ended December 31, 2022, Adjusted EBITDA for Cable Communications increased 4.6% to $ 29.4 billion, reflecting higher revenue, partially offset by a 1.9% increase in operating expenses. Programming expenses decreased 2.8%, primarily reflecting a decline in the number of video subscribers, partially offset by contractual rate increases. Non-programming expenses increased 4.9%. For the twelve months ended December 31, 2022, Adjusted EBITDA margin was 44.3% compared to 43.7% in 2021.</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increased 9.7% to $2.4 billion in the fourth quarter of 2022, reflecting increased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line extensions, scalable infrastructure, customer premise equipment and support capital. Cable capital expenditures represented 14.4% of Cable revenue in the fourth quarter of 2022 compared to 13.4% in the prior year period.</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twelve months ended December 31, 2022, Cable capital expenditures increased 9.2% to $7.6 billion, reflecting increased investment in line extensions, scalable infrastructure, support capital and customer premise equipment. Cable capital expenditures represented 11.4% of Cable revenue compared to 10.8% in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625"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40" w:type="dxa"/>
            <w:vAlign w:val="bottom"/>
            <w:tcBorders>
              <w:right w:val="single" w:sz="8" w:color="D9D9D6"/>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4960" w:type="dxa"/>
            <w:vAlign w:val="bottom"/>
            <w:tcBorders>
              <w:bottom w:val="single" w:sz="8" w:color="D9D9D6"/>
            </w:tcBorders>
            <w:shd w:val="clear" w:color="auto" w:fill="D9D9D6"/>
          </w:tcPr>
          <w:p>
            <w:pPr>
              <w:spacing w:after="0"/>
              <w:rPr>
                <w:sz w:val="15"/>
                <w:szCs w:val="15"/>
                <w:color w:val="auto"/>
              </w:rPr>
            </w:pPr>
          </w:p>
        </w:tc>
        <w:tc>
          <w:tcPr>
            <w:tcW w:w="52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w w:val="98"/>
              </w:rPr>
              <w:t>4th Quarter</w:t>
            </w:r>
          </w:p>
        </w:tc>
        <w:tc>
          <w:tcPr>
            <w:tcW w:w="200" w:type="dxa"/>
            <w:vAlign w:val="bottom"/>
            <w:tcBorders>
              <w:bottom w:val="single" w:sz="8" w:color="D9D9D6"/>
            </w:tcBorders>
            <w:shd w:val="clear" w:color="auto" w:fill="D9D9D6"/>
          </w:tcPr>
          <w:p>
            <w:pPr>
              <w:spacing w:after="0"/>
              <w:rPr>
                <w:sz w:val="15"/>
                <w:szCs w:val="15"/>
                <w:color w:val="auto"/>
              </w:rPr>
            </w:pPr>
          </w:p>
        </w:tc>
        <w:tc>
          <w:tcPr>
            <w:tcW w:w="30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240" w:type="dxa"/>
            <w:vAlign w:val="bottom"/>
            <w:tcBorders>
              <w:bottom w:val="single" w:sz="8" w:color="D9D9D6"/>
              <w:right w:val="single" w:sz="8" w:color="97999B"/>
            </w:tcBorders>
            <w:shd w:val="clear" w:color="auto" w:fill="D9D9D6"/>
          </w:tcPr>
          <w:p>
            <w:pPr>
              <w:spacing w:after="0"/>
              <w:rPr>
                <w:sz w:val="15"/>
                <w:szCs w:val="15"/>
                <w:color w:val="auto"/>
              </w:rPr>
            </w:pPr>
          </w:p>
        </w:tc>
        <w:tc>
          <w:tcPr>
            <w:tcW w:w="240" w:type="dxa"/>
            <w:vAlign w:val="bottom"/>
            <w:tcBorders>
              <w:bottom w:val="single" w:sz="8" w:color="D9D9D6"/>
            </w:tcBorders>
            <w:shd w:val="clear" w:color="auto" w:fill="D9D9D6"/>
          </w:tcPr>
          <w:p>
            <w:pPr>
              <w:spacing w:after="0"/>
              <w:rPr>
                <w:sz w:val="15"/>
                <w:szCs w:val="15"/>
                <w:color w:val="auto"/>
              </w:rPr>
            </w:pPr>
          </w:p>
        </w:tc>
        <w:tc>
          <w:tcPr>
            <w:tcW w:w="5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6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6"/>
              </w:rPr>
              <w:t>Full Year</w:t>
            </w:r>
          </w:p>
        </w:tc>
        <w:tc>
          <w:tcPr>
            <w:tcW w:w="60" w:type="dxa"/>
            <w:vAlign w:val="bottom"/>
            <w:tcBorders>
              <w:bottom w:val="single" w:sz="8" w:color="D9D9D6"/>
            </w:tcBorders>
            <w:gridSpan w:val="2"/>
            <w:shd w:val="clear" w:color="auto" w:fill="D9D9D6"/>
          </w:tcPr>
          <w:p>
            <w:pPr>
              <w:spacing w:after="0"/>
              <w:rPr>
                <w:sz w:val="15"/>
                <w:szCs w:val="15"/>
                <w:color w:val="auto"/>
              </w:rPr>
            </w:pPr>
          </w:p>
        </w:tc>
        <w:tc>
          <w:tcPr>
            <w:tcW w:w="5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496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8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D9D9D6"/>
          </w:tcPr>
          <w:p>
            <w:pPr>
              <w:spacing w:after="0"/>
              <w:rPr>
                <w:sz w:val="15"/>
                <w:szCs w:val="15"/>
                <w:color w:val="auto"/>
              </w:rPr>
            </w:pPr>
          </w:p>
        </w:tc>
        <w:tc>
          <w:tcPr>
            <w:tcW w:w="300" w:type="dxa"/>
            <w:vAlign w:val="bottom"/>
            <w:shd w:val="clear" w:color="auto" w:fill="D9D9D6"/>
          </w:tcPr>
          <w:p>
            <w:pPr>
              <w:spacing w:after="0"/>
              <w:rPr>
                <w:sz w:val="15"/>
                <w:szCs w:val="15"/>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w w:val="97"/>
              </w:rPr>
              <w:t>Change</w:t>
            </w:r>
          </w:p>
        </w:tc>
        <w:tc>
          <w:tcPr>
            <w:tcW w:w="240" w:type="dxa"/>
            <w:vAlign w:val="bottom"/>
            <w:tcBorders>
              <w:right w:val="single" w:sz="8" w:color="97999B"/>
            </w:tcBorders>
            <w:shd w:val="clear" w:color="auto" w:fill="D9D9D6"/>
          </w:tcPr>
          <w:p>
            <w:pPr>
              <w:spacing w:after="0"/>
              <w:rPr>
                <w:sz w:val="15"/>
                <w:szCs w:val="15"/>
                <w:color w:val="auto"/>
              </w:rPr>
            </w:pP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2022</w:t>
            </w:r>
          </w:p>
        </w:tc>
        <w:tc>
          <w:tcPr>
            <w:tcW w:w="8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49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5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right w:val="single" w:sz="8" w:color="97999B"/>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auto"/>
            </w:tcBorders>
            <w:shd w:val="clear" w:color="auto" w:fill="D9D9D6"/>
          </w:tcPr>
          <w:p>
            <w:pPr>
              <w:spacing w:after="0"/>
              <w:rPr>
                <w:sz w:val="19"/>
                <w:szCs w:val="19"/>
                <w:color w:val="auto"/>
              </w:rPr>
            </w:pPr>
          </w:p>
        </w:tc>
        <w:tc>
          <w:tcPr>
            <w:tcW w:w="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$5,979</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$5,826</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2.6 %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$23,406</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$22,780</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2.7 %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10"/>
        </w:trPr>
        <w:tc>
          <w:tcPr>
            <w:tcW w:w="120" w:type="dxa"/>
            <w:vAlign w:val="bottom"/>
            <w:shd w:val="clear" w:color="auto" w:fill="D9D9D6"/>
          </w:tcPr>
          <w:p>
            <w:pPr>
              <w:spacing w:after="0"/>
              <w:rPr>
                <w:sz w:val="18"/>
                <w:szCs w:val="18"/>
                <w:color w:val="auto"/>
              </w:rPr>
            </w:pPr>
          </w:p>
        </w:tc>
        <w:tc>
          <w:tcPr>
            <w:tcW w:w="496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 Super Bowl and FIFA World Cup</w:t>
            </w:r>
            <w:r>
              <w:rPr>
                <w:rFonts w:ascii="Arial" w:cs="Arial" w:eastAsia="Arial" w:hAnsi="Arial"/>
                <w:sz w:val="18"/>
                <w:szCs w:val="18"/>
                <w:i w:val="1"/>
                <w:iCs w:val="1"/>
                <w:color w:val="auto"/>
                <w:vertAlign w:val="superscript"/>
              </w:rPr>
              <w:t>5</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$5,716</w:t>
            </w:r>
          </w:p>
        </w:tc>
        <w:tc>
          <w:tcPr>
            <w:tcW w:w="20" w:type="dxa"/>
            <w:vAlign w:val="bottom"/>
            <w:shd w:val="clear" w:color="auto" w:fill="D9D9D6"/>
          </w:tcPr>
          <w:p>
            <w:pPr>
              <w:spacing w:after="0"/>
              <w:rPr>
                <w:sz w:val="18"/>
                <w:szCs w:val="18"/>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$5,826</w:t>
            </w:r>
          </w:p>
        </w:tc>
        <w:tc>
          <w:tcPr>
            <w:tcW w:w="40" w:type="dxa"/>
            <w:vAlign w:val="bottom"/>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(1.9 %)</w:t>
            </w:r>
          </w:p>
        </w:tc>
        <w:tc>
          <w:tcPr>
            <w:tcW w:w="20" w:type="dxa"/>
            <w:vAlign w:val="bottom"/>
            <w:shd w:val="clear" w:color="auto" w:fill="D9D9D6"/>
          </w:tcPr>
          <w:p>
            <w:pPr>
              <w:spacing w:after="0"/>
              <w:rPr>
                <w:sz w:val="18"/>
                <w:szCs w:val="18"/>
                <w:color w:val="auto"/>
              </w:rPr>
            </w:pPr>
          </w:p>
        </w:tc>
        <w:tc>
          <w:tcPr>
            <w:tcW w:w="240" w:type="dxa"/>
            <w:vAlign w:val="bottom"/>
            <w:tcBorders>
              <w:right w:val="single" w:sz="8" w:color="97999B"/>
            </w:tcBorders>
            <w:shd w:val="clear" w:color="auto" w:fill="D9D9D6"/>
          </w:tcPr>
          <w:p>
            <w:pPr>
              <w:spacing w:after="0"/>
              <w:rPr>
                <w:sz w:val="18"/>
                <w:szCs w:val="18"/>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$21,662</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$21,021</w:t>
            </w:r>
          </w:p>
        </w:tc>
        <w:tc>
          <w:tcPr>
            <w:tcW w:w="20" w:type="dxa"/>
            <w:vAlign w:val="bottom"/>
            <w:shd w:val="clear" w:color="auto" w:fill="D9D9D6"/>
          </w:tcPr>
          <w:p>
            <w:pPr>
              <w:spacing w:after="0"/>
              <w:rPr>
                <w:sz w:val="18"/>
                <w:szCs w:val="18"/>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3.0 %</w:t>
            </w:r>
          </w:p>
        </w:tc>
        <w:tc>
          <w:tcPr>
            <w:tcW w:w="2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r>
      <w:tr>
        <w:trPr>
          <w:trHeight w:val="195"/>
        </w:trPr>
        <w:tc>
          <w:tcPr>
            <w:tcW w:w="120" w:type="dxa"/>
            <w:vAlign w:val="bottom"/>
            <w:shd w:val="clear" w:color="auto" w:fill="D9D9D6"/>
          </w:tcPr>
          <w:p>
            <w:pPr>
              <w:spacing w:after="0"/>
              <w:rPr>
                <w:sz w:val="16"/>
                <w:szCs w:val="16"/>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2,737</w:t>
            </w:r>
          </w:p>
        </w:tc>
        <w:tc>
          <w:tcPr>
            <w:tcW w:w="2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2,421</w:t>
            </w:r>
          </w:p>
        </w:tc>
        <w:tc>
          <w:tcPr>
            <w:tcW w:w="4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13.1 %</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11,622</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9,449</w:t>
            </w:r>
          </w:p>
        </w:tc>
        <w:tc>
          <w:tcPr>
            <w:tcW w:w="20" w:type="dxa"/>
            <w:vAlign w:val="bottom"/>
            <w:shd w:val="clear" w:color="auto" w:fill="D9D9D6"/>
          </w:tcPr>
          <w:p>
            <w:pPr>
              <w:spacing w:after="0"/>
              <w:rPr>
                <w:sz w:val="16"/>
                <w:szCs w:val="16"/>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23.0 %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2,114</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1,887</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12.0 %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7,541</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5,051</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49.3 %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29</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36.1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75</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87</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(13.6 %)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49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(968)</w:t>
            </w:r>
          </w:p>
        </w:tc>
        <w:tc>
          <w:tcPr>
            <w:tcW w:w="20" w:type="dxa"/>
            <w:vAlign w:val="bottom"/>
            <w:tcBorders>
              <w:bottom w:val="single" w:sz="8" w:color="auto"/>
            </w:tcBorders>
            <w:shd w:val="clear" w:color="auto" w:fill="D9D9D6"/>
          </w:tcPr>
          <w:p>
            <w:pPr>
              <w:spacing w:after="0"/>
              <w:rPr>
                <w:sz w:val="17"/>
                <w:szCs w:val="17"/>
                <w:color w:val="auto"/>
              </w:rPr>
            </w:pPr>
          </w:p>
        </w:tc>
        <w:tc>
          <w:tcPr>
            <w:tcW w:w="8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(817)</w:t>
            </w:r>
          </w:p>
        </w:tc>
        <w:tc>
          <w:tcPr>
            <w:tcW w:w="40" w:type="dxa"/>
            <w:vAlign w:val="bottom"/>
            <w:tcBorders>
              <w:bottom w:val="single" w:sz="8" w:color="auto"/>
            </w:tcBorders>
            <w:shd w:val="clear" w:color="auto" w:fill="D9D9D6"/>
          </w:tcPr>
          <w:p>
            <w:pPr>
              <w:spacing w:after="0"/>
              <w:rPr>
                <w:sz w:val="17"/>
                <w:szCs w:val="17"/>
                <w:color w:val="auto"/>
              </w:rPr>
            </w:pPr>
          </w:p>
        </w:tc>
        <w:tc>
          <w:tcPr>
            <w:tcW w:w="200" w:type="dxa"/>
            <w:vAlign w:val="bottom"/>
            <w:tcBorders>
              <w:bottom w:val="single" w:sz="8" w:color="auto"/>
            </w:tcBorders>
            <w:shd w:val="clear" w:color="auto" w:fill="D9D9D6"/>
          </w:tcPr>
          <w:p>
            <w:pPr>
              <w:spacing w:after="0"/>
              <w:rPr>
                <w:sz w:val="17"/>
                <w:szCs w:val="17"/>
                <w:color w:val="auto"/>
              </w:rPr>
            </w:pPr>
          </w:p>
        </w:tc>
        <w:tc>
          <w:tcPr>
            <w:tcW w:w="6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(18.4</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(3,442)</w:t>
            </w:r>
          </w:p>
        </w:tc>
        <w:tc>
          <w:tcPr>
            <w:tcW w:w="86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(3,048)</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(12.9 %)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$9,892</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$9,338</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5.9</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11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$39,203</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$34,319</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14.2 %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49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280" w:type="dxa"/>
            <w:vAlign w:val="bottom"/>
            <w:shd w:val="clear" w:color="auto" w:fill="D9D9D6"/>
          </w:tcPr>
          <w:p>
            <w:pPr>
              <w:spacing w:after="0"/>
              <w:rPr>
                <w:sz w:val="24"/>
                <w:szCs w:val="24"/>
                <w:color w:val="auto"/>
              </w:rPr>
            </w:pPr>
          </w:p>
        </w:tc>
        <w:tc>
          <w:tcPr>
            <w:tcW w:w="28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$132</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$721</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(81.7 %)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$3,212</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$4,569</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(29.7 %)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160</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51</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942</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884</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6.6 %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782</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674</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16.0 %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2,683</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1,267</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111.7 %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(353)</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(197)</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(79.2 %)</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(881)</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(840)</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49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97</w:t>
            </w:r>
          </w:p>
        </w:tc>
        <w:tc>
          <w:tcPr>
            <w:tcW w:w="20" w:type="dxa"/>
            <w:vAlign w:val="bottom"/>
            <w:tcBorders>
              <w:bottom w:val="single" w:sz="8" w:color="auto"/>
            </w:tcBorders>
            <w:shd w:val="clear" w:color="auto" w:fill="D9D9D6"/>
          </w:tcPr>
          <w:p>
            <w:pPr>
              <w:spacing w:after="0"/>
              <w:rPr>
                <w:sz w:val="17"/>
                <w:szCs w:val="17"/>
                <w:color w:val="auto"/>
              </w:rPr>
            </w:pPr>
          </w:p>
        </w:tc>
        <w:tc>
          <w:tcPr>
            <w:tcW w:w="84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33</w:t>
            </w:r>
          </w:p>
        </w:tc>
        <w:tc>
          <w:tcPr>
            <w:tcW w:w="40" w:type="dxa"/>
            <w:vAlign w:val="bottom"/>
            <w:tcBorders>
              <w:bottom w:val="single" w:sz="8" w:color="auto"/>
            </w:tcBorders>
            <w:shd w:val="clear" w:color="auto" w:fill="D9D9D6"/>
          </w:tcPr>
          <w:p>
            <w:pPr>
              <w:spacing w:after="0"/>
              <w:rPr>
                <w:sz w:val="17"/>
                <w:szCs w:val="17"/>
                <w:color w:val="auto"/>
              </w:rPr>
            </w:pPr>
          </w:p>
        </w:tc>
        <w:tc>
          <w:tcPr>
            <w:tcW w:w="200" w:type="dxa"/>
            <w:vAlign w:val="bottom"/>
            <w:tcBorders>
              <w:bottom w:val="single" w:sz="8" w:color="auto"/>
            </w:tcBorders>
            <w:shd w:val="clear" w:color="auto" w:fill="D9D9D6"/>
          </w:tcPr>
          <w:p>
            <w:pPr>
              <w:spacing w:after="0"/>
              <w:rPr>
                <w:sz w:val="17"/>
                <w:szCs w:val="17"/>
                <w:color w:val="auto"/>
              </w:rPr>
            </w:pPr>
          </w:p>
        </w:tc>
        <w:tc>
          <w:tcPr>
            <w:tcW w:w="6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195.9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D9D9D6"/>
              <w:right w:val="single" w:sz="8" w:color="97999B"/>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w:t>
            </w:r>
          </w:p>
        </w:tc>
        <w:tc>
          <w:tcPr>
            <w:tcW w:w="86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(205)</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99.1</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49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$817</w:t>
            </w:r>
          </w:p>
        </w:tc>
        <w:tc>
          <w:tcPr>
            <w:tcW w:w="20" w:type="dxa"/>
            <w:vAlign w:val="bottom"/>
            <w:shd w:val="clear" w:color="auto" w:fill="D9D9D6"/>
          </w:tcPr>
          <w:p>
            <w:pPr>
              <w:spacing w:after="0"/>
              <w:rPr>
                <w:sz w:val="17"/>
                <w:szCs w:val="17"/>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$1,282</w:t>
            </w:r>
          </w:p>
        </w:tc>
        <w:tc>
          <w:tcPr>
            <w:tcW w:w="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(36.3</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highlight w:val="lightGray"/>
                <w:w w:val="93"/>
              </w:rPr>
              <w:t>%)</w:t>
            </w:r>
          </w:p>
        </w:tc>
        <w:tc>
          <w:tcPr>
            <w:tcW w:w="20" w:type="dxa"/>
            <w:vAlign w:val="bottom"/>
            <w:shd w:val="clear" w:color="auto" w:fill="D9D9D6"/>
          </w:tcPr>
          <w:p>
            <w:pPr>
              <w:spacing w:after="0"/>
              <w:rPr>
                <w:sz w:val="17"/>
                <w:szCs w:val="17"/>
                <w:color w:val="auto"/>
              </w:rPr>
            </w:pPr>
          </w:p>
        </w:tc>
        <w:tc>
          <w:tcPr>
            <w:tcW w:w="240" w:type="dxa"/>
            <w:vAlign w:val="bottom"/>
            <w:tcBorders>
              <w:right w:val="single" w:sz="8" w:color="97999B"/>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$5,955</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$5,675</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4.9</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4"/>
        </w:trPr>
        <w:tc>
          <w:tcPr>
            <w:tcW w:w="120" w:type="dxa"/>
            <w:vAlign w:val="bottom"/>
            <w:shd w:val="clear" w:color="auto" w:fill="D9D9D6"/>
          </w:tcPr>
          <w:p>
            <w:pPr>
              <w:spacing w:after="0"/>
              <w:rPr>
                <w:sz w:val="16"/>
                <w:szCs w:val="16"/>
                <w:color w:val="auto"/>
              </w:rPr>
            </w:pPr>
          </w:p>
        </w:tc>
        <w:tc>
          <w:tcPr>
            <w:tcW w:w="4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40" w:type="dxa"/>
            <w:vAlign w:val="bottom"/>
            <w:tcBorders>
              <w:right w:val="single" w:sz="8" w:color="D9D9D6"/>
            </w:tcBorders>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62"/>
        </w:trPr>
        <w:tc>
          <w:tcPr>
            <w:tcW w:w="120" w:type="dxa"/>
            <w:vAlign w:val="bottom"/>
            <w:shd w:val="clear" w:color="auto" w:fill="D9D9D6"/>
          </w:tcPr>
          <w:p>
            <w:pPr>
              <w:spacing w:after="0"/>
              <w:rPr>
                <w:sz w:val="5"/>
                <w:szCs w:val="5"/>
                <w:color w:val="auto"/>
              </w:rPr>
            </w:pPr>
          </w:p>
        </w:tc>
        <w:tc>
          <w:tcPr>
            <w:tcW w:w="4960" w:type="dxa"/>
            <w:vAlign w:val="bottom"/>
            <w:shd w:val="clear" w:color="auto" w:fill="D9D9D6"/>
          </w:tcPr>
          <w:p>
            <w:pPr>
              <w:spacing w:after="0"/>
              <w:rPr>
                <w:sz w:val="5"/>
                <w:szCs w:val="5"/>
                <w:color w:val="auto"/>
              </w:rPr>
            </w:pPr>
          </w:p>
        </w:tc>
        <w:tc>
          <w:tcPr>
            <w:tcW w:w="52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4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30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240" w:type="dxa"/>
            <w:vAlign w:val="bottom"/>
            <w:tcBorders>
              <w:right w:val="single" w:sz="8" w:color="D9D9D6"/>
            </w:tcBorders>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60" w:type="dxa"/>
            <w:vAlign w:val="bottom"/>
            <w:shd w:val="clear" w:color="auto" w:fill="D9D9D6"/>
          </w:tcPr>
          <w:p>
            <w:pPr>
              <w:spacing w:after="0"/>
              <w:rPr>
                <w:sz w:val="5"/>
                <w:szCs w:val="5"/>
                <w:color w:val="auto"/>
              </w:rPr>
            </w:pPr>
          </w:p>
        </w:tc>
        <w:tc>
          <w:tcPr>
            <w:tcW w:w="280" w:type="dxa"/>
            <w:vAlign w:val="bottom"/>
            <w:shd w:val="clear" w:color="auto" w:fill="D9D9D6"/>
          </w:tcPr>
          <w:p>
            <w:pPr>
              <w:spacing w:after="0"/>
              <w:rPr>
                <w:sz w:val="5"/>
                <w:szCs w:val="5"/>
                <w:color w:val="auto"/>
              </w:rPr>
            </w:pPr>
          </w:p>
        </w:tc>
        <w:tc>
          <w:tcPr>
            <w:tcW w:w="280" w:type="dxa"/>
            <w:vAlign w:val="bottom"/>
            <w:shd w:val="clear" w:color="auto" w:fill="D9D9D6"/>
          </w:tcPr>
          <w:p>
            <w:pPr>
              <w:spacing w:after="0"/>
              <w:rPr>
                <w:sz w:val="5"/>
                <w:szCs w:val="5"/>
                <w:color w:val="auto"/>
              </w:rPr>
            </w:pPr>
          </w:p>
        </w:tc>
        <w:tc>
          <w:tcPr>
            <w:tcW w:w="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20" w:type="dxa"/>
            <w:vAlign w:val="bottom"/>
            <w:shd w:val="clear" w:color="auto" w:fill="D9D9D6"/>
          </w:tcPr>
          <w:p>
            <w:pPr>
              <w:spacing w:after="0"/>
              <w:rPr>
                <w:sz w:val="5"/>
                <w:szCs w:val="5"/>
                <w:color w:val="auto"/>
              </w:rPr>
            </w:pPr>
          </w:p>
        </w:tc>
      </w:tr>
    </w:tbl>
    <w:p>
      <w:pPr>
        <w:spacing w:after="0" w:line="3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5.9% to $9.9 billion in the fourth quarter of 2022, including $263 million in incremental revenue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FIFA World Cup.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decreased 36.3% to $817 million, including $182 million in severance expense in Headquarters and Other in the current year period. Excluding Headquarters and Other severance, Adjusted EBITDA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decreased 22.1%.</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twelve months ended December 31, 2022, NBCUniversal revenue increased 14.2% to $ 39.2 billion. 2022 included $1.7 billion of incremental revenue from the Beijing Olympics, the NFL's Super Bowl and the FIFA World Cup in the Media segment, while 2021 included $1.8 billion of incremental revenue from the Tokyo Olympics in the Media segment. Adjusted EBITDA increased 4.9% to $6.0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Media revenue increased 2.6% to $ 6.0 billion in the fourth quarter of 2022, due to higher advertising revenue and distribution revenue. Excluding $263 million generated by Telemundo's broadcast of the FIFA World Cup</w:t>
      </w:r>
      <w:r>
        <w:rPr>
          <w:rFonts w:ascii="Arial" w:cs="Arial" w:eastAsia="Arial" w:hAnsi="Arial"/>
          <w:sz w:val="23"/>
          <w:szCs w:val="23"/>
          <w:color w:val="auto"/>
          <w:vertAlign w:val="superscript"/>
        </w:rPr>
        <w:t>5</w:t>
      </w:r>
      <w:r>
        <w:rPr>
          <w:rFonts w:ascii="Arial" w:cs="Arial" w:eastAsia="Arial" w:hAnsi="Arial"/>
          <w:sz w:val="18"/>
          <w:szCs w:val="18"/>
          <w:color w:val="auto"/>
        </w:rPr>
        <w:t>, Media revenue decreased 1.9%. Advertising revenue increased 4.0%, primarily due to incremental revenue from the FIFA World Cup as well as an increase in Peacock advertising revenue. Distribution revenue increased 3.8%, reflecting an increase in subscribers at Peacock and contractual rate increases, partially offset by a decline in subscribers at our networks. Adjusted EBITDA decreased 81.7% to $132 million in the fourth quarter of 2022, reflecting higher operating expenses, which more than offset higher revenue. The increase in operating expenses was primarily due to higher programming and production costs, reflecting higher costs at Peacock and higher sports programming costs associated with Telemundo's broadcast of the FIFA World Cup. Media results include $660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$978 million related to Peacock, compared to $335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$559 million in the prior year period.</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twelve months ended December 31, 2022, revenue from the Media segment increased 2.7% to $23.4 billion, primarily due to higher distribution revenue and advertising revenue. Excluding $1.7 billion of incremental revenue from the Beijing Olympics, the NFL's Super Bowl and the FIFA World Cup in 2022</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and $1.8 billion of incremental revenue from the Tokyo Olympics in 2021</w:t>
      </w:r>
      <w:r>
        <w:rPr>
          <w:rFonts w:ascii="Arial" w:cs="Arial" w:eastAsia="Arial" w:hAnsi="Arial"/>
          <w:sz w:val="23"/>
          <w:szCs w:val="23"/>
          <w:color w:val="auto"/>
          <w:vertAlign w:val="superscript"/>
        </w:rPr>
        <w:t>5</w:t>
      </w:r>
      <w:r>
        <w:rPr>
          <w:rFonts w:ascii="Arial" w:cs="Arial" w:eastAsia="Arial" w:hAnsi="Arial"/>
          <w:sz w:val="18"/>
          <w:szCs w:val="18"/>
          <w:color w:val="auto"/>
        </w:rPr>
        <w:t>, Media revenue increased 3.0%. Adjusted EBITDA decreased 29.7% to $3.2 billion, reflecting higher operating expenses, which more than offset higher revenue. The increase in operating expenses was due to higher programming and production expenses, other operating and administrative expenses and advertising, marketing and promotion expenses. Media results include $2.1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$2.5 billion related to Peacock, compared to $778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$1.7 billion in 2021.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Studios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Studios revenue increased 13.1% to $2.7 billion in the fourth quarter of 2022, due to higher content licensing and theatrical revenue. Content licensing revenue increased 15.9%, primarily due to the timing of when content was made available by our film and television studios under licensing agreements, including additional sales of content as production levels returned to normal. Theatrical revenue increased 47.3%, primarily due to the successful performance of recent releases, including </w:t>
      </w:r>
      <w:r>
        <w:rPr>
          <w:rFonts w:ascii="Arial" w:cs="Arial" w:eastAsia="Arial" w:hAnsi="Arial"/>
          <w:sz w:val="18"/>
          <w:szCs w:val="18"/>
          <w:i w:val="1"/>
          <w:iCs w:val="1"/>
          <w:color w:val="auto"/>
        </w:rPr>
        <w:t>Ticket to Paradise</w:t>
      </w:r>
      <w:r>
        <w:rPr>
          <w:rFonts w:ascii="Arial" w:cs="Arial" w:eastAsia="Arial" w:hAnsi="Arial"/>
          <w:sz w:val="18"/>
          <w:szCs w:val="18"/>
          <w:color w:val="auto"/>
        </w:rPr>
        <w:t xml:space="preserve">, </w:t>
      </w:r>
      <w:r>
        <w:rPr>
          <w:rFonts w:ascii="Arial" w:cs="Arial" w:eastAsia="Arial" w:hAnsi="Arial"/>
          <w:sz w:val="18"/>
          <w:szCs w:val="18"/>
          <w:i w:val="1"/>
          <w:iCs w:val="1"/>
          <w:color w:val="auto"/>
        </w:rPr>
        <w:t>Puss in Boots: The Last Wish, Violent Night</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Halloween Ends. </w:t>
      </w:r>
      <w:r>
        <w:rPr>
          <w:rFonts w:ascii="Arial" w:cs="Arial" w:eastAsia="Arial" w:hAnsi="Arial"/>
          <w:sz w:val="18"/>
          <w:szCs w:val="18"/>
          <w:color w:val="auto"/>
        </w:rPr>
        <w:t>Adjusted EBITDA increased $109 million to $160 million in the fourth quarter of 2022, reflecting higher revenue, which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offset higher operating expenses. The increase in operating expenses was driven by an increase in advertising, marketing and promotion expenses reflecting the size and timing of this quarter's theatrical slate, as well as higher programming and production expenses, reflecting higher amortization of film production costs in the current year period.</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twelve months ended December 31, 2022, revenue from the Studios segment increased 23.0% to $11.6 billion, primarily reflecting higher content licensing revenue and theatrical revenue. Adjusted EBITDA increased 6.6% to $942 million, reflecting higher revenue, partially offset by higher operating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Theme Parks revenue increased 12.0% to $2.1 billion in the fourth quarter of 2022, primarily due to increased attendance and guest spending at our parks in the U.S. and Japan compared to the prior year period. Theme Parks Adjusted EBITDA increased 16.0% to $782 million in the fourth quarter of 2022, reflecting higher revenue, partially offset by higher operating expenses.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twelve months ended December 31, 2022, revenue from the Theme Parks segment increased 49.3% to $7.5 billion, primarily reflecting improved operating conditions compared to 2021, when each of our theme parks in the U.S. and Japan was either operating at limited capacity or closed during certain periods as a result of COVID-19, as well as the operations of Universal Beijing Resort, which opened in September 2021. Adjusted EBITDA increased $1.4 billion to $2.7 billion, reflecting higher revenue, partially offset by higher operating expenses.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NBCUniversal Headquarters and Other includes overhead, personnel costs and costs associated with corporate initiatives. Headquarters and Other Adjusted EBITDA loss in the fourth quarter of 2022 was $353 million, compared to a loss of $197 million in the prior year period. The year-over-year change was driven by $182 million in severance expense in the current year period.</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twelve months ended December 31, 2022, Headquarters and Other Adjusted EBITDA loss was $881 million, compared to a loss of $840 million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Revenue eliminations in the fourth quarter of 2022 were $968 million, compared to $817 million in the prior year period, and Adjusted EBITDA eliminations were a benefit of $97 million, compared to a benefit of $33 million in the prior year period.</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twelve months ended December 31, 2022, revenue eliminations were $3.4 billion, compared to $ 3.0 billion in 2021. Adjusted EBITDA eliminations were $2 million, compared to $205 million in 2021. The year-over-year change was primarily driven by the licensing of content by the Studios segment to Peacock in the Media segment.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28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620" w:type="dxa"/>
            <w:vAlign w:val="bottom"/>
            <w:tcBorders>
              <w:bottom w:val="single" w:sz="8" w:color="D9D9D6"/>
            </w:tcBorders>
            <w:shd w:val="clear" w:color="auto" w:fill="D9D9D6"/>
          </w:tcPr>
          <w:p>
            <w:pPr>
              <w:spacing w:after="0"/>
              <w:rPr>
                <w:sz w:val="17"/>
                <w:szCs w:val="17"/>
                <w:color w:val="auto"/>
              </w:rPr>
            </w:pPr>
          </w:p>
        </w:tc>
        <w:tc>
          <w:tcPr>
            <w:tcW w:w="4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right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D9D9D6"/>
          </w:tcPr>
          <w:p>
            <w:pPr>
              <w:spacing w:after="0"/>
              <w:rPr>
                <w:sz w:val="15"/>
                <w:szCs w:val="15"/>
                <w:color w:val="auto"/>
              </w:rPr>
            </w:pPr>
          </w:p>
        </w:tc>
        <w:tc>
          <w:tcPr>
            <w:tcW w:w="2840" w:type="dxa"/>
            <w:vAlign w:val="bottom"/>
            <w:shd w:val="clear" w:color="auto" w:fill="D9D9D6"/>
          </w:tcPr>
          <w:p>
            <w:pPr>
              <w:spacing w:after="0"/>
              <w:rPr>
                <w:sz w:val="15"/>
                <w:szCs w:val="15"/>
                <w:color w:val="auto"/>
              </w:rPr>
            </w:pPr>
          </w:p>
        </w:tc>
        <w:tc>
          <w:tcPr>
            <w:tcW w:w="6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62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1260" w:type="dxa"/>
            <w:vAlign w:val="bottom"/>
            <w:gridSpan w:val="7"/>
            <w:shd w:val="clear" w:color="auto" w:fill="D9D9D6"/>
          </w:tcPr>
          <w:p>
            <w:pPr>
              <w:spacing w:after="0"/>
              <w:rPr>
                <w:sz w:val="20"/>
                <w:szCs w:val="20"/>
                <w:color w:val="auto"/>
              </w:rPr>
            </w:pPr>
            <w:r>
              <w:rPr>
                <w:rFonts w:ascii="Arial" w:cs="Arial" w:eastAsia="Arial" w:hAnsi="Arial"/>
                <w:sz w:val="14"/>
                <w:szCs w:val="14"/>
                <w:color w:val="auto"/>
              </w:rPr>
              <w:t>4th Quarter</w:t>
            </w:r>
          </w:p>
        </w:tc>
        <w:tc>
          <w:tcPr>
            <w:tcW w:w="500" w:type="dxa"/>
            <w:vAlign w:val="bottom"/>
            <w:shd w:val="clear" w:color="auto" w:fill="D9D9D6"/>
          </w:tcPr>
          <w:p>
            <w:pPr>
              <w:spacing w:after="0"/>
              <w:rPr>
                <w:sz w:val="15"/>
                <w:szCs w:val="15"/>
                <w:color w:val="auto"/>
              </w:rPr>
            </w:pPr>
          </w:p>
        </w:tc>
        <w:tc>
          <w:tcPr>
            <w:tcW w:w="38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140" w:type="dxa"/>
            <w:vAlign w:val="bottom"/>
            <w:tcBorders>
              <w:right w:val="single" w:sz="8" w:color="929292"/>
            </w:tcBorders>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6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420" w:type="dxa"/>
            <w:vAlign w:val="bottom"/>
            <w:shd w:val="clear" w:color="auto" w:fill="D9D9D6"/>
          </w:tcPr>
          <w:p>
            <w:pPr>
              <w:spacing w:after="0"/>
              <w:rPr>
                <w:sz w:val="15"/>
                <w:szCs w:val="15"/>
                <w:color w:val="auto"/>
              </w:rPr>
            </w:pPr>
          </w:p>
        </w:tc>
        <w:tc>
          <w:tcPr>
            <w:tcW w:w="1540" w:type="dxa"/>
            <w:vAlign w:val="bottom"/>
            <w:gridSpan w:val="7"/>
            <w:shd w:val="clear" w:color="auto" w:fill="D9D9D6"/>
          </w:tcPr>
          <w:p>
            <w:pPr>
              <w:ind w:left="20"/>
              <w:spacing w:after="0"/>
              <w:rPr>
                <w:sz w:val="20"/>
                <w:szCs w:val="20"/>
                <w:color w:val="auto"/>
              </w:rPr>
            </w:pPr>
            <w:r>
              <w:rPr>
                <w:rFonts w:ascii="Arial" w:cs="Arial" w:eastAsia="Arial" w:hAnsi="Arial"/>
                <w:sz w:val="14"/>
                <w:szCs w:val="14"/>
                <w:color w:val="auto"/>
              </w:rPr>
              <w:t>Year to Date</w:t>
            </w:r>
          </w:p>
        </w:tc>
        <w:tc>
          <w:tcPr>
            <w:tcW w:w="28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20" w:type="dxa"/>
            <w:vAlign w:val="bottom"/>
            <w:tcBorders>
              <w:top w:val="single" w:sz="8" w:color="D9D9D6"/>
            </w:tcBorders>
            <w:shd w:val="clear" w:color="auto" w:fill="D9D9D6"/>
          </w:tcPr>
          <w:p>
            <w:pPr>
              <w:spacing w:after="0"/>
              <w:rPr>
                <w:sz w:val="19"/>
                <w:szCs w:val="19"/>
                <w:color w:val="auto"/>
              </w:rPr>
            </w:pPr>
          </w:p>
        </w:tc>
        <w:tc>
          <w:tcPr>
            <w:tcW w:w="2840" w:type="dxa"/>
            <w:vAlign w:val="bottom"/>
            <w:tcBorders>
              <w:top w:val="single" w:sz="8" w:color="D9D9D6"/>
            </w:tcBorders>
            <w:shd w:val="clear" w:color="auto" w:fill="D9D9D6"/>
          </w:tcPr>
          <w:p>
            <w:pPr>
              <w:spacing w:after="0"/>
              <w:rPr>
                <w:sz w:val="19"/>
                <w:szCs w:val="19"/>
                <w:color w:val="auto"/>
              </w:rPr>
            </w:pPr>
          </w:p>
        </w:tc>
        <w:tc>
          <w:tcPr>
            <w:tcW w:w="6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620" w:type="dxa"/>
            <w:vAlign w:val="bottom"/>
            <w:tcBorders>
              <w:top w:val="single" w:sz="8" w:color="D9D9D6"/>
            </w:tcBorders>
            <w:shd w:val="clear" w:color="auto" w:fill="D9D9D6"/>
          </w:tcPr>
          <w:p>
            <w:pPr>
              <w:spacing w:after="0"/>
              <w:rPr>
                <w:sz w:val="19"/>
                <w:szCs w:val="19"/>
                <w:color w:val="auto"/>
              </w:rPr>
            </w:pPr>
          </w:p>
        </w:tc>
        <w:tc>
          <w:tcPr>
            <w:tcW w:w="4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4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080" w:type="dxa"/>
            <w:vAlign w:val="bottom"/>
            <w:tcBorders>
              <w:top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tcBorders>
              <w:top w:val="single" w:sz="8" w:color="D9D9D6"/>
              <w:right w:val="single" w:sz="8" w:color="929292"/>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2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980" w:type="dxa"/>
            <w:vAlign w:val="bottom"/>
            <w:tcBorders>
              <w:top w:val="single" w:sz="8" w:color="D9D9D6"/>
            </w:tcBorders>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4"/>
        </w:trPr>
        <w:tc>
          <w:tcPr>
            <w:tcW w:w="120" w:type="dxa"/>
            <w:vAlign w:val="bottom"/>
            <w:shd w:val="clear" w:color="auto" w:fill="D9D9D6"/>
          </w:tcPr>
          <w:p>
            <w:pPr>
              <w:spacing w:after="0"/>
              <w:rPr>
                <w:sz w:val="12"/>
                <w:szCs w:val="12"/>
                <w:color w:val="auto"/>
              </w:rPr>
            </w:pPr>
          </w:p>
        </w:tc>
        <w:tc>
          <w:tcPr>
            <w:tcW w:w="2840" w:type="dxa"/>
            <w:vAlign w:val="bottom"/>
            <w:shd w:val="clear" w:color="auto" w:fill="D9D9D6"/>
          </w:tcPr>
          <w:p>
            <w:pPr>
              <w:spacing w:after="0"/>
              <w:rPr>
                <w:sz w:val="12"/>
                <w:szCs w:val="12"/>
                <w:color w:val="auto"/>
              </w:rPr>
            </w:pPr>
          </w:p>
        </w:tc>
        <w:tc>
          <w:tcPr>
            <w:tcW w:w="94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96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420" w:type="dxa"/>
            <w:vAlign w:val="bottom"/>
            <w:shd w:val="clear" w:color="auto" w:fill="D9D9D6"/>
          </w:tcPr>
          <w:p>
            <w:pPr>
              <w:spacing w:after="0"/>
              <w:rPr>
                <w:sz w:val="12"/>
                <w:szCs w:val="12"/>
                <w:color w:val="auto"/>
              </w:rPr>
            </w:pPr>
          </w:p>
        </w:tc>
        <w:tc>
          <w:tcPr>
            <w:tcW w:w="540" w:type="dxa"/>
            <w:vAlign w:val="bottom"/>
            <w:gridSpan w:val="4"/>
            <w:vMerge w:val="restart"/>
            <w:shd w:val="clear" w:color="auto" w:fill="D9D9D6"/>
          </w:tcPr>
          <w:p>
            <w:pPr>
              <w:ind w:left="20"/>
              <w:spacing w:after="0"/>
              <w:rPr>
                <w:sz w:val="20"/>
                <w:szCs w:val="20"/>
                <w:color w:val="auto"/>
              </w:rPr>
            </w:pPr>
            <w:r>
              <w:rPr>
                <w:rFonts w:ascii="Arial" w:cs="Arial" w:eastAsia="Arial" w:hAnsi="Arial"/>
                <w:sz w:val="14"/>
                <w:szCs w:val="14"/>
                <w:color w:val="auto"/>
              </w:rPr>
              <w:t>Change</w:t>
            </w:r>
          </w:p>
        </w:tc>
        <w:tc>
          <w:tcPr>
            <w:tcW w:w="1080" w:type="dxa"/>
            <w:vAlign w:val="bottom"/>
            <w:gridSpan w:val="4"/>
            <w:shd w:val="clear" w:color="auto" w:fill="D9D9D6"/>
          </w:tcPr>
          <w:p>
            <w:pPr>
              <w:jc w:val="right"/>
              <w:ind w:right="60"/>
              <w:spacing w:after="0" w:line="145" w:lineRule="exact"/>
              <w:rPr>
                <w:sz w:val="20"/>
                <w:szCs w:val="20"/>
                <w:color w:val="auto"/>
              </w:rPr>
            </w:pPr>
            <w:r>
              <w:rPr>
                <w:rFonts w:ascii="Arial" w:cs="Arial" w:eastAsia="Arial" w:hAnsi="Arial"/>
                <w:sz w:val="14"/>
                <w:szCs w:val="14"/>
                <w:color w:val="auto"/>
              </w:rPr>
              <w:t>Currency</w:t>
            </w:r>
          </w:p>
        </w:tc>
        <w:tc>
          <w:tcPr>
            <w:tcW w:w="140" w:type="dxa"/>
            <w:vAlign w:val="bottom"/>
            <w:tcBorders>
              <w:right w:val="single" w:sz="8" w:color="929292"/>
            </w:tcBorders>
            <w:shd w:val="clear" w:color="auto" w:fill="D9D9D6"/>
          </w:tcPr>
          <w:p>
            <w:pPr>
              <w:spacing w:after="0"/>
              <w:rPr>
                <w:sz w:val="12"/>
                <w:szCs w:val="12"/>
                <w:color w:val="auto"/>
              </w:rPr>
            </w:pPr>
          </w:p>
        </w:tc>
        <w:tc>
          <w:tcPr>
            <w:tcW w:w="1260" w:type="dxa"/>
            <w:vAlign w:val="bottom"/>
            <w:gridSpan w:val="4"/>
            <w:vMerge w:val="restart"/>
            <w:shd w:val="clear" w:color="auto" w:fill="D9D9D6"/>
          </w:tcPr>
          <w:p>
            <w:pPr>
              <w:jc w:val="right"/>
              <w:ind w:right="200"/>
              <w:spacing w:after="0"/>
              <w:rPr>
                <w:sz w:val="20"/>
                <w:szCs w:val="20"/>
                <w:color w:val="auto"/>
              </w:rPr>
            </w:pPr>
            <w:r>
              <w:rPr>
                <w:rFonts w:ascii="Arial" w:cs="Arial" w:eastAsia="Arial" w:hAnsi="Arial"/>
                <w:sz w:val="14"/>
                <w:szCs w:val="14"/>
                <w:color w:val="auto"/>
              </w:rPr>
              <w:t>2022</w:t>
            </w:r>
          </w:p>
        </w:tc>
        <w:tc>
          <w:tcPr>
            <w:tcW w:w="960" w:type="dxa"/>
            <w:vAlign w:val="bottom"/>
            <w:gridSpan w:val="4"/>
            <w:vMerge w:val="restart"/>
            <w:shd w:val="clear" w:color="auto" w:fill="D9D9D6"/>
          </w:tcPr>
          <w:p>
            <w:pPr>
              <w:jc w:val="right"/>
              <w:ind w:right="220"/>
              <w:spacing w:after="0"/>
              <w:rPr>
                <w:sz w:val="20"/>
                <w:szCs w:val="20"/>
                <w:color w:val="auto"/>
              </w:rPr>
            </w:pPr>
            <w:r>
              <w:rPr>
                <w:rFonts w:ascii="Arial" w:cs="Arial" w:eastAsia="Arial" w:hAnsi="Arial"/>
                <w:sz w:val="14"/>
                <w:szCs w:val="14"/>
                <w:color w:val="auto"/>
              </w:rPr>
              <w:t>2021</w:t>
            </w:r>
          </w:p>
        </w:tc>
        <w:tc>
          <w:tcPr>
            <w:tcW w:w="26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72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980" w:type="dxa"/>
            <w:vAlign w:val="bottom"/>
            <w:gridSpan w:val="4"/>
            <w:shd w:val="clear" w:color="auto" w:fill="D9D9D6"/>
          </w:tcPr>
          <w:p>
            <w:pPr>
              <w:jc w:val="right"/>
              <w:ind w:right="180"/>
              <w:spacing w:after="0" w:line="14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8"/>
        </w:trPr>
        <w:tc>
          <w:tcPr>
            <w:tcW w:w="120" w:type="dxa"/>
            <w:vAlign w:val="bottom"/>
            <w:shd w:val="clear" w:color="auto" w:fill="D9D9D6"/>
          </w:tcPr>
          <w:p>
            <w:pPr>
              <w:spacing w:after="0"/>
              <w:rPr>
                <w:sz w:val="12"/>
                <w:szCs w:val="12"/>
                <w:color w:val="auto"/>
              </w:rPr>
            </w:pPr>
          </w:p>
        </w:tc>
        <w:tc>
          <w:tcPr>
            <w:tcW w:w="2840" w:type="dxa"/>
            <w:vAlign w:val="bottom"/>
            <w:shd w:val="clear" w:color="auto" w:fill="D9D9D6"/>
          </w:tcPr>
          <w:p>
            <w:pPr>
              <w:spacing w:after="0"/>
              <w:rPr>
                <w:sz w:val="12"/>
                <w:szCs w:val="12"/>
                <w:color w:val="auto"/>
              </w:rPr>
            </w:pPr>
          </w:p>
        </w:tc>
        <w:tc>
          <w:tcPr>
            <w:tcW w:w="940" w:type="dxa"/>
            <w:vAlign w:val="bottom"/>
            <w:gridSpan w:val="3"/>
            <w:vMerge w:val="continue"/>
            <w:shd w:val="clear" w:color="auto" w:fill="D9D9D6"/>
          </w:tcPr>
          <w:p>
            <w:pPr>
              <w:spacing w:after="0"/>
              <w:rPr>
                <w:sz w:val="12"/>
                <w:szCs w:val="12"/>
                <w:color w:val="auto"/>
              </w:rPr>
            </w:pPr>
          </w:p>
        </w:tc>
        <w:tc>
          <w:tcPr>
            <w:tcW w:w="960" w:type="dxa"/>
            <w:vAlign w:val="bottom"/>
            <w:gridSpan w:val="4"/>
            <w:vMerge w:val="continue"/>
            <w:shd w:val="clear" w:color="auto" w:fill="D9D9D6"/>
          </w:tcPr>
          <w:p>
            <w:pPr>
              <w:spacing w:after="0"/>
              <w:rPr>
                <w:sz w:val="12"/>
                <w:szCs w:val="12"/>
                <w:color w:val="auto"/>
              </w:rPr>
            </w:pPr>
          </w:p>
        </w:tc>
        <w:tc>
          <w:tcPr>
            <w:tcW w:w="420" w:type="dxa"/>
            <w:vAlign w:val="bottom"/>
            <w:shd w:val="clear" w:color="auto" w:fill="D9D9D6"/>
          </w:tcPr>
          <w:p>
            <w:pPr>
              <w:spacing w:after="0"/>
              <w:rPr>
                <w:sz w:val="12"/>
                <w:szCs w:val="12"/>
                <w:color w:val="auto"/>
              </w:rPr>
            </w:pPr>
          </w:p>
        </w:tc>
        <w:tc>
          <w:tcPr>
            <w:tcW w:w="540" w:type="dxa"/>
            <w:vAlign w:val="bottom"/>
            <w:gridSpan w:val="4"/>
            <w:vMerge w:val="continue"/>
            <w:shd w:val="clear" w:color="auto" w:fill="D9D9D6"/>
          </w:tcPr>
          <w:p>
            <w:pPr>
              <w:spacing w:after="0"/>
              <w:rPr>
                <w:sz w:val="12"/>
                <w:szCs w:val="12"/>
                <w:color w:val="auto"/>
              </w:rPr>
            </w:pPr>
          </w:p>
        </w:tc>
        <w:tc>
          <w:tcPr>
            <w:tcW w:w="1080" w:type="dxa"/>
            <w:vAlign w:val="bottom"/>
            <w:gridSpan w:val="4"/>
            <w:shd w:val="clear" w:color="auto" w:fill="D9D9D6"/>
          </w:tcPr>
          <w:p>
            <w:pPr>
              <w:jc w:val="right"/>
              <w:ind w:right="20"/>
              <w:spacing w:after="0" w:line="149"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7</w:t>
            </w:r>
          </w:p>
        </w:tc>
        <w:tc>
          <w:tcPr>
            <w:tcW w:w="140" w:type="dxa"/>
            <w:vAlign w:val="bottom"/>
            <w:tcBorders>
              <w:right w:val="single" w:sz="8" w:color="929292"/>
            </w:tcBorders>
            <w:shd w:val="clear" w:color="auto" w:fill="D9D9D6"/>
          </w:tcPr>
          <w:p>
            <w:pPr>
              <w:spacing w:after="0"/>
              <w:rPr>
                <w:sz w:val="12"/>
                <w:szCs w:val="12"/>
                <w:color w:val="auto"/>
              </w:rPr>
            </w:pPr>
          </w:p>
        </w:tc>
        <w:tc>
          <w:tcPr>
            <w:tcW w:w="1260" w:type="dxa"/>
            <w:vAlign w:val="bottom"/>
            <w:gridSpan w:val="4"/>
            <w:vMerge w:val="continue"/>
            <w:shd w:val="clear" w:color="auto" w:fill="D9D9D6"/>
          </w:tcPr>
          <w:p>
            <w:pPr>
              <w:spacing w:after="0"/>
              <w:rPr>
                <w:sz w:val="12"/>
                <w:szCs w:val="12"/>
                <w:color w:val="auto"/>
              </w:rPr>
            </w:pPr>
          </w:p>
        </w:tc>
        <w:tc>
          <w:tcPr>
            <w:tcW w:w="960" w:type="dxa"/>
            <w:vAlign w:val="bottom"/>
            <w:gridSpan w:val="4"/>
            <w:vMerge w:val="continue"/>
            <w:shd w:val="clear" w:color="auto" w:fill="D9D9D6"/>
          </w:tcPr>
          <w:p>
            <w:pPr>
              <w:spacing w:after="0"/>
              <w:rPr>
                <w:sz w:val="12"/>
                <w:szCs w:val="12"/>
                <w:color w:val="auto"/>
              </w:rPr>
            </w:pPr>
          </w:p>
        </w:tc>
        <w:tc>
          <w:tcPr>
            <w:tcW w:w="26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720" w:type="dxa"/>
            <w:vAlign w:val="bottom"/>
            <w:gridSpan w:val="2"/>
            <w:vMerge w:val="continue"/>
            <w:shd w:val="clear" w:color="auto" w:fill="D9D9D6"/>
          </w:tcPr>
          <w:p>
            <w:pPr>
              <w:spacing w:after="0"/>
              <w:rPr>
                <w:sz w:val="12"/>
                <w:szCs w:val="12"/>
                <w:color w:val="auto"/>
              </w:rPr>
            </w:pPr>
          </w:p>
        </w:tc>
        <w:tc>
          <w:tcPr>
            <w:tcW w:w="280" w:type="dxa"/>
            <w:vAlign w:val="bottom"/>
            <w:shd w:val="clear" w:color="auto" w:fill="D9D9D6"/>
          </w:tcPr>
          <w:p>
            <w:pPr>
              <w:spacing w:after="0"/>
              <w:rPr>
                <w:sz w:val="12"/>
                <w:szCs w:val="12"/>
                <w:color w:val="auto"/>
              </w:rPr>
            </w:pPr>
          </w:p>
        </w:tc>
        <w:tc>
          <w:tcPr>
            <w:tcW w:w="700" w:type="dxa"/>
            <w:vAlign w:val="bottom"/>
            <w:gridSpan w:val="3"/>
            <w:shd w:val="clear" w:color="auto" w:fill="D9D9D6"/>
          </w:tcPr>
          <w:p>
            <w:pPr>
              <w:spacing w:after="0" w:line="149"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7</w:t>
            </w:r>
          </w:p>
        </w:tc>
        <w:tc>
          <w:tcPr>
            <w:tcW w:w="0" w:type="dxa"/>
            <w:vAlign w:val="bottom"/>
          </w:tcPr>
          <w:p>
            <w:pPr>
              <w:spacing w:after="0"/>
              <w:rPr>
                <w:sz w:val="1"/>
                <w:szCs w:val="1"/>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28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6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620" w:type="dxa"/>
            <w:vAlign w:val="bottom"/>
            <w:tcBorders>
              <w:top w:val="single" w:sz="8" w:color="D9D9D6"/>
            </w:tcBorders>
            <w:shd w:val="clear" w:color="auto" w:fill="D9D9D6"/>
          </w:tcPr>
          <w:p>
            <w:pPr>
              <w:spacing w:after="0"/>
              <w:rPr>
                <w:sz w:val="19"/>
                <w:szCs w:val="19"/>
                <w:color w:val="auto"/>
              </w:rPr>
            </w:pPr>
          </w:p>
        </w:tc>
        <w:tc>
          <w:tcPr>
            <w:tcW w:w="40" w:type="dxa"/>
            <w:vAlign w:val="bottom"/>
            <w:tcBorders>
              <w:top w:val="single" w:sz="8" w:color="auto"/>
            </w:tcBorders>
            <w:shd w:val="clear" w:color="auto" w:fill="D9D9D6"/>
          </w:tcPr>
          <w:p>
            <w:pPr>
              <w:spacing w:after="0"/>
              <w:rPr>
                <w:sz w:val="19"/>
                <w:szCs w:val="19"/>
                <w:color w:val="auto"/>
              </w:rPr>
            </w:pPr>
          </w:p>
        </w:tc>
        <w:tc>
          <w:tcPr>
            <w:tcW w:w="2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right w:val="single" w:sz="8" w:color="929292"/>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50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D9D9D6"/>
          </w:tcPr>
          <w:p>
            <w:pPr>
              <w:spacing w:after="0"/>
              <w:rPr>
                <w:sz w:val="17"/>
                <w:szCs w:val="17"/>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Direct-to-Consumer</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$3,547</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$4,040</w:t>
            </w:r>
          </w:p>
        </w:tc>
        <w:tc>
          <w:tcPr>
            <w:tcW w:w="7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(12.2</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0.2 %</w:t>
            </w:r>
          </w:p>
        </w:tc>
        <w:tc>
          <w:tcPr>
            <w:tcW w:w="80" w:type="dxa"/>
            <w:vAlign w:val="bottom"/>
            <w:shd w:val="clear" w:color="auto" w:fill="D9D9D6"/>
          </w:tcPr>
          <w:p>
            <w:pPr>
              <w:spacing w:after="0"/>
              <w:rPr>
                <w:sz w:val="17"/>
                <w:szCs w:val="17"/>
                <w:color w:val="auto"/>
              </w:rPr>
            </w:pPr>
          </w:p>
        </w:tc>
        <w:tc>
          <w:tcPr>
            <w:tcW w:w="140" w:type="dxa"/>
            <w:vAlign w:val="bottom"/>
            <w:tcBorders>
              <w:right w:val="single" w:sz="8" w:color="929292"/>
            </w:tcBorders>
            <w:shd w:val="clear" w:color="auto" w:fill="D9D9D6"/>
          </w:tcPr>
          <w:p>
            <w:pPr>
              <w:spacing w:after="0"/>
              <w:rPr>
                <w:sz w:val="17"/>
                <w:szCs w:val="17"/>
                <w:color w:val="auto"/>
              </w:rPr>
            </w:pPr>
          </w:p>
        </w:tc>
        <w:tc>
          <w:tcPr>
            <w:tcW w:w="1260" w:type="dxa"/>
            <w:vAlign w:val="bottom"/>
            <w:gridSpan w:val="4"/>
            <w:shd w:val="clear" w:color="auto" w:fill="D9D9D6"/>
          </w:tcPr>
          <w:p>
            <w:pPr>
              <w:jc w:val="right"/>
              <w:ind w:right="200"/>
              <w:spacing w:after="0"/>
              <w:rPr>
                <w:sz w:val="20"/>
                <w:szCs w:val="20"/>
                <w:color w:val="auto"/>
              </w:rPr>
            </w:pPr>
            <w:r>
              <w:rPr>
                <w:rFonts w:ascii="Arial" w:cs="Arial" w:eastAsia="Arial" w:hAnsi="Arial"/>
                <w:sz w:val="14"/>
                <w:szCs w:val="14"/>
                <w:color w:val="auto"/>
              </w:rPr>
              <w:t>$14,621</w:t>
            </w:r>
          </w:p>
        </w:tc>
        <w:tc>
          <w:tcPr>
            <w:tcW w:w="96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$16,455</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(11.1 %)</w:t>
            </w:r>
          </w:p>
        </w:tc>
        <w:tc>
          <w:tcPr>
            <w:tcW w:w="2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(0.8 %)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304</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327</w:t>
            </w:r>
          </w:p>
        </w:tc>
        <w:tc>
          <w:tcPr>
            <w:tcW w:w="7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(7.0</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6.5 %</w:t>
            </w:r>
          </w:p>
        </w:tc>
        <w:tc>
          <w:tcPr>
            <w:tcW w:w="80" w:type="dxa"/>
            <w:vAlign w:val="bottom"/>
            <w:shd w:val="clear" w:color="auto" w:fill="D9D9D6"/>
          </w:tcPr>
          <w:p>
            <w:pPr>
              <w:spacing w:after="0"/>
              <w:rPr>
                <w:sz w:val="17"/>
                <w:szCs w:val="17"/>
                <w:color w:val="auto"/>
              </w:rPr>
            </w:pPr>
          </w:p>
        </w:tc>
        <w:tc>
          <w:tcPr>
            <w:tcW w:w="140" w:type="dxa"/>
            <w:vAlign w:val="bottom"/>
            <w:tcBorders>
              <w:right w:val="single" w:sz="8" w:color="929292"/>
            </w:tcBorders>
            <w:shd w:val="clear" w:color="auto" w:fill="D9D9D6"/>
          </w:tcPr>
          <w:p>
            <w:pPr>
              <w:spacing w:after="0"/>
              <w:rPr>
                <w:sz w:val="17"/>
                <w:szCs w:val="17"/>
                <w:color w:val="auto"/>
              </w:rPr>
            </w:pPr>
          </w:p>
        </w:tc>
        <w:tc>
          <w:tcPr>
            <w:tcW w:w="1260" w:type="dxa"/>
            <w:vAlign w:val="bottom"/>
            <w:gridSpan w:val="4"/>
            <w:shd w:val="clear" w:color="auto" w:fill="D9D9D6"/>
          </w:tcPr>
          <w:p>
            <w:pPr>
              <w:jc w:val="right"/>
              <w:ind w:right="200"/>
              <w:spacing w:after="0"/>
              <w:rPr>
                <w:sz w:val="20"/>
                <w:szCs w:val="20"/>
                <w:color w:val="auto"/>
              </w:rPr>
            </w:pPr>
            <w:r>
              <w:rPr>
                <w:rFonts w:ascii="Arial" w:cs="Arial" w:eastAsia="Arial" w:hAnsi="Arial"/>
                <w:sz w:val="14"/>
                <w:szCs w:val="14"/>
                <w:color w:val="auto"/>
              </w:rPr>
              <w:t>1,138</w:t>
            </w:r>
          </w:p>
        </w:tc>
        <w:tc>
          <w:tcPr>
            <w:tcW w:w="96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1,341</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(15.2 %)</w:t>
            </w:r>
          </w:p>
        </w:tc>
        <w:tc>
          <w:tcPr>
            <w:tcW w:w="2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(5.5 %)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28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9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564</w:t>
            </w:r>
          </w:p>
        </w:tc>
        <w:tc>
          <w:tcPr>
            <w:tcW w:w="9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712</w:t>
            </w:r>
          </w:p>
        </w:tc>
        <w:tc>
          <w:tcPr>
            <w:tcW w:w="7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(20.7</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(9.6</w:t>
            </w:r>
          </w:p>
        </w:tc>
        <w:tc>
          <w:tcPr>
            <w:tcW w:w="2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w w:val="81"/>
              </w:rPr>
              <w:t>%)</w:t>
            </w:r>
          </w:p>
        </w:tc>
        <w:tc>
          <w:tcPr>
            <w:tcW w:w="140" w:type="dxa"/>
            <w:vAlign w:val="bottom"/>
            <w:tcBorders>
              <w:bottom w:val="single" w:sz="8" w:color="D9D9D6"/>
              <w:right w:val="single" w:sz="8" w:color="929292"/>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1160" w:type="dxa"/>
            <w:vAlign w:val="bottom"/>
            <w:tcBorders>
              <w:bottom w:val="single" w:sz="8" w:color="auto"/>
            </w:tcBorders>
            <w:gridSpan w:val="3"/>
            <w:shd w:val="clear" w:color="auto" w:fill="D9D9D6"/>
          </w:tcPr>
          <w:p>
            <w:pPr>
              <w:jc w:val="right"/>
              <w:ind w:right="200"/>
              <w:spacing w:after="0"/>
              <w:rPr>
                <w:sz w:val="20"/>
                <w:szCs w:val="20"/>
                <w:color w:val="auto"/>
              </w:rPr>
            </w:pPr>
            <w:r>
              <w:rPr>
                <w:rFonts w:ascii="Arial" w:cs="Arial" w:eastAsia="Arial" w:hAnsi="Arial"/>
                <w:sz w:val="14"/>
                <w:szCs w:val="14"/>
                <w:color w:val="auto"/>
              </w:rPr>
              <w:t>2,187</w:t>
            </w:r>
          </w:p>
        </w:tc>
        <w:tc>
          <w:tcPr>
            <w:tcW w:w="960" w:type="dxa"/>
            <w:vAlign w:val="bottom"/>
            <w:tcBorders>
              <w:bottom w:val="single" w:sz="8" w:color="auto"/>
            </w:tcBorders>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2,489</w:t>
            </w:r>
          </w:p>
        </w:tc>
        <w:tc>
          <w:tcPr>
            <w:tcW w:w="7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(12.1 %)</w:t>
            </w:r>
          </w:p>
        </w:tc>
        <w:tc>
          <w:tcPr>
            <w:tcW w:w="2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(1.9 %)</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D9D9D6"/>
          </w:tcPr>
          <w:p>
            <w:pPr>
              <w:spacing w:after="0"/>
              <w:rPr>
                <w:sz w:val="17"/>
                <w:szCs w:val="17"/>
                <w:color w:val="auto"/>
              </w:rPr>
            </w:pPr>
          </w:p>
        </w:tc>
        <w:tc>
          <w:tcPr>
            <w:tcW w:w="2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$4,416</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$5,079</w:t>
            </w:r>
          </w:p>
        </w:tc>
        <w:tc>
          <w:tcPr>
            <w:tcW w:w="7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(13.0</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(0.8</w:t>
            </w:r>
          </w:p>
        </w:tc>
        <w:tc>
          <w:tcPr>
            <w:tcW w:w="2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w w:val="81"/>
              </w:rPr>
              <w:t>%)</w:t>
            </w:r>
          </w:p>
        </w:tc>
        <w:tc>
          <w:tcPr>
            <w:tcW w:w="140" w:type="dxa"/>
            <w:vAlign w:val="bottom"/>
            <w:tcBorders>
              <w:right w:val="single" w:sz="8" w:color="929292"/>
            </w:tcBorders>
            <w:shd w:val="clear" w:color="auto" w:fill="D9D9D6"/>
          </w:tcPr>
          <w:p>
            <w:pPr>
              <w:spacing w:after="0"/>
              <w:rPr>
                <w:sz w:val="17"/>
                <w:szCs w:val="17"/>
                <w:color w:val="auto"/>
              </w:rPr>
            </w:pPr>
          </w:p>
        </w:tc>
        <w:tc>
          <w:tcPr>
            <w:tcW w:w="1260" w:type="dxa"/>
            <w:vAlign w:val="bottom"/>
            <w:gridSpan w:val="4"/>
            <w:shd w:val="clear" w:color="auto" w:fill="D9D9D6"/>
          </w:tcPr>
          <w:p>
            <w:pPr>
              <w:jc w:val="right"/>
              <w:ind w:right="200"/>
              <w:spacing w:after="0"/>
              <w:rPr>
                <w:sz w:val="20"/>
                <w:szCs w:val="20"/>
                <w:color w:val="auto"/>
              </w:rPr>
            </w:pPr>
            <w:r>
              <w:rPr>
                <w:rFonts w:ascii="Arial" w:cs="Arial" w:eastAsia="Arial" w:hAnsi="Arial"/>
                <w:sz w:val="14"/>
                <w:szCs w:val="14"/>
                <w:b w:val="1"/>
                <w:bCs w:val="1"/>
                <w:color w:val="auto"/>
              </w:rPr>
              <w:t>$17,946</w:t>
            </w:r>
          </w:p>
        </w:tc>
        <w:tc>
          <w:tcPr>
            <w:tcW w:w="96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$20,285</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(11.5 %)</w:t>
            </w:r>
          </w:p>
        </w:tc>
        <w:tc>
          <w:tcPr>
            <w:tcW w:w="2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20" w:type="dxa"/>
            <w:vAlign w:val="bottom"/>
            <w:shd w:val="clear" w:color="auto" w:fill="D9D9D6"/>
          </w:tcPr>
          <w:p>
            <w:pPr>
              <w:spacing w:after="0"/>
              <w:rPr>
                <w:sz w:val="24"/>
                <w:szCs w:val="24"/>
                <w:color w:val="auto"/>
              </w:rPr>
            </w:pPr>
          </w:p>
        </w:tc>
        <w:tc>
          <w:tcPr>
            <w:tcW w:w="2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Costs and Expenses</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$4,076</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$4,615</w:t>
            </w:r>
          </w:p>
        </w:tc>
        <w:tc>
          <w:tcPr>
            <w:tcW w:w="9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(11.7 %)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0.6 %</w:t>
            </w:r>
          </w:p>
        </w:tc>
        <w:tc>
          <w:tcPr>
            <w:tcW w:w="80" w:type="dxa"/>
            <w:vAlign w:val="bottom"/>
            <w:shd w:val="clear" w:color="auto" w:fill="D9D9D6"/>
          </w:tcPr>
          <w:p>
            <w:pPr>
              <w:spacing w:after="0"/>
              <w:rPr>
                <w:sz w:val="24"/>
                <w:szCs w:val="24"/>
                <w:color w:val="auto"/>
              </w:rPr>
            </w:pPr>
          </w:p>
        </w:tc>
        <w:tc>
          <w:tcPr>
            <w:tcW w:w="140" w:type="dxa"/>
            <w:vAlign w:val="bottom"/>
            <w:tcBorders>
              <w:right w:val="single" w:sz="8" w:color="929292"/>
            </w:tcBorders>
            <w:shd w:val="clear" w:color="auto" w:fill="D9D9D6"/>
          </w:tcPr>
          <w:p>
            <w:pPr>
              <w:spacing w:after="0"/>
              <w:rPr>
                <w:sz w:val="24"/>
                <w:szCs w:val="24"/>
                <w:color w:val="auto"/>
              </w:rPr>
            </w:pPr>
          </w:p>
        </w:tc>
        <w:tc>
          <w:tcPr>
            <w:tcW w:w="1260" w:type="dxa"/>
            <w:vAlign w:val="bottom"/>
            <w:gridSpan w:val="4"/>
            <w:shd w:val="clear" w:color="auto" w:fill="D9D9D6"/>
          </w:tcPr>
          <w:p>
            <w:pPr>
              <w:jc w:val="right"/>
              <w:ind w:right="200"/>
              <w:spacing w:after="0"/>
              <w:rPr>
                <w:sz w:val="20"/>
                <w:szCs w:val="20"/>
                <w:color w:val="auto"/>
              </w:rPr>
            </w:pPr>
            <w:r>
              <w:rPr>
                <w:rFonts w:ascii="Arial" w:cs="Arial" w:eastAsia="Arial" w:hAnsi="Arial"/>
                <w:sz w:val="14"/>
                <w:szCs w:val="14"/>
                <w:b w:val="1"/>
                <w:bCs w:val="1"/>
                <w:color w:val="auto"/>
              </w:rPr>
              <w:t>$15,420</w:t>
            </w:r>
          </w:p>
        </w:tc>
        <w:tc>
          <w:tcPr>
            <w:tcW w:w="96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$17,925</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(14.0 %)</w:t>
            </w:r>
          </w:p>
        </w:tc>
        <w:tc>
          <w:tcPr>
            <w:tcW w:w="2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(4.1 %)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shd w:val="clear" w:color="auto" w:fill="D9D9D6"/>
          </w:tcPr>
          <w:p>
            <w:pPr>
              <w:spacing w:after="0"/>
              <w:rPr>
                <w:sz w:val="24"/>
                <w:szCs w:val="24"/>
                <w:color w:val="auto"/>
              </w:rPr>
            </w:pPr>
          </w:p>
        </w:tc>
        <w:tc>
          <w:tcPr>
            <w:tcW w:w="2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$340</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$464</w:t>
            </w:r>
          </w:p>
        </w:tc>
        <w:tc>
          <w:tcPr>
            <w:tcW w:w="9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(26.7 %)</w:t>
            </w:r>
          </w:p>
        </w:tc>
        <w:tc>
          <w:tcPr>
            <w:tcW w:w="20" w:type="dxa"/>
            <w:vAlign w:val="bottom"/>
            <w:shd w:val="clear" w:color="auto" w:fill="D9D9D6"/>
          </w:tcPr>
          <w:p>
            <w:pPr>
              <w:spacing w:after="0"/>
              <w:rPr>
                <w:sz w:val="24"/>
                <w:szCs w:val="24"/>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(15.1 %)</w:t>
            </w:r>
          </w:p>
        </w:tc>
        <w:tc>
          <w:tcPr>
            <w:tcW w:w="140" w:type="dxa"/>
            <w:vAlign w:val="bottom"/>
            <w:tcBorders>
              <w:right w:val="single" w:sz="8" w:color="929292"/>
            </w:tcBorders>
            <w:shd w:val="clear" w:color="auto" w:fill="D9D9D6"/>
          </w:tcPr>
          <w:p>
            <w:pPr>
              <w:spacing w:after="0"/>
              <w:rPr>
                <w:sz w:val="24"/>
                <w:szCs w:val="24"/>
                <w:color w:val="auto"/>
              </w:rPr>
            </w:pPr>
          </w:p>
        </w:tc>
        <w:tc>
          <w:tcPr>
            <w:tcW w:w="1260" w:type="dxa"/>
            <w:vAlign w:val="bottom"/>
            <w:gridSpan w:val="4"/>
            <w:shd w:val="clear" w:color="auto" w:fill="D9D9D6"/>
          </w:tcPr>
          <w:p>
            <w:pPr>
              <w:jc w:val="right"/>
              <w:ind w:right="200"/>
              <w:spacing w:after="0"/>
              <w:rPr>
                <w:sz w:val="20"/>
                <w:szCs w:val="20"/>
                <w:color w:val="auto"/>
              </w:rPr>
            </w:pPr>
            <w:r>
              <w:rPr>
                <w:rFonts w:ascii="Arial" w:cs="Arial" w:eastAsia="Arial" w:hAnsi="Arial"/>
                <w:sz w:val="14"/>
                <w:szCs w:val="14"/>
                <w:b w:val="1"/>
                <w:bCs w:val="1"/>
                <w:color w:val="auto"/>
              </w:rPr>
              <w:t>$2,526</w:t>
            </w:r>
          </w:p>
        </w:tc>
        <w:tc>
          <w:tcPr>
            <w:tcW w:w="96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$2,359</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7.0 %</w:t>
            </w:r>
          </w:p>
        </w:tc>
        <w:tc>
          <w:tcPr>
            <w:tcW w:w="22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20.3 %</w:t>
            </w: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D9D9D6"/>
          </w:tcPr>
          <w:p>
            <w:pPr>
              <w:spacing w:after="0"/>
              <w:rPr>
                <w:sz w:val="17"/>
                <w:szCs w:val="17"/>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7.7 %</w:t>
            </w:r>
          </w:p>
        </w:tc>
        <w:tc>
          <w:tcPr>
            <w:tcW w:w="20" w:type="dxa"/>
            <w:vAlign w:val="bottom"/>
            <w:shd w:val="clear" w:color="auto" w:fill="D9D9D6"/>
          </w:tcPr>
          <w:p>
            <w:pPr>
              <w:spacing w:after="0"/>
              <w:rPr>
                <w:sz w:val="17"/>
                <w:szCs w:val="17"/>
                <w:color w:val="auto"/>
              </w:rPr>
            </w:pPr>
          </w:p>
        </w:tc>
        <w:tc>
          <w:tcPr>
            <w:tcW w:w="94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9.1 %</w:t>
            </w:r>
          </w:p>
        </w:tc>
        <w:tc>
          <w:tcPr>
            <w:tcW w:w="2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40" w:type="dxa"/>
            <w:vAlign w:val="bottom"/>
            <w:tcBorders>
              <w:right w:val="single" w:sz="8" w:color="929292"/>
            </w:tcBorders>
            <w:shd w:val="clear" w:color="auto" w:fill="D9D9D6"/>
          </w:tcPr>
          <w:p>
            <w:pPr>
              <w:spacing w:after="0"/>
              <w:rPr>
                <w:sz w:val="17"/>
                <w:szCs w:val="17"/>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i w:val="1"/>
                <w:iCs w:val="1"/>
                <w:color w:val="auto"/>
              </w:rPr>
              <w:t>14.1 %</w:t>
            </w:r>
          </w:p>
        </w:tc>
        <w:tc>
          <w:tcPr>
            <w:tcW w:w="200" w:type="dxa"/>
            <w:vAlign w:val="bottom"/>
            <w:shd w:val="clear" w:color="auto" w:fill="D9D9D6"/>
          </w:tcPr>
          <w:p>
            <w:pPr>
              <w:spacing w:after="0"/>
              <w:rPr>
                <w:sz w:val="17"/>
                <w:szCs w:val="17"/>
                <w:color w:val="auto"/>
              </w:rPr>
            </w:pPr>
          </w:p>
        </w:tc>
        <w:tc>
          <w:tcPr>
            <w:tcW w:w="74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11.6 %</w:t>
            </w:r>
          </w:p>
        </w:tc>
        <w:tc>
          <w:tcPr>
            <w:tcW w:w="220" w:type="dxa"/>
            <w:vAlign w:val="bottom"/>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20" w:type="dxa"/>
            <w:vAlign w:val="bottom"/>
            <w:shd w:val="clear" w:color="auto" w:fill="D9D9D6"/>
          </w:tcPr>
          <w:p>
            <w:pPr>
              <w:spacing w:after="0"/>
              <w:rPr>
                <w:sz w:val="5"/>
                <w:szCs w:val="5"/>
                <w:color w:val="auto"/>
              </w:rPr>
            </w:pPr>
          </w:p>
        </w:tc>
        <w:tc>
          <w:tcPr>
            <w:tcW w:w="2840" w:type="dxa"/>
            <w:vAlign w:val="bottom"/>
            <w:shd w:val="clear" w:color="auto" w:fill="D9D9D6"/>
          </w:tcPr>
          <w:p>
            <w:pPr>
              <w:spacing w:after="0"/>
              <w:rPr>
                <w:sz w:val="5"/>
                <w:szCs w:val="5"/>
                <w:color w:val="auto"/>
              </w:rPr>
            </w:pPr>
          </w:p>
        </w:tc>
        <w:tc>
          <w:tcPr>
            <w:tcW w:w="60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620" w:type="dxa"/>
            <w:vAlign w:val="bottom"/>
            <w:shd w:val="clear" w:color="auto" w:fill="D9D9D6"/>
          </w:tcPr>
          <w:p>
            <w:pPr>
              <w:spacing w:after="0"/>
              <w:rPr>
                <w:sz w:val="5"/>
                <w:szCs w:val="5"/>
                <w:color w:val="auto"/>
              </w:rPr>
            </w:pPr>
          </w:p>
        </w:tc>
        <w:tc>
          <w:tcPr>
            <w:tcW w:w="40" w:type="dxa"/>
            <w:vAlign w:val="bottom"/>
            <w:shd w:val="clear" w:color="auto" w:fill="D9D9D6"/>
          </w:tcPr>
          <w:p>
            <w:pPr>
              <w:spacing w:after="0"/>
              <w:rPr>
                <w:sz w:val="5"/>
                <w:szCs w:val="5"/>
                <w:color w:val="auto"/>
              </w:rPr>
            </w:pPr>
          </w:p>
        </w:tc>
        <w:tc>
          <w:tcPr>
            <w:tcW w:w="2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80" w:type="dxa"/>
            <w:vAlign w:val="bottom"/>
            <w:shd w:val="clear" w:color="auto" w:fill="D9D9D6"/>
          </w:tcPr>
          <w:p>
            <w:pPr>
              <w:spacing w:after="0"/>
              <w:rPr>
                <w:sz w:val="5"/>
                <w:szCs w:val="5"/>
                <w:color w:val="auto"/>
              </w:rPr>
            </w:pPr>
          </w:p>
        </w:tc>
        <w:tc>
          <w:tcPr>
            <w:tcW w:w="12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40" w:type="dxa"/>
            <w:vAlign w:val="bottom"/>
            <w:tcBorders>
              <w:right w:val="single" w:sz="8" w:color="929292"/>
            </w:tcBorders>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4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30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2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28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2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decreased 13.0% to $4.4 billion in the fourth quarter of 2022. Excluding the impact of currency, revenue was consistent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Direct-to-consumer revenue of $3.5 billion was consistent with the prior year period, reflecting increased revenue in the U.K., driven by higher mobile and broadband revenue, offset by decreased revenue in Germany and Italy. Advertising revenue decreased 9.6% to $564 million, primarily reflecting lower revenue in the U.K., including the impact of the timing of the FIFA World Cup. Content revenue increased 6.5% to $304 million, primarily due to the timing of licensing our content to other platforms.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twelve months ended December 31, 2022, Sky revenue decreased 11.5% to $17.9 billion. Excluding the impact of currency, revenue decreased 1.2%, reflecting lower direct-to-consumer revenue, content revenue and advertising revenue.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129,000 to 23.1 million in the fourth quarter of 2022. For the twelve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total customer relationships increased by 88,000.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66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64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00" w:type="dxa"/>
            <w:vAlign w:val="bottom"/>
            <w:tcBorders>
              <w:right w:val="single" w:sz="8" w:color="D9D9D6"/>
            </w:tcBorders>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40" w:type="dxa"/>
            <w:vAlign w:val="bottom"/>
            <w:tcBorders>
              <w:right w:val="single" w:sz="8" w:color="D9D9D6"/>
            </w:tcBorders>
            <w:shd w:val="clear" w:color="auto" w:fill="D9D9D6"/>
          </w:tcPr>
          <w:p>
            <w:pPr>
              <w:spacing w:after="0"/>
              <w:rPr>
                <w:sz w:val="17"/>
                <w:szCs w:val="17"/>
                <w:color w:val="auto"/>
              </w:rPr>
            </w:pPr>
          </w:p>
        </w:tc>
        <w:tc>
          <w:tcPr>
            <w:tcW w:w="680" w:type="dxa"/>
            <w:vAlign w:val="bottom"/>
            <w:shd w:val="clear" w:color="auto" w:fill="D9D9D6"/>
          </w:tcPr>
          <w:p>
            <w:pPr>
              <w:spacing w:after="0"/>
              <w:rPr>
                <w:sz w:val="17"/>
                <w:szCs w:val="17"/>
                <w:color w:val="auto"/>
              </w:rPr>
            </w:pPr>
          </w:p>
        </w:tc>
        <w:tc>
          <w:tcPr>
            <w:tcW w:w="160" w:type="dxa"/>
            <w:vAlign w:val="bottom"/>
            <w:tcBorders>
              <w:right w:val="single" w:sz="8" w:color="D9D9D6"/>
            </w:tcBorders>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r>
      <w:tr>
        <w:trPr>
          <w:trHeight w:val="203"/>
        </w:trPr>
        <w:tc>
          <w:tcPr>
            <w:tcW w:w="3900" w:type="dxa"/>
            <w:vAlign w:val="bottom"/>
            <w:shd w:val="clear" w:color="auto" w:fill="D9D9D6"/>
          </w:tcPr>
          <w:p>
            <w:pPr>
              <w:spacing w:after="0"/>
              <w:rPr>
                <w:sz w:val="17"/>
                <w:szCs w:val="17"/>
                <w:color w:val="auto"/>
              </w:rPr>
            </w:pPr>
          </w:p>
        </w:tc>
        <w:tc>
          <w:tcPr>
            <w:tcW w:w="660" w:type="dxa"/>
            <w:vAlign w:val="bottom"/>
            <w:tcBorders>
              <w:right w:val="single" w:sz="8" w:color="D9D9D6"/>
            </w:tcBorders>
            <w:shd w:val="clear" w:color="auto" w:fill="D9D9D6"/>
          </w:tcPr>
          <w:p>
            <w:pPr>
              <w:spacing w:after="0"/>
              <w:rPr>
                <w:sz w:val="17"/>
                <w:szCs w:val="17"/>
                <w:color w:val="auto"/>
              </w:rPr>
            </w:pPr>
          </w:p>
        </w:tc>
        <w:tc>
          <w:tcPr>
            <w:tcW w:w="7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Customers</w:t>
            </w:r>
          </w:p>
        </w:tc>
        <w:tc>
          <w:tcPr>
            <w:tcW w:w="2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64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00" w:type="dxa"/>
            <w:vAlign w:val="bottom"/>
            <w:tcBorders>
              <w:right w:val="single" w:sz="8" w:color="D9D9D6"/>
            </w:tcBorders>
            <w:shd w:val="clear" w:color="auto" w:fill="D9D9D6"/>
          </w:tcPr>
          <w:p>
            <w:pPr>
              <w:spacing w:after="0"/>
              <w:rPr>
                <w:sz w:val="17"/>
                <w:szCs w:val="17"/>
                <w:color w:val="auto"/>
              </w:rPr>
            </w:pPr>
          </w:p>
        </w:tc>
        <w:tc>
          <w:tcPr>
            <w:tcW w:w="1680" w:type="dxa"/>
            <w:vAlign w:val="bottom"/>
            <w:tcBorders>
              <w:right w:val="single" w:sz="8" w:color="D9D9D6"/>
            </w:tcBorders>
            <w:gridSpan w:val="5"/>
            <w:shd w:val="clear" w:color="auto" w:fill="D9D9D6"/>
          </w:tcPr>
          <w:p>
            <w:pPr>
              <w:spacing w:after="0"/>
              <w:rPr>
                <w:sz w:val="20"/>
                <w:szCs w:val="20"/>
                <w:color w:val="auto"/>
              </w:rPr>
            </w:pPr>
            <w:r>
              <w:rPr>
                <w:rFonts w:ascii="Arial" w:cs="Arial" w:eastAsia="Arial" w:hAnsi="Arial"/>
                <w:sz w:val="14"/>
                <w:szCs w:val="14"/>
                <w:color w:val="auto"/>
              </w:rPr>
              <w:t>Net Additions / (Losses)</w:t>
            </w:r>
          </w:p>
        </w:tc>
        <w:tc>
          <w:tcPr>
            <w:tcW w:w="26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r>
      <w:tr>
        <w:trPr>
          <w:trHeight w:val="162"/>
        </w:trPr>
        <w:tc>
          <w:tcPr>
            <w:tcW w:w="3900" w:type="dxa"/>
            <w:vAlign w:val="bottom"/>
            <w:tcBorders>
              <w:top w:val="single" w:sz="8" w:color="D9D9D6"/>
            </w:tcBorders>
            <w:shd w:val="clear" w:color="auto" w:fill="D9D9D6"/>
          </w:tcPr>
          <w:p>
            <w:pPr>
              <w:spacing w:after="0"/>
              <w:rPr>
                <w:sz w:val="14"/>
                <w:szCs w:val="14"/>
                <w:color w:val="auto"/>
              </w:rPr>
            </w:pPr>
          </w:p>
        </w:tc>
        <w:tc>
          <w:tcPr>
            <w:tcW w:w="660" w:type="dxa"/>
            <w:vAlign w:val="bottom"/>
            <w:tcBorders>
              <w:top w:val="single" w:sz="8" w:color="D9D9D6"/>
              <w:right w:val="single" w:sz="8" w:color="D9D9D6"/>
            </w:tcBorders>
            <w:shd w:val="clear" w:color="auto" w:fill="D9D9D6"/>
          </w:tcPr>
          <w:p>
            <w:pPr>
              <w:spacing w:after="0"/>
              <w:rPr>
                <w:sz w:val="14"/>
                <w:szCs w:val="14"/>
                <w:color w:val="auto"/>
              </w:rPr>
            </w:pPr>
          </w:p>
        </w:tc>
        <w:tc>
          <w:tcPr>
            <w:tcW w:w="320" w:type="dxa"/>
            <w:vAlign w:val="bottom"/>
            <w:tcBorders>
              <w:top w:val="single" w:sz="8" w:color="auto"/>
            </w:tcBorders>
            <w:shd w:val="clear" w:color="auto" w:fill="D9D9D6"/>
          </w:tcPr>
          <w:p>
            <w:pPr>
              <w:spacing w:after="0"/>
              <w:rPr>
                <w:sz w:val="14"/>
                <w:szCs w:val="14"/>
                <w:color w:val="auto"/>
              </w:rPr>
            </w:pPr>
          </w:p>
        </w:tc>
        <w:tc>
          <w:tcPr>
            <w:tcW w:w="360" w:type="dxa"/>
            <w:vAlign w:val="bottom"/>
            <w:tcBorders>
              <w:top w:val="single" w:sz="8" w:color="auto"/>
            </w:tcBorders>
            <w:shd w:val="clear" w:color="auto" w:fill="D9D9D6"/>
          </w:tcPr>
          <w:p>
            <w:pPr>
              <w:spacing w:after="0"/>
              <w:rPr>
                <w:sz w:val="14"/>
                <w:szCs w:val="14"/>
                <w:color w:val="auto"/>
              </w:rPr>
            </w:pPr>
          </w:p>
        </w:tc>
        <w:tc>
          <w:tcPr>
            <w:tcW w:w="80" w:type="dxa"/>
            <w:vAlign w:val="bottom"/>
            <w:tcBorders>
              <w:top w:val="single" w:sz="8" w:color="D9D9D6"/>
            </w:tcBorders>
            <w:shd w:val="clear" w:color="auto" w:fill="D9D9D6"/>
          </w:tcPr>
          <w:p>
            <w:pPr>
              <w:spacing w:after="0"/>
              <w:rPr>
                <w:sz w:val="14"/>
                <w:szCs w:val="14"/>
                <w:color w:val="auto"/>
              </w:rPr>
            </w:pPr>
          </w:p>
        </w:tc>
        <w:tc>
          <w:tcPr>
            <w:tcW w:w="200" w:type="dxa"/>
            <w:vAlign w:val="bottom"/>
            <w:tcBorders>
              <w:top w:val="single" w:sz="8" w:color="D9D9D6"/>
            </w:tcBorders>
            <w:shd w:val="clear" w:color="auto" w:fill="D9D9D6"/>
          </w:tcPr>
          <w:p>
            <w:pPr>
              <w:spacing w:after="0"/>
              <w:rPr>
                <w:sz w:val="14"/>
                <w:szCs w:val="14"/>
                <w:color w:val="auto"/>
              </w:rPr>
            </w:pPr>
          </w:p>
        </w:tc>
        <w:tc>
          <w:tcPr>
            <w:tcW w:w="360" w:type="dxa"/>
            <w:vAlign w:val="bottom"/>
            <w:tcBorders>
              <w:top w:val="single" w:sz="8" w:color="D9D9D6"/>
            </w:tcBorders>
            <w:shd w:val="clear" w:color="auto" w:fill="D9D9D6"/>
          </w:tcPr>
          <w:p>
            <w:pPr>
              <w:spacing w:after="0"/>
              <w:rPr>
                <w:sz w:val="14"/>
                <w:szCs w:val="14"/>
                <w:color w:val="auto"/>
              </w:rPr>
            </w:pPr>
          </w:p>
        </w:tc>
        <w:tc>
          <w:tcPr>
            <w:tcW w:w="1640" w:type="dxa"/>
            <w:vAlign w:val="bottom"/>
            <w:tcBorders>
              <w:top w:val="single" w:sz="8" w:color="D9D9D6"/>
              <w:right w:val="single" w:sz="8" w:color="D9D9D6"/>
            </w:tcBorders>
            <w:shd w:val="clear" w:color="auto" w:fill="D9D9D6"/>
          </w:tcPr>
          <w:p>
            <w:pPr>
              <w:spacing w:after="0"/>
              <w:rPr>
                <w:sz w:val="14"/>
                <w:szCs w:val="14"/>
                <w:color w:val="auto"/>
              </w:rPr>
            </w:pPr>
          </w:p>
        </w:tc>
        <w:tc>
          <w:tcPr>
            <w:tcW w:w="720" w:type="dxa"/>
            <w:vAlign w:val="bottom"/>
            <w:tcBorders>
              <w:top w:val="single" w:sz="8" w:color="D9D9D6"/>
              <w:right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w w:val="95"/>
              </w:rPr>
              <w:t>4th Quarter</w:t>
            </w:r>
          </w:p>
        </w:tc>
        <w:tc>
          <w:tcPr>
            <w:tcW w:w="280" w:type="dxa"/>
            <w:vAlign w:val="bottom"/>
            <w:tcBorders>
              <w:top w:val="single" w:sz="8" w:color="auto"/>
            </w:tcBorders>
            <w:shd w:val="clear" w:color="auto" w:fill="D9D9D6"/>
          </w:tcPr>
          <w:p>
            <w:pPr>
              <w:spacing w:after="0"/>
              <w:rPr>
                <w:sz w:val="14"/>
                <w:szCs w:val="14"/>
                <w:color w:val="auto"/>
              </w:rPr>
            </w:pPr>
          </w:p>
        </w:tc>
        <w:tc>
          <w:tcPr>
            <w:tcW w:w="320" w:type="dxa"/>
            <w:vAlign w:val="bottom"/>
            <w:tcBorders>
              <w:top w:val="single" w:sz="8" w:color="auto"/>
            </w:tcBorders>
            <w:shd w:val="clear" w:color="auto" w:fill="D9D9D6"/>
          </w:tcPr>
          <w:p>
            <w:pPr>
              <w:spacing w:after="0"/>
              <w:rPr>
                <w:sz w:val="14"/>
                <w:szCs w:val="14"/>
                <w:color w:val="auto"/>
              </w:rPr>
            </w:pPr>
          </w:p>
        </w:tc>
        <w:tc>
          <w:tcPr>
            <w:tcW w:w="240" w:type="dxa"/>
            <w:vAlign w:val="bottom"/>
            <w:tcBorders>
              <w:top w:val="single" w:sz="8" w:color="auto"/>
              <w:right w:val="single" w:sz="8" w:color="97999B"/>
            </w:tcBorders>
            <w:shd w:val="clear" w:color="auto" w:fill="D9D9D6"/>
          </w:tcPr>
          <w:p>
            <w:pPr>
              <w:spacing w:after="0"/>
              <w:rPr>
                <w:sz w:val="14"/>
                <w:szCs w:val="14"/>
                <w:color w:val="auto"/>
              </w:rPr>
            </w:pPr>
          </w:p>
        </w:tc>
        <w:tc>
          <w:tcPr>
            <w:tcW w:w="680" w:type="dxa"/>
            <w:vAlign w:val="bottom"/>
            <w:tcBorders>
              <w:top w:val="single" w:sz="8" w:color="auto"/>
            </w:tcBorders>
            <w:shd w:val="clear" w:color="auto" w:fill="D9D9D6"/>
          </w:tcPr>
          <w:p>
            <w:pPr>
              <w:spacing w:after="0"/>
              <w:rPr>
                <w:sz w:val="14"/>
                <w:szCs w:val="14"/>
                <w:color w:val="auto"/>
              </w:rPr>
            </w:pPr>
          </w:p>
        </w:tc>
        <w:tc>
          <w:tcPr>
            <w:tcW w:w="160" w:type="dxa"/>
            <w:vAlign w:val="bottom"/>
            <w:tcBorders>
              <w:top w:val="single" w:sz="8" w:color="D9D9D6"/>
              <w:right w:val="single" w:sz="8" w:color="D9D9D6"/>
            </w:tcBorders>
            <w:shd w:val="clear" w:color="auto" w:fill="D9D9D6"/>
          </w:tcPr>
          <w:p>
            <w:pPr>
              <w:spacing w:after="0"/>
              <w:rPr>
                <w:sz w:val="14"/>
                <w:szCs w:val="14"/>
                <w:color w:val="auto"/>
              </w:rPr>
            </w:pPr>
          </w:p>
        </w:tc>
        <w:tc>
          <w:tcPr>
            <w:tcW w:w="700" w:type="dxa"/>
            <w:vAlign w:val="bottom"/>
            <w:tcBorders>
              <w:top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rPr>
              <w:t>Full Year</w:t>
            </w:r>
          </w:p>
        </w:tc>
        <w:tc>
          <w:tcPr>
            <w:tcW w:w="160" w:type="dxa"/>
            <w:vAlign w:val="bottom"/>
            <w:tcBorders>
              <w:top w:val="single" w:sz="8" w:color="D9D9D6"/>
            </w:tcBorders>
            <w:shd w:val="clear" w:color="auto" w:fill="D9D9D6"/>
          </w:tcPr>
          <w:p>
            <w:pPr>
              <w:spacing w:after="0"/>
              <w:rPr>
                <w:sz w:val="14"/>
                <w:szCs w:val="14"/>
                <w:color w:val="auto"/>
              </w:rPr>
            </w:pPr>
          </w:p>
        </w:tc>
        <w:tc>
          <w:tcPr>
            <w:tcW w:w="320" w:type="dxa"/>
            <w:vAlign w:val="bottom"/>
            <w:tcBorders>
              <w:top w:val="single" w:sz="8" w:color="D9D9D6"/>
            </w:tcBorders>
            <w:shd w:val="clear" w:color="auto" w:fill="D9D9D6"/>
          </w:tcPr>
          <w:p>
            <w:pPr>
              <w:spacing w:after="0"/>
              <w:rPr>
                <w:sz w:val="14"/>
                <w:szCs w:val="14"/>
                <w:color w:val="auto"/>
              </w:rPr>
            </w:pPr>
          </w:p>
        </w:tc>
        <w:tc>
          <w:tcPr>
            <w:tcW w:w="140" w:type="dxa"/>
            <w:vAlign w:val="bottom"/>
            <w:tcBorders>
              <w:top w:val="single" w:sz="8" w:color="D9D9D6"/>
            </w:tcBorders>
            <w:shd w:val="clear" w:color="auto" w:fill="D9D9D6"/>
          </w:tcPr>
          <w:p>
            <w:pPr>
              <w:spacing w:after="0"/>
              <w:rPr>
                <w:sz w:val="14"/>
                <w:szCs w:val="14"/>
                <w:color w:val="auto"/>
              </w:rPr>
            </w:pPr>
          </w:p>
        </w:tc>
      </w:tr>
      <w:tr>
        <w:trPr>
          <w:trHeight w:val="20"/>
        </w:trPr>
        <w:tc>
          <w:tcPr>
            <w:tcW w:w="3900" w:type="dxa"/>
            <w:vAlign w:val="bottom"/>
            <w:shd w:val="clear" w:color="auto" w:fill="D9D9D6"/>
          </w:tcPr>
          <w:p>
            <w:pPr>
              <w:spacing w:after="0" w:line="20" w:lineRule="exact"/>
              <w:rPr>
                <w:sz w:val="1"/>
                <w:szCs w:val="1"/>
                <w:color w:val="auto"/>
              </w:rPr>
            </w:pPr>
          </w:p>
        </w:tc>
        <w:tc>
          <w:tcPr>
            <w:tcW w:w="66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64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right w:val="single" w:sz="8" w:color="D9D9D6"/>
            </w:tcBorders>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680" w:type="dxa"/>
            <w:vAlign w:val="bottom"/>
            <w:shd w:val="clear" w:color="auto" w:fill="D9D9D6"/>
          </w:tcPr>
          <w:p>
            <w:pPr>
              <w:spacing w:after="0" w:line="20" w:lineRule="exact"/>
              <w:rPr>
                <w:sz w:val="1"/>
                <w:szCs w:val="1"/>
                <w:color w:val="auto"/>
              </w:rPr>
            </w:pPr>
          </w:p>
        </w:tc>
        <w:tc>
          <w:tcPr>
            <w:tcW w:w="160" w:type="dxa"/>
            <w:vAlign w:val="bottom"/>
            <w:tcBorders>
              <w:right w:val="single" w:sz="8" w:color="D9D9D6"/>
            </w:tcBorders>
            <w:shd w:val="clear" w:color="auto" w:fill="D9D9D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183"/>
        </w:trPr>
        <w:tc>
          <w:tcPr>
            <w:tcW w:w="3900" w:type="dxa"/>
            <w:vAlign w:val="bottom"/>
            <w:shd w:val="clear" w:color="auto" w:fill="D9D9D6"/>
          </w:tcPr>
          <w:p>
            <w:pPr>
              <w:spacing w:after="0"/>
              <w:rPr>
                <w:sz w:val="15"/>
                <w:szCs w:val="15"/>
                <w:color w:val="auto"/>
              </w:rPr>
            </w:pPr>
          </w:p>
        </w:tc>
        <w:tc>
          <w:tcPr>
            <w:tcW w:w="660" w:type="dxa"/>
            <w:vAlign w:val="bottom"/>
            <w:tcBorders>
              <w:right w:val="single" w:sz="8" w:color="D9D9D6"/>
            </w:tcBorders>
            <w:shd w:val="clear" w:color="auto" w:fill="D9D9D6"/>
          </w:tcPr>
          <w:p>
            <w:pPr>
              <w:spacing w:after="0"/>
              <w:rPr>
                <w:sz w:val="15"/>
                <w:szCs w:val="15"/>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87"/>
              </w:rPr>
              <w:t>4Q22</w:t>
            </w:r>
          </w:p>
        </w:tc>
        <w:tc>
          <w:tcPr>
            <w:tcW w:w="36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9"/>
              </w:rPr>
              <w:t>4Q21</w:t>
            </w:r>
          </w:p>
        </w:tc>
        <w:tc>
          <w:tcPr>
            <w:tcW w:w="1640" w:type="dxa"/>
            <w:vAlign w:val="bottom"/>
            <w:tcBorders>
              <w:right w:val="single" w:sz="8" w:color="D9D9D6"/>
            </w:tcBorders>
            <w:shd w:val="clear" w:color="auto" w:fill="D9D9D6"/>
          </w:tcPr>
          <w:p>
            <w:pPr>
              <w:spacing w:after="0"/>
              <w:rPr>
                <w:sz w:val="15"/>
                <w:szCs w:val="15"/>
                <w:color w:val="auto"/>
              </w:rPr>
            </w:pPr>
          </w:p>
        </w:tc>
        <w:tc>
          <w:tcPr>
            <w:tcW w:w="720" w:type="dxa"/>
            <w:vAlign w:val="bottom"/>
            <w:tcBorders>
              <w:right w:val="single" w:sz="8" w:color="D9D9D6"/>
            </w:tcBorders>
            <w:gridSpan w:val="2"/>
            <w:shd w:val="clear" w:color="auto" w:fill="D9D9D6"/>
          </w:tcPr>
          <w:p>
            <w:pPr>
              <w:jc w:val="right"/>
              <w:ind w:right="400"/>
              <w:spacing w:after="0"/>
              <w:rPr>
                <w:sz w:val="20"/>
                <w:szCs w:val="20"/>
                <w:color w:val="auto"/>
              </w:rPr>
            </w:pPr>
            <w:r>
              <w:rPr>
                <w:rFonts w:ascii="Arial" w:cs="Arial" w:eastAsia="Arial" w:hAnsi="Arial"/>
                <w:sz w:val="14"/>
                <w:szCs w:val="14"/>
                <w:color w:val="auto"/>
                <w:w w:val="96"/>
              </w:rPr>
              <w:t>2022</w:t>
            </w:r>
          </w:p>
        </w:tc>
        <w:tc>
          <w:tcPr>
            <w:tcW w:w="840" w:type="dxa"/>
            <w:vAlign w:val="bottom"/>
            <w:tcBorders>
              <w:right w:val="single" w:sz="8" w:color="97999B"/>
            </w:tcBorders>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2021</w:t>
            </w:r>
          </w:p>
        </w:tc>
        <w:tc>
          <w:tcPr>
            <w:tcW w:w="680" w:type="dxa"/>
            <w:vAlign w:val="bottom"/>
            <w:shd w:val="clear" w:color="auto" w:fill="D9D9D6"/>
          </w:tcPr>
          <w:p>
            <w:pPr>
              <w:spacing w:after="0"/>
              <w:rPr>
                <w:sz w:val="15"/>
                <w:szCs w:val="15"/>
                <w:color w:val="auto"/>
              </w:rPr>
            </w:pPr>
          </w:p>
        </w:tc>
        <w:tc>
          <w:tcPr>
            <w:tcW w:w="160" w:type="dxa"/>
            <w:vAlign w:val="bottom"/>
            <w:tcBorders>
              <w:right w:val="single" w:sz="8" w:color="D9D9D6"/>
            </w:tcBorders>
            <w:shd w:val="clear" w:color="auto" w:fill="D9D9D6"/>
          </w:tcPr>
          <w:p>
            <w:pPr>
              <w:spacing w:after="0"/>
              <w:rPr>
                <w:sz w:val="15"/>
                <w:szCs w:val="15"/>
                <w:color w:val="auto"/>
              </w:rPr>
            </w:pPr>
          </w:p>
        </w:tc>
        <w:tc>
          <w:tcPr>
            <w:tcW w:w="560" w:type="dxa"/>
            <w:vAlign w:val="bottom"/>
            <w:gridSpan w:val="2"/>
            <w:shd w:val="clear" w:color="auto" w:fill="D9D9D6"/>
          </w:tcPr>
          <w:p>
            <w:pPr>
              <w:jc w:val="right"/>
              <w:ind w:right="300"/>
              <w:spacing w:after="0"/>
              <w:rPr>
                <w:sz w:val="20"/>
                <w:szCs w:val="20"/>
                <w:color w:val="auto"/>
              </w:rPr>
            </w:pPr>
            <w:r>
              <w:rPr>
                <w:rFonts w:ascii="Arial" w:cs="Arial" w:eastAsia="Arial" w:hAnsi="Arial"/>
                <w:sz w:val="14"/>
                <w:szCs w:val="14"/>
                <w:color w:val="auto"/>
                <w:w w:val="76"/>
              </w:rPr>
              <w:t>2022</w:t>
            </w:r>
          </w:p>
        </w:tc>
        <w:tc>
          <w:tcPr>
            <w:tcW w:w="140" w:type="dxa"/>
            <w:vAlign w:val="bottom"/>
            <w:shd w:val="clear" w:color="auto" w:fill="D9D9D6"/>
          </w:tcPr>
          <w:p>
            <w:pPr>
              <w:spacing w:after="0"/>
              <w:rPr>
                <w:sz w:val="15"/>
                <w:szCs w:val="15"/>
                <w:color w:val="auto"/>
              </w:rPr>
            </w:pPr>
          </w:p>
        </w:tc>
        <w:tc>
          <w:tcPr>
            <w:tcW w:w="6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2021</w:t>
            </w:r>
          </w:p>
        </w:tc>
      </w:tr>
      <w:tr>
        <w:trPr>
          <w:trHeight w:val="20"/>
        </w:trPr>
        <w:tc>
          <w:tcPr>
            <w:tcW w:w="3900" w:type="dxa"/>
            <w:vAlign w:val="bottom"/>
            <w:shd w:val="clear" w:color="auto" w:fill="D9D9D6"/>
          </w:tcPr>
          <w:p>
            <w:pPr>
              <w:spacing w:after="0" w:line="20" w:lineRule="exact"/>
              <w:rPr>
                <w:sz w:val="1"/>
                <w:szCs w:val="1"/>
                <w:color w:val="auto"/>
              </w:rPr>
            </w:pPr>
          </w:p>
        </w:tc>
        <w:tc>
          <w:tcPr>
            <w:tcW w:w="66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4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right w:val="single" w:sz="8" w:color="D9D9D6"/>
            </w:tcBorders>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680" w:type="dxa"/>
            <w:vAlign w:val="bottom"/>
            <w:shd w:val="clear" w:color="auto" w:fill="D9D9D6"/>
          </w:tcPr>
          <w:p>
            <w:pPr>
              <w:spacing w:after="0" w:line="20" w:lineRule="exact"/>
              <w:rPr>
                <w:sz w:val="1"/>
                <w:szCs w:val="1"/>
                <w:color w:val="auto"/>
              </w:rPr>
            </w:pPr>
          </w:p>
        </w:tc>
        <w:tc>
          <w:tcPr>
            <w:tcW w:w="160" w:type="dxa"/>
            <w:vAlign w:val="bottom"/>
            <w:tcBorders>
              <w:right w:val="single" w:sz="8" w:color="auto"/>
            </w:tcBorders>
            <w:shd w:val="clear" w:color="auto" w:fill="D9D9D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257"/>
        </w:trPr>
        <w:tc>
          <w:tcPr>
            <w:tcW w:w="3900" w:type="dxa"/>
            <w:vAlign w:val="bottom"/>
            <w:tcBorders>
              <w:bottom w:val="single" w:sz="8" w:color="D9D9D6"/>
            </w:tcBorders>
            <w:shd w:val="clear" w:color="auto" w:fill="D9D9D6"/>
          </w:tcPr>
          <w:p>
            <w:pPr>
              <w:ind w:left="26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23,115</w:t>
            </w:r>
          </w:p>
        </w:tc>
        <w:tc>
          <w:tcPr>
            <w:tcW w:w="360" w:type="dxa"/>
            <w:vAlign w:val="bottom"/>
            <w:tcBorders>
              <w:bottom w:val="single" w:sz="8" w:color="D9D9D6"/>
            </w:tcBorders>
            <w:shd w:val="clear" w:color="auto" w:fill="D9D9D6"/>
          </w:tcPr>
          <w:p>
            <w:pPr>
              <w:spacing w:after="0"/>
              <w:rPr>
                <w:sz w:val="22"/>
                <w:szCs w:val="22"/>
                <w:color w:val="auto"/>
              </w:rPr>
            </w:pPr>
          </w:p>
        </w:tc>
        <w:tc>
          <w:tcPr>
            <w:tcW w:w="80" w:type="dxa"/>
            <w:vAlign w:val="bottom"/>
            <w:tcBorders>
              <w:bottom w:val="single" w:sz="8" w:color="D9D9D6"/>
            </w:tcBorders>
            <w:shd w:val="clear" w:color="auto" w:fill="D9D9D6"/>
          </w:tcPr>
          <w:p>
            <w:pPr>
              <w:spacing w:after="0"/>
              <w:rPr>
                <w:sz w:val="22"/>
                <w:szCs w:val="22"/>
                <w:color w:val="auto"/>
              </w:rPr>
            </w:pPr>
          </w:p>
        </w:tc>
        <w:tc>
          <w:tcPr>
            <w:tcW w:w="5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23,027</w:t>
            </w:r>
          </w:p>
        </w:tc>
        <w:tc>
          <w:tcPr>
            <w:tcW w:w="1640" w:type="dxa"/>
            <w:vAlign w:val="bottom"/>
            <w:tcBorders>
              <w:bottom w:val="single" w:sz="8" w:color="D9D9D6"/>
              <w:right w:val="single" w:sz="8" w:color="D9D9D6"/>
            </w:tcBorders>
            <w:shd w:val="clear" w:color="auto" w:fill="D9D9D6"/>
          </w:tcPr>
          <w:p>
            <w:pPr>
              <w:spacing w:after="0"/>
              <w:rPr>
                <w:sz w:val="22"/>
                <w:szCs w:val="22"/>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129</w:t>
            </w:r>
          </w:p>
        </w:tc>
        <w:tc>
          <w:tcPr>
            <w:tcW w:w="400" w:type="dxa"/>
            <w:vAlign w:val="bottom"/>
            <w:tcBorders>
              <w:bottom w:val="single" w:sz="8" w:color="D9D9D6"/>
              <w:right w:val="single" w:sz="8" w:color="D9D9D6"/>
            </w:tcBorders>
            <w:shd w:val="clear" w:color="auto" w:fill="D9D9D6"/>
          </w:tcPr>
          <w:p>
            <w:pPr>
              <w:spacing w:after="0"/>
              <w:rPr>
                <w:sz w:val="22"/>
                <w:szCs w:val="22"/>
                <w:color w:val="auto"/>
              </w:rPr>
            </w:pPr>
          </w:p>
        </w:tc>
        <w:tc>
          <w:tcPr>
            <w:tcW w:w="60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61</w:t>
            </w:r>
          </w:p>
        </w:tc>
        <w:tc>
          <w:tcPr>
            <w:tcW w:w="240" w:type="dxa"/>
            <w:vAlign w:val="bottom"/>
            <w:tcBorders>
              <w:bottom w:val="single" w:sz="8" w:color="D9D9D6"/>
              <w:right w:val="single" w:sz="8" w:color="97999B"/>
            </w:tcBorders>
            <w:shd w:val="clear" w:color="auto" w:fill="D9D9D6"/>
          </w:tcPr>
          <w:p>
            <w:pPr>
              <w:spacing w:after="0"/>
              <w:rPr>
                <w:sz w:val="22"/>
                <w:szCs w:val="22"/>
                <w:color w:val="auto"/>
              </w:rPr>
            </w:pPr>
          </w:p>
        </w:tc>
        <w:tc>
          <w:tcPr>
            <w:tcW w:w="680" w:type="dxa"/>
            <w:vAlign w:val="bottom"/>
            <w:tcBorders>
              <w:bottom w:val="single" w:sz="8" w:color="D9D9D6"/>
            </w:tcBorders>
            <w:shd w:val="clear" w:color="auto" w:fill="D9D9D6"/>
          </w:tcPr>
          <w:p>
            <w:pPr>
              <w:spacing w:after="0"/>
              <w:rPr>
                <w:sz w:val="22"/>
                <w:szCs w:val="22"/>
                <w:color w:val="auto"/>
              </w:rPr>
            </w:pPr>
          </w:p>
        </w:tc>
        <w:tc>
          <w:tcPr>
            <w:tcW w:w="160" w:type="dxa"/>
            <w:vAlign w:val="bottom"/>
            <w:tcBorders>
              <w:bottom w:val="single" w:sz="8" w:color="D9D9D6"/>
              <w:right w:val="single" w:sz="8" w:color="D9D9D6"/>
            </w:tcBorders>
            <w:shd w:val="clear" w:color="auto" w:fill="D9D9D6"/>
          </w:tcPr>
          <w:p>
            <w:pPr>
              <w:spacing w:after="0"/>
              <w:rPr>
                <w:sz w:val="22"/>
                <w:szCs w:val="22"/>
                <w:color w:val="auto"/>
              </w:rPr>
            </w:pPr>
          </w:p>
        </w:tc>
        <w:tc>
          <w:tcPr>
            <w:tcW w:w="26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88</w:t>
            </w:r>
          </w:p>
        </w:tc>
        <w:tc>
          <w:tcPr>
            <w:tcW w:w="300" w:type="dxa"/>
            <w:vAlign w:val="bottom"/>
            <w:tcBorders>
              <w:bottom w:val="single" w:sz="8" w:color="D9D9D6"/>
            </w:tcBorders>
            <w:shd w:val="clear" w:color="auto" w:fill="D9D9D6"/>
          </w:tcPr>
          <w:p>
            <w:pPr>
              <w:spacing w:after="0"/>
              <w:rPr>
                <w:sz w:val="22"/>
                <w:szCs w:val="22"/>
                <w:color w:val="auto"/>
              </w:rPr>
            </w:pPr>
          </w:p>
        </w:tc>
        <w:tc>
          <w:tcPr>
            <w:tcW w:w="140" w:type="dxa"/>
            <w:vAlign w:val="bottom"/>
            <w:tcBorders>
              <w:bottom w:val="single" w:sz="8" w:color="D9D9D6"/>
            </w:tcBorders>
            <w:shd w:val="clear" w:color="auto" w:fill="D9D9D6"/>
          </w:tcPr>
          <w:p>
            <w:pPr>
              <w:spacing w:after="0"/>
              <w:rPr>
                <w:sz w:val="22"/>
                <w:szCs w:val="22"/>
                <w:color w:val="auto"/>
              </w:rPr>
            </w:pPr>
          </w:p>
        </w:tc>
        <w:tc>
          <w:tcPr>
            <w:tcW w:w="4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(198)</w:t>
            </w:r>
          </w:p>
        </w:tc>
        <w:tc>
          <w:tcPr>
            <w:tcW w:w="140" w:type="dxa"/>
            <w:vAlign w:val="bottom"/>
            <w:tcBorders>
              <w:bottom w:val="single" w:sz="8" w:color="D9D9D6"/>
            </w:tcBorders>
            <w:shd w:val="clear" w:color="auto" w:fill="D9D9D6"/>
          </w:tcPr>
          <w:p>
            <w:pPr>
              <w:spacing w:after="0"/>
              <w:rPr>
                <w:sz w:val="22"/>
                <w:szCs w:val="22"/>
                <w:color w:val="auto"/>
              </w:rPr>
            </w:pPr>
          </w:p>
        </w:tc>
      </w:tr>
    </w:tbl>
    <w:p>
      <w:pPr>
        <w:spacing w:after="0" w:line="30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decreased 26.7% to $340 million in the fourth quarter of 2022. Excluding the impact of currency,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15.1% compared to the prior year period, reflecting consistent revenue and higher operating expenses, including $53 million in higher severance expense. Excluding the higher severance</w:t>
      </w:r>
      <w:r>
        <w:rPr>
          <w:rFonts w:ascii="Arial" w:cs="Arial" w:eastAsia="Arial" w:hAnsi="Arial"/>
          <w:sz w:val="23"/>
          <w:szCs w:val="23"/>
          <w:color w:val="auto"/>
          <w:vertAlign w:val="superscript"/>
        </w:rPr>
        <w:t>5</w:t>
      </w:r>
      <w:r>
        <w:rPr>
          <w:rFonts w:ascii="Arial" w:cs="Arial" w:eastAsia="Arial" w:hAnsi="Arial"/>
          <w:sz w:val="18"/>
          <w:szCs w:val="18"/>
          <w:color w:val="auto"/>
        </w:rPr>
        <w:t>, Adjusted EBITDA decreased 2.0%. The increase in operating expenses was due to higher other costs, including the higher severance, as well as higher direct network costs driven by growth in our residential mobile and broadband businesses, largely offset by lower sports programming costs due to the timing of sporting events, including a shift of certain football matches out of the fourth quarter of 2022 due to the FIFA World Cup.</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twelve months ended December 31, 2022, Adjusted EBITDA for Sky increased 7.0% to $2.5 billion. Excluding the impact of currency, Adjusted EBITDA increased 20.3%.</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Corporate and Other primarily relates to corporate operations, Comcast Spectacor, Sky Glass and Xumo, our streaming platform joint venture with Charter Communications. Revenue in the fourth quarter of 2022 was $313 million, compared to $215 million in the prior year period. Corporate and Other Adjusted EBITDA loss was $417 million, compared to a loss of $481 million in the prior year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5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For the twelve months ended December 31, 2022, Corporate and Other revenue was $863 million, compared to $461 million in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Adjusted EBITDA loss of $1.4 billion was consistent with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represent eliminations of transactions between Cable Communications, NBCUniversal, Sky and other businesses. Eliminations of transactions between NBCUniversal segments are presented separately. Revenue eliminations in the fourth quarter of 2022 of $707 million were consistent with the prior year period, and Adjusted EBITDA eliminations were $28 million compared to $21 million in the prior year period.</w:t>
      </w:r>
    </w:p>
    <w:p>
      <w:pPr>
        <w:spacing w:after="0" w:line="20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For the twelve months ended December 31, 2022, revenue eliminations were $2.9 billion compared to $3.0 billion in 2021, and Adjusted EBITDA eliminations were a loss of $64 million compared to a loss of $65 million in 2021. Amounts reflect eliminations associated with the Beijing and Tokyo Olympics in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33"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From time to time, we may present adjusted information (e.g., Adjusted Revenues) to exclude the impact of certain events, gains, losses or other charges affecting period-to-period comparability of our operating performance. See Table 7 and Table 8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25"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7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580" w:right="339" w:bottom="1440" w:gutter="0" w:footer="0" w:header="0"/>
        </w:sectPr>
      </w:pPr>
    </w:p>
    <w:bookmarkStart w:id="12" w:name="page13"/>
    <w:bookmarkEnd w:id="12"/>
    <w:p>
      <w:pPr>
        <w:ind w:left="180"/>
        <w:spacing w:after="0" w:line="287"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January 26, 2023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(646) 828-8082 with the passcode 572424. A replay of the call will be available starting at 11:30 a.m. ET on Thursday, January 26, 2023 on the Investor Relations website.</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programming costs; consumer acceptance of our content;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laws and regulations; adverse decisions in litigation or governmental investigations; labor disputes;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Comcast Corporation (Nasdaq: CMCSA) is a global media and technology company that connects people to moments that matter. We are principally focused on connectivity,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9"/>
              </w:rPr>
              <w:t>December 31,</w:t>
            </w:r>
          </w:p>
        </w:tc>
        <w:tc>
          <w:tcPr>
            <w:tcW w:w="22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$30,552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$30,336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$121,427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$116,385</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9,807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9,880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38,213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38,450</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10,561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9,821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38,263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35,619</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2,182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8,506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7,695</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2,199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8,724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8,628</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1,273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5,097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Goodwill and long-lived asset impairments</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8,583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26,022</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25,515</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107,385</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95,568</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4,530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4,821</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14,041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20,817</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(974)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(3,896)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(4,281)</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2,557</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3,670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3,885</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9,284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19,093</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(4,359)</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(5,259)</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2,873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4,925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13,833</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$5,370</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$14,159</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$0.70</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$0.66</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$1.21</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4,290</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4,613</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4,430</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36"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$4,925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$13,833</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13,821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13,804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Goodwill and long-lived asset impairments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8,583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1,336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1,315</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1,177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(834)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1,892</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(1,327)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(451)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765</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(1,623)</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26,413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29,146</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(10,626)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(9,174)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(3,141)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1,985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(2,274)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r>
      <w:tr>
        <w:trPr>
          <w:trHeight w:val="209"/>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(14,140)</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(13,446)</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2,745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2,628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(2,307)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(11,498)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(13,328)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(4,672)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(4,741)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(4,532)</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786</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(16,184)</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(18,618)</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(3,997)</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(2,989)</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11,768</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$4,782</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$8,778</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40" w:top="777"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$4,749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$8,711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12,672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12,008</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4,406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21,826</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24,807</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12,560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12,806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7,250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8,082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 securing collateralized obligation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490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55,485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54,047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58,494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70,189</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29,308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33,580</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12,497</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$257,275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$275,905</w:t>
            </w:r>
          </w:p>
        </w:tc>
        <w:tc>
          <w:tcPr>
            <w:tcW w:w="0" w:type="dxa"/>
            <w:vAlign w:val="bottom"/>
          </w:tcPr>
          <w:p>
            <w:pPr>
              <w:spacing w:after="0"/>
              <w:rPr>
                <w:sz w:val="1"/>
                <w:szCs w:val="1"/>
                <w:color w:val="auto"/>
              </w:rPr>
            </w:pPr>
          </w:p>
        </w:tc>
      </w:tr>
      <w:tr>
        <w:trPr>
          <w:trHeight w:val="21"/>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4"/>
        </w:trPr>
        <w:tc>
          <w:tcPr>
            <w:tcW w:w="530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$12,544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$12,455</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participations and residuals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1,770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2,380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3,040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9,450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9,899</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1,743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27,887</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29,348</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Long-term debt, less current portion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93,068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92,718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Collateralized obligation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5,172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5,170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28,714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30,041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20,395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20,620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411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80,943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96,092</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684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81,627</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97,490</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$257,275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$275,905</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13</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568960</wp:posOffset>
            </wp:positionV>
            <wp:extent cx="102870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37515"/>
                    </a:xfrm>
                    <a:prstGeom prst="rect">
                      <a:avLst/>
                    </a:prstGeom>
                    <a:noFill/>
                  </pic:spPr>
                </pic:pic>
              </a:graphicData>
            </a:graphic>
          </wp:anchor>
        </w:drawing>
        <w:t>TABLE 4</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9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0"/>
                <w:szCs w:val="20"/>
                <w:color w:val="auto"/>
              </w:rPr>
            </w:pPr>
          </w:p>
        </w:tc>
        <w:tc>
          <w:tcPr>
            <w:tcW w:w="19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r>
      <w:tr>
        <w:trPr>
          <w:trHeight w:val="189"/>
        </w:trPr>
        <w:tc>
          <w:tcPr>
            <w:tcW w:w="7300" w:type="dxa"/>
            <w:vAlign w:val="bottom"/>
          </w:tcPr>
          <w:p>
            <w:pPr>
              <w:spacing w:after="0"/>
              <w:rPr>
                <w:sz w:val="16"/>
                <w:szCs w:val="16"/>
                <w:color w:val="auto"/>
              </w:rPr>
            </w:pPr>
          </w:p>
        </w:tc>
        <w:tc>
          <w:tcPr>
            <w:tcW w:w="19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r>
      <w:tr>
        <w:trPr>
          <w:trHeight w:val="196"/>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$3,024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$3,057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$5,370</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$14,159</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(445)</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797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4,359</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5,259</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974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3,896</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4,281</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861</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(2,557)</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3,472</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3,581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13,821</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13,804</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Goodwill and long-lived asset impairments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8,583</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5"/>
        </w:trPr>
        <w:tc>
          <w:tcPr>
            <w:tcW w:w="730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236"/>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$8,000</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$36,459</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$34,708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r>
      <w:tr>
        <w:trPr>
          <w:trHeight w:val="193"/>
        </w:trPr>
        <w:tc>
          <w:tcPr>
            <w:tcW w:w="722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92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22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2021</w:t>
            </w:r>
          </w:p>
        </w:tc>
      </w:tr>
      <w:tr>
        <w:trPr>
          <w:trHeight w:val="196"/>
        </w:trPr>
        <w:tc>
          <w:tcPr>
            <w:tcW w:w="722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$5,883</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$7,689</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$26,413</w:t>
            </w:r>
          </w:p>
        </w:tc>
        <w:tc>
          <w:tcPr>
            <w:tcW w:w="120" w:type="dxa"/>
            <w:vAlign w:val="bottom"/>
          </w:tcPr>
          <w:p>
            <w:pPr>
              <w:spacing w:after="0"/>
              <w:rPr>
                <w:sz w:val="17"/>
                <w:szCs w:val="17"/>
                <w:color w:val="auto"/>
              </w:rPr>
            </w:pPr>
          </w:p>
        </w:tc>
        <w:tc>
          <w:tcPr>
            <w:tcW w:w="900" w:type="dxa"/>
            <w:vAlign w:val="bottom"/>
          </w:tcPr>
          <w:p>
            <w:pPr>
              <w:ind w:left="320"/>
              <w:spacing w:after="0"/>
              <w:rPr>
                <w:sz w:val="20"/>
                <w:szCs w:val="20"/>
                <w:color w:val="auto"/>
              </w:rPr>
            </w:pPr>
            <w:r>
              <w:rPr>
                <w:rFonts w:ascii="Arial" w:cs="Arial" w:eastAsia="Arial" w:hAnsi="Arial"/>
                <w:sz w:val="14"/>
                <w:szCs w:val="14"/>
                <w:color w:val="auto"/>
              </w:rPr>
              <w:t>$29,146</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(3,564)</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(10,626)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(9,174)</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(989)</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(3,141)</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(2,883)</w:t>
            </w:r>
          </w:p>
        </w:tc>
      </w:tr>
      <w:tr>
        <w:trPr>
          <w:trHeight w:val="237"/>
        </w:trPr>
        <w:tc>
          <w:tcPr>
            <w:tcW w:w="722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$1,330</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$12,646</w:t>
            </w: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$17,089</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r>
      <w:tr>
        <w:trPr>
          <w:trHeight w:val="193"/>
        </w:trPr>
        <w:tc>
          <w:tcPr>
            <w:tcW w:w="722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92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22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2021</w:t>
            </w:r>
          </w:p>
        </w:tc>
      </w:tr>
      <w:tr>
        <w:trPr>
          <w:trHeight w:val="196"/>
        </w:trPr>
        <w:tc>
          <w:tcPr>
            <w:tcW w:w="72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$8,000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$8,411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$36,459</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$34,708</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(3,564)</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(10,626)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(9,174)</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(989)</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(3,141)</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(2,883)</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(1,072)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(965)</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(3,413)</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(3,908)</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(1,243)</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(5,265)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(2,628)</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(3,006)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(1,499)</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1,336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1,315</w:t>
            </w:r>
          </w:p>
        </w:tc>
      </w:tr>
      <w:tr>
        <w:trPr>
          <w:trHeight w:val="205"/>
        </w:trPr>
        <w:tc>
          <w:tcPr>
            <w:tcW w:w="722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303</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w:t>
            </w:r>
          </w:p>
        </w:tc>
      </w:tr>
      <w:tr>
        <w:trPr>
          <w:trHeight w:val="236"/>
        </w:trPr>
        <w:tc>
          <w:tcPr>
            <w:tcW w:w="722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$1,330</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$12,646</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$17,089</w:t>
            </w:r>
          </w:p>
        </w:tc>
      </w:tr>
    </w:tbl>
    <w:p>
      <w:pPr>
        <w:spacing w:after="0" w:line="31" w:lineRule="exact"/>
        <w:rPr>
          <w:sz w:val="20"/>
          <w:szCs w:val="20"/>
          <w:color w:val="auto"/>
        </w:rPr>
      </w:pPr>
    </w:p>
    <w:p>
      <w:pPr>
        <w:jc w:val="both"/>
        <w:ind w:left="340" w:right="20" w:hanging="334"/>
        <w:spacing w:after="0" w:line="197"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4th quarter and full year 2022 Adjusted EBITDA excludes ($2) million and $13 million of other operating and administrative expenses, respectively, related to our investment portfolio. 4th quarter and full year 2021 Adjusted EBITDA excludes $9 million and $87 million of other operating and administrative expenses, respectively, related to our investment portfolio and Sky transaction-related costs.</w:t>
      </w:r>
    </w:p>
    <w:p>
      <w:pPr>
        <w:spacing w:after="0" w:line="68" w:lineRule="exact"/>
        <w:rPr>
          <w:rFonts w:ascii="Arial" w:cs="Arial" w:eastAsia="Arial" w:hAnsi="Arial"/>
          <w:sz w:val="22"/>
          <w:szCs w:val="22"/>
          <w:color w:val="auto"/>
          <w:vertAlign w:val="superscript"/>
        </w:rPr>
      </w:pPr>
    </w:p>
    <w:p>
      <w:pPr>
        <w:jc w:val="both"/>
        <w:ind w:left="340" w:right="200" w:hanging="334"/>
        <w:spacing w:after="0" w:line="197"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4th quarter and full year 2022 includes decreases of ($2) million and $13 million, respectively, of costs related to our investment portfolio as these amounts are excluded from Adjusted EBITDA. 4th quarter and full year 2021 includes decreases of $9 million and $87 million, respectively, of costs related to our investment portfolio and Sky transaction-related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20"/>
          </w:cols>
          <w:pgMar w:left="340" w:top="89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5986145</wp:posOffset>
            </wp:positionH>
            <wp:positionV relativeFrom="page">
              <wp:posOffset>526415</wp:posOffset>
            </wp:positionV>
            <wp:extent cx="108013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28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Twelve Months Ended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4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100" w:type="dxa"/>
            <w:vAlign w:val="bottom"/>
          </w:tcPr>
          <w:p>
            <w:pPr>
              <w:spacing w:after="0"/>
              <w:rPr>
                <w:sz w:val="15"/>
                <w:szCs w:val="15"/>
                <w:color w:val="auto"/>
              </w:rPr>
            </w:pPr>
          </w:p>
        </w:tc>
        <w:tc>
          <w:tcPr>
            <w:tcW w:w="120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100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14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6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w:t>
            </w:r>
          </w:p>
        </w:tc>
        <w:tc>
          <w:tcPr>
            <w:tcW w:w="1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line="145" w:lineRule="exact"/>
              <w:rPr>
                <w:sz w:val="20"/>
                <w:szCs w:val="20"/>
                <w:color w:val="auto"/>
              </w:rPr>
            </w:pPr>
            <w:r>
              <w:rPr>
                <w:rFonts w:ascii="Arial" w:cs="Arial" w:eastAsia="Arial" w:hAnsi="Arial"/>
                <w:sz w:val="14"/>
                <w:szCs w:val="14"/>
                <w:b w:val="1"/>
                <w:bCs w:val="1"/>
                <w:color w:val="auto"/>
              </w:rPr>
              <w:t>diluted earnings per share attributable to Comcast</w:t>
            </w: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$3,024</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$0.70</w:t>
            </w:r>
          </w:p>
        </w:tc>
        <w:tc>
          <w:tcPr>
            <w:tcW w:w="12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color w:val="auto"/>
              </w:rPr>
              <w:t>$3,057</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$5,370</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12"/>
                <w:szCs w:val="12"/>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color w:val="auto"/>
              </w:rPr>
              <w:t>$14,159</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20"/>
                <w:szCs w:val="20"/>
                <w:color w:val="auto"/>
              </w:rPr>
            </w:pPr>
            <w:r>
              <w:rPr>
                <w:rFonts w:ascii="Arial" w:cs="Arial" w:eastAsia="Arial" w:hAnsi="Arial"/>
                <w:sz w:val="14"/>
                <w:szCs w:val="14"/>
                <w:b w:val="1"/>
                <w:bCs w:val="1"/>
                <w:color w:val="auto"/>
              </w:rPr>
              <w:t>Corporation shareholders</w:t>
            </w:r>
          </w:p>
        </w:tc>
        <w:tc>
          <w:tcPr>
            <w:tcW w:w="11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4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40" w:type="dxa"/>
            <w:vAlign w:val="bottom"/>
          </w:tcPr>
          <w:p>
            <w:pPr>
              <w:jc w:val="right"/>
              <w:ind w:right="228"/>
              <w:spacing w:after="0"/>
              <w:rPr>
                <w:sz w:val="20"/>
                <w:szCs w:val="20"/>
                <w:color w:val="auto"/>
              </w:rPr>
            </w:pPr>
            <w:r>
              <w:rPr>
                <w:rFonts w:ascii="Arial" w:cs="Arial" w:eastAsia="Arial" w:hAnsi="Arial"/>
                <w:sz w:val="14"/>
                <w:szCs w:val="14"/>
                <w:i w:val="1"/>
                <w:iCs w:val="1"/>
                <w:color w:val="auto"/>
              </w:rPr>
              <w:t>(1.1 %)</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6.8 %</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288"/>
              <w:spacing w:after="0"/>
              <w:rPr>
                <w:sz w:val="20"/>
                <w:szCs w:val="20"/>
                <w:color w:val="auto"/>
              </w:rPr>
            </w:pPr>
            <w:r>
              <w:rPr>
                <w:rFonts w:ascii="Arial" w:cs="Arial" w:eastAsia="Arial" w:hAnsi="Arial"/>
                <w:sz w:val="14"/>
                <w:szCs w:val="14"/>
                <w:i w:val="1"/>
                <w:iCs w:val="1"/>
                <w:color w:val="auto"/>
              </w:rPr>
              <w:t>(62.1 %)</w:t>
            </w: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(60.2 %)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04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417</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20" w:type="dxa"/>
            <w:vAlign w:val="bottom"/>
          </w:tcPr>
          <w:p>
            <w:pPr>
              <w:spacing w:after="0"/>
              <w:rPr>
                <w:sz w:val="23"/>
                <w:szCs w:val="23"/>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484</w:t>
            </w:r>
          </w:p>
        </w:tc>
        <w:tc>
          <w:tcPr>
            <w:tcW w:w="54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1,771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0.40</w:t>
            </w:r>
          </w:p>
        </w:tc>
        <w:tc>
          <w:tcPr>
            <w:tcW w:w="120" w:type="dxa"/>
            <w:vAlign w:val="bottom"/>
          </w:tcPr>
          <w:p>
            <w:pPr>
              <w:spacing w:after="0"/>
              <w:rPr>
                <w:sz w:val="23"/>
                <w:szCs w:val="23"/>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1,923</w:t>
            </w:r>
          </w:p>
        </w:tc>
        <w:tc>
          <w:tcPr>
            <w:tcW w:w="560" w:type="dxa"/>
            <w:vAlign w:val="bottom"/>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05"/>
        </w:trPr>
        <w:tc>
          <w:tcPr>
            <w:tcW w:w="4040" w:type="dxa"/>
            <w:vAlign w:val="bottom"/>
          </w:tcPr>
          <w:p>
            <w:pPr>
              <w:spacing w:after="0" w:line="20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80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tcPr>
          <w:p>
            <w:pPr>
              <w:spacing w:after="0"/>
              <w:rPr>
                <w:sz w:val="17"/>
                <w:szCs w:val="17"/>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(37)</w:t>
            </w:r>
          </w:p>
        </w:tc>
        <w:tc>
          <w:tcPr>
            <w:tcW w:w="54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681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0.15</w:t>
            </w:r>
          </w:p>
        </w:tc>
        <w:tc>
          <w:tcPr>
            <w:tcW w:w="12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(1,645)</w:t>
            </w:r>
          </w:p>
        </w:tc>
        <w:tc>
          <w:tcPr>
            <w:tcW w:w="560" w:type="dxa"/>
            <w:vAlign w:val="bottom"/>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tcPr>
          <w:p>
            <w:pPr>
              <w:ind w:left="120"/>
              <w:spacing w:after="0"/>
              <w:rPr>
                <w:sz w:val="20"/>
                <w:szCs w:val="20"/>
                <w:color w:val="auto"/>
              </w:rPr>
            </w:pPr>
            <w:r>
              <w:rPr>
                <w:rFonts w:ascii="Arial" w:cs="Arial" w:eastAsia="Arial" w:hAnsi="Arial"/>
                <w:sz w:val="14"/>
                <w:szCs w:val="14"/>
                <w:color w:val="auto"/>
              </w:rPr>
              <w:t xml:space="preserve">Goodwill and long-lived asset impairments </w:t>
            </w:r>
            <w:r>
              <w:rPr>
                <w:rFonts w:ascii="Arial" w:cs="Arial" w:eastAsia="Arial" w:hAnsi="Arial"/>
                <w:sz w:val="18"/>
                <w:szCs w:val="18"/>
                <w:color w:val="auto"/>
                <w:vertAlign w:val="superscript"/>
              </w:rPr>
              <w:t>(3)</w:t>
            </w:r>
          </w:p>
        </w:tc>
        <w:tc>
          <w:tcPr>
            <w:tcW w:w="11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8,541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1.93</w:t>
            </w:r>
          </w:p>
        </w:tc>
        <w:tc>
          <w:tcPr>
            <w:tcW w:w="120" w:type="dxa"/>
            <w:vAlign w:val="bottom"/>
          </w:tcPr>
          <w:p>
            <w:pPr>
              <w:spacing w:after="0"/>
              <w:rPr>
                <w:sz w:val="18"/>
                <w:szCs w:val="18"/>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(4)</w:t>
            </w:r>
          </w:p>
        </w:tc>
        <w:tc>
          <w:tcPr>
            <w:tcW w:w="11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(286)</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12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498</w:t>
            </w:r>
          </w:p>
        </w:tc>
        <w:tc>
          <w:tcPr>
            <w:tcW w:w="56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18"/>
                <w:szCs w:val="18"/>
                <w:color w:val="auto"/>
                <w:vertAlign w:val="superscript"/>
              </w:rPr>
              <w:t>(5)</w:t>
            </w:r>
          </w:p>
        </w:tc>
        <w:tc>
          <w:tcPr>
            <w:tcW w:w="11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95</w:t>
            </w: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154</w:t>
            </w:r>
          </w:p>
        </w:tc>
        <w:tc>
          <w:tcPr>
            <w:tcW w:w="56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18"/>
                <w:szCs w:val="18"/>
                <w:color w:val="auto"/>
                <w:vertAlign w:val="superscript"/>
              </w:rPr>
              <w:t>(6)</w:t>
            </w:r>
          </w:p>
        </w:tc>
        <w:tc>
          <w:tcPr>
            <w:tcW w:w="11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(64)</w:t>
            </w:r>
          </w:p>
        </w:tc>
        <w:tc>
          <w:tcPr>
            <w:tcW w:w="54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69</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(64)</w:t>
            </w:r>
          </w:p>
        </w:tc>
        <w:tc>
          <w:tcPr>
            <w:tcW w:w="56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1"/>
        </w:trPr>
        <w:tc>
          <w:tcPr>
            <w:tcW w:w="4040" w:type="dxa"/>
            <w:vAlign w:val="bottom"/>
          </w:tcPr>
          <w:p>
            <w:pPr>
              <w:ind w:left="120"/>
              <w:spacing w:after="0" w:line="201"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(7)</w:t>
            </w:r>
          </w:p>
        </w:tc>
        <w:tc>
          <w:tcPr>
            <w:tcW w:w="11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20</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404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$3,520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$0.82</w:t>
            </w:r>
          </w:p>
        </w:tc>
        <w:tc>
          <w:tcPr>
            <w:tcW w:w="12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$3,534</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$16,147</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w:t>
            </w:r>
          </w:p>
        </w:tc>
        <w:tc>
          <w:tcPr>
            <w:tcW w:w="120" w:type="dxa"/>
            <w:vAlign w:val="bottom"/>
          </w:tcPr>
          <w:p>
            <w:pPr>
              <w:spacing w:after="0"/>
              <w:rPr>
                <w:sz w:val="24"/>
                <w:szCs w:val="24"/>
                <w:color w:val="auto"/>
              </w:rPr>
            </w:pPr>
          </w:p>
        </w:tc>
        <w:tc>
          <w:tcPr>
            <w:tcW w:w="10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$15,045</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40" w:type="dxa"/>
            <w:vAlign w:val="bottom"/>
          </w:tcPr>
          <w:p>
            <w:pPr>
              <w:jc w:val="right"/>
              <w:ind w:right="228"/>
              <w:spacing w:after="0"/>
              <w:rPr>
                <w:sz w:val="20"/>
                <w:szCs w:val="20"/>
                <w:color w:val="auto"/>
              </w:rPr>
            </w:pPr>
            <w:r>
              <w:rPr>
                <w:rFonts w:ascii="Arial" w:cs="Arial" w:eastAsia="Arial" w:hAnsi="Arial"/>
                <w:sz w:val="14"/>
                <w:szCs w:val="14"/>
                <w:i w:val="1"/>
                <w:iCs w:val="1"/>
                <w:color w:val="auto"/>
              </w:rPr>
              <w:t>(0.4 %)</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6.5 %</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28"/>
              <w:spacing w:after="0"/>
              <w:rPr>
                <w:sz w:val="20"/>
                <w:szCs w:val="20"/>
                <w:color w:val="auto"/>
              </w:rPr>
            </w:pPr>
            <w:r>
              <w:rPr>
                <w:rFonts w:ascii="Arial" w:cs="Arial" w:eastAsia="Arial" w:hAnsi="Arial"/>
                <w:sz w:val="14"/>
                <w:szCs w:val="14"/>
                <w:i w:val="1"/>
                <w:iCs w:val="1"/>
                <w:color w:val="auto"/>
              </w:rPr>
              <w:t>7.3 %</w:t>
            </w: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12.7 %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260" w:right="40" w:hanging="252"/>
        <w:spacing w:after="0" w:line="251"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37"/>
              <w:spacing w:after="0"/>
              <w:rPr>
                <w:sz w:val="20"/>
                <w:szCs w:val="20"/>
                <w:color w:val="auto"/>
              </w:rPr>
            </w:pPr>
            <w:r>
              <w:rPr>
                <w:rFonts w:ascii="Arial" w:cs="Arial" w:eastAsia="Arial" w:hAnsi="Arial"/>
                <w:sz w:val="13"/>
                <w:szCs w:val="13"/>
                <w:color w:val="auto"/>
              </w:rPr>
              <w:t>Twelve Months Ended</w:t>
            </w:r>
          </w:p>
        </w:tc>
      </w:tr>
      <w:tr>
        <w:trPr>
          <w:trHeight w:val="166"/>
        </w:trPr>
        <w:tc>
          <w:tcPr>
            <w:tcW w:w="698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right"/>
              <w:ind w:right="457"/>
              <w:spacing w:after="0"/>
              <w:rPr>
                <w:sz w:val="20"/>
                <w:szCs w:val="20"/>
                <w:color w:val="auto"/>
              </w:rPr>
            </w:pPr>
            <w:r>
              <w:rPr>
                <w:rFonts w:ascii="Arial" w:cs="Arial" w:eastAsia="Arial" w:hAnsi="Arial"/>
                <w:sz w:val="13"/>
                <w:szCs w:val="13"/>
                <w:color w:val="auto"/>
              </w:rPr>
              <w:t>December 31,</w:t>
            </w:r>
          </w:p>
        </w:tc>
      </w:tr>
      <w:tr>
        <w:trPr>
          <w:trHeight w:val="192"/>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r>
      <w:tr>
        <w:trPr>
          <w:trHeight w:val="171"/>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$595</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$2,197</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$2,376</w:t>
            </w:r>
          </w:p>
        </w:tc>
      </w:tr>
      <w:tr>
        <w:trPr>
          <w:trHeight w:val="174"/>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$1,923</w:t>
            </w:r>
          </w:p>
        </w:tc>
      </w:tr>
      <w:tr>
        <w:trPr>
          <w:trHeight w:val="21"/>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37"/>
              <w:spacing w:after="0"/>
              <w:rPr>
                <w:sz w:val="20"/>
                <w:szCs w:val="20"/>
                <w:color w:val="auto"/>
              </w:rPr>
            </w:pPr>
            <w:r>
              <w:rPr>
                <w:rFonts w:ascii="Arial" w:cs="Arial" w:eastAsia="Arial" w:hAnsi="Arial"/>
                <w:sz w:val="13"/>
                <w:szCs w:val="13"/>
                <w:color w:val="auto"/>
              </w:rPr>
              <w:t>Twelve Months Ended</w:t>
            </w:r>
          </w:p>
        </w:tc>
      </w:tr>
      <w:tr>
        <w:trPr>
          <w:trHeight w:val="166"/>
        </w:trPr>
        <w:tc>
          <w:tcPr>
            <w:tcW w:w="698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right"/>
              <w:ind w:right="457"/>
              <w:spacing w:after="0"/>
              <w:rPr>
                <w:sz w:val="20"/>
                <w:szCs w:val="20"/>
                <w:color w:val="auto"/>
              </w:rPr>
            </w:pPr>
            <w:r>
              <w:rPr>
                <w:rFonts w:ascii="Arial" w:cs="Arial" w:eastAsia="Arial" w:hAnsi="Arial"/>
                <w:sz w:val="13"/>
                <w:szCs w:val="13"/>
                <w:color w:val="auto"/>
              </w:rPr>
              <w:t>December 31,</w:t>
            </w:r>
          </w:p>
        </w:tc>
      </w:tr>
      <w:tr>
        <w:trPr>
          <w:trHeight w:val="192"/>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r>
      <w:tr>
        <w:trPr>
          <w:trHeight w:val="166"/>
        </w:trPr>
        <w:tc>
          <w:tcPr>
            <w:tcW w:w="698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$113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($339)</w:t>
            </w:r>
          </w:p>
        </w:tc>
      </w:tr>
      <w:tr>
        <w:trPr>
          <w:trHeight w:val="179"/>
        </w:trPr>
        <w:tc>
          <w:tcPr>
            <w:tcW w:w="698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(1,830)</w:t>
            </w:r>
          </w:p>
        </w:tc>
      </w:tr>
      <w:tr>
        <w:trPr>
          <w:trHeight w:val="166"/>
        </w:trPr>
        <w:tc>
          <w:tcPr>
            <w:tcW w:w="698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106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902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(2,169)</w:t>
            </w:r>
          </w:p>
        </w:tc>
      </w:tr>
      <w:tr>
        <w:trPr>
          <w:trHeight w:val="185"/>
        </w:trPr>
        <w:tc>
          <w:tcPr>
            <w:tcW w:w="698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($1,645)</w:t>
            </w:r>
          </w:p>
        </w:tc>
      </w:tr>
      <w:tr>
        <w:trPr>
          <w:trHeight w:val="21"/>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60" w:right="160" w:hanging="252"/>
        <w:spacing w:after="0" w:line="264" w:lineRule="auto"/>
        <w:tabs>
          <w:tab w:leader="none" w:pos="252" w:val="left"/>
        </w:tabs>
        <w:numPr>
          <w:ilvl w:val="0"/>
          <w:numId w:val="9"/>
        </w:numPr>
        <w:rPr>
          <w:rFonts w:ascii="Arial" w:cs="Arial" w:eastAsia="Arial" w:hAnsi="Arial"/>
          <w:sz w:val="13"/>
          <w:szCs w:val="13"/>
          <w:color w:val="auto"/>
        </w:rPr>
      </w:pPr>
      <w:r>
        <w:rPr>
          <w:rFonts w:ascii="Arial" w:cs="Arial" w:eastAsia="Arial" w:hAnsi="Arial"/>
          <w:sz w:val="13"/>
          <w:szCs w:val="13"/>
          <w:color w:val="auto"/>
        </w:rPr>
        <w:t>Full year 2022 net income attributable to Comcast Corporation includes a loss of $8.6 billion related to goodwill and long-lived asset impairments in our Sky segment. The goodwill impairment was primarily not deductible for tax purposes.</w:t>
      </w:r>
    </w:p>
    <w:p>
      <w:pPr>
        <w:spacing w:after="0" w:line="211" w:lineRule="exact"/>
        <w:rPr>
          <w:rFonts w:ascii="Arial" w:cs="Arial" w:eastAsia="Arial" w:hAnsi="Arial"/>
          <w:sz w:val="13"/>
          <w:szCs w:val="13"/>
          <w:color w:val="auto"/>
        </w:rPr>
      </w:pPr>
    </w:p>
    <w:p>
      <w:pPr>
        <w:ind w:left="260" w:right="460" w:hanging="252"/>
        <w:spacing w:after="0" w:line="264" w:lineRule="auto"/>
        <w:tabs>
          <w:tab w:leader="none" w:pos="252" w:val="left"/>
        </w:tabs>
        <w:numPr>
          <w:ilvl w:val="0"/>
          <w:numId w:val="9"/>
        </w:numPr>
        <w:rPr>
          <w:rFonts w:ascii="Arial" w:cs="Arial" w:eastAsia="Arial" w:hAnsi="Arial"/>
          <w:sz w:val="13"/>
          <w:szCs w:val="13"/>
          <w:color w:val="auto"/>
        </w:rPr>
      </w:pPr>
      <w:r>
        <w:rPr>
          <w:rFonts w:ascii="Arial" w:cs="Arial" w:eastAsia="Arial" w:hAnsi="Arial"/>
          <w:sz w:val="13"/>
          <w:szCs w:val="13"/>
          <w:color w:val="auto"/>
        </w:rPr>
        <w:t>Full year 2022 net income attributable to Comcast Corporation includes $286 million of income tax benefit related to state tax law changes. Full year 2021 net income attributable to Comcast Corporation includes $498 million of income tax expense adjustments related to UK tax law changes.</w:t>
      </w:r>
    </w:p>
    <w:p>
      <w:pPr>
        <w:spacing w:after="0" w:line="211" w:lineRule="exact"/>
        <w:rPr>
          <w:rFonts w:ascii="Arial" w:cs="Arial" w:eastAsia="Arial" w:hAnsi="Arial"/>
          <w:sz w:val="13"/>
          <w:szCs w:val="13"/>
          <w:color w:val="auto"/>
        </w:rPr>
      </w:pPr>
    </w:p>
    <w:p>
      <w:pPr>
        <w:ind w:left="260" w:right="200" w:hanging="252"/>
        <w:spacing w:after="0" w:line="286" w:lineRule="auto"/>
        <w:tabs>
          <w:tab w:leader="none" w:pos="252" w:val="left"/>
        </w:tabs>
        <w:numPr>
          <w:ilvl w:val="0"/>
          <w:numId w:val="9"/>
        </w:numPr>
        <w:rPr>
          <w:rFonts w:ascii="Arial" w:cs="Arial" w:eastAsia="Arial" w:hAnsi="Arial"/>
          <w:sz w:val="13"/>
          <w:szCs w:val="13"/>
          <w:color w:val="auto"/>
        </w:rPr>
      </w:pPr>
      <w:r>
        <w:rPr>
          <w:rFonts w:ascii="Arial" w:cs="Arial" w:eastAsia="Arial" w:hAnsi="Arial"/>
          <w:sz w:val="13"/>
          <w:szCs w:val="13"/>
          <w:color w:val="auto"/>
        </w:rPr>
        <w:t>4th quarter and full year 2021 net income attributable to Comcast Corporation includes $126 million and $204 million of interest expense, $95 million and $154 million net of tax, resulting from the early redemption of debt.</w:t>
      </w:r>
    </w:p>
    <w:p>
      <w:pPr>
        <w:spacing w:after="0" w:line="197" w:lineRule="exact"/>
        <w:rPr>
          <w:rFonts w:ascii="Arial" w:cs="Arial" w:eastAsia="Arial" w:hAnsi="Arial"/>
          <w:sz w:val="13"/>
          <w:szCs w:val="13"/>
          <w:color w:val="auto"/>
        </w:rPr>
      </w:pPr>
    </w:p>
    <w:p>
      <w:pPr>
        <w:ind w:left="260" w:right="60" w:hanging="252"/>
        <w:spacing w:after="0" w:line="251" w:lineRule="auto"/>
        <w:tabs>
          <w:tab w:leader="none" w:pos="252" w:val="left"/>
        </w:tabs>
        <w:numPr>
          <w:ilvl w:val="0"/>
          <w:numId w:val="9"/>
        </w:numPr>
        <w:rPr>
          <w:rFonts w:ascii="Arial" w:cs="Arial" w:eastAsia="Arial" w:hAnsi="Arial"/>
          <w:sz w:val="13"/>
          <w:szCs w:val="13"/>
          <w:color w:val="auto"/>
        </w:rPr>
      </w:pPr>
      <w:r>
        <w:rPr>
          <w:rFonts w:ascii="Arial" w:cs="Arial" w:eastAsia="Arial" w:hAnsi="Arial"/>
          <w:sz w:val="13"/>
          <w:szCs w:val="13"/>
          <w:color w:val="auto"/>
        </w:rPr>
        <w:t>Full year 2022 net income attributable to Comcast Corporation includes a loss of $96 million in other income, related to an impairment of an equity method investment, and includes a gain of $(53) million in amortization expense, $(26) million net of tax, related to the sale of a business. 4th quarter and full year 2021 net income attributable to Comcast Corporation includes a gain of $84 million in other income related to the sale of an equity method investment.</w:t>
      </w:r>
    </w:p>
    <w:p>
      <w:pPr>
        <w:spacing w:after="0" w:line="219" w:lineRule="exact"/>
        <w:rPr>
          <w:rFonts w:ascii="Arial" w:cs="Arial" w:eastAsia="Arial" w:hAnsi="Arial"/>
          <w:sz w:val="13"/>
          <w:szCs w:val="13"/>
          <w:color w:val="auto"/>
        </w:rPr>
      </w:pPr>
    </w:p>
    <w:p>
      <w:pPr>
        <w:ind w:left="240" w:hanging="232"/>
        <w:spacing w:after="0"/>
        <w:tabs>
          <w:tab w:leader="none" w:pos="240" w:val="left"/>
        </w:tabs>
        <w:numPr>
          <w:ilvl w:val="0"/>
          <w:numId w:val="9"/>
        </w:numPr>
        <w:rPr>
          <w:rFonts w:ascii="Arial" w:cs="Arial" w:eastAsia="Arial" w:hAnsi="Arial"/>
          <w:sz w:val="13"/>
          <w:szCs w:val="13"/>
          <w:color w:val="auto"/>
        </w:rPr>
      </w:pPr>
      <w:r>
        <w:rPr>
          <w:rFonts w:ascii="Arial" w:cs="Arial" w:eastAsia="Arial" w:hAnsi="Arial"/>
          <w:sz w:val="13"/>
          <w:szCs w:val="13"/>
          <w:color w:val="auto"/>
        </w:rPr>
        <w:t>Full year 2021 net income attributable to Comcast Corporation includes $24 million of other operating and administrative expenses, $20 million net of tax, related to the Sky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858" w:right="339" w:bottom="1440" w:gutter="0" w:footer="0" w:header="0"/>
        </w:sectPr>
      </w:pPr>
    </w:p>
    <w:bookmarkStart w:id="18" w:name="page19"/>
    <w:bookmarkEnd w:id="18"/>
    <w:p>
      <w:pPr>
        <w:ind w:left="52"/>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3" w:lineRule="exact"/>
        <w:rPr>
          <w:sz w:val="20"/>
          <w:szCs w:val="20"/>
          <w:color w:val="auto"/>
        </w:rPr>
      </w:pPr>
    </w:p>
    <w:p>
      <w:pPr>
        <w:ind w:left="52"/>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23495</wp:posOffset>
            </wp:positionV>
            <wp:extent cx="7089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4" w:lineRule="exact"/>
        <w:rPr>
          <w:sz w:val="20"/>
          <w:szCs w:val="20"/>
          <w:color w:val="auto"/>
        </w:rPr>
      </w:pPr>
    </w:p>
    <w:tbl>
      <w:tblPr>
        <w:tblLayout w:type="fixed"/>
        <w:tblInd w:w="192" w:type="dxa"/>
        <w:tblCellMar>
          <w:top w:w="0" w:type="dxa"/>
          <w:left w:w="0" w:type="dxa"/>
          <w:bottom w:w="0" w:type="dxa"/>
          <w:right w:w="0" w:type="dxa"/>
        </w:tblCellMar>
      </w:tblPr>
      <w:tr>
        <w:trPr>
          <w:trHeight w:val="310"/>
        </w:trPr>
        <w:tc>
          <w:tcPr>
            <w:tcW w:w="4340" w:type="dxa"/>
            <w:vAlign w:val="bottom"/>
          </w:tcPr>
          <w:p>
            <w:pPr>
              <w:spacing w:after="0"/>
              <w:rPr>
                <w:sz w:val="24"/>
                <w:szCs w:val="24"/>
                <w:color w:val="auto"/>
              </w:rPr>
            </w:pPr>
          </w:p>
        </w:tc>
        <w:tc>
          <w:tcPr>
            <w:tcW w:w="326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316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r>
      <w:tr>
        <w:trPr>
          <w:trHeight w:val="205"/>
        </w:trPr>
        <w:tc>
          <w:tcPr>
            <w:tcW w:w="4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7"/>
                <w:szCs w:val="17"/>
                <w:color w:val="auto"/>
              </w:rPr>
            </w:pPr>
          </w:p>
        </w:tc>
      </w:tr>
      <w:tr>
        <w:trPr>
          <w:trHeight w:val="227"/>
        </w:trPr>
        <w:tc>
          <w:tcPr>
            <w:tcW w:w="434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860" w:type="dxa"/>
            <w:vAlign w:val="bottom"/>
          </w:tcPr>
          <w:p>
            <w:pPr>
              <w:jc w:val="right"/>
              <w:ind w:right="119"/>
              <w:spacing w:after="0" w:line="227"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9"/>
                <w:szCs w:val="19"/>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860" w:type="dxa"/>
            <w:vAlign w:val="bottom"/>
          </w:tcPr>
          <w:p>
            <w:pPr>
              <w:jc w:val="right"/>
              <w:ind w:right="119"/>
              <w:spacing w:after="0" w:line="227"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303"/>
        </w:trPr>
        <w:tc>
          <w:tcPr>
            <w:tcW w:w="4340" w:type="dxa"/>
            <w:vAlign w:val="bottom"/>
          </w:tcPr>
          <w:p>
            <w:pPr>
              <w:spacing w:after="0"/>
              <w:rPr>
                <w:sz w:val="20"/>
                <w:szCs w:val="20"/>
                <w:color w:val="auto"/>
              </w:rPr>
            </w:pPr>
            <w:r>
              <w:rPr>
                <w:rFonts w:ascii="Arial" w:cs="Arial" w:eastAsia="Arial" w:hAnsi="Arial"/>
                <w:sz w:val="16"/>
                <w:szCs w:val="16"/>
                <w:color w:val="auto"/>
              </w:rPr>
              <w:t>Direct-to-Consumer</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$3,547</w:t>
            </w:r>
          </w:p>
        </w:tc>
        <w:tc>
          <w:tcPr>
            <w:tcW w:w="10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$3,542</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$14,621</w:t>
            </w:r>
          </w:p>
        </w:tc>
        <w:tc>
          <w:tcPr>
            <w:tcW w:w="12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$14,739</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(0.8 %)</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Content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304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1,138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(5.5 %)</w:t>
            </w:r>
          </w:p>
        </w:tc>
      </w:tr>
      <w:tr>
        <w:trPr>
          <w:trHeight w:val="217"/>
        </w:trPr>
        <w:tc>
          <w:tcPr>
            <w:tcW w:w="4340" w:type="dxa"/>
            <w:vAlign w:val="bottom"/>
          </w:tcPr>
          <w:p>
            <w:pPr>
              <w:spacing w:after="0"/>
              <w:rPr>
                <w:sz w:val="20"/>
                <w:szCs w:val="20"/>
                <w:color w:val="auto"/>
              </w:rPr>
            </w:pPr>
            <w:r>
              <w:rPr>
                <w:rFonts w:ascii="Arial" w:cs="Arial" w:eastAsia="Arial" w:hAnsi="Arial"/>
                <w:sz w:val="16"/>
                <w:szCs w:val="16"/>
                <w:color w:val="auto"/>
              </w:rPr>
              <w:t>Advertising</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2,187</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09"/>
        </w:trPr>
        <w:tc>
          <w:tcPr>
            <w:tcW w:w="43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$4,416</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$17,946</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
        </w:trPr>
        <w:tc>
          <w:tcPr>
            <w:tcW w:w="4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$4,076</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0.6 %</w:t>
            </w: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$15,420</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70"/>
        </w:trPr>
        <w:tc>
          <w:tcPr>
            <w:tcW w:w="43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(15.1 %)</w:t>
            </w:r>
          </w:p>
        </w:tc>
        <w:tc>
          <w:tcPr>
            <w:tcW w:w="1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$2,526</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20.3 %</w:t>
            </w:r>
          </w:p>
        </w:tc>
      </w:tr>
      <w:tr>
        <w:trPr>
          <w:trHeight w:val="48"/>
        </w:trPr>
        <w:tc>
          <w:tcPr>
            <w:tcW w:w="4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r>
    </w:tbl>
    <w:p>
      <w:pPr>
        <w:spacing w:after="0" w:line="306" w:lineRule="exact"/>
        <w:rPr>
          <w:sz w:val="20"/>
          <w:szCs w:val="20"/>
          <w:color w:val="auto"/>
        </w:rPr>
      </w:pPr>
    </w:p>
    <w:p>
      <w:pPr>
        <w:ind w:left="252" w:hanging="252"/>
        <w:spacing w:after="0" w:line="286" w:lineRule="auto"/>
        <w:tabs>
          <w:tab w:leader="none" w:pos="244" w:val="left"/>
        </w:tabs>
        <w:numPr>
          <w:ilvl w:val="0"/>
          <w:numId w:val="10"/>
        </w:numPr>
        <w:rPr>
          <w:rFonts w:ascii="Arial" w:cs="Arial" w:eastAsia="Arial" w:hAnsi="Arial"/>
          <w:sz w:val="13"/>
          <w:szCs w:val="13"/>
          <w:color w:val="auto"/>
        </w:rPr>
      </w:pPr>
      <w:r>
        <w:rPr>
          <w:rFonts w:ascii="Arial" w:cs="Arial" w:eastAsia="Arial" w:hAnsi="Arial"/>
          <w:sz w:val="13"/>
          <w:szCs w:val="13"/>
          <w:color w:val="auto"/>
        </w:rPr>
        <w:t>2021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12"/>
          </w:cols>
          <w:pgMar w:left="328" w:top="1006" w:right="35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-97790</wp:posOffset>
            </wp:positionV>
            <wp:extent cx="1054100"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4100" cy="454660"/>
                    </a:xfrm>
                    <a:prstGeom prst="rect">
                      <a:avLst/>
                    </a:prstGeom>
                    <a:noFill/>
                  </pic:spPr>
                </pic:pic>
              </a:graphicData>
            </a:graphic>
          </wp:anchor>
        </w:drawing>
      </w:r>
    </w:p>
    <w:p>
      <w:pPr>
        <w:spacing w:after="0" w:line="392" w:lineRule="exact"/>
        <w:rPr>
          <w:sz w:val="20"/>
          <w:szCs w:val="20"/>
          <w:color w:val="auto"/>
        </w:rPr>
      </w:pPr>
    </w:p>
    <w:p>
      <w:pPr>
        <w:ind w:right="2380"/>
        <w:spacing w:after="0" w:line="252" w:lineRule="auto"/>
        <w:rPr>
          <w:sz w:val="20"/>
          <w:szCs w:val="20"/>
          <w:color w:val="auto"/>
        </w:rPr>
      </w:pPr>
      <w:r>
        <w:rPr>
          <w:rFonts w:ascii="Arial" w:cs="Arial" w:eastAsia="Arial" w:hAnsi="Arial"/>
          <w:sz w:val="19"/>
          <w:szCs w:val="19"/>
          <w:b w:val="1"/>
          <w:bCs w:val="1"/>
          <w:color w:val="828282"/>
        </w:rPr>
        <w:t>Reconciliation of Media Revenue Excluding Olympics, 2022 Super Bowl and 2022 FIFA World Cup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106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3460" w:type="dxa"/>
            <w:vAlign w:val="bottom"/>
            <w:tcBorders>
              <w:right w:val="single" w:sz="8" w:color="auto"/>
            </w:tcBorders>
            <w:gridSpan w:val="7"/>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2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9"/>
              </w:rPr>
              <w:t>Twelve Months Ended</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9"/>
              </w:rPr>
              <w:t>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20"/>
                <w:szCs w:val="20"/>
                <w:color w:val="auto"/>
              </w:rPr>
            </w:pPr>
            <w:r>
              <w:rPr>
                <w:rFonts w:ascii="Arial" w:cs="Arial" w:eastAsia="Arial" w:hAnsi="Arial"/>
                <w:sz w:val="16"/>
                <w:szCs w:val="16"/>
                <w:color w:val="auto"/>
              </w:rPr>
              <w:t>(in millions)</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Growth %</w:t>
            </w:r>
          </w:p>
        </w:tc>
        <w:tc>
          <w:tcPr>
            <w:tcW w:w="12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Growth %</w:t>
            </w:r>
          </w:p>
        </w:tc>
        <w:tc>
          <w:tcPr>
            <w:tcW w:w="0" w:type="dxa"/>
            <w:vAlign w:val="bottom"/>
          </w:tcPr>
          <w:p>
            <w:pPr>
              <w:spacing w:after="0"/>
              <w:rPr>
                <w:sz w:val="1"/>
                <w:szCs w:val="1"/>
                <w:color w:val="auto"/>
              </w:rPr>
            </w:pPr>
          </w:p>
        </w:tc>
      </w:tr>
      <w:tr>
        <w:trPr>
          <w:trHeight w:val="310"/>
        </w:trPr>
        <w:tc>
          <w:tcPr>
            <w:tcW w:w="4360" w:type="dxa"/>
            <w:vAlign w:val="bottom"/>
          </w:tcPr>
          <w:p>
            <w:pPr>
              <w:spacing w:after="0"/>
              <w:rPr>
                <w:sz w:val="20"/>
                <w:szCs w:val="20"/>
                <w:color w:val="auto"/>
              </w:rPr>
            </w:pPr>
            <w:r>
              <w:rPr>
                <w:rFonts w:ascii="Arial" w:cs="Arial" w:eastAsia="Arial" w:hAnsi="Arial"/>
                <w:sz w:val="16"/>
                <w:szCs w:val="16"/>
                <w:color w:val="auto"/>
              </w:rPr>
              <w:t>Revenue</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$5,979</w:t>
            </w:r>
          </w:p>
        </w:tc>
        <w:tc>
          <w:tcPr>
            <w:tcW w:w="8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$5,826</w:t>
            </w: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$23,406</w:t>
            </w:r>
          </w:p>
        </w:tc>
        <w:tc>
          <w:tcPr>
            <w:tcW w:w="12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$22,780</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0"/>
                <w:szCs w:val="20"/>
                <w:color w:val="auto"/>
              </w:rPr>
            </w:pPr>
            <w:r>
              <w:rPr>
                <w:rFonts w:ascii="Arial" w:cs="Arial" w:eastAsia="Arial" w:hAnsi="Arial"/>
                <w:sz w:val="16"/>
                <w:szCs w:val="16"/>
                <w:color w:val="auto"/>
              </w:rPr>
              <w:t>Olympics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963</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2022 Super Bowl</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519</w:t>
            </w: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20"/>
                <w:szCs w:val="20"/>
                <w:color w:val="auto"/>
              </w:rPr>
            </w:pPr>
            <w:r>
              <w:rPr>
                <w:rFonts w:ascii="Arial" w:cs="Arial" w:eastAsia="Arial" w:hAnsi="Arial"/>
                <w:sz w:val="16"/>
                <w:szCs w:val="16"/>
                <w:color w:val="auto"/>
              </w:rPr>
              <w:t>2022 FIFA World Cup</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8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20"/>
                <w:szCs w:val="20"/>
                <w:color w:val="auto"/>
              </w:rPr>
            </w:pPr>
            <w:r>
              <w:rPr>
                <w:rFonts w:ascii="Arial" w:cs="Arial" w:eastAsia="Arial" w:hAnsi="Arial"/>
                <w:sz w:val="16"/>
                <w:szCs w:val="16"/>
                <w:color w:val="auto"/>
              </w:rPr>
              <w:t>Revenue excluding Olympics, 2022 Super Bowl and 2022</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$5,716</w:t>
            </w:r>
          </w:p>
        </w:tc>
        <w:tc>
          <w:tcPr>
            <w:tcW w:w="80" w:type="dxa"/>
            <w:vAlign w:val="bottom"/>
          </w:tcPr>
          <w:p>
            <w:pPr>
              <w:spacing w:after="0"/>
              <w:rPr>
                <w:sz w:val="17"/>
                <w:szCs w:val="17"/>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$5,826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(1.9 %)</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$21,662</w:t>
            </w:r>
          </w:p>
        </w:tc>
        <w:tc>
          <w:tcPr>
            <w:tcW w:w="120" w:type="dxa"/>
            <w:vAlign w:val="bottom"/>
          </w:tcPr>
          <w:p>
            <w:pPr>
              <w:spacing w:after="0"/>
              <w:rPr>
                <w:sz w:val="17"/>
                <w:szCs w:val="17"/>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Arial" w:cs="Arial" w:eastAsia="Arial" w:hAnsi="Arial"/>
                <w:sz w:val="16"/>
                <w:szCs w:val="16"/>
                <w:color w:val="auto"/>
              </w:rPr>
              <w:t>FIFA World Cup</w:t>
            </w: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140"/>
          </w:cols>
          <w:pgMar w:left="340" w:top="979" w:right="419" w:bottom="1440" w:gutter="0" w:footer="0" w:header="0"/>
        </w:sectPr>
      </w:pPr>
    </w:p>
    <w:bookmarkStart w:id="20" w:name="page21"/>
    <w:bookmarkEnd w:id="20"/>
    <w:p>
      <w:pPr>
        <w:ind w:left="20"/>
        <w:spacing w:after="0"/>
        <w:rPr>
          <w:sz w:val="20"/>
          <w:szCs w:val="20"/>
          <w:color w:val="auto"/>
        </w:rPr>
      </w:pPr>
      <w:r>
        <w:rPr>
          <w:rFonts w:ascii="Arial" w:cs="Arial" w:eastAsia="Arial" w:hAnsi="Arial"/>
          <w:sz w:val="25"/>
          <w:szCs w:val="25"/>
          <w:b w:val="1"/>
          <w:bCs w:val="1"/>
          <w:color w:val="828282"/>
        </w:rPr>
        <w:t>TABLE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-123825</wp:posOffset>
            </wp:positionV>
            <wp:extent cx="1054100" cy="45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Consolidated Adjusted EBITDA Excluding Higher Severance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06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Growth %</w:t>
            </w:r>
          </w:p>
        </w:tc>
        <w:tc>
          <w:tcPr>
            <w:tcW w:w="0" w:type="dxa"/>
            <w:vAlign w:val="bottom"/>
          </w:tcPr>
          <w:p>
            <w:pPr>
              <w:spacing w:after="0"/>
              <w:rPr>
                <w:sz w:val="1"/>
                <w:szCs w:val="1"/>
                <w:color w:val="auto"/>
              </w:rPr>
            </w:pPr>
          </w:p>
        </w:tc>
      </w:tr>
      <w:tr>
        <w:trPr>
          <w:trHeight w:val="290"/>
        </w:trPr>
        <w:tc>
          <w:tcPr>
            <w:tcW w:w="7560" w:type="dxa"/>
            <w:vAlign w:val="bottom"/>
          </w:tcPr>
          <w:p>
            <w:pPr>
              <w:spacing w:after="0"/>
              <w:rPr>
                <w:sz w:val="20"/>
                <w:szCs w:val="20"/>
                <w:color w:val="auto"/>
              </w:rPr>
            </w:pPr>
            <w:r>
              <w:rPr>
                <w:rFonts w:ascii="Arial" w:cs="Arial" w:eastAsia="Arial" w:hAnsi="Arial"/>
                <w:sz w:val="16"/>
                <w:szCs w:val="16"/>
                <w:color w:val="auto"/>
              </w:rPr>
              <w:t>Adjusted EBITDA</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$8,000</w:t>
            </w:r>
          </w:p>
        </w:tc>
        <w:tc>
          <w:tcPr>
            <w:tcW w:w="1340" w:type="dxa"/>
            <w:vAlign w:val="bottom"/>
            <w:gridSpan w:val="3"/>
          </w:tcPr>
          <w:p>
            <w:pPr>
              <w:jc w:val="right"/>
              <w:ind w:right="139"/>
              <w:spacing w:after="0"/>
              <w:rPr>
                <w:sz w:val="20"/>
                <w:szCs w:val="20"/>
                <w:color w:val="auto"/>
              </w:rPr>
            </w:pPr>
            <w:r>
              <w:rPr>
                <w:rFonts w:ascii="Arial" w:cs="Arial" w:eastAsia="Arial" w:hAnsi="Arial"/>
                <w:sz w:val="16"/>
                <w:szCs w:val="16"/>
                <w:color w:val="auto"/>
              </w:rPr>
              <w:t>$8,411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6"/>
                <w:szCs w:val="16"/>
                <w:color w:val="auto"/>
              </w:rPr>
              <w:t>Severance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560" w:type="dxa"/>
            <w:vAlign w:val="bottom"/>
            <w:vMerge w:val="restart"/>
          </w:tcPr>
          <w:p>
            <w:pPr>
              <w:spacing w:after="0"/>
              <w:rPr>
                <w:sz w:val="20"/>
                <w:szCs w:val="20"/>
                <w:color w:val="auto"/>
              </w:rPr>
            </w:pPr>
            <w:r>
              <w:rPr>
                <w:rFonts w:ascii="Arial" w:cs="Arial" w:eastAsia="Arial" w:hAnsi="Arial"/>
                <w:sz w:val="16"/>
                <w:szCs w:val="16"/>
                <w:color w:val="auto"/>
              </w:rPr>
              <w:t>Adjusted EBITDA excluding Higher Severance</w:t>
            </w:r>
          </w:p>
        </w:tc>
        <w:tc>
          <w:tcPr>
            <w:tcW w:w="960" w:type="dxa"/>
            <w:vAlign w:val="bottom"/>
          </w:tcPr>
          <w:p>
            <w:pPr>
              <w:spacing w:after="0"/>
              <w:rPr>
                <w:sz w:val="4"/>
                <w:szCs w:val="4"/>
                <w:color w:val="auto"/>
              </w:rPr>
            </w:pPr>
          </w:p>
        </w:tc>
        <w:tc>
          <w:tcPr>
            <w:tcW w:w="134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$8,541</w:t>
            </w:r>
          </w:p>
        </w:tc>
        <w:tc>
          <w:tcPr>
            <w:tcW w:w="1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$8,411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right="640"/>
        <w:spacing w:after="0" w:line="252" w:lineRule="auto"/>
        <w:rPr>
          <w:sz w:val="20"/>
          <w:szCs w:val="20"/>
          <w:color w:val="auto"/>
        </w:rPr>
      </w:pPr>
      <w:r>
        <w:rPr>
          <w:rFonts w:ascii="Arial" w:cs="Arial" w:eastAsia="Arial" w:hAnsi="Arial"/>
          <w:sz w:val="19"/>
          <w:szCs w:val="19"/>
          <w:b w:val="1"/>
          <w:bCs w:val="1"/>
          <w:color w:val="828282"/>
        </w:rPr>
        <w:t>Reconciliation of Cable Communications Adjusted EBITDA and Adjusted EBITDA Margin Excluding Higher Severance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680" w:type="dxa"/>
            <w:vAlign w:val="bottom"/>
            <w:gridSpan w:val="5"/>
          </w:tcPr>
          <w:p>
            <w:pPr>
              <w:jc w:val="center"/>
              <w:ind w:left="899"/>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Arial" w:cs="Arial" w:eastAsia="Arial" w:hAnsi="Arial"/>
                <w:sz w:val="16"/>
                <w:szCs w:val="16"/>
                <w:color w:val="auto"/>
              </w:rPr>
              <w:t>(in millions)</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Growth %</w:t>
            </w:r>
          </w:p>
        </w:tc>
        <w:tc>
          <w:tcPr>
            <w:tcW w:w="0" w:type="dxa"/>
            <w:vAlign w:val="bottom"/>
          </w:tcPr>
          <w:p>
            <w:pPr>
              <w:spacing w:after="0"/>
              <w:rPr>
                <w:sz w:val="1"/>
                <w:szCs w:val="1"/>
                <w:color w:val="auto"/>
              </w:rPr>
            </w:pPr>
          </w:p>
        </w:tc>
      </w:tr>
      <w:tr>
        <w:trPr>
          <w:trHeight w:val="292"/>
        </w:trPr>
        <w:tc>
          <w:tcPr>
            <w:tcW w:w="7560" w:type="dxa"/>
            <w:vAlign w:val="bottom"/>
          </w:tcPr>
          <w:p>
            <w:pPr>
              <w:spacing w:after="0"/>
              <w:rPr>
                <w:sz w:val="20"/>
                <w:szCs w:val="20"/>
                <w:color w:val="auto"/>
              </w:rPr>
            </w:pPr>
            <w:r>
              <w:rPr>
                <w:rFonts w:ascii="Arial" w:cs="Arial" w:eastAsia="Arial" w:hAnsi="Arial"/>
                <w:sz w:val="16"/>
                <w:szCs w:val="16"/>
                <w:color w:val="auto"/>
              </w:rPr>
              <w:t>Adjusted EBITDA</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$7,231</w:t>
            </w:r>
          </w:p>
        </w:tc>
        <w:tc>
          <w:tcPr>
            <w:tcW w:w="80" w:type="dxa"/>
            <w:vAlign w:val="bottom"/>
          </w:tcPr>
          <w:p>
            <w:pPr>
              <w:spacing w:after="0"/>
              <w:rPr>
                <w:sz w:val="24"/>
                <w:szCs w:val="24"/>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$7,125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4"/>
        </w:trPr>
        <w:tc>
          <w:tcPr>
            <w:tcW w:w="7560" w:type="dxa"/>
            <w:vAlign w:val="bottom"/>
          </w:tcPr>
          <w:p>
            <w:pPr>
              <w:ind w:left="120"/>
              <w:spacing w:after="0"/>
              <w:rPr>
                <w:sz w:val="20"/>
                <w:szCs w:val="20"/>
                <w:color w:val="auto"/>
              </w:rPr>
            </w:pPr>
            <w:r>
              <w:rPr>
                <w:rFonts w:ascii="Arial" w:cs="Arial" w:eastAsia="Arial" w:hAnsi="Arial"/>
                <w:sz w:val="16"/>
                <w:szCs w:val="16"/>
                <w:i w:val="1"/>
                <w:iCs w:val="1"/>
                <w:color w:val="auto"/>
              </w:rPr>
              <w:t>Adjusted EBITDA Margin</w:t>
            </w: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43.5 %</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43.4 %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6"/>
                <w:szCs w:val="16"/>
                <w:color w:val="auto"/>
              </w:rPr>
              <w:t>Severance</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305</w:t>
            </w:r>
          </w:p>
        </w:tc>
        <w:tc>
          <w:tcPr>
            <w:tcW w:w="80" w:type="dxa"/>
            <w:vAlign w:val="bottom"/>
          </w:tcPr>
          <w:p>
            <w:pPr>
              <w:spacing w:after="0"/>
              <w:rPr>
                <w:sz w:val="19"/>
                <w:szCs w:val="19"/>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56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6"/>
                <w:szCs w:val="16"/>
                <w:color w:val="auto"/>
              </w:rPr>
              <w:t>Adjusted EBITDA excluding Higher Severance</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$7,536</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
        </w:trPr>
        <w:tc>
          <w:tcPr>
            <w:tcW w:w="7560" w:type="dxa"/>
            <w:vAlign w:val="bottom"/>
            <w:vMerge w:val="restart"/>
          </w:tcPr>
          <w:p>
            <w:pPr>
              <w:ind w:left="120"/>
              <w:spacing w:after="0"/>
              <w:rPr>
                <w:sz w:val="20"/>
                <w:szCs w:val="20"/>
                <w:color w:val="auto"/>
              </w:rPr>
            </w:pPr>
            <w:r>
              <w:rPr>
                <w:rFonts w:ascii="Arial" w:cs="Arial" w:eastAsia="Arial" w:hAnsi="Arial"/>
                <w:sz w:val="16"/>
                <w:szCs w:val="16"/>
                <w:i w:val="1"/>
                <w:iCs w:val="1"/>
                <w:color w:val="auto"/>
              </w:rPr>
              <w:t>Adjusted EBITDA Margin excluding Higher Severance</w:t>
            </w: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56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45.3 %</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43.4 %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NBCUniversal Adjusted EBITDA Excluding Higher Headquarters &amp; Other Severance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Three Months Ended</w:t>
      </w:r>
    </w:p>
    <w:tbl>
      <w:tblPr>
        <w:tblLayout w:type="fixed"/>
        <w:tblInd w:w="20" w:type="dxa"/>
        <w:tblCellMar>
          <w:top w:w="0" w:type="dxa"/>
          <w:left w:w="0" w:type="dxa"/>
          <w:bottom w:w="0" w:type="dxa"/>
          <w:right w:w="0" w:type="dxa"/>
        </w:tblCellMar>
      </w:tblPr>
      <w:tr>
        <w:trPr>
          <w:trHeight w:val="200"/>
        </w:trPr>
        <w:tc>
          <w:tcPr>
            <w:tcW w:w="7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Arial" w:cs="Arial" w:eastAsia="Arial" w:hAnsi="Arial"/>
                <w:sz w:val="16"/>
                <w:szCs w:val="16"/>
                <w:color w:val="auto"/>
              </w:rPr>
              <w:t>(in millions)</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Growth %</w:t>
            </w:r>
          </w:p>
        </w:tc>
        <w:tc>
          <w:tcPr>
            <w:tcW w:w="0" w:type="dxa"/>
            <w:vAlign w:val="bottom"/>
          </w:tcPr>
          <w:p>
            <w:pPr>
              <w:spacing w:after="0"/>
              <w:rPr>
                <w:sz w:val="1"/>
                <w:szCs w:val="1"/>
                <w:color w:val="auto"/>
              </w:rPr>
            </w:pPr>
          </w:p>
        </w:tc>
      </w:tr>
      <w:tr>
        <w:trPr>
          <w:trHeight w:val="290"/>
        </w:trPr>
        <w:tc>
          <w:tcPr>
            <w:tcW w:w="7560" w:type="dxa"/>
            <w:vAlign w:val="bottom"/>
          </w:tcPr>
          <w:p>
            <w:pPr>
              <w:spacing w:after="0"/>
              <w:rPr>
                <w:sz w:val="20"/>
                <w:szCs w:val="20"/>
                <w:color w:val="auto"/>
              </w:rPr>
            </w:pPr>
            <w:r>
              <w:rPr>
                <w:rFonts w:ascii="Arial" w:cs="Arial" w:eastAsia="Arial" w:hAnsi="Arial"/>
                <w:sz w:val="16"/>
                <w:szCs w:val="16"/>
                <w:color w:val="auto"/>
              </w:rPr>
              <w:t>Adjusted EBITDA</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$817</w:t>
            </w:r>
          </w:p>
        </w:tc>
        <w:tc>
          <w:tcPr>
            <w:tcW w:w="80" w:type="dxa"/>
            <w:vAlign w:val="bottom"/>
          </w:tcPr>
          <w:p>
            <w:pPr>
              <w:spacing w:after="0"/>
              <w:rPr>
                <w:sz w:val="24"/>
                <w:szCs w:val="24"/>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$1,282</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(36.3 %)</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6"/>
                <w:szCs w:val="16"/>
                <w:color w:val="auto"/>
              </w:rPr>
              <w:t>Severance</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182</w:t>
            </w:r>
          </w:p>
        </w:tc>
        <w:tc>
          <w:tcPr>
            <w:tcW w:w="8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560" w:type="dxa"/>
            <w:vAlign w:val="bottom"/>
            <w:vMerge w:val="restart"/>
          </w:tcPr>
          <w:p>
            <w:pPr>
              <w:spacing w:after="0"/>
              <w:rPr>
                <w:sz w:val="20"/>
                <w:szCs w:val="20"/>
                <w:color w:val="auto"/>
              </w:rPr>
            </w:pPr>
            <w:r>
              <w:rPr>
                <w:rFonts w:ascii="Arial" w:cs="Arial" w:eastAsia="Arial" w:hAnsi="Arial"/>
                <w:sz w:val="16"/>
                <w:szCs w:val="16"/>
                <w:color w:val="auto"/>
              </w:rPr>
              <w:t>Adjusted EBITDA excluding Higher Headquarters &amp; Other Severance</w:t>
            </w:r>
          </w:p>
        </w:tc>
        <w:tc>
          <w:tcPr>
            <w:tcW w:w="11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(22.1 %)</w:t>
            </w:r>
          </w:p>
        </w:tc>
        <w:tc>
          <w:tcPr>
            <w:tcW w:w="0" w:type="dxa"/>
            <w:vAlign w:val="bottom"/>
          </w:tcPr>
          <w:p>
            <w:pPr>
              <w:spacing w:after="0"/>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11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$999</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$1,282</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Sky Adjusted EBITDA Constant Currency Growth Excluding Higher Severance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239"/>
              <w:spacing w:after="0" w:line="227"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Growth %</w:t>
            </w:r>
          </w:p>
        </w:tc>
        <w:tc>
          <w:tcPr>
            <w:tcW w:w="0" w:type="dxa"/>
            <w:vAlign w:val="bottom"/>
          </w:tcPr>
          <w:p>
            <w:pPr>
              <w:spacing w:after="0"/>
              <w:rPr>
                <w:sz w:val="1"/>
                <w:szCs w:val="1"/>
                <w:color w:val="auto"/>
              </w:rPr>
            </w:pPr>
          </w:p>
        </w:tc>
      </w:tr>
      <w:tr>
        <w:trPr>
          <w:trHeight w:val="290"/>
        </w:trPr>
        <w:tc>
          <w:tcPr>
            <w:tcW w:w="7560" w:type="dxa"/>
            <w:vAlign w:val="bottom"/>
          </w:tcPr>
          <w:p>
            <w:pPr>
              <w:spacing w:after="0"/>
              <w:rPr>
                <w:sz w:val="20"/>
                <w:szCs w:val="20"/>
                <w:color w:val="auto"/>
              </w:rPr>
            </w:pPr>
            <w:r>
              <w:rPr>
                <w:rFonts w:ascii="Arial" w:cs="Arial" w:eastAsia="Arial" w:hAnsi="Arial"/>
                <w:sz w:val="16"/>
                <w:szCs w:val="16"/>
                <w:color w:val="auto"/>
              </w:rPr>
              <w:t>Adjusted EBITDA</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$340</w:t>
            </w:r>
          </w:p>
        </w:tc>
        <w:tc>
          <w:tcPr>
            <w:tcW w:w="1340" w:type="dxa"/>
            <w:vAlign w:val="bottom"/>
            <w:gridSpan w:val="3"/>
          </w:tcPr>
          <w:p>
            <w:pPr>
              <w:jc w:val="right"/>
              <w:ind w:right="139"/>
              <w:spacing w:after="0"/>
              <w:rPr>
                <w:sz w:val="20"/>
                <w:szCs w:val="20"/>
                <w:color w:val="auto"/>
              </w:rPr>
            </w:pPr>
            <w:r>
              <w:rPr>
                <w:rFonts w:ascii="Arial" w:cs="Arial" w:eastAsia="Arial" w:hAnsi="Arial"/>
                <w:sz w:val="16"/>
                <w:szCs w:val="16"/>
                <w:color w:val="auto"/>
              </w:rPr>
              <w:t>$401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6"/>
                <w:szCs w:val="16"/>
                <w:color w:val="auto"/>
              </w:rPr>
              <w:t>Severance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560" w:type="dxa"/>
            <w:vAlign w:val="bottom"/>
            <w:vMerge w:val="restart"/>
          </w:tcPr>
          <w:p>
            <w:pPr>
              <w:spacing w:after="0"/>
              <w:rPr>
                <w:sz w:val="20"/>
                <w:szCs w:val="20"/>
                <w:color w:val="auto"/>
              </w:rPr>
            </w:pPr>
            <w:r>
              <w:rPr>
                <w:rFonts w:ascii="Arial" w:cs="Arial" w:eastAsia="Arial" w:hAnsi="Arial"/>
                <w:sz w:val="16"/>
                <w:szCs w:val="16"/>
                <w:color w:val="auto"/>
              </w:rPr>
              <w:t>Adjusted EBITDA excluding Higher Severance</w:t>
            </w:r>
          </w:p>
        </w:tc>
        <w:tc>
          <w:tcPr>
            <w:tcW w:w="960" w:type="dxa"/>
            <w:vAlign w:val="bottom"/>
          </w:tcPr>
          <w:p>
            <w:pPr>
              <w:spacing w:after="0"/>
              <w:rPr>
                <w:sz w:val="4"/>
                <w:szCs w:val="4"/>
                <w:color w:val="auto"/>
              </w:rPr>
            </w:pPr>
          </w:p>
        </w:tc>
        <w:tc>
          <w:tcPr>
            <w:tcW w:w="134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$393</w:t>
            </w:r>
          </w:p>
        </w:tc>
        <w:tc>
          <w:tcPr>
            <w:tcW w:w="1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$401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right="20" w:hanging="252"/>
        <w:spacing w:after="0" w:line="286" w:lineRule="auto"/>
        <w:tabs>
          <w:tab w:leader="none" w:pos="2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2021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979"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9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2023-01-26T06:08:07Z</dcterms:created>
  <dcterms:modified xsi:type="dcterms:W3CDTF">2023-01-26T06:08:07Z</dcterms:modified>
</cp:coreProperties>
</file>