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226060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w:t>
      </w:r>
    </w:p>
    <w:p>
      <w:pPr>
        <w:spacing w:after="0" w:line="214"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CURRENT REPORT</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Pursuant to Section 13 or 15(d) of the</w:t>
      </w:r>
    </w:p>
    <w:p>
      <w:pPr>
        <w:spacing w:after="0" w:line="10"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Exchange Act of 1934</w:t>
      </w:r>
    </w:p>
    <w:p>
      <w:pPr>
        <w:spacing w:after="0" w:line="28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June 8, 2017</w:t>
      </w:r>
    </w:p>
    <w:p>
      <w:pPr>
        <w:spacing w:after="0" w:line="217" w:lineRule="exact"/>
        <w:rPr>
          <w:sz w:val="24"/>
          <w:szCs w:val="24"/>
          <w:color w:val="auto"/>
        </w:rPr>
      </w:pPr>
    </w:p>
    <w:tbl>
      <w:tblPr>
        <w:tblLayout w:type="fixed"/>
        <w:tblInd w:w="1120" w:type="dxa"/>
        <w:tblCellMar>
          <w:top w:w="0" w:type="dxa"/>
          <w:left w:w="0" w:type="dxa"/>
          <w:bottom w:w="0" w:type="dxa"/>
          <w:right w:w="0" w:type="dxa"/>
        </w:tblCellMar>
      </w:tblPr>
      <w:tr>
        <w:trPr>
          <w:trHeight w:val="301"/>
        </w:trPr>
        <w:tc>
          <w:tcPr>
            <w:tcW w:w="2820" w:type="dxa"/>
            <w:vAlign w:val="bottom"/>
          </w:tcPr>
          <w:p>
            <w:pPr>
              <w:spacing w:after="0"/>
              <w:rPr>
                <w:sz w:val="24"/>
                <w:szCs w:val="24"/>
                <w:color w:val="auto"/>
              </w:rPr>
            </w:pPr>
          </w:p>
        </w:tc>
        <w:tc>
          <w:tcPr>
            <w:tcW w:w="6180" w:type="dxa"/>
            <w:vAlign w:val="bottom"/>
          </w:tcPr>
          <w:p>
            <w:pPr>
              <w:jc w:val="center"/>
              <w:ind w:right="2556"/>
              <w:spacing w:after="0"/>
              <w:rPr>
                <w:sz w:val="20"/>
                <w:szCs w:val="20"/>
                <w:color w:val="auto"/>
              </w:rPr>
            </w:pPr>
            <w:r>
              <w:rPr>
                <w:rFonts w:ascii="Arial" w:cs="Arial" w:eastAsia="Arial" w:hAnsi="Arial"/>
                <w:sz w:val="25"/>
                <w:szCs w:val="25"/>
                <w:b w:val="1"/>
                <w:bCs w:val="1"/>
                <w:color w:val="auto"/>
                <w:w w:val="91"/>
              </w:rPr>
              <w:t>Comcast Corporation</w:t>
            </w:r>
          </w:p>
        </w:tc>
      </w:tr>
      <w:tr>
        <w:trPr>
          <w:trHeight w:val="149"/>
        </w:trPr>
        <w:tc>
          <w:tcPr>
            <w:tcW w:w="2820" w:type="dxa"/>
            <w:vAlign w:val="bottom"/>
          </w:tcPr>
          <w:p>
            <w:pPr>
              <w:spacing w:after="0"/>
              <w:rPr>
                <w:sz w:val="12"/>
                <w:szCs w:val="12"/>
                <w:color w:val="auto"/>
              </w:rPr>
            </w:pPr>
          </w:p>
        </w:tc>
        <w:tc>
          <w:tcPr>
            <w:tcW w:w="6180" w:type="dxa"/>
            <w:vAlign w:val="bottom"/>
          </w:tcPr>
          <w:p>
            <w:pPr>
              <w:jc w:val="center"/>
              <w:ind w:right="2556"/>
              <w:spacing w:after="0" w:line="149" w:lineRule="exact"/>
              <w:rPr>
                <w:sz w:val="20"/>
                <w:szCs w:val="20"/>
                <w:color w:val="auto"/>
              </w:rPr>
            </w:pPr>
            <w:r>
              <w:rPr>
                <w:rFonts w:ascii="Arial" w:cs="Arial" w:eastAsia="Arial" w:hAnsi="Arial"/>
                <w:sz w:val="14"/>
                <w:szCs w:val="14"/>
                <w:color w:val="auto"/>
                <w:w w:val="93"/>
              </w:rPr>
              <w:t>(Exact Name of Registrant</w:t>
            </w:r>
          </w:p>
        </w:tc>
      </w:tr>
      <w:tr>
        <w:trPr>
          <w:trHeight w:val="182"/>
        </w:trPr>
        <w:tc>
          <w:tcPr>
            <w:tcW w:w="2820" w:type="dxa"/>
            <w:vAlign w:val="bottom"/>
          </w:tcPr>
          <w:p>
            <w:pPr>
              <w:spacing w:after="0"/>
              <w:rPr>
                <w:sz w:val="15"/>
                <w:szCs w:val="15"/>
                <w:color w:val="auto"/>
              </w:rPr>
            </w:pPr>
          </w:p>
        </w:tc>
        <w:tc>
          <w:tcPr>
            <w:tcW w:w="6180" w:type="dxa"/>
            <w:vAlign w:val="bottom"/>
          </w:tcPr>
          <w:p>
            <w:pPr>
              <w:jc w:val="center"/>
              <w:ind w:right="2556"/>
              <w:spacing w:after="0"/>
              <w:rPr>
                <w:sz w:val="20"/>
                <w:szCs w:val="20"/>
                <w:color w:val="auto"/>
              </w:rPr>
            </w:pPr>
            <w:r>
              <w:rPr>
                <w:rFonts w:ascii="Arial" w:cs="Arial" w:eastAsia="Arial" w:hAnsi="Arial"/>
                <w:sz w:val="14"/>
                <w:szCs w:val="14"/>
                <w:color w:val="auto"/>
                <w:w w:val="93"/>
              </w:rPr>
              <w:t>as Specified in its Charter)</w:t>
            </w:r>
          </w:p>
        </w:tc>
      </w:tr>
      <w:tr>
        <w:trPr>
          <w:trHeight w:val="331"/>
        </w:trPr>
        <w:tc>
          <w:tcPr>
            <w:tcW w:w="2820" w:type="dxa"/>
            <w:vAlign w:val="bottom"/>
          </w:tcPr>
          <w:p>
            <w:pPr>
              <w:spacing w:after="0"/>
              <w:rPr>
                <w:sz w:val="24"/>
                <w:szCs w:val="24"/>
                <w:color w:val="auto"/>
              </w:rPr>
            </w:pPr>
          </w:p>
        </w:tc>
        <w:tc>
          <w:tcPr>
            <w:tcW w:w="6180" w:type="dxa"/>
            <w:vAlign w:val="bottom"/>
          </w:tcPr>
          <w:p>
            <w:pPr>
              <w:jc w:val="center"/>
              <w:ind w:right="2556"/>
              <w:spacing w:after="0"/>
              <w:rPr>
                <w:sz w:val="20"/>
                <w:szCs w:val="20"/>
                <w:color w:val="auto"/>
              </w:rPr>
            </w:pPr>
            <w:r>
              <w:rPr>
                <w:rFonts w:ascii="Arial" w:cs="Arial" w:eastAsia="Arial" w:hAnsi="Arial"/>
                <w:sz w:val="18"/>
                <w:szCs w:val="18"/>
                <w:b w:val="1"/>
                <w:bCs w:val="1"/>
                <w:color w:val="auto"/>
                <w:w w:val="88"/>
              </w:rPr>
              <w:t>Pennsylvania</w:t>
            </w:r>
          </w:p>
        </w:tc>
      </w:tr>
      <w:tr>
        <w:trPr>
          <w:trHeight w:val="182"/>
        </w:trPr>
        <w:tc>
          <w:tcPr>
            <w:tcW w:w="2820" w:type="dxa"/>
            <w:vAlign w:val="bottom"/>
          </w:tcPr>
          <w:p>
            <w:pPr>
              <w:spacing w:after="0"/>
              <w:rPr>
                <w:sz w:val="15"/>
                <w:szCs w:val="15"/>
                <w:color w:val="auto"/>
              </w:rPr>
            </w:pPr>
          </w:p>
        </w:tc>
        <w:tc>
          <w:tcPr>
            <w:tcW w:w="6180" w:type="dxa"/>
            <w:vAlign w:val="bottom"/>
          </w:tcPr>
          <w:p>
            <w:pPr>
              <w:jc w:val="center"/>
              <w:ind w:right="2556"/>
              <w:spacing w:after="0"/>
              <w:rPr>
                <w:sz w:val="20"/>
                <w:szCs w:val="20"/>
                <w:color w:val="auto"/>
              </w:rPr>
            </w:pPr>
            <w:r>
              <w:rPr>
                <w:rFonts w:ascii="Arial" w:cs="Arial" w:eastAsia="Arial" w:hAnsi="Arial"/>
                <w:sz w:val="14"/>
                <w:szCs w:val="14"/>
                <w:color w:val="auto"/>
                <w:w w:val="94"/>
              </w:rPr>
              <w:t>(State or Other Jurisdiction of Incorporation)</w:t>
            </w:r>
          </w:p>
        </w:tc>
      </w:tr>
      <w:tr>
        <w:trPr>
          <w:trHeight w:val="350"/>
        </w:trPr>
        <w:tc>
          <w:tcPr>
            <w:tcW w:w="2820" w:type="dxa"/>
            <w:vAlign w:val="bottom"/>
          </w:tcPr>
          <w:p>
            <w:pPr>
              <w:jc w:val="center"/>
              <w:ind w:right="397"/>
              <w:spacing w:after="0"/>
              <w:rPr>
                <w:sz w:val="20"/>
                <w:szCs w:val="20"/>
                <w:color w:val="auto"/>
              </w:rPr>
            </w:pPr>
            <w:r>
              <w:rPr>
                <w:rFonts w:ascii="Arial" w:cs="Arial" w:eastAsia="Arial" w:hAnsi="Arial"/>
                <w:sz w:val="18"/>
                <w:szCs w:val="18"/>
                <w:b w:val="1"/>
                <w:bCs w:val="1"/>
                <w:color w:val="auto"/>
                <w:w w:val="90"/>
              </w:rPr>
              <w:t>001-32871</w:t>
            </w:r>
          </w:p>
        </w:tc>
        <w:tc>
          <w:tcPr>
            <w:tcW w:w="6180" w:type="dxa"/>
            <w:vAlign w:val="bottom"/>
          </w:tcPr>
          <w:p>
            <w:pPr>
              <w:jc w:val="center"/>
              <w:ind w:left="4136"/>
              <w:spacing w:after="0"/>
              <w:rPr>
                <w:sz w:val="20"/>
                <w:szCs w:val="20"/>
                <w:color w:val="auto"/>
              </w:rPr>
            </w:pPr>
            <w:r>
              <w:rPr>
                <w:rFonts w:ascii="Arial" w:cs="Arial" w:eastAsia="Arial" w:hAnsi="Arial"/>
                <w:sz w:val="18"/>
                <w:szCs w:val="18"/>
                <w:b w:val="1"/>
                <w:bCs w:val="1"/>
                <w:color w:val="auto"/>
                <w:w w:val="91"/>
              </w:rPr>
              <w:t>27-0000798</w:t>
            </w:r>
          </w:p>
        </w:tc>
      </w:tr>
      <w:tr>
        <w:trPr>
          <w:trHeight w:val="231"/>
        </w:trPr>
        <w:tc>
          <w:tcPr>
            <w:tcW w:w="2820" w:type="dxa"/>
            <w:vAlign w:val="bottom"/>
          </w:tcPr>
          <w:p>
            <w:pPr>
              <w:jc w:val="center"/>
              <w:ind w:right="397"/>
              <w:spacing w:after="0"/>
              <w:rPr>
                <w:sz w:val="20"/>
                <w:szCs w:val="20"/>
                <w:color w:val="auto"/>
              </w:rPr>
            </w:pPr>
            <w:r>
              <w:rPr>
                <w:rFonts w:ascii="Arial" w:cs="Arial" w:eastAsia="Arial" w:hAnsi="Arial"/>
                <w:sz w:val="14"/>
                <w:szCs w:val="14"/>
                <w:color w:val="auto"/>
                <w:w w:val="94"/>
              </w:rPr>
              <w:t>(Commission File Number)</w:t>
            </w:r>
          </w:p>
        </w:tc>
        <w:tc>
          <w:tcPr>
            <w:tcW w:w="6180" w:type="dxa"/>
            <w:vAlign w:val="bottom"/>
          </w:tcPr>
          <w:p>
            <w:pPr>
              <w:jc w:val="center"/>
              <w:ind w:left="4116"/>
              <w:spacing w:after="0"/>
              <w:rPr>
                <w:sz w:val="20"/>
                <w:szCs w:val="20"/>
                <w:color w:val="auto"/>
              </w:rPr>
            </w:pPr>
            <w:r>
              <w:rPr>
                <w:rFonts w:ascii="Arial" w:cs="Arial" w:eastAsia="Arial" w:hAnsi="Arial"/>
                <w:sz w:val="14"/>
                <w:szCs w:val="14"/>
                <w:color w:val="auto"/>
                <w:w w:val="97"/>
              </w:rPr>
              <w:t>(IRS Employer Identification No.)</w:t>
            </w:r>
          </w:p>
        </w:tc>
      </w:tr>
      <w:tr>
        <w:trPr>
          <w:trHeight w:val="399"/>
        </w:trPr>
        <w:tc>
          <w:tcPr>
            <w:tcW w:w="2820" w:type="dxa"/>
            <w:vAlign w:val="bottom"/>
          </w:tcPr>
          <w:p>
            <w:pPr>
              <w:jc w:val="center"/>
              <w:ind w:right="397"/>
              <w:spacing w:after="0"/>
              <w:rPr>
                <w:sz w:val="20"/>
                <w:szCs w:val="20"/>
                <w:color w:val="auto"/>
              </w:rPr>
            </w:pPr>
            <w:r>
              <w:rPr>
                <w:rFonts w:ascii="Arial" w:cs="Arial" w:eastAsia="Arial" w:hAnsi="Arial"/>
                <w:sz w:val="18"/>
                <w:szCs w:val="18"/>
                <w:b w:val="1"/>
                <w:bCs w:val="1"/>
                <w:color w:val="auto"/>
                <w:w w:val="90"/>
              </w:rPr>
              <w:t>One Comcast Center</w:t>
            </w:r>
          </w:p>
        </w:tc>
        <w:tc>
          <w:tcPr>
            <w:tcW w:w="6180" w:type="dxa"/>
            <w:vAlign w:val="bottom"/>
          </w:tcPr>
          <w:p>
            <w:pPr>
              <w:spacing w:after="0"/>
              <w:rPr>
                <w:sz w:val="24"/>
                <w:szCs w:val="24"/>
                <w:color w:val="auto"/>
              </w:rPr>
            </w:pPr>
          </w:p>
        </w:tc>
      </w:tr>
      <w:tr>
        <w:trPr>
          <w:trHeight w:val="234"/>
        </w:trPr>
        <w:tc>
          <w:tcPr>
            <w:tcW w:w="2820" w:type="dxa"/>
            <w:vAlign w:val="bottom"/>
          </w:tcPr>
          <w:p>
            <w:pPr>
              <w:jc w:val="center"/>
              <w:ind w:right="397"/>
              <w:spacing w:after="0"/>
              <w:rPr>
                <w:sz w:val="20"/>
                <w:szCs w:val="20"/>
                <w:color w:val="auto"/>
              </w:rPr>
            </w:pPr>
            <w:r>
              <w:rPr>
                <w:rFonts w:ascii="Arial" w:cs="Arial" w:eastAsia="Arial" w:hAnsi="Arial"/>
                <w:sz w:val="18"/>
                <w:szCs w:val="18"/>
                <w:b w:val="1"/>
                <w:bCs w:val="1"/>
                <w:color w:val="auto"/>
                <w:w w:val="92"/>
              </w:rPr>
              <w:t>Philadelphia, PA</w:t>
            </w:r>
          </w:p>
        </w:tc>
        <w:tc>
          <w:tcPr>
            <w:tcW w:w="6180" w:type="dxa"/>
            <w:vAlign w:val="bottom"/>
          </w:tcPr>
          <w:p>
            <w:pPr>
              <w:jc w:val="center"/>
              <w:ind w:left="4136"/>
              <w:spacing w:after="0"/>
              <w:rPr>
                <w:sz w:val="20"/>
                <w:szCs w:val="20"/>
                <w:color w:val="auto"/>
              </w:rPr>
            </w:pPr>
            <w:r>
              <w:rPr>
                <w:rFonts w:ascii="Arial" w:cs="Arial" w:eastAsia="Arial" w:hAnsi="Arial"/>
                <w:sz w:val="18"/>
                <w:szCs w:val="18"/>
                <w:b w:val="1"/>
                <w:bCs w:val="1"/>
                <w:color w:val="auto"/>
                <w:w w:val="91"/>
              </w:rPr>
              <w:t>19103-2838</w:t>
            </w:r>
          </w:p>
        </w:tc>
      </w:tr>
      <w:tr>
        <w:trPr>
          <w:trHeight w:val="231"/>
        </w:trPr>
        <w:tc>
          <w:tcPr>
            <w:tcW w:w="2820" w:type="dxa"/>
            <w:vAlign w:val="bottom"/>
          </w:tcPr>
          <w:p>
            <w:pPr>
              <w:jc w:val="center"/>
              <w:ind w:right="397"/>
              <w:spacing w:after="0"/>
              <w:rPr>
                <w:sz w:val="20"/>
                <w:szCs w:val="20"/>
                <w:color w:val="auto"/>
              </w:rPr>
            </w:pPr>
            <w:r>
              <w:rPr>
                <w:rFonts w:ascii="Arial" w:cs="Arial" w:eastAsia="Arial" w:hAnsi="Arial"/>
                <w:sz w:val="14"/>
                <w:szCs w:val="14"/>
                <w:color w:val="auto"/>
                <w:w w:val="95"/>
              </w:rPr>
              <w:t>(Address of Principal Executive Offices)</w:t>
            </w:r>
          </w:p>
        </w:tc>
        <w:tc>
          <w:tcPr>
            <w:tcW w:w="6180" w:type="dxa"/>
            <w:vAlign w:val="bottom"/>
          </w:tcPr>
          <w:p>
            <w:pPr>
              <w:jc w:val="center"/>
              <w:ind w:left="4136"/>
              <w:spacing w:after="0"/>
              <w:rPr>
                <w:sz w:val="20"/>
                <w:szCs w:val="20"/>
                <w:color w:val="auto"/>
              </w:rPr>
            </w:pPr>
            <w:r>
              <w:rPr>
                <w:rFonts w:ascii="Arial" w:cs="Arial" w:eastAsia="Arial" w:hAnsi="Arial"/>
                <w:sz w:val="14"/>
                <w:szCs w:val="14"/>
                <w:color w:val="auto"/>
                <w:w w:val="96"/>
              </w:rPr>
              <w:t>(Zip Code)</w:t>
            </w:r>
          </w:p>
        </w:tc>
      </w:tr>
    </w:tbl>
    <w:p>
      <w:pPr>
        <w:spacing w:after="0" w:line="183"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8"/>
          <w:szCs w:val="18"/>
          <w:b w:val="1"/>
          <w:bCs w:val="1"/>
          <w:color w:val="auto"/>
        </w:rPr>
        <w:t>(215) 286-1700</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141" w:lineRule="exact"/>
        <w:rPr>
          <w:sz w:val="24"/>
          <w:szCs w:val="24"/>
          <w:color w:val="auto"/>
        </w:rPr>
      </w:pPr>
    </w:p>
    <w:p>
      <w:pPr>
        <w:ind w:right="480"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468"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229"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At the annual meeting, our shareholders approved, or did not approve, the following proposals.</w:t>
      </w:r>
    </w:p>
    <w:p>
      <w:pPr>
        <w:spacing w:after="0" w:line="225" w:lineRule="exact"/>
        <w:rPr>
          <w:rFonts w:ascii="Arial" w:cs="Arial" w:eastAsia="Arial" w:hAnsi="Arial"/>
          <w:sz w:val="18"/>
          <w:szCs w:val="18"/>
          <w:color w:val="auto"/>
        </w:rPr>
      </w:pPr>
    </w:p>
    <w:p>
      <w:pPr>
        <w:ind w:left="340" w:right="3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number of votes cast for and against (or withheld) and the number of abstentions and broker non-votes with respect to each such proposal are set forth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(1) All of the director nominees named in the proxy statement were elected to serve as directors for one-year terms.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Director</w:t>
            </w:r>
          </w:p>
        </w:tc>
        <w:tc>
          <w:tcPr>
            <w:tcW w:w="322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color w:val="auto"/>
                <w:w w:val="96"/>
              </w:rPr>
              <w:t>For</w:t>
            </w:r>
          </w:p>
        </w:tc>
        <w:tc>
          <w:tcPr>
            <w:tcW w:w="248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Withheld</w:t>
            </w:r>
          </w:p>
        </w:tc>
        <w:tc>
          <w:tcPr>
            <w:tcW w:w="22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Broker Non-Votes</w:t>
            </w:r>
          </w:p>
        </w:tc>
      </w:tr>
      <w:tr>
        <w:trPr>
          <w:trHeight w:val="195"/>
        </w:trPr>
        <w:tc>
          <w:tcPr>
            <w:tcW w:w="2900" w:type="dxa"/>
            <w:vAlign w:val="bottom"/>
          </w:tcPr>
          <w:p>
            <w:pPr>
              <w:spacing w:after="0" w:line="195" w:lineRule="exact"/>
              <w:rPr>
                <w:sz w:val="20"/>
                <w:szCs w:val="20"/>
                <w:color w:val="auto"/>
              </w:rPr>
            </w:pPr>
            <w:r>
              <w:rPr>
                <w:rFonts w:ascii="Arial" w:cs="Arial" w:eastAsia="Arial" w:hAnsi="Arial"/>
                <w:sz w:val="18"/>
                <w:szCs w:val="18"/>
                <w:color w:val="auto"/>
              </w:rPr>
              <w:t>Kenneth J. Bacon</w:t>
            </w:r>
          </w:p>
        </w:tc>
        <w:tc>
          <w:tcPr>
            <w:tcW w:w="3220" w:type="dxa"/>
            <w:vAlign w:val="bottom"/>
          </w:tcPr>
          <w:p>
            <w:pPr>
              <w:jc w:val="center"/>
              <w:ind w:left="230"/>
              <w:spacing w:after="0" w:line="195" w:lineRule="exact"/>
              <w:rPr>
                <w:sz w:val="20"/>
                <w:szCs w:val="20"/>
                <w:color w:val="auto"/>
              </w:rPr>
            </w:pPr>
            <w:r>
              <w:rPr>
                <w:rFonts w:ascii="Arial" w:cs="Arial" w:eastAsia="Arial" w:hAnsi="Arial"/>
                <w:sz w:val="18"/>
                <w:szCs w:val="18"/>
                <w:color w:val="auto"/>
                <w:w w:val="89"/>
              </w:rPr>
              <w:t>363,574,592</w:t>
            </w:r>
          </w:p>
        </w:tc>
        <w:tc>
          <w:tcPr>
            <w:tcW w:w="2480" w:type="dxa"/>
            <w:vAlign w:val="bottom"/>
          </w:tcPr>
          <w:p>
            <w:pPr>
              <w:jc w:val="center"/>
              <w:ind w:left="230"/>
              <w:spacing w:after="0" w:line="195" w:lineRule="exact"/>
              <w:rPr>
                <w:sz w:val="20"/>
                <w:szCs w:val="20"/>
                <w:color w:val="auto"/>
              </w:rPr>
            </w:pPr>
            <w:r>
              <w:rPr>
                <w:rFonts w:ascii="Arial" w:cs="Arial" w:eastAsia="Arial" w:hAnsi="Arial"/>
                <w:sz w:val="18"/>
                <w:szCs w:val="18"/>
                <w:color w:val="auto"/>
                <w:w w:val="89"/>
              </w:rPr>
              <w:t>6,777,273</w:t>
            </w:r>
          </w:p>
        </w:tc>
        <w:tc>
          <w:tcPr>
            <w:tcW w:w="2220" w:type="dxa"/>
            <w:vAlign w:val="bottom"/>
          </w:tcPr>
          <w:p>
            <w:pPr>
              <w:jc w:val="right"/>
              <w:ind w:right="410"/>
              <w:spacing w:after="0" w:line="195" w:lineRule="exact"/>
              <w:rPr>
                <w:sz w:val="20"/>
                <w:szCs w:val="20"/>
                <w:color w:val="auto"/>
              </w:rPr>
            </w:pPr>
            <w:r>
              <w:rPr>
                <w:rFonts w:ascii="Arial" w:cs="Arial" w:eastAsia="Arial" w:hAnsi="Arial"/>
                <w:sz w:val="18"/>
                <w:szCs w:val="18"/>
                <w:color w:val="auto"/>
              </w:rPr>
              <w:t>23,129,668</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Madeline S. Bell</w:t>
            </w:r>
          </w:p>
        </w:tc>
        <w:tc>
          <w:tcPr>
            <w:tcW w:w="3220" w:type="dxa"/>
            <w:vAlign w:val="bottom"/>
          </w:tcPr>
          <w:p>
            <w:pPr>
              <w:jc w:val="center"/>
              <w:ind w:left="230"/>
              <w:spacing w:after="0"/>
              <w:rPr>
                <w:sz w:val="20"/>
                <w:szCs w:val="20"/>
                <w:color w:val="auto"/>
              </w:rPr>
            </w:pPr>
            <w:r>
              <w:rPr>
                <w:rFonts w:ascii="Arial" w:cs="Arial" w:eastAsia="Arial" w:hAnsi="Arial"/>
                <w:sz w:val="18"/>
                <w:szCs w:val="18"/>
                <w:color w:val="auto"/>
                <w:w w:val="89"/>
              </w:rPr>
              <w:t>352,291,142</w:t>
            </w:r>
          </w:p>
        </w:tc>
        <w:tc>
          <w:tcPr>
            <w:tcW w:w="2480" w:type="dxa"/>
            <w:vAlign w:val="bottom"/>
          </w:tcPr>
          <w:p>
            <w:pPr>
              <w:jc w:val="center"/>
              <w:ind w:left="250"/>
              <w:spacing w:after="0"/>
              <w:rPr>
                <w:sz w:val="20"/>
                <w:szCs w:val="20"/>
                <w:color w:val="auto"/>
              </w:rPr>
            </w:pPr>
            <w:r>
              <w:rPr>
                <w:rFonts w:ascii="Arial" w:cs="Arial" w:eastAsia="Arial" w:hAnsi="Arial"/>
                <w:sz w:val="18"/>
                <w:szCs w:val="18"/>
                <w:color w:val="auto"/>
                <w:w w:val="90"/>
              </w:rPr>
              <w:t>18,060,723</w:t>
            </w:r>
          </w:p>
        </w:tc>
        <w:tc>
          <w:tcPr>
            <w:tcW w:w="2220" w:type="dxa"/>
            <w:vAlign w:val="bottom"/>
          </w:tcPr>
          <w:p>
            <w:pPr>
              <w:jc w:val="right"/>
              <w:ind w:right="410"/>
              <w:spacing w:after="0"/>
              <w:rPr>
                <w:sz w:val="20"/>
                <w:szCs w:val="20"/>
                <w:color w:val="auto"/>
              </w:rPr>
            </w:pPr>
            <w:r>
              <w:rPr>
                <w:rFonts w:ascii="Arial" w:cs="Arial" w:eastAsia="Arial" w:hAnsi="Arial"/>
                <w:sz w:val="18"/>
                <w:szCs w:val="18"/>
                <w:color w:val="auto"/>
              </w:rPr>
              <w:t>23,129,668</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Sheldon M. Bonovitz</w:t>
            </w:r>
          </w:p>
        </w:tc>
        <w:tc>
          <w:tcPr>
            <w:tcW w:w="3220" w:type="dxa"/>
            <w:vAlign w:val="bottom"/>
          </w:tcPr>
          <w:p>
            <w:pPr>
              <w:jc w:val="center"/>
              <w:ind w:left="230"/>
              <w:spacing w:after="0"/>
              <w:rPr>
                <w:sz w:val="20"/>
                <w:szCs w:val="20"/>
                <w:color w:val="auto"/>
              </w:rPr>
            </w:pPr>
            <w:r>
              <w:rPr>
                <w:rFonts w:ascii="Arial" w:cs="Arial" w:eastAsia="Arial" w:hAnsi="Arial"/>
                <w:sz w:val="18"/>
                <w:szCs w:val="18"/>
                <w:color w:val="auto"/>
                <w:w w:val="89"/>
              </w:rPr>
              <w:t>367,133,052</w:t>
            </w:r>
          </w:p>
        </w:tc>
        <w:tc>
          <w:tcPr>
            <w:tcW w:w="2480" w:type="dxa"/>
            <w:vAlign w:val="bottom"/>
          </w:tcPr>
          <w:p>
            <w:pPr>
              <w:jc w:val="center"/>
              <w:ind w:left="230"/>
              <w:spacing w:after="0"/>
              <w:rPr>
                <w:sz w:val="20"/>
                <w:szCs w:val="20"/>
                <w:color w:val="auto"/>
              </w:rPr>
            </w:pPr>
            <w:r>
              <w:rPr>
                <w:rFonts w:ascii="Arial" w:cs="Arial" w:eastAsia="Arial" w:hAnsi="Arial"/>
                <w:sz w:val="18"/>
                <w:szCs w:val="18"/>
                <w:color w:val="auto"/>
                <w:w w:val="89"/>
              </w:rPr>
              <w:t>3,218,813</w:t>
            </w:r>
          </w:p>
        </w:tc>
        <w:tc>
          <w:tcPr>
            <w:tcW w:w="2220" w:type="dxa"/>
            <w:vAlign w:val="bottom"/>
          </w:tcPr>
          <w:p>
            <w:pPr>
              <w:jc w:val="right"/>
              <w:ind w:right="410"/>
              <w:spacing w:after="0"/>
              <w:rPr>
                <w:sz w:val="20"/>
                <w:szCs w:val="20"/>
                <w:color w:val="auto"/>
              </w:rPr>
            </w:pPr>
            <w:r>
              <w:rPr>
                <w:rFonts w:ascii="Arial" w:cs="Arial" w:eastAsia="Arial" w:hAnsi="Arial"/>
                <w:sz w:val="18"/>
                <w:szCs w:val="18"/>
                <w:color w:val="auto"/>
              </w:rPr>
              <w:t>23,129,668</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Edward D. Breen</w:t>
            </w:r>
          </w:p>
        </w:tc>
        <w:tc>
          <w:tcPr>
            <w:tcW w:w="3220" w:type="dxa"/>
            <w:vAlign w:val="bottom"/>
          </w:tcPr>
          <w:p>
            <w:pPr>
              <w:jc w:val="center"/>
              <w:ind w:left="230"/>
              <w:spacing w:after="0"/>
              <w:rPr>
                <w:sz w:val="20"/>
                <w:szCs w:val="20"/>
                <w:color w:val="auto"/>
              </w:rPr>
            </w:pPr>
            <w:r>
              <w:rPr>
                <w:rFonts w:ascii="Arial" w:cs="Arial" w:eastAsia="Arial" w:hAnsi="Arial"/>
                <w:sz w:val="18"/>
                <w:szCs w:val="18"/>
                <w:color w:val="auto"/>
                <w:w w:val="89"/>
              </w:rPr>
              <w:t>351,058,126</w:t>
            </w:r>
          </w:p>
        </w:tc>
        <w:tc>
          <w:tcPr>
            <w:tcW w:w="2480" w:type="dxa"/>
            <w:vAlign w:val="bottom"/>
          </w:tcPr>
          <w:p>
            <w:pPr>
              <w:jc w:val="center"/>
              <w:ind w:left="250"/>
              <w:spacing w:after="0"/>
              <w:rPr>
                <w:sz w:val="20"/>
                <w:szCs w:val="20"/>
                <w:color w:val="auto"/>
              </w:rPr>
            </w:pPr>
            <w:r>
              <w:rPr>
                <w:rFonts w:ascii="Arial" w:cs="Arial" w:eastAsia="Arial" w:hAnsi="Arial"/>
                <w:sz w:val="18"/>
                <w:szCs w:val="18"/>
                <w:color w:val="auto"/>
                <w:w w:val="90"/>
              </w:rPr>
              <w:t>19,293,739</w:t>
            </w:r>
          </w:p>
        </w:tc>
        <w:tc>
          <w:tcPr>
            <w:tcW w:w="2220" w:type="dxa"/>
            <w:vAlign w:val="bottom"/>
          </w:tcPr>
          <w:p>
            <w:pPr>
              <w:jc w:val="right"/>
              <w:ind w:right="410"/>
              <w:spacing w:after="0"/>
              <w:rPr>
                <w:sz w:val="20"/>
                <w:szCs w:val="20"/>
                <w:color w:val="auto"/>
              </w:rPr>
            </w:pPr>
            <w:r>
              <w:rPr>
                <w:rFonts w:ascii="Arial" w:cs="Arial" w:eastAsia="Arial" w:hAnsi="Arial"/>
                <w:sz w:val="18"/>
                <w:szCs w:val="18"/>
                <w:color w:val="auto"/>
              </w:rPr>
              <w:t>23,129,668</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Gerald L. Hassell</w:t>
            </w:r>
          </w:p>
        </w:tc>
        <w:tc>
          <w:tcPr>
            <w:tcW w:w="3220" w:type="dxa"/>
            <w:vAlign w:val="bottom"/>
          </w:tcPr>
          <w:p>
            <w:pPr>
              <w:jc w:val="center"/>
              <w:ind w:left="230"/>
              <w:spacing w:after="0"/>
              <w:rPr>
                <w:sz w:val="20"/>
                <w:szCs w:val="20"/>
                <w:color w:val="auto"/>
              </w:rPr>
            </w:pPr>
            <w:r>
              <w:rPr>
                <w:rFonts w:ascii="Arial" w:cs="Arial" w:eastAsia="Arial" w:hAnsi="Arial"/>
                <w:sz w:val="18"/>
                <w:szCs w:val="18"/>
                <w:color w:val="auto"/>
                <w:w w:val="89"/>
              </w:rPr>
              <w:t>353,904,049</w:t>
            </w:r>
          </w:p>
        </w:tc>
        <w:tc>
          <w:tcPr>
            <w:tcW w:w="2480" w:type="dxa"/>
            <w:vAlign w:val="bottom"/>
          </w:tcPr>
          <w:p>
            <w:pPr>
              <w:jc w:val="center"/>
              <w:ind w:left="250"/>
              <w:spacing w:after="0"/>
              <w:rPr>
                <w:sz w:val="20"/>
                <w:szCs w:val="20"/>
                <w:color w:val="auto"/>
              </w:rPr>
            </w:pPr>
            <w:r>
              <w:rPr>
                <w:rFonts w:ascii="Arial" w:cs="Arial" w:eastAsia="Arial" w:hAnsi="Arial"/>
                <w:sz w:val="18"/>
                <w:szCs w:val="18"/>
                <w:color w:val="auto"/>
                <w:w w:val="90"/>
              </w:rPr>
              <w:t>16,447,816</w:t>
            </w:r>
          </w:p>
        </w:tc>
        <w:tc>
          <w:tcPr>
            <w:tcW w:w="2220" w:type="dxa"/>
            <w:vAlign w:val="bottom"/>
          </w:tcPr>
          <w:p>
            <w:pPr>
              <w:jc w:val="right"/>
              <w:ind w:right="410"/>
              <w:spacing w:after="0"/>
              <w:rPr>
                <w:sz w:val="20"/>
                <w:szCs w:val="20"/>
                <w:color w:val="auto"/>
              </w:rPr>
            </w:pPr>
            <w:r>
              <w:rPr>
                <w:rFonts w:ascii="Arial" w:cs="Arial" w:eastAsia="Arial" w:hAnsi="Arial"/>
                <w:sz w:val="18"/>
                <w:szCs w:val="18"/>
                <w:color w:val="auto"/>
              </w:rPr>
              <w:t>23,129,668</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Jeffrey A. Honickman</w:t>
            </w:r>
          </w:p>
        </w:tc>
        <w:tc>
          <w:tcPr>
            <w:tcW w:w="3220" w:type="dxa"/>
            <w:vAlign w:val="bottom"/>
          </w:tcPr>
          <w:p>
            <w:pPr>
              <w:jc w:val="center"/>
              <w:ind w:left="230"/>
              <w:spacing w:after="0"/>
              <w:rPr>
                <w:sz w:val="20"/>
                <w:szCs w:val="20"/>
                <w:color w:val="auto"/>
              </w:rPr>
            </w:pPr>
            <w:r>
              <w:rPr>
                <w:rFonts w:ascii="Arial" w:cs="Arial" w:eastAsia="Arial" w:hAnsi="Arial"/>
                <w:sz w:val="18"/>
                <w:szCs w:val="18"/>
                <w:color w:val="auto"/>
                <w:w w:val="89"/>
              </w:rPr>
              <w:t>365,789,934</w:t>
            </w:r>
          </w:p>
        </w:tc>
        <w:tc>
          <w:tcPr>
            <w:tcW w:w="2480" w:type="dxa"/>
            <w:vAlign w:val="bottom"/>
          </w:tcPr>
          <w:p>
            <w:pPr>
              <w:jc w:val="center"/>
              <w:ind w:left="230"/>
              <w:spacing w:after="0"/>
              <w:rPr>
                <w:sz w:val="20"/>
                <w:szCs w:val="20"/>
                <w:color w:val="auto"/>
              </w:rPr>
            </w:pPr>
            <w:r>
              <w:rPr>
                <w:rFonts w:ascii="Arial" w:cs="Arial" w:eastAsia="Arial" w:hAnsi="Arial"/>
                <w:sz w:val="18"/>
                <w:szCs w:val="18"/>
                <w:color w:val="auto"/>
                <w:w w:val="89"/>
              </w:rPr>
              <w:t>4,561,931</w:t>
            </w:r>
          </w:p>
        </w:tc>
        <w:tc>
          <w:tcPr>
            <w:tcW w:w="2220" w:type="dxa"/>
            <w:vAlign w:val="bottom"/>
          </w:tcPr>
          <w:p>
            <w:pPr>
              <w:jc w:val="right"/>
              <w:ind w:right="410"/>
              <w:spacing w:after="0"/>
              <w:rPr>
                <w:sz w:val="20"/>
                <w:szCs w:val="20"/>
                <w:color w:val="auto"/>
              </w:rPr>
            </w:pPr>
            <w:r>
              <w:rPr>
                <w:rFonts w:ascii="Arial" w:cs="Arial" w:eastAsia="Arial" w:hAnsi="Arial"/>
                <w:sz w:val="18"/>
                <w:szCs w:val="18"/>
                <w:color w:val="auto"/>
              </w:rPr>
              <w:t>23,129,668</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Asuka Nakahara</w:t>
            </w:r>
          </w:p>
        </w:tc>
        <w:tc>
          <w:tcPr>
            <w:tcW w:w="3220" w:type="dxa"/>
            <w:vAlign w:val="bottom"/>
          </w:tcPr>
          <w:p>
            <w:pPr>
              <w:jc w:val="center"/>
              <w:ind w:left="230"/>
              <w:spacing w:after="0"/>
              <w:rPr>
                <w:sz w:val="20"/>
                <w:szCs w:val="20"/>
                <w:color w:val="auto"/>
              </w:rPr>
            </w:pPr>
            <w:r>
              <w:rPr>
                <w:rFonts w:ascii="Arial" w:cs="Arial" w:eastAsia="Arial" w:hAnsi="Arial"/>
                <w:sz w:val="18"/>
                <w:szCs w:val="18"/>
                <w:color w:val="auto"/>
                <w:w w:val="89"/>
              </w:rPr>
              <w:t>369,188,416</w:t>
            </w:r>
          </w:p>
        </w:tc>
        <w:tc>
          <w:tcPr>
            <w:tcW w:w="2480" w:type="dxa"/>
            <w:vAlign w:val="bottom"/>
          </w:tcPr>
          <w:p>
            <w:pPr>
              <w:jc w:val="center"/>
              <w:ind w:left="230"/>
              <w:spacing w:after="0"/>
              <w:rPr>
                <w:sz w:val="20"/>
                <w:szCs w:val="20"/>
                <w:color w:val="auto"/>
              </w:rPr>
            </w:pPr>
            <w:r>
              <w:rPr>
                <w:rFonts w:ascii="Arial" w:cs="Arial" w:eastAsia="Arial" w:hAnsi="Arial"/>
                <w:sz w:val="18"/>
                <w:szCs w:val="18"/>
                <w:color w:val="auto"/>
                <w:w w:val="89"/>
              </w:rPr>
              <w:t>1,163,449</w:t>
            </w:r>
          </w:p>
        </w:tc>
        <w:tc>
          <w:tcPr>
            <w:tcW w:w="2220" w:type="dxa"/>
            <w:vAlign w:val="bottom"/>
          </w:tcPr>
          <w:p>
            <w:pPr>
              <w:jc w:val="right"/>
              <w:ind w:right="410"/>
              <w:spacing w:after="0"/>
              <w:rPr>
                <w:sz w:val="20"/>
                <w:szCs w:val="20"/>
                <w:color w:val="auto"/>
              </w:rPr>
            </w:pPr>
            <w:r>
              <w:rPr>
                <w:rFonts w:ascii="Arial" w:cs="Arial" w:eastAsia="Arial" w:hAnsi="Arial"/>
                <w:sz w:val="18"/>
                <w:szCs w:val="18"/>
                <w:color w:val="auto"/>
              </w:rPr>
              <w:t>23,129,668</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David C. Novak</w:t>
            </w:r>
          </w:p>
        </w:tc>
        <w:tc>
          <w:tcPr>
            <w:tcW w:w="3220" w:type="dxa"/>
            <w:vAlign w:val="bottom"/>
          </w:tcPr>
          <w:p>
            <w:pPr>
              <w:jc w:val="center"/>
              <w:ind w:left="230"/>
              <w:spacing w:after="0"/>
              <w:rPr>
                <w:sz w:val="20"/>
                <w:szCs w:val="20"/>
                <w:color w:val="auto"/>
              </w:rPr>
            </w:pPr>
            <w:r>
              <w:rPr>
                <w:rFonts w:ascii="Arial" w:cs="Arial" w:eastAsia="Arial" w:hAnsi="Arial"/>
                <w:sz w:val="18"/>
                <w:szCs w:val="18"/>
                <w:color w:val="auto"/>
                <w:w w:val="89"/>
              </w:rPr>
              <w:t>366,074,832</w:t>
            </w:r>
          </w:p>
        </w:tc>
        <w:tc>
          <w:tcPr>
            <w:tcW w:w="2480" w:type="dxa"/>
            <w:vAlign w:val="bottom"/>
          </w:tcPr>
          <w:p>
            <w:pPr>
              <w:jc w:val="center"/>
              <w:ind w:left="230"/>
              <w:spacing w:after="0"/>
              <w:rPr>
                <w:sz w:val="20"/>
                <w:szCs w:val="20"/>
                <w:color w:val="auto"/>
              </w:rPr>
            </w:pPr>
            <w:r>
              <w:rPr>
                <w:rFonts w:ascii="Arial" w:cs="Arial" w:eastAsia="Arial" w:hAnsi="Arial"/>
                <w:sz w:val="18"/>
                <w:szCs w:val="18"/>
                <w:color w:val="auto"/>
                <w:w w:val="89"/>
              </w:rPr>
              <w:t>4,277,033</w:t>
            </w:r>
          </w:p>
        </w:tc>
        <w:tc>
          <w:tcPr>
            <w:tcW w:w="2220" w:type="dxa"/>
            <w:vAlign w:val="bottom"/>
          </w:tcPr>
          <w:p>
            <w:pPr>
              <w:jc w:val="right"/>
              <w:ind w:right="410"/>
              <w:spacing w:after="0"/>
              <w:rPr>
                <w:sz w:val="20"/>
                <w:szCs w:val="20"/>
                <w:color w:val="auto"/>
              </w:rPr>
            </w:pPr>
            <w:r>
              <w:rPr>
                <w:rFonts w:ascii="Arial" w:cs="Arial" w:eastAsia="Arial" w:hAnsi="Arial"/>
                <w:sz w:val="18"/>
                <w:szCs w:val="18"/>
                <w:color w:val="auto"/>
              </w:rPr>
              <w:t>23,129,668</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Brian L. Roberts</w:t>
            </w:r>
          </w:p>
        </w:tc>
        <w:tc>
          <w:tcPr>
            <w:tcW w:w="3220" w:type="dxa"/>
            <w:vAlign w:val="bottom"/>
          </w:tcPr>
          <w:p>
            <w:pPr>
              <w:jc w:val="center"/>
              <w:ind w:left="230"/>
              <w:spacing w:after="0"/>
              <w:rPr>
                <w:sz w:val="20"/>
                <w:szCs w:val="20"/>
                <w:color w:val="auto"/>
              </w:rPr>
            </w:pPr>
            <w:r>
              <w:rPr>
                <w:rFonts w:ascii="Arial" w:cs="Arial" w:eastAsia="Arial" w:hAnsi="Arial"/>
                <w:sz w:val="18"/>
                <w:szCs w:val="18"/>
                <w:color w:val="auto"/>
                <w:w w:val="89"/>
              </w:rPr>
              <w:t>364,404,755</w:t>
            </w:r>
          </w:p>
        </w:tc>
        <w:tc>
          <w:tcPr>
            <w:tcW w:w="2480" w:type="dxa"/>
            <w:vAlign w:val="bottom"/>
          </w:tcPr>
          <w:p>
            <w:pPr>
              <w:jc w:val="center"/>
              <w:ind w:left="250"/>
              <w:spacing w:after="0"/>
              <w:rPr>
                <w:sz w:val="20"/>
                <w:szCs w:val="20"/>
                <w:color w:val="auto"/>
              </w:rPr>
            </w:pPr>
            <w:r>
              <w:rPr>
                <w:rFonts w:ascii="Arial" w:cs="Arial" w:eastAsia="Arial" w:hAnsi="Arial"/>
                <w:sz w:val="18"/>
                <w:szCs w:val="18"/>
                <w:color w:val="auto"/>
                <w:w w:val="87"/>
              </w:rPr>
              <w:t>5,947,110</w:t>
            </w:r>
          </w:p>
        </w:tc>
        <w:tc>
          <w:tcPr>
            <w:tcW w:w="2220" w:type="dxa"/>
            <w:vAlign w:val="bottom"/>
          </w:tcPr>
          <w:p>
            <w:pPr>
              <w:jc w:val="right"/>
              <w:ind w:right="410"/>
              <w:spacing w:after="0"/>
              <w:rPr>
                <w:sz w:val="20"/>
                <w:szCs w:val="20"/>
                <w:color w:val="auto"/>
              </w:rPr>
            </w:pPr>
            <w:r>
              <w:rPr>
                <w:rFonts w:ascii="Arial" w:cs="Arial" w:eastAsia="Arial" w:hAnsi="Arial"/>
                <w:sz w:val="18"/>
                <w:szCs w:val="18"/>
                <w:color w:val="auto"/>
              </w:rPr>
              <w:t>23,129,668</w:t>
            </w: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Johnathan A. Rodgers</w:t>
            </w:r>
          </w:p>
        </w:tc>
        <w:tc>
          <w:tcPr>
            <w:tcW w:w="3220" w:type="dxa"/>
            <w:vAlign w:val="bottom"/>
          </w:tcPr>
          <w:p>
            <w:pPr>
              <w:jc w:val="center"/>
              <w:ind w:left="230"/>
              <w:spacing w:after="0"/>
              <w:rPr>
                <w:sz w:val="20"/>
                <w:szCs w:val="20"/>
                <w:color w:val="auto"/>
              </w:rPr>
            </w:pPr>
            <w:r>
              <w:rPr>
                <w:rFonts w:ascii="Arial" w:cs="Arial" w:eastAsia="Arial" w:hAnsi="Arial"/>
                <w:sz w:val="18"/>
                <w:szCs w:val="18"/>
                <w:color w:val="auto"/>
                <w:w w:val="89"/>
              </w:rPr>
              <w:t>368,728,174</w:t>
            </w:r>
          </w:p>
        </w:tc>
        <w:tc>
          <w:tcPr>
            <w:tcW w:w="2480" w:type="dxa"/>
            <w:vAlign w:val="bottom"/>
          </w:tcPr>
          <w:p>
            <w:pPr>
              <w:jc w:val="center"/>
              <w:ind w:left="230"/>
              <w:spacing w:after="0"/>
              <w:rPr>
                <w:sz w:val="20"/>
                <w:szCs w:val="20"/>
                <w:color w:val="auto"/>
              </w:rPr>
            </w:pPr>
            <w:r>
              <w:rPr>
                <w:rFonts w:ascii="Arial" w:cs="Arial" w:eastAsia="Arial" w:hAnsi="Arial"/>
                <w:sz w:val="18"/>
                <w:szCs w:val="18"/>
                <w:color w:val="auto"/>
                <w:w w:val="89"/>
              </w:rPr>
              <w:t>1,623,691</w:t>
            </w:r>
          </w:p>
        </w:tc>
        <w:tc>
          <w:tcPr>
            <w:tcW w:w="2220" w:type="dxa"/>
            <w:vAlign w:val="bottom"/>
          </w:tcPr>
          <w:p>
            <w:pPr>
              <w:jc w:val="right"/>
              <w:ind w:right="410"/>
              <w:spacing w:after="0"/>
              <w:rPr>
                <w:sz w:val="20"/>
                <w:szCs w:val="20"/>
                <w:color w:val="auto"/>
              </w:rPr>
            </w:pPr>
            <w:r>
              <w:rPr>
                <w:rFonts w:ascii="Arial" w:cs="Arial" w:eastAsia="Arial" w:hAnsi="Arial"/>
                <w:sz w:val="18"/>
                <w:szCs w:val="18"/>
                <w:color w:val="auto"/>
              </w:rPr>
              <w:t>23,129,668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(2) The appointment of Deloitte &amp; Touche LLP as our independent auditors for the 2017 fiscal year, as described in the proxy statement, was ratified.</w:t>
      </w:r>
    </w:p>
    <w:p>
      <w:pPr>
        <w:spacing w:after="0" w:line="23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200" w:type="dxa"/>
            <w:vAlign w:val="bottom"/>
            <w:tcBorders>
              <w:bottom w:val="single" w:sz="8" w:color="auto"/>
            </w:tcBorders>
          </w:tcPr>
          <w:p>
            <w:pPr>
              <w:jc w:val="right"/>
              <w:ind w:right="1410"/>
              <w:spacing w:after="0"/>
              <w:rPr>
                <w:sz w:val="20"/>
                <w:szCs w:val="20"/>
                <w:color w:val="auto"/>
              </w:rPr>
            </w:pPr>
            <w:r>
              <w:rPr>
                <w:rFonts w:ascii="Arial" w:cs="Arial" w:eastAsia="Arial" w:hAnsi="Arial"/>
                <w:sz w:val="18"/>
                <w:szCs w:val="18"/>
                <w:color w:val="auto"/>
              </w:rPr>
              <w:t>For</w:t>
            </w:r>
          </w:p>
        </w:tc>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Against</w:t>
            </w:r>
          </w:p>
        </w:tc>
        <w:tc>
          <w:tcPr>
            <w:tcW w:w="240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Abstain</w:t>
            </w:r>
          </w:p>
        </w:tc>
        <w:tc>
          <w:tcPr>
            <w:tcW w:w="228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color w:val="auto"/>
                <w:w w:val="92"/>
              </w:rPr>
              <w:t>Broker Non-Votes</w:t>
            </w:r>
          </w:p>
        </w:tc>
      </w:tr>
      <w:tr>
        <w:trPr>
          <w:trHeight w:val="224"/>
        </w:trPr>
        <w:tc>
          <w:tcPr>
            <w:tcW w:w="3200" w:type="dxa"/>
            <w:vAlign w:val="bottom"/>
          </w:tcPr>
          <w:p>
            <w:pPr>
              <w:jc w:val="right"/>
              <w:ind w:right="1010"/>
              <w:spacing w:after="0"/>
              <w:rPr>
                <w:sz w:val="20"/>
                <w:szCs w:val="20"/>
                <w:color w:val="auto"/>
              </w:rPr>
            </w:pPr>
            <w:r>
              <w:rPr>
                <w:rFonts w:ascii="Arial" w:cs="Arial" w:eastAsia="Arial" w:hAnsi="Arial"/>
                <w:sz w:val="18"/>
                <w:szCs w:val="18"/>
                <w:color w:val="auto"/>
              </w:rPr>
              <w:t>389,190,184</w:t>
            </w:r>
          </w:p>
        </w:tc>
        <w:tc>
          <w:tcPr>
            <w:tcW w:w="2940" w:type="dxa"/>
            <w:vAlign w:val="bottom"/>
          </w:tcPr>
          <w:p>
            <w:pPr>
              <w:jc w:val="right"/>
              <w:ind w:right="1030"/>
              <w:spacing w:after="0"/>
              <w:rPr>
                <w:sz w:val="20"/>
                <w:szCs w:val="20"/>
                <w:color w:val="auto"/>
              </w:rPr>
            </w:pPr>
            <w:r>
              <w:rPr>
                <w:rFonts w:ascii="Arial" w:cs="Arial" w:eastAsia="Arial" w:hAnsi="Arial"/>
                <w:sz w:val="18"/>
                <w:szCs w:val="18"/>
                <w:color w:val="auto"/>
              </w:rPr>
              <w:t>4,027,455</w:t>
            </w:r>
          </w:p>
        </w:tc>
        <w:tc>
          <w:tcPr>
            <w:tcW w:w="2400" w:type="dxa"/>
            <w:vAlign w:val="bottom"/>
          </w:tcPr>
          <w:p>
            <w:pPr>
              <w:ind w:left="1100"/>
              <w:spacing w:after="0"/>
              <w:rPr>
                <w:sz w:val="20"/>
                <w:szCs w:val="20"/>
                <w:color w:val="auto"/>
              </w:rPr>
            </w:pPr>
            <w:r>
              <w:rPr>
                <w:rFonts w:ascii="Arial" w:cs="Arial" w:eastAsia="Arial" w:hAnsi="Arial"/>
                <w:sz w:val="18"/>
                <w:szCs w:val="18"/>
                <w:color w:val="auto"/>
              </w:rPr>
              <w:t>263,894</w:t>
            </w:r>
          </w:p>
        </w:tc>
        <w:tc>
          <w:tcPr>
            <w:tcW w:w="2280" w:type="dxa"/>
            <w:vAlign w:val="bottom"/>
          </w:tcPr>
          <w:p>
            <w:pPr>
              <w:jc w:val="center"/>
              <w:ind w:left="370"/>
              <w:spacing w:after="0"/>
              <w:rPr>
                <w:sz w:val="20"/>
                <w:szCs w:val="20"/>
                <w:color w:val="auto"/>
              </w:rPr>
            </w:pPr>
            <w:r>
              <w:rPr>
                <w:rFonts w:ascii="Arial" w:cs="Arial" w:eastAsia="Arial" w:hAnsi="Arial"/>
                <w:sz w:val="18"/>
                <w:szCs w:val="18"/>
                <w:color w:val="auto"/>
                <w:w w:val="99"/>
              </w:rPr>
              <w:t>N/A</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(3) The advisory vote on our executive compensation, as described in the proxy statement, was approved.</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180" w:type="dxa"/>
            <w:vAlign w:val="bottom"/>
            <w:tcBorders>
              <w:bottom w:val="single" w:sz="8" w:color="auto"/>
            </w:tcBorders>
          </w:tcPr>
          <w:p>
            <w:pPr>
              <w:jc w:val="right"/>
              <w:ind w:right="1390"/>
              <w:spacing w:after="0"/>
              <w:rPr>
                <w:sz w:val="20"/>
                <w:szCs w:val="20"/>
                <w:color w:val="auto"/>
              </w:rPr>
            </w:pPr>
            <w:r>
              <w:rPr>
                <w:rFonts w:ascii="Arial" w:cs="Arial" w:eastAsia="Arial" w:hAnsi="Arial"/>
                <w:sz w:val="18"/>
                <w:szCs w:val="18"/>
                <w:color w:val="auto"/>
              </w:rPr>
              <w:t>For</w:t>
            </w: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Against</w:t>
            </w:r>
          </w:p>
        </w:tc>
        <w:tc>
          <w:tcPr>
            <w:tcW w:w="238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Abstain</w:t>
            </w:r>
          </w:p>
        </w:tc>
        <w:tc>
          <w:tcPr>
            <w:tcW w:w="228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color w:val="auto"/>
                <w:w w:val="92"/>
              </w:rPr>
              <w:t>Broker Non-Votes</w:t>
            </w:r>
          </w:p>
        </w:tc>
      </w:tr>
      <w:tr>
        <w:trPr>
          <w:trHeight w:val="224"/>
        </w:trPr>
        <w:tc>
          <w:tcPr>
            <w:tcW w:w="3180" w:type="dxa"/>
            <w:vAlign w:val="bottom"/>
          </w:tcPr>
          <w:p>
            <w:pPr>
              <w:jc w:val="right"/>
              <w:ind w:right="990"/>
              <w:spacing w:after="0"/>
              <w:rPr>
                <w:sz w:val="20"/>
                <w:szCs w:val="20"/>
                <w:color w:val="auto"/>
              </w:rPr>
            </w:pPr>
            <w:r>
              <w:rPr>
                <w:rFonts w:ascii="Arial" w:cs="Arial" w:eastAsia="Arial" w:hAnsi="Arial"/>
                <w:sz w:val="18"/>
                <w:szCs w:val="18"/>
                <w:color w:val="auto"/>
              </w:rPr>
              <w:t>336,266,339</w:t>
            </w:r>
          </w:p>
        </w:tc>
        <w:tc>
          <w:tcPr>
            <w:tcW w:w="2980" w:type="dxa"/>
            <w:vAlign w:val="bottom"/>
          </w:tcPr>
          <w:p>
            <w:pPr>
              <w:jc w:val="right"/>
              <w:ind w:right="990"/>
              <w:spacing w:after="0"/>
              <w:rPr>
                <w:sz w:val="20"/>
                <w:szCs w:val="20"/>
                <w:color w:val="auto"/>
              </w:rPr>
            </w:pPr>
            <w:r>
              <w:rPr>
                <w:rFonts w:ascii="Arial" w:cs="Arial" w:eastAsia="Arial" w:hAnsi="Arial"/>
                <w:sz w:val="18"/>
                <w:szCs w:val="18"/>
                <w:color w:val="auto"/>
              </w:rPr>
              <w:t>33,619,214</w:t>
            </w:r>
          </w:p>
        </w:tc>
        <w:tc>
          <w:tcPr>
            <w:tcW w:w="2380" w:type="dxa"/>
            <w:vAlign w:val="bottom"/>
          </w:tcPr>
          <w:p>
            <w:pPr>
              <w:ind w:left="1080"/>
              <w:spacing w:after="0"/>
              <w:rPr>
                <w:sz w:val="20"/>
                <w:szCs w:val="20"/>
                <w:color w:val="auto"/>
              </w:rPr>
            </w:pPr>
            <w:r>
              <w:rPr>
                <w:rFonts w:ascii="Arial" w:cs="Arial" w:eastAsia="Arial" w:hAnsi="Arial"/>
                <w:sz w:val="18"/>
                <w:szCs w:val="18"/>
                <w:color w:val="auto"/>
              </w:rPr>
              <w:t>466,310</w:t>
            </w:r>
          </w:p>
        </w:tc>
        <w:tc>
          <w:tcPr>
            <w:tcW w:w="2280" w:type="dxa"/>
            <w:vAlign w:val="bottom"/>
          </w:tcPr>
          <w:p>
            <w:pPr>
              <w:jc w:val="right"/>
              <w:ind w:right="410"/>
              <w:spacing w:after="0"/>
              <w:rPr>
                <w:sz w:val="20"/>
                <w:szCs w:val="20"/>
                <w:color w:val="auto"/>
              </w:rPr>
            </w:pPr>
            <w:r>
              <w:rPr>
                <w:rFonts w:ascii="Arial" w:cs="Arial" w:eastAsia="Arial" w:hAnsi="Arial"/>
                <w:sz w:val="18"/>
                <w:szCs w:val="18"/>
                <w:color w:val="auto"/>
              </w:rPr>
              <w:t>23,129,670</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(4) The advisory vote on the frequency of our advisory vote on executive compensation, as described in the proxy statement, was voted to be held every year.</w:t>
      </w:r>
    </w:p>
    <w:p>
      <w:pPr>
        <w:spacing w:after="0" w:line="248"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21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One Year</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Two Years</w:t>
            </w:r>
          </w:p>
        </w:tc>
        <w:tc>
          <w:tcPr>
            <w:tcW w:w="23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6"/>
              </w:rPr>
              <w:t>Three Years</w:t>
            </w:r>
          </w:p>
        </w:tc>
        <w:tc>
          <w:tcPr>
            <w:tcW w:w="212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Abstain</w:t>
            </w:r>
          </w:p>
        </w:tc>
        <w:tc>
          <w:tcPr>
            <w:tcW w:w="228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color w:val="auto"/>
                <w:w w:val="92"/>
              </w:rPr>
              <w:t>Broker Non-Votes</w:t>
            </w:r>
          </w:p>
        </w:tc>
      </w:tr>
      <w:tr>
        <w:trPr>
          <w:trHeight w:val="224"/>
        </w:trPr>
        <w:tc>
          <w:tcPr>
            <w:tcW w:w="2120" w:type="dxa"/>
            <w:vAlign w:val="bottom"/>
          </w:tcPr>
          <w:p>
            <w:pPr>
              <w:jc w:val="right"/>
              <w:ind w:right="510"/>
              <w:spacing w:after="0"/>
              <w:rPr>
                <w:sz w:val="20"/>
                <w:szCs w:val="20"/>
                <w:color w:val="auto"/>
              </w:rPr>
            </w:pPr>
            <w:r>
              <w:rPr>
                <w:rFonts w:ascii="Arial" w:cs="Arial" w:eastAsia="Arial" w:hAnsi="Arial"/>
                <w:sz w:val="18"/>
                <w:szCs w:val="18"/>
                <w:color w:val="auto"/>
              </w:rPr>
              <w:t>348,546,541</w:t>
            </w:r>
          </w:p>
        </w:tc>
        <w:tc>
          <w:tcPr>
            <w:tcW w:w="1980" w:type="dxa"/>
            <w:vAlign w:val="bottom"/>
          </w:tcPr>
          <w:p>
            <w:pPr>
              <w:jc w:val="right"/>
              <w:ind w:right="610"/>
              <w:spacing w:after="0"/>
              <w:rPr>
                <w:sz w:val="20"/>
                <w:szCs w:val="20"/>
                <w:color w:val="auto"/>
              </w:rPr>
            </w:pPr>
            <w:r>
              <w:rPr>
                <w:rFonts w:ascii="Arial" w:cs="Arial" w:eastAsia="Arial" w:hAnsi="Arial"/>
                <w:sz w:val="18"/>
                <w:szCs w:val="18"/>
                <w:color w:val="auto"/>
              </w:rPr>
              <w:t>242,630</w:t>
            </w:r>
          </w:p>
        </w:tc>
        <w:tc>
          <w:tcPr>
            <w:tcW w:w="2320" w:type="dxa"/>
            <w:vAlign w:val="bottom"/>
          </w:tcPr>
          <w:p>
            <w:pPr>
              <w:jc w:val="right"/>
              <w:ind w:right="770"/>
              <w:spacing w:after="0"/>
              <w:rPr>
                <w:sz w:val="20"/>
                <w:szCs w:val="20"/>
                <w:color w:val="auto"/>
              </w:rPr>
            </w:pPr>
            <w:r>
              <w:rPr>
                <w:rFonts w:ascii="Arial" w:cs="Arial" w:eastAsia="Arial" w:hAnsi="Arial"/>
                <w:sz w:val="18"/>
                <w:szCs w:val="18"/>
                <w:color w:val="auto"/>
              </w:rPr>
              <w:t>21,259,280</w:t>
            </w:r>
          </w:p>
        </w:tc>
        <w:tc>
          <w:tcPr>
            <w:tcW w:w="2120" w:type="dxa"/>
            <w:vAlign w:val="bottom"/>
          </w:tcPr>
          <w:p>
            <w:pPr>
              <w:ind w:left="820"/>
              <w:spacing w:after="0"/>
              <w:rPr>
                <w:sz w:val="20"/>
                <w:szCs w:val="20"/>
                <w:color w:val="auto"/>
              </w:rPr>
            </w:pPr>
            <w:r>
              <w:rPr>
                <w:rFonts w:ascii="Arial" w:cs="Arial" w:eastAsia="Arial" w:hAnsi="Arial"/>
                <w:sz w:val="18"/>
                <w:szCs w:val="18"/>
                <w:color w:val="auto"/>
              </w:rPr>
              <w:t>303,410</w:t>
            </w:r>
          </w:p>
        </w:tc>
        <w:tc>
          <w:tcPr>
            <w:tcW w:w="2280" w:type="dxa"/>
            <w:vAlign w:val="bottom"/>
          </w:tcPr>
          <w:p>
            <w:pPr>
              <w:jc w:val="right"/>
              <w:ind w:right="410"/>
              <w:spacing w:after="0"/>
              <w:rPr>
                <w:sz w:val="20"/>
                <w:szCs w:val="20"/>
                <w:color w:val="auto"/>
              </w:rPr>
            </w:pPr>
            <w:r>
              <w:rPr>
                <w:rFonts w:ascii="Arial" w:cs="Arial" w:eastAsia="Arial" w:hAnsi="Arial"/>
                <w:sz w:val="18"/>
                <w:szCs w:val="18"/>
                <w:color w:val="auto"/>
              </w:rPr>
              <w:t>23,129,672</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(5) A shareholder proposal to prepare an annual report on lobbying activities, as described in the proxy statement, was not approved.</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140" w:type="dxa"/>
            <w:vAlign w:val="bottom"/>
            <w:tcBorders>
              <w:bottom w:val="single" w:sz="8" w:color="auto"/>
            </w:tcBorders>
          </w:tcPr>
          <w:p>
            <w:pPr>
              <w:jc w:val="right"/>
              <w:ind w:right="1330"/>
              <w:spacing w:after="0"/>
              <w:rPr>
                <w:sz w:val="20"/>
                <w:szCs w:val="20"/>
                <w:color w:val="auto"/>
              </w:rPr>
            </w:pPr>
            <w:r>
              <w:rPr>
                <w:rFonts w:ascii="Arial" w:cs="Arial" w:eastAsia="Arial" w:hAnsi="Arial"/>
                <w:sz w:val="18"/>
                <w:szCs w:val="18"/>
                <w:color w:val="auto"/>
              </w:rPr>
              <w:t>For</w:t>
            </w:r>
          </w:p>
        </w:tc>
        <w:tc>
          <w:tcPr>
            <w:tcW w:w="3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Against</w:t>
            </w:r>
          </w:p>
        </w:tc>
        <w:tc>
          <w:tcPr>
            <w:tcW w:w="2420" w:type="dxa"/>
            <w:vAlign w:val="bottom"/>
            <w:tcBorders>
              <w:bottom w:val="single" w:sz="8" w:color="auto"/>
            </w:tcBorders>
          </w:tcPr>
          <w:p>
            <w:pPr>
              <w:jc w:val="center"/>
              <w:ind w:left="250"/>
              <w:spacing w:after="0"/>
              <w:rPr>
                <w:sz w:val="20"/>
                <w:szCs w:val="20"/>
                <w:color w:val="auto"/>
              </w:rPr>
            </w:pPr>
            <w:r>
              <w:rPr>
                <w:rFonts w:ascii="Arial" w:cs="Arial" w:eastAsia="Arial" w:hAnsi="Arial"/>
                <w:sz w:val="18"/>
                <w:szCs w:val="18"/>
                <w:color w:val="auto"/>
                <w:w w:val="93"/>
              </w:rPr>
              <w:t>Abstain</w:t>
            </w:r>
          </w:p>
        </w:tc>
        <w:tc>
          <w:tcPr>
            <w:tcW w:w="226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color w:val="auto"/>
                <w:w w:val="92"/>
              </w:rPr>
              <w:t>Broker Non-Votes</w:t>
            </w:r>
          </w:p>
        </w:tc>
      </w:tr>
      <w:tr>
        <w:trPr>
          <w:trHeight w:val="224"/>
        </w:trPr>
        <w:tc>
          <w:tcPr>
            <w:tcW w:w="3140" w:type="dxa"/>
            <w:vAlign w:val="bottom"/>
          </w:tcPr>
          <w:p>
            <w:pPr>
              <w:jc w:val="right"/>
              <w:ind w:right="990"/>
              <w:spacing w:after="0"/>
              <w:rPr>
                <w:sz w:val="20"/>
                <w:szCs w:val="20"/>
                <w:color w:val="auto"/>
              </w:rPr>
            </w:pPr>
            <w:r>
              <w:rPr>
                <w:rFonts w:ascii="Arial" w:cs="Arial" w:eastAsia="Arial" w:hAnsi="Arial"/>
                <w:sz w:val="18"/>
                <w:szCs w:val="18"/>
                <w:color w:val="auto"/>
              </w:rPr>
              <w:t>60,420,525</w:t>
            </w:r>
          </w:p>
        </w:tc>
        <w:tc>
          <w:tcPr>
            <w:tcW w:w="3000" w:type="dxa"/>
            <w:vAlign w:val="bottom"/>
          </w:tcPr>
          <w:p>
            <w:pPr>
              <w:jc w:val="right"/>
              <w:ind w:right="930"/>
              <w:spacing w:after="0"/>
              <w:rPr>
                <w:sz w:val="20"/>
                <w:szCs w:val="20"/>
                <w:color w:val="auto"/>
              </w:rPr>
            </w:pPr>
            <w:r>
              <w:rPr>
                <w:rFonts w:ascii="Arial" w:cs="Arial" w:eastAsia="Arial" w:hAnsi="Arial"/>
                <w:sz w:val="18"/>
                <w:szCs w:val="18"/>
                <w:color w:val="auto"/>
              </w:rPr>
              <w:t>304,341,115</w:t>
            </w:r>
          </w:p>
        </w:tc>
        <w:tc>
          <w:tcPr>
            <w:tcW w:w="2420" w:type="dxa"/>
            <w:vAlign w:val="bottom"/>
          </w:tcPr>
          <w:p>
            <w:pPr>
              <w:jc w:val="right"/>
              <w:ind w:right="590"/>
              <w:spacing w:after="0"/>
              <w:rPr>
                <w:sz w:val="20"/>
                <w:szCs w:val="20"/>
                <w:color w:val="auto"/>
              </w:rPr>
            </w:pPr>
            <w:r>
              <w:rPr>
                <w:rFonts w:ascii="Arial" w:cs="Arial" w:eastAsia="Arial" w:hAnsi="Arial"/>
                <w:sz w:val="18"/>
                <w:szCs w:val="18"/>
                <w:color w:val="auto"/>
              </w:rPr>
              <w:t>5,590,222</w:t>
            </w:r>
          </w:p>
        </w:tc>
        <w:tc>
          <w:tcPr>
            <w:tcW w:w="2260" w:type="dxa"/>
            <w:vAlign w:val="bottom"/>
          </w:tcPr>
          <w:p>
            <w:pPr>
              <w:jc w:val="right"/>
              <w:ind w:right="410"/>
              <w:spacing w:after="0"/>
              <w:rPr>
                <w:sz w:val="20"/>
                <w:szCs w:val="20"/>
                <w:color w:val="auto"/>
              </w:rPr>
            </w:pPr>
            <w:r>
              <w:rPr>
                <w:rFonts w:ascii="Arial" w:cs="Arial" w:eastAsia="Arial" w:hAnsi="Arial"/>
                <w:sz w:val="18"/>
                <w:szCs w:val="18"/>
                <w:color w:val="auto"/>
              </w:rPr>
              <w:t>23,129,671</w:t>
            </w:r>
          </w:p>
        </w:tc>
      </w:tr>
    </w:tbl>
    <w:p>
      <w:pPr>
        <w:spacing w:after="0" w:line="214" w:lineRule="exact"/>
        <w:rPr>
          <w:sz w:val="20"/>
          <w:szCs w:val="20"/>
          <w:color w:val="auto"/>
        </w:rPr>
      </w:pPr>
    </w:p>
    <w:p>
      <w:pPr>
        <w:ind w:left="340" w:right="60" w:hanging="332"/>
        <w:spacing w:after="0" w:line="259"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 vote is being reported for a shareholder proposal to stop 100-1 voting power because it was not presented at the annual meeting by the shareholder proponent or a designee of the shareholder proponent as required, and therefore, was not acted upon by the shareholders. However, if the shareholder proposal had been acted upon, this proposal would have been defeated by over a majority of the votes cast based on proxies delivered prior to the closing of the polls for the annual meeting.</w:t>
      </w:r>
    </w:p>
    <w:p>
      <w:pPr>
        <w:spacing w:after="0" w:line="187" w:lineRule="exact"/>
        <w:rPr>
          <w:sz w:val="20"/>
          <w:szCs w:val="20"/>
          <w:color w:val="auto"/>
        </w:rPr>
      </w:pPr>
    </w:p>
    <w:p>
      <w:pPr>
        <w:ind w:left="340" w:right="80" w:hanging="332"/>
        <w:spacing w:after="0" w:line="264"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noted above, over a majority of the votes cast by shareholders voted to hold our advisory vote on executive compensation every year. As such, the Board of Directors has decided that it will include an advisory vote on executive compensation in our proxy statements every year until the next required advisory vote on the frequency of the executive compensation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389890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6780" w:type="dxa"/>
            <w:vAlign w:val="bottom"/>
            <w:gridSpan w:val="2"/>
          </w:tcPr>
          <w:p>
            <w:pPr>
              <w:ind w:left="2000"/>
              <w:spacing w:after="0"/>
              <w:rPr>
                <w:sz w:val="20"/>
                <w:szCs w:val="20"/>
                <w:color w:val="auto"/>
              </w:rPr>
            </w:pPr>
            <w:r>
              <w:rPr>
                <w:rFonts w:ascii="Arial" w:cs="Arial" w:eastAsia="Arial" w:hAnsi="Arial"/>
                <w:sz w:val="18"/>
                <w:szCs w:val="18"/>
                <w:b w:val="1"/>
                <w:bCs w:val="1"/>
                <w:color w:val="auto"/>
              </w:rPr>
              <w:t>COMCAST CORPORATION</w:t>
            </w:r>
          </w:p>
        </w:tc>
        <w:tc>
          <w:tcPr>
            <w:tcW w:w="1140" w:type="dxa"/>
            <w:vAlign w:val="bottom"/>
          </w:tcPr>
          <w:p>
            <w:pPr>
              <w:spacing w:after="0"/>
              <w:rPr>
                <w:sz w:val="20"/>
                <w:szCs w:val="20"/>
                <w:color w:val="auto"/>
              </w:rPr>
            </w:pPr>
          </w:p>
        </w:tc>
      </w:tr>
      <w:tr>
        <w:trPr>
          <w:trHeight w:val="648"/>
        </w:trPr>
        <w:tc>
          <w:tcPr>
            <w:tcW w:w="3500" w:type="dxa"/>
            <w:vAlign w:val="bottom"/>
          </w:tcPr>
          <w:p>
            <w:pPr>
              <w:spacing w:after="0"/>
              <w:rPr>
                <w:sz w:val="20"/>
                <w:szCs w:val="20"/>
                <w:color w:val="auto"/>
              </w:rPr>
            </w:pPr>
            <w:r>
              <w:rPr>
                <w:rFonts w:ascii="Arial" w:cs="Arial" w:eastAsia="Arial" w:hAnsi="Arial"/>
                <w:sz w:val="18"/>
                <w:szCs w:val="18"/>
                <w:color w:val="auto"/>
              </w:rPr>
              <w:t>Date: June 13, 2017</w:t>
            </w:r>
          </w:p>
        </w:tc>
        <w:tc>
          <w:tcPr>
            <w:tcW w:w="6780" w:type="dxa"/>
            <w:vAlign w:val="bottom"/>
            <w:gridSpan w:val="2"/>
          </w:tcPr>
          <w:p>
            <w:pPr>
              <w:ind w:left="2000"/>
              <w:spacing w:after="0"/>
              <w:rPr>
                <w:sz w:val="20"/>
                <w:szCs w:val="20"/>
                <w:color w:val="auto"/>
              </w:rPr>
            </w:pPr>
            <w:r>
              <w:rPr>
                <w:rFonts w:ascii="Arial" w:cs="Arial" w:eastAsia="Arial" w:hAnsi="Arial"/>
                <w:sz w:val="18"/>
                <w:szCs w:val="18"/>
                <w:color w:val="auto"/>
              </w:rPr>
              <w:t>By:  /s/ Arthur R. Block</w:t>
            </w:r>
          </w:p>
        </w:tc>
        <w:tc>
          <w:tcPr>
            <w:tcW w:w="1140" w:type="dxa"/>
            <w:vAlign w:val="bottom"/>
          </w:tcPr>
          <w:p>
            <w:pPr>
              <w:spacing w:after="0"/>
              <w:rPr>
                <w:sz w:val="24"/>
                <w:szCs w:val="24"/>
                <w:color w:val="auto"/>
              </w:rPr>
            </w:pPr>
          </w:p>
        </w:tc>
      </w:tr>
      <w:tr>
        <w:trPr>
          <w:trHeight w:val="195"/>
        </w:trPr>
        <w:tc>
          <w:tcPr>
            <w:tcW w:w="35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43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Arthur R. Block</w:t>
            </w:r>
          </w:p>
        </w:tc>
        <w:tc>
          <w:tcPr>
            <w:tcW w:w="1140" w:type="dxa"/>
            <w:vAlign w:val="bottom"/>
          </w:tcPr>
          <w:p>
            <w:pPr>
              <w:spacing w:after="0"/>
              <w:rPr>
                <w:sz w:val="16"/>
                <w:szCs w:val="16"/>
                <w:color w:val="auto"/>
              </w:rPr>
            </w:pPr>
          </w:p>
        </w:tc>
      </w:tr>
      <w:tr>
        <w:trPr>
          <w:trHeight w:val="216"/>
        </w:trPr>
        <w:tc>
          <w:tcPr>
            <w:tcW w:w="350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Title:  Executive Vice President, General Counsel and</w:t>
            </w:r>
          </w:p>
        </w:tc>
        <w:tc>
          <w:tcPr>
            <w:tcW w:w="1140" w:type="dxa"/>
            <w:vAlign w:val="bottom"/>
          </w:tcPr>
          <w:p>
            <w:pPr>
              <w:spacing w:after="0"/>
              <w:rPr>
                <w:sz w:val="18"/>
                <w:szCs w:val="18"/>
                <w:color w:val="auto"/>
              </w:rPr>
            </w:pPr>
          </w:p>
        </w:tc>
      </w:tr>
      <w:tr>
        <w:trPr>
          <w:trHeight w:val="230"/>
        </w:trPr>
        <w:tc>
          <w:tcPr>
            <w:tcW w:w="35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320" w:type="dxa"/>
            <w:vAlign w:val="bottom"/>
          </w:tcPr>
          <w:p>
            <w:pPr>
              <w:ind w:left="580"/>
              <w:spacing w:after="0"/>
              <w:rPr>
                <w:sz w:val="20"/>
                <w:szCs w:val="20"/>
                <w:color w:val="auto"/>
              </w:rPr>
            </w:pPr>
            <w:r>
              <w:rPr>
                <w:rFonts w:ascii="Arial" w:cs="Arial" w:eastAsia="Arial" w:hAnsi="Arial"/>
                <w:sz w:val="18"/>
                <w:szCs w:val="18"/>
                <w:color w:val="auto"/>
              </w:rPr>
              <w:t>Secretary</w:t>
            </w:r>
          </w:p>
        </w:tc>
        <w:tc>
          <w:tcPr>
            <w:tcW w:w="1140" w:type="dxa"/>
            <w:vAlign w:val="bottom"/>
          </w:tcPr>
          <w:p>
            <w:pPr>
              <w:spacing w:after="0"/>
              <w:rPr>
                <w:sz w:val="20"/>
                <w:szCs w:val="20"/>
                <w:color w:val="auto"/>
              </w:rPr>
            </w:pPr>
          </w:p>
        </w:tc>
      </w:tr>
      <w:tr>
        <w:trPr>
          <w:trHeight w:val="662"/>
        </w:trPr>
        <w:tc>
          <w:tcPr>
            <w:tcW w:w="35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68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2019-12-06T18:12:20Z</dcterms:created>
  <dcterms:modified xsi:type="dcterms:W3CDTF">2019-12-06T18:12:20Z</dcterms:modified>
</cp:coreProperties>
</file>