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-228600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12430A102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Thomas J. Reid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238696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ind w:firstLine="332"/>
        <w:spacing w:after="0" w:line="282" w:lineRule="auto"/>
        <w:tabs>
          <w:tab w:leader="none" w:pos="4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12430A102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4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6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Comcast Corporation</w:t>
            </w: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980" w:type="dxa"/>
            <w:vAlign w:val="bottom"/>
            <w:tcBorders>
              <w:bottom w:val="single" w:sz="8" w:color="auto"/>
            </w:tcBorders>
            <w:gridSpan w:val="2"/>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6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SEC USE ONLY</w:t>
            </w: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2"/>
                <w:szCs w:val="22"/>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SOURCE OF FUNDS</w:t>
            </w:r>
          </w:p>
        </w:tc>
        <w:tc>
          <w:tcPr>
            <w:tcW w:w="23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980" w:type="dxa"/>
            <w:vAlign w:val="bottom"/>
            <w:tcBorders>
              <w:bottom w:val="single" w:sz="8" w:color="auto"/>
            </w:tcBorders>
            <w:gridSpan w:val="2"/>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0"/>
                <w:szCs w:val="20"/>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2"/>
                <w:szCs w:val="22"/>
                <w:color w:val="auto"/>
              </w:rPr>
            </w:pPr>
          </w:p>
        </w:tc>
        <w:tc>
          <w:tcPr>
            <w:tcW w:w="4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Pennsylvania</w:t>
            </w:r>
          </w:p>
        </w:tc>
        <w:tc>
          <w:tcPr>
            <w:tcW w:w="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  0</w:t>
            </w: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2380" w:type="dxa"/>
            <w:vAlign w:val="bottom"/>
          </w:tcPr>
          <w:p>
            <w:pPr>
              <w:spacing w:after="0"/>
              <w:rPr>
                <w:sz w:val="7"/>
                <w:szCs w:val="7"/>
                <w:color w:val="auto"/>
              </w:rPr>
            </w:pPr>
          </w:p>
        </w:tc>
        <w:tc>
          <w:tcPr>
            <w:tcW w:w="460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600" w:type="dxa"/>
            <w:vAlign w:val="bottom"/>
            <w:vMerge w:val="continue"/>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Pr>
          <w:p>
            <w:pPr>
              <w:spacing w:after="0"/>
              <w:rPr>
                <w:sz w:val="18"/>
                <w:szCs w:val="18"/>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60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23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2"/>
                <w:szCs w:val="22"/>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  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9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880" w:type="dxa"/>
            <w:vAlign w:val="bottom"/>
            <w:tcBorders>
              <w:bottom w:val="single" w:sz="8" w:color="auto"/>
            </w:tcBorders>
            <w:gridSpan w:val="5"/>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vMerge w:val="restart"/>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80" w:type="dxa"/>
            <w:vAlign w:val="bottom"/>
            <w:tcBorders>
              <w:bottom w:val="single" w:sz="8" w:color="auto"/>
            </w:tcBorders>
            <w:gridSpan w:val="5"/>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19.97%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tcBorders>
            <w:gridSpan w:val="4"/>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4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w:t>
            </w: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12430A102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4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6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NBCUniversal, LLC</w:t>
            </w: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980" w:type="dxa"/>
            <w:vAlign w:val="bottom"/>
            <w:tcBorders>
              <w:bottom w:val="single" w:sz="8" w:color="auto"/>
            </w:tcBorders>
            <w:gridSpan w:val="2"/>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6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SEC USE ONLY</w:t>
            </w: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2"/>
                <w:szCs w:val="22"/>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SOURCE OF FUNDS</w:t>
            </w:r>
          </w:p>
        </w:tc>
        <w:tc>
          <w:tcPr>
            <w:tcW w:w="23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980" w:type="dxa"/>
            <w:vAlign w:val="bottom"/>
            <w:tcBorders>
              <w:bottom w:val="single" w:sz="8" w:color="auto"/>
            </w:tcBorders>
            <w:gridSpan w:val="2"/>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0"/>
                <w:szCs w:val="20"/>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2"/>
                <w:szCs w:val="22"/>
                <w:color w:val="auto"/>
              </w:rPr>
            </w:pPr>
          </w:p>
        </w:tc>
        <w:tc>
          <w:tcPr>
            <w:tcW w:w="4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  0</w:t>
            </w: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2380" w:type="dxa"/>
            <w:vAlign w:val="bottom"/>
          </w:tcPr>
          <w:p>
            <w:pPr>
              <w:spacing w:after="0"/>
              <w:rPr>
                <w:sz w:val="7"/>
                <w:szCs w:val="7"/>
                <w:color w:val="auto"/>
              </w:rPr>
            </w:pPr>
          </w:p>
        </w:tc>
        <w:tc>
          <w:tcPr>
            <w:tcW w:w="460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600" w:type="dxa"/>
            <w:vAlign w:val="bottom"/>
            <w:vMerge w:val="continue"/>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Pr>
          <w:p>
            <w:pPr>
              <w:spacing w:after="0"/>
              <w:rPr>
                <w:sz w:val="18"/>
                <w:szCs w:val="18"/>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60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23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2"/>
                <w:szCs w:val="22"/>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  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9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880" w:type="dxa"/>
            <w:vAlign w:val="bottom"/>
            <w:tcBorders>
              <w:bottom w:val="single" w:sz="8" w:color="auto"/>
            </w:tcBorders>
            <w:gridSpan w:val="5"/>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vMerge w:val="restart"/>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80" w:type="dxa"/>
            <w:vAlign w:val="bottom"/>
            <w:tcBorders>
              <w:bottom w:val="single" w:sz="8" w:color="auto"/>
            </w:tcBorders>
            <w:gridSpan w:val="5"/>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19.97%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tcBorders>
            <w:gridSpan w:val="4"/>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4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12430A102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4"/>
                <w:szCs w:val="24"/>
                <w:color w:val="auto"/>
              </w:rPr>
            </w:pPr>
          </w:p>
        </w:tc>
        <w:tc>
          <w:tcPr>
            <w:tcW w:w="4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6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NBCUniversal Media, LLC</w:t>
            </w: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980" w:type="dxa"/>
            <w:vAlign w:val="bottom"/>
            <w:tcBorders>
              <w:bottom w:val="single" w:sz="8" w:color="auto"/>
            </w:tcBorders>
            <w:gridSpan w:val="2"/>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24"/>
                <w:szCs w:val="24"/>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6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SEC USE ONLY</w:t>
            </w: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2"/>
                <w:szCs w:val="22"/>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SOURCE OF FUNDS</w:t>
            </w:r>
          </w:p>
        </w:tc>
        <w:tc>
          <w:tcPr>
            <w:tcW w:w="238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6980" w:type="dxa"/>
            <w:vAlign w:val="bottom"/>
            <w:tcBorders>
              <w:bottom w:val="single" w:sz="8" w:color="auto"/>
            </w:tcBorders>
            <w:gridSpan w:val="2"/>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0"/>
                <w:szCs w:val="20"/>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2"/>
                <w:szCs w:val="22"/>
                <w:color w:val="auto"/>
              </w:rPr>
            </w:pPr>
          </w:p>
        </w:tc>
        <w:tc>
          <w:tcPr>
            <w:tcW w:w="4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7.</w:t>
            </w: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  0</w:t>
            </w:r>
          </w:p>
        </w:tc>
        <w:tc>
          <w:tcPr>
            <w:tcW w:w="460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60" w:type="dxa"/>
            <w:vAlign w:val="bottom"/>
            <w:tcBorders>
              <w:left w:val="single" w:sz="8" w:color="auto"/>
            </w:tcBorders>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8.</w:t>
            </w:r>
          </w:p>
        </w:tc>
        <w:tc>
          <w:tcPr>
            <w:tcW w:w="2380" w:type="dxa"/>
            <w:vAlign w:val="bottom"/>
          </w:tcPr>
          <w:p>
            <w:pPr>
              <w:spacing w:after="0"/>
              <w:rPr>
                <w:sz w:val="7"/>
                <w:szCs w:val="7"/>
                <w:color w:val="auto"/>
              </w:rPr>
            </w:pPr>
          </w:p>
        </w:tc>
        <w:tc>
          <w:tcPr>
            <w:tcW w:w="460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600" w:type="dxa"/>
            <w:vAlign w:val="bottom"/>
            <w:vMerge w:val="continue"/>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Pr>
          <w:p>
            <w:pPr>
              <w:spacing w:after="0"/>
              <w:rPr>
                <w:sz w:val="18"/>
                <w:szCs w:val="18"/>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2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60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23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20" w:type="dxa"/>
            <w:vAlign w:val="bottom"/>
          </w:tcPr>
          <w:p>
            <w:pPr>
              <w:spacing w:after="0"/>
              <w:rPr>
                <w:sz w:val="22"/>
                <w:szCs w:val="22"/>
                <w:color w:val="auto"/>
              </w:rPr>
            </w:pPr>
          </w:p>
        </w:tc>
        <w:tc>
          <w:tcPr>
            <w:tcW w:w="56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  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gridSpan w:val="2"/>
          </w:tcPr>
          <w:p>
            <w:pPr>
              <w:spacing w:after="0"/>
              <w:rPr>
                <w:sz w:val="9"/>
                <w:szCs w:val="9"/>
                <w:color w:val="auto"/>
              </w:rPr>
            </w:pPr>
          </w:p>
        </w:tc>
        <w:tc>
          <w:tcPr>
            <w:tcW w:w="698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25,153,615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8880" w:type="dxa"/>
            <w:vAlign w:val="bottom"/>
            <w:tcBorders>
              <w:bottom w:val="single" w:sz="8" w:color="auto"/>
            </w:tcBorders>
            <w:gridSpan w:val="5"/>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vMerge w:val="restart"/>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8880" w:type="dxa"/>
            <w:vAlign w:val="bottom"/>
            <w:tcBorders>
              <w:bottom w:val="single" w:sz="8" w:color="auto"/>
            </w:tcBorders>
            <w:gridSpan w:val="5"/>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2"/>
                <w:szCs w:val="22"/>
                <w:color w:val="auto"/>
              </w:rPr>
            </w:pPr>
          </w:p>
        </w:tc>
        <w:tc>
          <w:tcPr>
            <w:tcW w:w="8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19.97%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tcBorders>
            <w:gridSpan w:val="4"/>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4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600" w:type="dxa"/>
            <w:vAlign w:val="bottom"/>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6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 to Schedule 13D</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following constitutes Amendment No. 1 (“Amendment No. 1”) to the Schedule 13D filed with the Securities and Exchange Commission by Comcast Corporation, NBCUniversal, LLC and NBCUniversal Media, LLC (collectively, the “Reporting Persons”) on December 13, 2021 (“Schedule 13D”). This Amendment No. 1 amends, supplements and restates the Schedule 13D as specifically set forth herein. This Amendment No. 1 does not restate disclosures in the Schedule 13D that are not being amended and should be read in conjunction with the Schedule 13D. All capitalized terms contained herein but not otherwise defined shall have the meanings ascribed to such terms in the Schedule 13D. Information given in response to each item shall be deemed incorporated by reference in all other items, as applicable.</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relates to the Class A Common Stock, par value $0.0001 per share (“Class A Common Stock”) of BuzzFeed, Inc., a Delaware corporation (the “Issuer”). During the period between January 30, 2023 and February 1, 2023, the Reporting Persons sold 5,726,385 shares of Class A Common Stock in the open market. This Amendment is filed to reflect the reduction of the outstanding ownership held by the Reporting Persons.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Item 2 is hereby amended and restated to update the name, residence or business address, present principal occupation or employment and citizenship of each director and executive officer of the Reporting Persons as set forth on Schedule A to this Amendment No. 1. None of the Reporting Persons, nor, to the best knowledge of the Reporting Persons, any person named in Schedule A to this Amendment No. 1 has, during the last five years, been convicted of a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Reporting Persons expect to sell additional shares of the Class A Common Stock now held from time-to-time depending on market conditions; however, there is no assurance that the Reporting Persons will actually sell any or all of their shares of the Class A Common Stock. Such sales may be in the open market, in privately negotiated transactions, or otherwise. Other than as described,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5(a)-(b) is hereby amended and restated as follows: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Rows (11) through (13) of the cover pages of this Schedule are incorporated herein by reference. As of February 1, 2023, the Reporting Persons shared beneficial ownership of an aggregate of 25,153,615 shares of Class A Common Stock of the Issuer, which is equal to approximately 19.97% of the outstanding shares of Class A Common Stock of the Issuer, based on 125,981,696 shares of Class A Common Stock of the Issuer that were outstanding as of November 10, 2022, as reported in the Issuer’s Quarterly Report on Form 10-Q for the quarterly period ended September 30, 2022 (the “Issuer’s Most Recent Quarterly Report”). However, the Reporting Persons’ 25,153,615 shares of Class A Common Stock represent less than 6% of the total voting power of all outstanding shares of the Issuer’s Class A Common Stock, Class B Common Stock and Class C Common Stock on a combined basis, as of November 10, 2022, based on information disclosed in the Issuer’s Most Recent Quarterly Report.</w:t>
      </w:r>
    </w:p>
    <w:p>
      <w:pPr>
        <w:spacing w:after="0" w:line="19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5(a), none of the Reporting Persons nor, to the best of their knowledge, any of their directors or executive officers, beneficially owns any shares of Class A Common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of the Reporting Persons to (i) Rows (7) through (10) of the cover pages of this Schedule and (ii) Item 5(a) hereof are incorporated herein by reference.</w:t>
      </w:r>
    </w:p>
    <w:p>
      <w:pPr>
        <w:spacing w:after="0" w:line="161"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Class A Common Stock of the Issuer which they may be deemed to beneficially own.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of this Schedule, which is incorporated herein by reference, none of the Reporting Persons, nor, to the best of their knowledge, any of their directors or executive officers, has effected any transaction in the shares of Class A Common Stock of the Issuer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346075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 2023</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7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Elizabeth Wideman</w:t>
            </w:r>
          </w:p>
        </w:tc>
      </w:tr>
      <w:tr>
        <w:trPr>
          <w:trHeight w:val="216"/>
        </w:trPr>
        <w:tc>
          <w:tcPr>
            <w:tcW w:w="716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  Senior Vice President, Senior Deputy General</w:t>
            </w:r>
          </w:p>
        </w:tc>
      </w:tr>
      <w:tr>
        <w:trPr>
          <w:trHeight w:val="234"/>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Counsel and Assistant Secretary</w:t>
            </w:r>
          </w:p>
        </w:tc>
      </w:tr>
      <w:tr>
        <w:trPr>
          <w:trHeight w:val="648"/>
        </w:trPr>
        <w:tc>
          <w:tcPr>
            <w:tcW w:w="11240" w:type="dxa"/>
            <w:vAlign w:val="bottom"/>
            <w:gridSpan w:val="3"/>
          </w:tcPr>
          <w:p>
            <w:pPr>
              <w:ind w:left="6760"/>
              <w:spacing w:after="0"/>
              <w:rPr>
                <w:sz w:val="20"/>
                <w:szCs w:val="20"/>
                <w:color w:val="auto"/>
              </w:rPr>
            </w:pPr>
            <w:r>
              <w:rPr>
                <w:rFonts w:ascii="Times New Roman" w:cs="Times New Roman" w:eastAsia="Times New Roman" w:hAnsi="Times New Roman"/>
                <w:sz w:val="18"/>
                <w:szCs w:val="18"/>
                <w:color w:val="auto"/>
              </w:rPr>
              <w:t>NBCUNIVERSAL, LLC</w:t>
            </w:r>
          </w:p>
        </w:tc>
      </w:tr>
      <w:tr>
        <w:trPr>
          <w:trHeight w:val="648"/>
        </w:trPr>
        <w:tc>
          <w:tcPr>
            <w:tcW w:w="716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7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Elizabeth Wideman</w:t>
            </w:r>
          </w:p>
        </w:tc>
      </w:tr>
      <w:tr>
        <w:trPr>
          <w:trHeight w:val="234"/>
        </w:trPr>
        <w:tc>
          <w:tcPr>
            <w:tcW w:w="716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tc>
      </w:tr>
      <w:tr>
        <w:trPr>
          <w:trHeight w:val="648"/>
        </w:trPr>
        <w:tc>
          <w:tcPr>
            <w:tcW w:w="11240" w:type="dxa"/>
            <w:vAlign w:val="bottom"/>
            <w:gridSpan w:val="3"/>
          </w:tcPr>
          <w:p>
            <w:pPr>
              <w:ind w:left="6760"/>
              <w:spacing w:after="0"/>
              <w:rPr>
                <w:sz w:val="20"/>
                <w:szCs w:val="20"/>
                <w:color w:val="auto"/>
              </w:rPr>
            </w:pPr>
            <w:r>
              <w:rPr>
                <w:rFonts w:ascii="Times New Roman" w:cs="Times New Roman" w:eastAsia="Times New Roman" w:hAnsi="Times New Roman"/>
                <w:sz w:val="18"/>
                <w:szCs w:val="18"/>
                <w:color w:val="auto"/>
              </w:rPr>
              <w:t>NBCUNIVERSAL MEDIA, LLC</w:t>
            </w:r>
          </w:p>
        </w:tc>
      </w:tr>
      <w:tr>
        <w:trPr>
          <w:trHeight w:val="648"/>
        </w:trPr>
        <w:tc>
          <w:tcPr>
            <w:tcW w:w="716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7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Elizabeth Wideman</w:t>
            </w:r>
          </w:p>
        </w:tc>
      </w:tr>
      <w:tr>
        <w:trPr>
          <w:trHeight w:val="234"/>
        </w:trPr>
        <w:tc>
          <w:tcPr>
            <w:tcW w:w="716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tc>
      </w:tr>
      <w:tr>
        <w:trPr>
          <w:trHeight w:val="999"/>
        </w:trPr>
        <w:tc>
          <w:tcPr>
            <w:tcW w:w="7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REPORTING PERSONS</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name, business address, title, present principal occupation or employment of each of the directors and executive officers of Comcast Corporation (“Comcast”) are set forth below. If no business address is given, the director’s or officer’s business address is One Comcast Center,</w:t>
      </w:r>
    </w:p>
    <w:p>
      <w:pPr>
        <w:spacing w:after="0" w:line="209" w:lineRule="auto"/>
        <w:rPr>
          <w:sz w:val="20"/>
          <w:szCs w:val="20"/>
          <w:color w:val="auto"/>
        </w:rPr>
      </w:pPr>
      <w:r>
        <w:rPr>
          <w:rFonts w:ascii="Times New Roman" w:cs="Times New Roman" w:eastAsia="Times New Roman" w:hAnsi="Times New Roman"/>
          <w:sz w:val="18"/>
          <w:szCs w:val="18"/>
          <w:color w:val="auto"/>
        </w:rPr>
        <w:t>Philadelphia, Pennsylvania 19103-2838. Unless otherwise indicated, each occupation set forth opposite an individual’s name refers to Comcast.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All of the persons listed below are citizens of the United States of America.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706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38"/>
        </w:trPr>
        <w:tc>
          <w:tcPr>
            <w:tcW w:w="41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Name and Business Address</w:t>
            </w:r>
          </w:p>
        </w:tc>
        <w:tc>
          <w:tcPr>
            <w:tcW w:w="70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(Name and Principal Business of Employer)</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7060" w:type="dxa"/>
            <w:vAlign w:val="bottom"/>
          </w:tcPr>
          <w:p>
            <w:pPr>
              <w:spacing w:after="0"/>
              <w:rPr>
                <w:sz w:val="19"/>
                <w:szCs w:val="19"/>
                <w:color w:val="auto"/>
              </w:rPr>
            </w:pPr>
          </w:p>
        </w:tc>
      </w:tr>
      <w:tr>
        <w:trPr>
          <w:trHeight w:val="41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Kenneth J. Bacon</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Partner at RailField Partners, a financial advisory and asset management firm</w:t>
            </w: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Madeline S. Bell</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President and Chief Executive Officer of The Children’s Hospital of Philadelphia, a top-</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ranked children’s hospital</w:t>
            </w:r>
          </w:p>
        </w:tc>
      </w:tr>
      <w:tr>
        <w:trPr>
          <w:trHeight w:val="6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Edward D. Breen</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Chief Executive Officer and Executive Chairman of DuPont de Nemours, Inc., a</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provider of technology-based materials and solutions</w:t>
            </w: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Former Chief Executive Officer of The Bank of New York Mellon, a financial services</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corporation</w:t>
            </w: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Jeffrey A. Honickman</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Chief Executive Officer of Pepsi-Cola and National Brand Beverages, Ltd., a bottling</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distribution company</w:t>
            </w: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Maritza G. Montiel</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Former Deputy Chief Executive Officer and Vice Chairman of Deloitte LLP, a</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multinational accounting and professional services firm</w:t>
            </w: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Asuka Nakahara</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Partner at Triton Atlantic Partners, a real estate advisory firm and investment vehicle</w:t>
            </w: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David C. Novak</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Founder of David Novak Leadership, Inc., which provides online leadership training</w:t>
            </w: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75"/>
        </w:trPr>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7060" w:type="dxa"/>
            <w:vAlign w:val="bottom"/>
          </w:tcPr>
          <w:p>
            <w:pPr>
              <w:spacing w:after="0"/>
              <w:rPr>
                <w:sz w:val="24"/>
                <w:szCs w:val="24"/>
                <w:color w:val="auto"/>
              </w:rPr>
            </w:pP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Jason S. Armstrong</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Director, NBCUniversal, LLC</w:t>
            </w: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J. Cavanagh</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President</w:t>
            </w: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Jennifer Khoury</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Chief Communications Officer</w:t>
            </w: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Daniel C. Murdock</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r>
        <w:trPr>
          <w:trHeight w:val="4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Thomas J. Reid</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Director, NBCUniversal, LLC</w:t>
            </w:r>
          </w:p>
        </w:tc>
      </w:tr>
      <w:tr>
        <w:trPr>
          <w:trHeight w:val="41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Brian L. Roberts</w:t>
            </w: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180" w:type="dxa"/>
            <w:vAlign w:val="bottom"/>
          </w:tcPr>
          <w:p>
            <w:pPr>
              <w:spacing w:after="0"/>
              <w:rPr>
                <w:sz w:val="20"/>
                <w:szCs w:val="20"/>
                <w:color w:val="auto"/>
              </w:rPr>
            </w:pPr>
          </w:p>
        </w:tc>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Chairman, NBCUniversal, LLC</w:t>
            </w:r>
          </w:p>
        </w:tc>
      </w:tr>
    </w:tbl>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920" w:right="200" w:hanging="791"/>
        <w:spacing w:after="0" w:line="266"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individuals identified on this Schedule A may have beneficial ownership of de minimis amounts of Class A Common Stock of the Issuer held in investment accounts for which such individuals hold discretionary authority. The Reporting Persons disclaim beneficial ownership of any such shares.</w:t>
      </w:r>
    </w:p>
    <w:p>
      <w:pPr>
        <w:spacing w:after="0" w:line="175" w:lineRule="exact"/>
        <w:rPr>
          <w:rFonts w:ascii="Times New Roman" w:cs="Times New Roman" w:eastAsia="Times New Roman" w:hAnsi="Times New Roman"/>
          <w:sz w:val="18"/>
          <w:szCs w:val="18"/>
          <w:color w:val="auto"/>
        </w:rPr>
      </w:pPr>
    </w:p>
    <w:p>
      <w:pPr>
        <w:ind w:left="920" w:right="260" w:hanging="791"/>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NBCUniversal Media, LLC does not have a board of directors, and is managed by NBCUniversal, LLC as its sole member. The directors of NBCUniversal, LLC are identified where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2023-02-01T16:54:42Z</dcterms:created>
  <dcterms:modified xsi:type="dcterms:W3CDTF">2023-02-01T16:54:42Z</dcterms:modified>
</cp:coreProperties>
</file>