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858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4"/>
          <w:szCs w:val="24"/>
          <w:color w:val="auto"/>
        </w:rPr>
      </w:pPr>
    </w:p>
    <w:p>
      <w:pPr>
        <w:ind w:left="85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66215"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2914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9800" w:space="720"/>
            <w:col w:w="900"/>
          </w:cols>
          <w:pgMar w:left="240" w:top="229" w:right="239" w:bottom="1440" w:gutter="0" w:footer="0" w:header="0"/>
        </w:sect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720" w:type="dxa"/>
            <w:vAlign w:val="bottom"/>
          </w:tcPr>
          <w:p>
            <w:pPr>
              <w:ind w:left="460"/>
              <w:spacing w:after="0"/>
              <w:rPr>
                <w:sz w:val="20"/>
                <w:szCs w:val="20"/>
                <w:color w:val="auto"/>
              </w:rPr>
            </w:pPr>
            <w:r>
              <w:rPr>
                <w:rFonts w:ascii="Arial" w:cs="Arial" w:eastAsia="Arial" w:hAnsi="Arial"/>
                <w:sz w:val="18"/>
                <w:szCs w:val="18"/>
                <w:color w:val="auto"/>
                <w:w w:val="92"/>
              </w:rPr>
              <w:t>212 450 4000 tel</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450 Lexington Avenue</w:t>
            </w:r>
          </w:p>
        </w:tc>
        <w:tc>
          <w:tcPr>
            <w:tcW w:w="1720" w:type="dxa"/>
            <w:vAlign w:val="bottom"/>
          </w:tcPr>
          <w:p>
            <w:pPr>
              <w:ind w:left="460"/>
              <w:spacing w:after="0"/>
              <w:rPr>
                <w:sz w:val="20"/>
                <w:szCs w:val="20"/>
                <w:color w:val="auto"/>
              </w:rPr>
            </w:pPr>
            <w:r>
              <w:rPr>
                <w:rFonts w:ascii="Arial" w:cs="Arial" w:eastAsia="Arial" w:hAnsi="Arial"/>
                <w:sz w:val="18"/>
                <w:szCs w:val="18"/>
                <w:color w:val="auto"/>
                <w:w w:val="89"/>
              </w:rPr>
              <w:t>212 701 5800 fax</w:t>
            </w:r>
          </w:p>
        </w:tc>
      </w:tr>
    </w:tbl>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August 25, 2014</w:t>
      </w:r>
    </w:p>
    <w:p>
      <w:pPr>
        <w:spacing w:after="0" w:line="248"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Comcast Corporation</w:t>
      </w: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Amendment No. 3 to Form S-4</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Filed August 14, 2014</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 No. 333-194698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Larry Spirgel, Assistant Director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17"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On behalf of Comcast Corporation (“Comcast”), we hereby submit Comcast’s responses to the comments of the Staff of the Division of Corporation Finance of the Securities and Exchange Commission (the “Commission”) set forth in your letter dated August 18, 2014 with respect to the above-referenced Registration Statement on Form S-4 (the “Registration Statement”) filed in connection with the Agreement and Plan of Merger dated as of February 12, 2014, among Comcast, Time Warner Cable Inc. (“TWC”) and Tango Acquisition Sub, Inc.</w:t>
      </w:r>
    </w:p>
    <w:p>
      <w:pPr>
        <w:spacing w:after="0" w:line="187" w:lineRule="exact"/>
        <w:rPr>
          <w:sz w:val="24"/>
          <w:szCs w:val="24"/>
          <w:color w:val="auto"/>
        </w:rPr>
      </w:pPr>
    </w:p>
    <w:p>
      <w:pPr>
        <w:jc w:val="both"/>
        <w:ind w:right="200"/>
        <w:spacing w:after="0" w:line="286" w:lineRule="auto"/>
        <w:rPr>
          <w:sz w:val="20"/>
          <w:szCs w:val="20"/>
          <w:color w:val="auto"/>
        </w:rPr>
      </w:pPr>
      <w:r>
        <w:rPr>
          <w:rFonts w:ascii="Arial" w:cs="Arial" w:eastAsia="Arial" w:hAnsi="Arial"/>
          <w:sz w:val="17"/>
          <w:szCs w:val="17"/>
          <w:color w:val="auto"/>
        </w:rPr>
        <w:t>This letter and Amendment No. 4 to the Registration Statement (“Amendment No. 4”), which includes a related joint proxy statement/prospectus, are being filed with the Commission electronically today. In addition to the electronic filing, we are delivering via hand delivery a hard copy of this letter, along with two courtesy copies of Amendment No. 4 marked to indicate changes from the version filed on August 14, 2014.</w:t>
      </w:r>
    </w:p>
    <w:p>
      <w:pPr>
        <w:spacing w:after="0" w:line="1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For the convenience of the Staff, each of the Staff’s comments is reproduced below and followed by the corresponding response of Comcast. All references to page numbers in Comcast’s responses are to the pages in the marked version of Amendment No. 4.</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5720" w:val="left"/>
          <w:tab w:leader="none" w:pos="10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25,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900" w:right="140" w:hanging="446"/>
        <w:spacing w:after="0" w:line="266"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on pages 77 and 167, a summary of the material terms and relief sought in connection with your ongoing litigation – the New York action and the Delaware actions. Accordingly, please confirm that the memorandum of understanding dated July 22, 2014 settling the litigation does not include a financial settlement.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Comcast respectfully advises the Staff that the settlement provides exclusively for non-economic consideration (i.e., supplemental disclosures and the shortening of a matching rights provision in the merger agreement) to the putative class and will not affect the timing of the merger with TWC or the consideration to be paid in the merger with TWC. In addition to the consideration to class members, plaintiffs’ counsel are expected to petition the court for an award of attorneys’ fees and expenses (which amount will not affect the consideration to be paid in the merger with TWC). The disclosure on pages 75 and 161 of the joint proxy statement/prospectus has been revised accordingly.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Divestiture Transactions, page 200</w:t>
      </w:r>
    </w:p>
    <w:p>
      <w:pPr>
        <w:spacing w:after="0" w:line="131" w:lineRule="exact"/>
        <w:rPr>
          <w:sz w:val="20"/>
          <w:szCs w:val="20"/>
          <w:color w:val="auto"/>
        </w:rPr>
      </w:pPr>
    </w:p>
    <w:p>
      <w:pPr>
        <w:ind w:left="900" w:right="240" w:hanging="446"/>
        <w:spacing w:after="0" w:line="26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added disclosure discussing the earliest date that the divestiture transactions may occur. Please further revise to clarify that you anticipate the SpinCo registration statement on Form S-1 to be filed in advance of the anticipated closing of the TWC merger and share exchange with Charter.</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response to the Staff’s comment, the disclosure in the explanatory note and on page 203 of the joint proxy statement/prospectus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revised.</w:t>
      </w:r>
    </w:p>
    <w:p>
      <w:pPr>
        <w:spacing w:after="0" w:line="234" w:lineRule="exact"/>
        <w:rPr>
          <w:sz w:val="20"/>
          <w:szCs w:val="20"/>
          <w:color w:val="auto"/>
        </w:rPr>
      </w:pPr>
    </w:p>
    <w:p>
      <w:pPr>
        <w:ind w:left="900" w:right="480" w:hanging="446"/>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 addition to the diagrams and charts included, you should consider including a timeline which graphically depicts the anticipated timeframe of each significant event in the merger and divestiture transactions.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In response to the Staff’s comment, the disclosure on page 210 of the joint proxy statement/prospectus has been revised to include an indicative sequence of events which graphically depicts each significant event related to the merger with TWC and the divestiture transactions.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 and Spin-Off, page 200</w:t>
      </w:r>
    </w:p>
    <w:p>
      <w:pPr>
        <w:spacing w:after="0" w:line="131" w:lineRule="exact"/>
        <w:rPr>
          <w:sz w:val="20"/>
          <w:szCs w:val="20"/>
          <w:color w:val="auto"/>
        </w:rPr>
      </w:pPr>
    </w:p>
    <w:p>
      <w:pPr>
        <w:ind w:left="900" w:right="200" w:hanging="446"/>
        <w:spacing w:after="0" w:line="277" w:lineRule="auto"/>
        <w:tabs>
          <w:tab w:leader="none" w:pos="9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reference to “all of the outstanding SpinCo shares” being distributed to Comcast shareholders and the distribution being “pro rata” (in your second explanatory note). Since the Charter exchange offer will be happening contemporaneous to the spinoff and Comcast shareholders will not have an opportunity to sell 100% of the shares they receive in the spin-off (e.g. as soon as “when-issued” trading begins), please revise to make clear that a Comcast shareholder’s interest in SpinCo following the spin-off will not be the same proportional interest that such a shareholder holds in Comcast.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 204 of the joint proxy statement/prospectus has been revised.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request to accelerate the effective date of the Registration Statement, Comcast will provide a written statement acknowledging that:</w:t>
      </w:r>
    </w:p>
    <w:p>
      <w:pPr>
        <w:spacing w:after="0" w:line="154" w:lineRule="exact"/>
        <w:rPr>
          <w:sz w:val="20"/>
          <w:szCs w:val="20"/>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720" w:val="left"/>
          <w:tab w:leader="none" w:pos="10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25, 2014</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pacing w:after="0" w:line="309" w:lineRule="exact"/>
        <w:rPr>
          <w:sz w:val="20"/>
          <w:szCs w:val="20"/>
          <w:color w:val="auto"/>
        </w:rPr>
      </w:pPr>
    </w:p>
    <w:p>
      <w:pPr>
        <w:ind w:left="460" w:right="51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Robert B. Schumer, Esq., Ariel J. Deckelbaum, Esq. and Ross A. Fieldston, Esq. Paul, Weiss, Rifkind, Wharton &amp; Garrison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2019-12-07T03:18:39Z</dcterms:created>
  <dcterms:modified xsi:type="dcterms:W3CDTF">2019-12-07T03:18:39Z</dcterms:modified>
</cp:coreProperties>
</file>