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6</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380"/>
        <w:spacing w:after="0"/>
        <w:rPr>
          <w:sz w:val="20"/>
          <w:szCs w:val="20"/>
          <w:color w:val="auto"/>
        </w:rPr>
      </w:pPr>
      <w:r>
        <w:rPr>
          <w:rFonts w:ascii="Courier New" w:cs="Courier New" w:eastAsia="Courier New" w:hAnsi="Courier New"/>
          <w:sz w:val="18"/>
          <w:szCs w:val="18"/>
          <w:color w:val="auto"/>
        </w:rPr>
        <w:t>SCHEDULE 14D-1(*)</w:t>
      </w: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49"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49" w:orient="portrait"/>
          <w:cols w:equalWidth="0" w:num="2">
            <w:col w:w="3600" w:space="720"/>
            <w:col w:w="5899"/>
          </w:cols>
          <w:pgMar w:left="240" w:top="244" w:right="1440" w:bottom="0" w:gutter="0" w:footer="0" w:header="0"/>
          <w:type w:val="continuous"/>
        </w:sectPr>
      </w:pPr>
    </w:p>
    <w:p>
      <w:pPr>
        <w:spacing w:after="0" w:line="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49"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49" w:orient="portrait"/>
          <w:cols w:equalWidth="0" w:num="2">
            <w:col w:w="3720" w:space="720"/>
            <w:col w:w="5779"/>
          </w:cols>
          <w:pgMar w:left="240" w:top="244" w:right="1440" w:bottom="0" w:gutter="0" w:footer="0" w:header="0"/>
          <w:type w:val="continuous"/>
        </w:sectPr>
      </w:pPr>
    </w:p>
    <w:p>
      <w:pPr>
        <w:spacing w:after="0" w:line="6" w:lineRule="exact"/>
        <w:rPr>
          <w:sz w:val="24"/>
          <w:szCs w:val="24"/>
          <w:color w:val="auto"/>
        </w:rPr>
      </w:pPr>
    </w:p>
    <w:p>
      <w:pPr>
        <w:ind w:left="320" w:right="21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7 to the Schedule 13D filed by Tele-Communications, Inc. and Amendment No. 28 to the Schedule 13D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387"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4"/>
          <w:szCs w:val="24"/>
          <w:color w:val="auto"/>
        </w:rPr>
      </w:pPr>
    </w:p>
    <w:p>
      <w:pPr>
        <w:ind w:right="2419" w:firstLine="1272"/>
        <w:spacing w:after="0" w:line="279" w:lineRule="auto"/>
        <w:tabs>
          <w:tab w:leader="none" w:pos="18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under "The Tender Offer -- 11. Certain Legal Matters; Regulatory Approvals" in the Offer to Purchase is hereby amended and supplemented to include the following information:</w:t>
      </w:r>
    </w:p>
    <w:p>
      <w:pPr>
        <w:spacing w:after="0" w:line="178" w:lineRule="exact"/>
        <w:rPr>
          <w:sz w:val="24"/>
          <w:szCs w:val="24"/>
          <w:color w:val="auto"/>
        </w:rPr>
      </w:pPr>
    </w:p>
    <w:p>
      <w:pPr>
        <w:ind w:right="2099" w:firstLine="1264"/>
        <w:spacing w:after="0" w:line="272" w:lineRule="auto"/>
        <w:rPr>
          <w:sz w:val="20"/>
          <w:szCs w:val="20"/>
          <w:color w:val="auto"/>
        </w:rPr>
      </w:pPr>
      <w:r>
        <w:rPr>
          <w:rFonts w:ascii="Courier New" w:cs="Courier New" w:eastAsia="Courier New" w:hAnsi="Courier New"/>
          <w:sz w:val="16"/>
          <w:szCs w:val="16"/>
          <w:color w:val="auto"/>
        </w:rPr>
        <w:t>On September 9, 1994, TCI and Comcast issued a press release announcing that the FTC, pursuant to the HSR Act, issued Second Requests to TCI, as the ultimate parent entity of Liberty, and Ralph J. Roberts, as the ultimate parent entity of Comcast, regarding the proposed acquisition by the Parent Purchasers of the shares of the Purchaser and the Parent Contribution. A copy of the press release of TCI and Comcast relating to the foregoing is</w:t>
      </w:r>
    </w:p>
    <w:p>
      <w:pPr>
        <w:sectPr>
          <w:pgSz w:w="11900" w:h="16849" w:orient="portrait"/>
          <w:cols w:equalWidth="0" w:num="1">
            <w:col w:w="10219"/>
          </w:cols>
          <w:pgMar w:left="240" w:top="244" w:right="1440" w:bottom="0" w:gutter="0" w:footer="0" w:header="0"/>
          <w:type w:val="continuous"/>
        </w:sectPr>
      </w:pPr>
    </w:p>
    <w:bookmarkStart w:id="1" w:name="page2"/>
    <w:bookmarkEnd w:id="1"/>
    <w:p>
      <w:pPr>
        <w:ind w:right="1999"/>
        <w:spacing w:after="0" w:line="236" w:lineRule="auto"/>
        <w:rPr>
          <w:sz w:val="20"/>
          <w:szCs w:val="20"/>
          <w:color w:val="auto"/>
        </w:rPr>
      </w:pPr>
      <w:r>
        <w:rPr>
          <w:rFonts w:ascii="Courier New" w:cs="Courier New" w:eastAsia="Courier New" w:hAnsi="Courier New"/>
          <w:sz w:val="18"/>
          <w:szCs w:val="18"/>
          <w:color w:val="auto"/>
        </w:rPr>
        <w:t>attached hereto as Exhibit (a)(12) and is hereby incorporated herein by reference, and the foregoing description of such press release is qualified in its entirety by reference to such Exhibit.</w:t>
      </w:r>
    </w:p>
    <w:p>
      <w:pPr>
        <w:spacing w:after="0" w:line="209"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As previously disclosed, the Offer may not be consummated until the waiting periods under the HSR Act applicable to both (i) the purchase of Shares pursuant to the Offer and (ii) the acquisition by the Parent Purchasers of the shares of the Purchaser and the Parent Contribution have expired or been terminated. As a result of the receipt of the Second Requests by TCI and Ralph J. Roberts, the waiting period under the HSR Act applicable to the acquisition by the Parent Purchasers of the shares of the Purchaser and the Parent Contribution will be extended until 11:59 P.M., New York City time, on the twentieth day after substantial compliance with such Second Requests by TCI and Ralph J. Roberts. Thereafter, such waiting period can be extended only by court order. The waiting period under the HSR Act applicable to</w:t>
      </w:r>
    </w:p>
    <w:p>
      <w:pPr>
        <w:spacing w:after="0" w:line="1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purchase of Shares pursuant to the Offer will expire at 11:59 P.M., New York City time, on the tenth day after substantial compliance by Ralph J. Roberts with the Second Request received on August 24, 1994 by him, as the ultimate parent entity of Comcast. Thereafter, such waiting period can be extended only by court order.</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(a)(12) -- Text of Press Release issued by TCI and Comcast on September 8,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9,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jc w:val="both"/>
        <w:ind w:left="4100"/>
        <w:spacing w:after="0" w:line="238" w:lineRule="auto"/>
        <w:tabs>
          <w:tab w:leader="none" w:pos="4820" w:val="left"/>
        </w:tabs>
        <w:rPr>
          <w:sz w:val="20"/>
          <w:szCs w:val="20"/>
          <w:color w:val="auto"/>
        </w:rPr>
      </w:pPr>
      <w:r>
        <w:rPr>
          <w:rFonts w:ascii="Courier New" w:cs="Courier New" w:eastAsia="Courier New" w:hAnsi="Courier New"/>
          <w:sz w:val="18"/>
          <w:szCs w:val="18"/>
          <w:color w:val="auto"/>
        </w:rPr>
        <w:t>Name:</w:t>
        <w:tab/>
        <w:t>Julian A. Brodsky</w:t>
      </w:r>
    </w:p>
    <w:p>
      <w:pPr>
        <w:ind w:left="410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300" w:val="left"/>
          <w:tab w:leader="none" w:pos="482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100"/>
        <w:spacing w:after="0" w:line="238" w:lineRule="auto"/>
        <w:rPr>
          <w:sz w:val="20"/>
          <w:szCs w:val="20"/>
          <w:color w:val="auto"/>
        </w:rPr>
      </w:pPr>
      <w:r>
        <w:rPr>
          <w:rFonts w:ascii="Courier New" w:cs="Courier New" w:eastAsia="Courier New" w:hAnsi="Courier New"/>
          <w:sz w:val="18"/>
          <w:szCs w:val="18"/>
          <w:color w:val="auto"/>
        </w:rPr>
        <w:t>Name: Julian A. Brodsky</w:t>
      </w:r>
    </w:p>
    <w:p>
      <w:pPr>
        <w:ind w:left="410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000"/>
        <w:spacing w:after="0" w:line="238" w:lineRule="auto"/>
        <w:rPr>
          <w:sz w:val="20"/>
          <w:szCs w:val="20"/>
          <w:color w:val="auto"/>
        </w:rPr>
      </w:pPr>
      <w:r>
        <w:rPr>
          <w:rFonts w:ascii="Courier New" w:cs="Courier New" w:eastAsia="Courier New" w:hAnsi="Courier New"/>
          <w:sz w:val="18"/>
          <w:szCs w:val="18"/>
          <w:color w:val="auto"/>
        </w:rPr>
        <w:t>Name: Stephen M. Brett</w:t>
      </w:r>
    </w:p>
    <w:p>
      <w:pPr>
        <w:ind w:left="4100"/>
        <w:spacing w:after="0"/>
        <w:rPr>
          <w:sz w:val="20"/>
          <w:szCs w:val="20"/>
          <w:color w:val="auto"/>
        </w:rPr>
      </w:pPr>
      <w:r>
        <w:rPr>
          <w:rFonts w:ascii="Courier New" w:cs="Courier New" w:eastAsia="Courier New" w:hAnsi="Courier New"/>
          <w:sz w:val="18"/>
          <w:szCs w:val="18"/>
          <w:color w:val="auto"/>
        </w:rPr>
        <w:t>Title: Executive Vice</w:t>
      </w:r>
    </w:p>
    <w:p>
      <w:pPr>
        <w:ind w:left="496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9579"/>
          </w:cols>
          <w:pgMar w:left="880" w:top="13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1800" w:space="720"/>
            <w:col w:w="2980" w:space="720"/>
            <w:col w:w="3359"/>
          </w:cols>
          <w:pgMar w:left="880" w:top="13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(a)(12)</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Text of Press Release issued by TCI and Comcast on September 8, 1994.</w:t>
      </w:r>
    </w:p>
    <w:p>
      <w:pPr>
        <w:sectPr>
          <w:pgSz w:w="11900" w:h="16838" w:orient="portrait"/>
          <w:cols w:equalWidth="0" w:num="2">
            <w:col w:w="1180" w:space="720"/>
            <w:col w:w="7679"/>
          </w:cols>
          <w:pgMar w:left="880" w:top="1325" w:right="1440" w:bottom="1440" w:gutter="0" w:footer="0" w:header="0"/>
          <w:type w:val="continuous"/>
        </w:sectPr>
      </w:pPr>
    </w:p>
    <w:bookmarkStart w:id="3" w:name="page4"/>
    <w:bookmarkEnd w:id="3"/>
    <w:p>
      <w:pPr>
        <w:ind w:left="5480"/>
        <w:spacing w:after="0"/>
        <w:rPr>
          <w:sz w:val="20"/>
          <w:szCs w:val="20"/>
          <w:color w:val="auto"/>
        </w:rPr>
      </w:pPr>
      <w:r>
        <w:rPr>
          <w:rFonts w:ascii="Courier New" w:cs="Courier New" w:eastAsia="Courier New" w:hAnsi="Courier New"/>
          <w:sz w:val="18"/>
          <w:szCs w:val="18"/>
          <w:color w:val="auto"/>
        </w:rPr>
        <w:t>EXHIBIT (a)(12)</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TRADE COMMISSION REQUESTS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ADDITIONAL INFORMATION FROM COMCAST AND TCI</w:t>
      </w:r>
    </w:p>
    <w:p>
      <w:pPr>
        <w:spacing w:after="0" w:line="200" w:lineRule="exact"/>
        <w:rPr>
          <w:sz w:val="20"/>
          <w:szCs w:val="20"/>
          <w:color w:val="auto"/>
        </w:rPr>
      </w:pPr>
    </w:p>
    <w:p>
      <w:pPr>
        <w:spacing w:after="0" w:line="210"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Philadelphia, PA and Englewood, CO -- September 8, 1994 -- Comcast Corporation and Tele-Communications, Inc. announced today that the Federal Trade Commission has issued requests to each of Comcast and TCI to provide additional information regarding the proposed acquisition by Comcast and Liberty Media Corporation, a wholly-owned subsidiary of TCI, of the stock of QVC pursuant to a tender offer commenced on August 11th. The tender offer is being made through an acquisition vehicle, QVC Programming Holdings, Inc., of which Comcast and Liberty will own 57.4% and 42.6%, respectively, following consummation of the tender offer. The request will extend the waiting period under the Hart-Scott-Rodino Antitrust Improvements Act applicable to the formation of the tender offer acquisition vehicle by Comcast and Liberty until 20 days after the requested information is provided by Comcast and Liberty.</w:t>
      </w:r>
    </w:p>
    <w:p>
      <w:pPr>
        <w:spacing w:after="0" w:line="18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FTC also previously requested additional information from each of Comcast and QVC in connection with the proposed acquisition of QVC stock pursuant to the tender offer.</w:t>
      </w:r>
    </w:p>
    <w:p>
      <w:pPr>
        <w:spacing w:after="0" w:line="209" w:lineRule="exact"/>
        <w:rPr>
          <w:sz w:val="20"/>
          <w:szCs w:val="20"/>
          <w:color w:val="auto"/>
        </w:rPr>
      </w:pPr>
    </w:p>
    <w:p>
      <w:pPr>
        <w:jc w:val="both"/>
        <w:ind w:right="2419" w:firstLine="948"/>
        <w:spacing w:after="0" w:line="237" w:lineRule="auto"/>
        <w:rPr>
          <w:sz w:val="20"/>
          <w:szCs w:val="20"/>
          <w:color w:val="auto"/>
        </w:rPr>
      </w:pPr>
      <w:r>
        <w:rPr>
          <w:rFonts w:ascii="Courier New" w:cs="Courier New" w:eastAsia="Courier New" w:hAnsi="Courier New"/>
          <w:sz w:val="18"/>
          <w:szCs w:val="18"/>
          <w:color w:val="auto"/>
        </w:rPr>
        <w:t>The tender offer may not be consummated until the waiting periods under the Hart-Scott-Rodino Act applicable to each of the formation of QVC Holdings, Inc. and the acquisition of the QVC stock pursuant to the tender offer have expired or been terminated.</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cable communications networks. Comcast's consolidated and affiliated operations served approximately 3.0 million cable subscribers at June 30, 1994. After completion of the acquisition of Maclean Hunter's United States cable properties, Comcast's consolidated and prorated affiliated operations will serve approximately 3.5 million cable subscribers, making it the third largest cable operator in the country.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216"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programming cable networks.</w:t>
      </w:r>
    </w:p>
    <w:p>
      <w:pPr>
        <w:spacing w:after="0" w:line="182" w:lineRule="exact"/>
        <w:rPr>
          <w:sz w:val="20"/>
          <w:szCs w:val="20"/>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rPr>
          <w:sz w:val="20"/>
          <w:szCs w:val="20"/>
          <w:color w:val="auto"/>
        </w:rPr>
      </w:pPr>
      <w:r>
        <w:rPr>
          <w:rFonts w:ascii="Courier New" w:cs="Courier New" w:eastAsia="Courier New" w:hAnsi="Courier New"/>
          <w:sz w:val="18"/>
          <w:szCs w:val="18"/>
          <w:color w:val="auto"/>
        </w:rPr>
        <w:t>William E. Dordelman</w:t>
      </w:r>
    </w:p>
    <w:p>
      <w:pPr>
        <w:spacing w:after="0" w:line="237" w:lineRule="auto"/>
        <w:rPr>
          <w:sz w:val="20"/>
          <w:szCs w:val="20"/>
          <w:color w:val="auto"/>
        </w:rPr>
      </w:pPr>
      <w:r>
        <w:rPr>
          <w:rFonts w:ascii="Courier New" w:cs="Courier New" w:eastAsia="Courier New" w:hAnsi="Courier New"/>
          <w:sz w:val="18"/>
          <w:szCs w:val="18"/>
          <w:color w:val="auto"/>
        </w:rPr>
        <w:t>Assistant Treasurer</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 981-7550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Kathleen B. Jacoby</w:t>
      </w:r>
    </w:p>
    <w:p>
      <w:pPr>
        <w:spacing w:after="0" w:line="238" w:lineRule="auto"/>
        <w:rPr>
          <w:sz w:val="20"/>
          <w:szCs w:val="20"/>
          <w:color w:val="auto"/>
        </w:rPr>
      </w:pPr>
      <w:r>
        <w:rPr>
          <w:rFonts w:ascii="Courier New" w:cs="Courier New" w:eastAsia="Courier New" w:hAnsi="Courier New"/>
          <w:sz w:val="18"/>
          <w:szCs w:val="18"/>
          <w:color w:val="auto"/>
        </w:rPr>
        <w:t>Director of Investor Relations</w:t>
      </w:r>
    </w:p>
    <w:p>
      <w:pPr>
        <w:spacing w:after="0"/>
        <w:rPr>
          <w:sz w:val="20"/>
          <w:szCs w:val="20"/>
          <w:color w:val="auto"/>
        </w:rPr>
      </w:pPr>
      <w:r>
        <w:rPr>
          <w:rFonts w:ascii="Courier New" w:cs="Courier New" w:eastAsia="Courier New" w:hAnsi="Courier New"/>
          <w:sz w:val="18"/>
          <w:szCs w:val="18"/>
          <w:color w:val="auto"/>
        </w:rPr>
        <w:t>(215) 981-7392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Inc.</w:t>
      </w:r>
    </w:p>
    <w:p>
      <w:pPr>
        <w:spacing w:after="0" w:line="238" w:lineRule="auto"/>
        <w:rPr>
          <w:sz w:val="20"/>
          <w:szCs w:val="20"/>
          <w:color w:val="auto"/>
        </w:rPr>
      </w:pPr>
      <w:r>
        <w:rPr>
          <w:rFonts w:ascii="Courier New" w:cs="Courier New" w:eastAsia="Courier New" w:hAnsi="Courier New"/>
          <w:sz w:val="18"/>
          <w:szCs w:val="18"/>
          <w:color w:val="auto"/>
        </w:rPr>
        <w:t>Steve Smith</w:t>
      </w:r>
    </w:p>
    <w:p>
      <w:pPr>
        <w:spacing w:after="0"/>
        <w:rPr>
          <w:sz w:val="20"/>
          <w:szCs w:val="20"/>
          <w:color w:val="auto"/>
        </w:rPr>
      </w:pPr>
      <w:r>
        <w:rPr>
          <w:rFonts w:ascii="Courier New" w:cs="Courier New" w:eastAsia="Courier New" w:hAnsi="Courier New"/>
          <w:sz w:val="18"/>
          <w:szCs w:val="18"/>
          <w:color w:val="auto"/>
        </w:rPr>
        <w:t>Investor Relations</w:t>
      </w:r>
    </w:p>
    <w:p>
      <w:pPr>
        <w:spacing w:after="0" w:line="237" w:lineRule="auto"/>
        <w:rPr>
          <w:sz w:val="20"/>
          <w:szCs w:val="20"/>
          <w:color w:val="auto"/>
        </w:rPr>
      </w:pPr>
      <w:r>
        <w:rPr>
          <w:rFonts w:ascii="Courier New" w:cs="Courier New" w:eastAsia="Courier New" w:hAnsi="Courier New"/>
          <w:sz w:val="18"/>
          <w:szCs w:val="18"/>
          <w:color w:val="auto"/>
        </w:rPr>
        <w:t>(303) 267-5048</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2019-12-16T13:07:05Z</dcterms:created>
  <dcterms:modified xsi:type="dcterms:W3CDTF">2019-12-16T13:07:05Z</dcterms:modified>
</cp:coreProperties>
</file>