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Title Of Each Class Of</w:t>
            </w:r>
          </w:p>
        </w:tc>
        <w:tc>
          <w:tcPr>
            <w:tcW w:w="10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302"/>
              <w:spacing w:after="0" w:line="158"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1.625% Notes due 2022</w:t>
            </w:r>
          </w:p>
        </w:tc>
        <w:tc>
          <w:tcPr>
            <w:tcW w:w="100" w:type="dxa"/>
            <w:vAlign w:val="bottom"/>
          </w:tcPr>
          <w:p>
            <w:pPr>
              <w:spacing w:after="0"/>
              <w:rPr>
                <w:sz w:val="16"/>
                <w:szCs w:val="16"/>
                <w:color w:val="auto"/>
              </w:rPr>
            </w:pPr>
          </w:p>
        </w:tc>
        <w:tc>
          <w:tcPr>
            <w:tcW w:w="1460" w:type="dxa"/>
            <w:vAlign w:val="bottom"/>
          </w:tcPr>
          <w:p>
            <w:pPr>
              <w:jc w:val="right"/>
              <w:ind w:right="79"/>
              <w:spacing w:after="0" w:line="195" w:lineRule="exact"/>
              <w:rPr>
                <w:sz w:val="20"/>
                <w:szCs w:val="20"/>
                <w:color w:val="auto"/>
              </w:rPr>
            </w:pPr>
            <w:r>
              <w:rPr>
                <w:rFonts w:ascii="Arial" w:cs="Arial" w:eastAsia="Arial" w:hAnsi="Arial"/>
                <w:sz w:val="18"/>
                <w:szCs w:val="18"/>
                <w:color w:val="auto"/>
              </w:rPr>
              <w:t>$700,000,000</w:t>
            </w:r>
          </w:p>
        </w:tc>
        <w:tc>
          <w:tcPr>
            <w:tcW w:w="40" w:type="dxa"/>
            <w:vAlign w:val="bottom"/>
            <w:tcBorders>
              <w:right w:val="single" w:sz="8" w:color="auto"/>
            </w:tcBorders>
          </w:tcPr>
          <w:p>
            <w:pPr>
              <w:spacing w:after="0"/>
              <w:rPr>
                <w:sz w:val="16"/>
                <w:szCs w:val="16"/>
                <w:color w:val="auto"/>
              </w:rPr>
            </w:pPr>
          </w:p>
        </w:tc>
        <w:tc>
          <w:tcPr>
            <w:tcW w:w="1560" w:type="dxa"/>
            <w:vAlign w:val="bottom"/>
            <w:gridSpan w:val="2"/>
          </w:tcPr>
          <w:p>
            <w:pPr>
              <w:jc w:val="right"/>
              <w:ind w:right="322"/>
              <w:spacing w:after="0" w:line="195" w:lineRule="exact"/>
              <w:rPr>
                <w:sz w:val="20"/>
                <w:szCs w:val="20"/>
                <w:color w:val="auto"/>
              </w:rPr>
            </w:pPr>
            <w:r>
              <w:rPr>
                <w:rFonts w:ascii="Arial" w:cs="Arial" w:eastAsia="Arial" w:hAnsi="Arial"/>
                <w:sz w:val="18"/>
                <w:szCs w:val="18"/>
                <w:color w:val="auto"/>
              </w:rPr>
              <w:t>$70,490</w:t>
            </w:r>
          </w:p>
        </w:tc>
        <w:tc>
          <w:tcPr>
            <w:tcW w:w="0" w:type="dxa"/>
            <w:vAlign w:val="bottom"/>
          </w:tcPr>
          <w:p>
            <w:pPr>
              <w:spacing w:after="0"/>
              <w:rPr>
                <w:sz w:val="1"/>
                <w:szCs w:val="1"/>
                <w:color w:val="auto"/>
              </w:rPr>
            </w:pPr>
          </w:p>
        </w:tc>
      </w:tr>
      <w:tr>
        <w:trPr>
          <w:trHeight w:val="216"/>
        </w:trPr>
        <w:tc>
          <w:tcPr>
            <w:tcW w:w="8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2.350% Notes due 2027</w:t>
            </w: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8"/>
                <w:szCs w:val="18"/>
                <w:color w:val="auto"/>
              </w:rPr>
              <w:t>$1,400,000,000</w:t>
            </w:r>
          </w:p>
        </w:tc>
        <w:tc>
          <w:tcPr>
            <w:tcW w:w="40" w:type="dxa"/>
            <w:vAlign w:val="bottom"/>
            <w:tcBorders>
              <w:right w:val="single" w:sz="8" w:color="auto"/>
            </w:tcBorders>
          </w:tcPr>
          <w:p>
            <w:pPr>
              <w:spacing w:after="0"/>
              <w:rPr>
                <w:sz w:val="18"/>
                <w:szCs w:val="18"/>
                <w:color w:val="auto"/>
              </w:rPr>
            </w:pPr>
          </w:p>
        </w:tc>
        <w:tc>
          <w:tcPr>
            <w:tcW w:w="1560" w:type="dxa"/>
            <w:vAlign w:val="bottom"/>
            <w:gridSpan w:val="2"/>
          </w:tcPr>
          <w:p>
            <w:pPr>
              <w:jc w:val="right"/>
              <w:ind w:right="322"/>
              <w:spacing w:after="0"/>
              <w:rPr>
                <w:sz w:val="20"/>
                <w:szCs w:val="20"/>
                <w:color w:val="auto"/>
              </w:rPr>
            </w:pPr>
            <w:r>
              <w:rPr>
                <w:rFonts w:ascii="Arial" w:cs="Arial" w:eastAsia="Arial" w:hAnsi="Arial"/>
                <w:sz w:val="18"/>
                <w:szCs w:val="18"/>
                <w:color w:val="auto"/>
              </w:rPr>
              <w:t>$140,980</w:t>
            </w:r>
          </w:p>
        </w:tc>
        <w:tc>
          <w:tcPr>
            <w:tcW w:w="0" w:type="dxa"/>
            <w:vAlign w:val="bottom"/>
          </w:tcPr>
          <w:p>
            <w:pPr>
              <w:spacing w:after="0"/>
              <w:rPr>
                <w:sz w:val="1"/>
                <w:szCs w:val="1"/>
                <w:color w:val="auto"/>
              </w:rPr>
            </w:pPr>
          </w:p>
        </w:tc>
      </w:tr>
      <w:tr>
        <w:trPr>
          <w:trHeight w:val="216"/>
        </w:trPr>
        <w:tc>
          <w:tcPr>
            <w:tcW w:w="8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3.200% Notes due 2036</w:t>
            </w: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8"/>
                <w:szCs w:val="18"/>
                <w:color w:val="auto"/>
              </w:rPr>
              <w:t>$1,000,000,000</w:t>
            </w:r>
          </w:p>
        </w:tc>
        <w:tc>
          <w:tcPr>
            <w:tcW w:w="40" w:type="dxa"/>
            <w:vAlign w:val="bottom"/>
            <w:tcBorders>
              <w:right w:val="single" w:sz="8" w:color="auto"/>
            </w:tcBorders>
          </w:tcPr>
          <w:p>
            <w:pPr>
              <w:spacing w:after="0"/>
              <w:rPr>
                <w:sz w:val="18"/>
                <w:szCs w:val="18"/>
                <w:color w:val="auto"/>
              </w:rPr>
            </w:pPr>
          </w:p>
        </w:tc>
        <w:tc>
          <w:tcPr>
            <w:tcW w:w="1560" w:type="dxa"/>
            <w:vAlign w:val="bottom"/>
            <w:gridSpan w:val="2"/>
          </w:tcPr>
          <w:p>
            <w:pPr>
              <w:jc w:val="right"/>
              <w:ind w:right="322"/>
              <w:spacing w:after="0"/>
              <w:rPr>
                <w:sz w:val="20"/>
                <w:szCs w:val="20"/>
                <w:color w:val="auto"/>
              </w:rPr>
            </w:pPr>
            <w:r>
              <w:rPr>
                <w:rFonts w:ascii="Arial" w:cs="Arial" w:eastAsia="Arial" w:hAnsi="Arial"/>
                <w:sz w:val="18"/>
                <w:szCs w:val="18"/>
                <w:color w:val="auto"/>
              </w:rPr>
              <w:t>$100,700</w:t>
            </w:r>
          </w:p>
        </w:tc>
        <w:tc>
          <w:tcPr>
            <w:tcW w:w="0" w:type="dxa"/>
            <w:vAlign w:val="bottom"/>
          </w:tcPr>
          <w:p>
            <w:pPr>
              <w:spacing w:after="0"/>
              <w:rPr>
                <w:sz w:val="1"/>
                <w:szCs w:val="1"/>
                <w:color w:val="auto"/>
              </w:rPr>
            </w:pPr>
          </w:p>
        </w:tc>
      </w:tr>
      <w:tr>
        <w:trPr>
          <w:trHeight w:val="230"/>
        </w:trPr>
        <w:tc>
          <w:tcPr>
            <w:tcW w:w="8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3.400% Notes due 2046</w:t>
            </w:r>
          </w:p>
        </w:tc>
        <w:tc>
          <w:tcPr>
            <w:tcW w:w="10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8"/>
                <w:szCs w:val="18"/>
                <w:color w:val="auto"/>
              </w:rPr>
              <w:t>$1,400,000,000</w:t>
            </w:r>
          </w:p>
        </w:tc>
        <w:tc>
          <w:tcPr>
            <w:tcW w:w="40" w:type="dxa"/>
            <w:vAlign w:val="bottom"/>
            <w:tcBorders>
              <w:right w:val="single" w:sz="8" w:color="auto"/>
            </w:tcBorders>
          </w:tcPr>
          <w:p>
            <w:pPr>
              <w:spacing w:after="0"/>
              <w:rPr>
                <w:sz w:val="20"/>
                <w:szCs w:val="20"/>
                <w:color w:val="auto"/>
              </w:rPr>
            </w:pPr>
          </w:p>
        </w:tc>
        <w:tc>
          <w:tcPr>
            <w:tcW w:w="1560" w:type="dxa"/>
            <w:vAlign w:val="bottom"/>
            <w:gridSpan w:val="2"/>
          </w:tcPr>
          <w:p>
            <w:pPr>
              <w:jc w:val="right"/>
              <w:ind w:right="322"/>
              <w:spacing w:after="0"/>
              <w:rPr>
                <w:sz w:val="20"/>
                <w:szCs w:val="20"/>
                <w:color w:val="auto"/>
              </w:rPr>
            </w:pPr>
            <w:r>
              <w:rPr>
                <w:rFonts w:ascii="Arial" w:cs="Arial" w:eastAsia="Arial" w:hAnsi="Arial"/>
                <w:sz w:val="18"/>
                <w:szCs w:val="18"/>
                <w:color w:val="auto"/>
              </w:rPr>
              <w:t>$140,980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vMerge w:val="restart"/>
          </w:tcPr>
          <w:p>
            <w:pPr>
              <w:spacing w:after="0" w:line="20" w:lineRule="exact"/>
              <w:rPr>
                <w:sz w:val="1"/>
                <w:szCs w:val="1"/>
                <w:color w:val="auto"/>
              </w:rPr>
            </w:pPr>
          </w:p>
        </w:tc>
        <w:tc>
          <w:tcPr>
            <w:tcW w:w="14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8"/>
                <w:szCs w:val="18"/>
                <w:color w:val="auto"/>
              </w:rPr>
              <w:t>$4,500,000,000</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8"/>
                <w:szCs w:val="18"/>
                <w:color w:val="auto"/>
              </w:rPr>
              <w:t>$453,150</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6239510</wp:posOffset>
            </wp:positionH>
            <wp:positionV relativeFrom="paragraph">
              <wp:posOffset>-325755</wp:posOffset>
            </wp:positionV>
            <wp:extent cx="88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333-191239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58420</wp:posOffset>
            </wp:positionV>
            <wp:extent cx="139763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80"/>
        <w:spacing w:after="0"/>
        <w:tabs>
          <w:tab w:leader="none" w:pos="5260" w:val="left"/>
        </w:tabs>
        <w:rPr>
          <w:sz w:val="20"/>
          <w:szCs w:val="20"/>
          <w:color w:val="auto"/>
        </w:rPr>
      </w:pPr>
      <w:r>
        <w:rPr>
          <w:rFonts w:ascii="Arial" w:cs="Arial" w:eastAsia="Arial" w:hAnsi="Arial"/>
          <w:sz w:val="32"/>
          <w:szCs w:val="32"/>
          <w:b w:val="1"/>
          <w:bCs w:val="1"/>
          <w:color w:val="auto"/>
        </w:rPr>
        <w:t>$700,000,000</w:t>
      </w:r>
      <w:r>
        <w:rPr>
          <w:sz w:val="20"/>
          <w:szCs w:val="20"/>
          <w:color w:val="auto"/>
        </w:rPr>
        <w:tab/>
      </w:r>
      <w:r>
        <w:rPr>
          <w:rFonts w:ascii="Arial" w:cs="Arial" w:eastAsia="Arial" w:hAnsi="Arial"/>
          <w:sz w:val="29"/>
          <w:szCs w:val="29"/>
          <w:b w:val="1"/>
          <w:bCs w:val="1"/>
          <w:color w:val="auto"/>
        </w:rPr>
        <w:t>1.625% Notes due 2022</w:t>
      </w:r>
    </w:p>
    <w:p>
      <w:pPr>
        <w:spacing w:after="0" w:line="29" w:lineRule="exact"/>
        <w:rPr>
          <w:sz w:val="20"/>
          <w:szCs w:val="20"/>
          <w:color w:val="auto"/>
        </w:rPr>
      </w:pPr>
    </w:p>
    <w:p>
      <w:pPr>
        <w:ind w:left="2880"/>
        <w:spacing w:after="0"/>
        <w:tabs>
          <w:tab w:leader="none" w:pos="5300" w:val="left"/>
        </w:tabs>
        <w:rPr>
          <w:sz w:val="20"/>
          <w:szCs w:val="20"/>
          <w:color w:val="auto"/>
        </w:rPr>
      </w:pPr>
      <w:r>
        <w:rPr>
          <w:rFonts w:ascii="Arial" w:cs="Arial" w:eastAsia="Arial" w:hAnsi="Arial"/>
          <w:sz w:val="32"/>
          <w:szCs w:val="32"/>
          <w:b w:val="1"/>
          <w:bCs w:val="1"/>
          <w:color w:val="auto"/>
        </w:rPr>
        <w:t>$1,400,000,000</w:t>
      </w:r>
      <w:r>
        <w:rPr>
          <w:sz w:val="20"/>
          <w:szCs w:val="20"/>
          <w:color w:val="auto"/>
        </w:rPr>
        <w:tab/>
      </w:r>
      <w:r>
        <w:rPr>
          <w:rFonts w:ascii="Arial" w:cs="Arial" w:eastAsia="Arial" w:hAnsi="Arial"/>
          <w:sz w:val="29"/>
          <w:szCs w:val="29"/>
          <w:b w:val="1"/>
          <w:bCs w:val="1"/>
          <w:color w:val="auto"/>
        </w:rPr>
        <w:t>2.350% Notes due 2027</w:t>
      </w:r>
    </w:p>
    <w:p>
      <w:pPr>
        <w:ind w:left="2880"/>
        <w:spacing w:after="0"/>
        <w:tabs>
          <w:tab w:leader="none" w:pos="5300" w:val="left"/>
        </w:tabs>
        <w:rPr>
          <w:sz w:val="20"/>
          <w:szCs w:val="20"/>
          <w:color w:val="auto"/>
        </w:rPr>
      </w:pPr>
      <w:r>
        <w:rPr>
          <w:rFonts w:ascii="Arial" w:cs="Arial" w:eastAsia="Arial" w:hAnsi="Arial"/>
          <w:sz w:val="32"/>
          <w:szCs w:val="32"/>
          <w:b w:val="1"/>
          <w:bCs w:val="1"/>
          <w:color w:val="auto"/>
        </w:rPr>
        <w:t>$1,000,000,000</w:t>
      </w:r>
      <w:r>
        <w:rPr>
          <w:sz w:val="20"/>
          <w:szCs w:val="20"/>
          <w:color w:val="auto"/>
        </w:rPr>
        <w:tab/>
      </w:r>
      <w:r>
        <w:rPr>
          <w:rFonts w:ascii="Arial" w:cs="Arial" w:eastAsia="Arial" w:hAnsi="Arial"/>
          <w:sz w:val="29"/>
          <w:szCs w:val="29"/>
          <w:b w:val="1"/>
          <w:bCs w:val="1"/>
          <w:color w:val="auto"/>
        </w:rPr>
        <w:t>3.200% Notes due 2036</w:t>
      </w:r>
    </w:p>
    <w:p>
      <w:pPr>
        <w:spacing w:after="0" w:line="1" w:lineRule="exact"/>
        <w:rPr>
          <w:sz w:val="20"/>
          <w:szCs w:val="20"/>
          <w:color w:val="auto"/>
        </w:rPr>
      </w:pPr>
    </w:p>
    <w:p>
      <w:pPr>
        <w:ind w:left="2880"/>
        <w:spacing w:after="0"/>
        <w:tabs>
          <w:tab w:leader="none" w:pos="5300" w:val="left"/>
        </w:tabs>
        <w:rPr>
          <w:sz w:val="20"/>
          <w:szCs w:val="20"/>
          <w:color w:val="auto"/>
        </w:rPr>
      </w:pPr>
      <w:r>
        <w:rPr>
          <w:rFonts w:ascii="Arial" w:cs="Arial" w:eastAsia="Arial" w:hAnsi="Arial"/>
          <w:sz w:val="32"/>
          <w:szCs w:val="32"/>
          <w:b w:val="1"/>
          <w:bCs w:val="1"/>
          <w:color w:val="auto"/>
        </w:rPr>
        <w:t>$1,400,000,000</w:t>
      </w:r>
      <w:r>
        <w:rPr>
          <w:sz w:val="20"/>
          <w:szCs w:val="20"/>
          <w:color w:val="auto"/>
        </w:rPr>
        <w:tab/>
      </w:r>
      <w:r>
        <w:rPr>
          <w:rFonts w:ascii="Arial" w:cs="Arial" w:eastAsia="Arial" w:hAnsi="Arial"/>
          <w:sz w:val="29"/>
          <w:szCs w:val="29"/>
          <w:b w:val="1"/>
          <w:bCs w:val="1"/>
          <w:color w:val="auto"/>
        </w:rPr>
        <w:t>3.400%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112395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Notes due 2022 will bear interest at a rate of 1.625% per year and will mature on January 15, 2022, the Notes due 2027 will bear interest at a rate of 2.350% per year and will mature on January 15, 2027, the Notes due 2036 will bear interest at a rate of 3.200% per year and will mature on July 15, 2036 and the Notes due 2046 will bear interest at a rate of 3.400% per year and will mature on July 15, 2046. We refer to the Notes due 2022, the Notes due 2027, the Notes due 2036 and the Notes due 2046 collectively as the “notes.” We will pay interest on the notes on January 15 and July 15 of each year, beginning January 15, 2017. We may redeem any of the notes at any time by paying the applicable Redemption Price described under the heading “Description of the Notes—Optional Redemption.”</w:t>
      </w:r>
    </w:p>
    <w:p>
      <w:pPr>
        <w:spacing w:after="0" w:line="6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59690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1" w:lineRule="exact"/>
        <w:rPr>
          <w:sz w:val="20"/>
          <w:szCs w:val="20"/>
          <w:color w:val="auto"/>
        </w:rPr>
      </w:pPr>
    </w:p>
    <w:p>
      <w:pPr>
        <w:ind w:right="16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25 of Comcast Corporation’s (“Comcast”) Annual Report on Form 10-K for the year ended December 31, 2015, which is incorporated by reference herein.</w:t>
      </w: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Proceeds to Us</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700" w:type="dxa"/>
            <w:vAlign w:val="bottom"/>
            <w:vMerge w:val="restart"/>
          </w:tcPr>
          <w:p>
            <w:pPr>
              <w:spacing w:after="0"/>
              <w:rPr>
                <w:sz w:val="12"/>
                <w:szCs w:val="12"/>
                <w:color w:val="auto"/>
              </w:rPr>
            </w:pPr>
          </w:p>
        </w:tc>
        <w:tc>
          <w:tcPr>
            <w:tcW w:w="15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53"/>
        </w:trPr>
        <w:tc>
          <w:tcPr>
            <w:tcW w:w="488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58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Discount</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79"/>
              </w:rPr>
              <w:t>Expenses</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 due 2022</w:t>
            </w:r>
            <w:r>
              <w:rPr>
                <w:rFonts w:ascii="Arial" w:cs="Arial" w:eastAsia="Arial" w:hAnsi="Arial"/>
                <w:sz w:val="11"/>
                <w:szCs w:val="11"/>
                <w:color w:val="auto"/>
              </w:rPr>
              <w:t>(1)</w:t>
            </w:r>
          </w:p>
        </w:tc>
        <w:tc>
          <w:tcPr>
            <w:tcW w:w="176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99.901%</w:t>
            </w: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0.250%</w:t>
            </w:r>
          </w:p>
        </w:tc>
        <w:tc>
          <w:tcPr>
            <w:tcW w:w="13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99.651%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$699,307,000</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$1,750,000</w:t>
            </w:r>
          </w:p>
        </w:tc>
        <w:tc>
          <w:tcPr>
            <w:tcW w:w="1160" w:type="dxa"/>
            <w:vAlign w:val="bottom"/>
          </w:tcPr>
          <w:p>
            <w:pPr>
              <w:jc w:val="right"/>
              <w:spacing w:after="0"/>
              <w:rPr>
                <w:sz w:val="20"/>
                <w:szCs w:val="20"/>
                <w:color w:val="auto"/>
              </w:rPr>
            </w:pPr>
            <w:r>
              <w:rPr>
                <w:rFonts w:ascii="Arial" w:cs="Arial" w:eastAsia="Arial" w:hAnsi="Arial"/>
                <w:sz w:val="18"/>
                <w:szCs w:val="18"/>
                <w:color w:val="auto"/>
              </w:rPr>
              <w:t>$697,557,000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2027</w:t>
            </w:r>
            <w:r>
              <w:rPr>
                <w:rFonts w:ascii="Arial" w:cs="Arial" w:eastAsia="Arial" w:hAnsi="Arial"/>
                <w:sz w:val="11"/>
                <w:szCs w:val="11"/>
                <w:color w:val="auto"/>
              </w:rPr>
              <w:t>(1)</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99.880%</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0.450%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99.430%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$1,398,320,000</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$6,300,000</w:t>
            </w:r>
          </w:p>
        </w:tc>
        <w:tc>
          <w:tcPr>
            <w:tcW w:w="1160" w:type="dxa"/>
            <w:vAlign w:val="bottom"/>
          </w:tcPr>
          <w:p>
            <w:pPr>
              <w:jc w:val="right"/>
              <w:spacing w:after="0"/>
              <w:rPr>
                <w:sz w:val="20"/>
                <w:szCs w:val="20"/>
                <w:color w:val="auto"/>
              </w:rPr>
            </w:pPr>
            <w:r>
              <w:rPr>
                <w:rFonts w:ascii="Arial" w:cs="Arial" w:eastAsia="Arial" w:hAnsi="Arial"/>
                <w:sz w:val="18"/>
                <w:szCs w:val="18"/>
                <w:color w:val="auto"/>
                <w:w w:val="91"/>
              </w:rPr>
              <w:t>$1,392,020,000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2036</w:t>
            </w:r>
            <w:r>
              <w:rPr>
                <w:rFonts w:ascii="Arial" w:cs="Arial" w:eastAsia="Arial" w:hAnsi="Arial"/>
                <w:sz w:val="11"/>
                <w:szCs w:val="11"/>
                <w:color w:val="auto"/>
              </w:rPr>
              <w:t>(1)</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99.313%</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0.650%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98.663%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$993,130,000</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$6,500,000</w:t>
            </w:r>
          </w:p>
        </w:tc>
        <w:tc>
          <w:tcPr>
            <w:tcW w:w="1160" w:type="dxa"/>
            <w:vAlign w:val="bottom"/>
          </w:tcPr>
          <w:p>
            <w:pPr>
              <w:jc w:val="right"/>
              <w:spacing w:after="0"/>
              <w:rPr>
                <w:sz w:val="20"/>
                <w:szCs w:val="20"/>
                <w:color w:val="auto"/>
              </w:rPr>
            </w:pPr>
            <w:r>
              <w:rPr>
                <w:rFonts w:ascii="Arial" w:cs="Arial" w:eastAsia="Arial" w:hAnsi="Arial"/>
                <w:sz w:val="18"/>
                <w:szCs w:val="18"/>
                <w:color w:val="auto"/>
              </w:rPr>
              <w:t>$986,630,000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2046</w:t>
            </w:r>
            <w:r>
              <w:rPr>
                <w:rFonts w:ascii="Arial" w:cs="Arial" w:eastAsia="Arial" w:hAnsi="Arial"/>
                <w:sz w:val="11"/>
                <w:szCs w:val="11"/>
                <w:color w:val="auto"/>
              </w:rPr>
              <w:t>(1)</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99.126%</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0.750%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98.376%</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$1,387,764,000</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$10,500,000</w:t>
            </w:r>
          </w:p>
        </w:tc>
        <w:tc>
          <w:tcPr>
            <w:tcW w:w="1160" w:type="dxa"/>
            <w:vAlign w:val="bottom"/>
          </w:tcPr>
          <w:p>
            <w:pPr>
              <w:jc w:val="right"/>
              <w:spacing w:after="0"/>
              <w:rPr>
                <w:sz w:val="20"/>
                <w:szCs w:val="20"/>
                <w:color w:val="auto"/>
              </w:rPr>
            </w:pPr>
            <w:r>
              <w:rPr>
                <w:rFonts w:ascii="Arial" w:cs="Arial" w:eastAsia="Arial" w:hAnsi="Arial"/>
                <w:sz w:val="18"/>
                <w:szCs w:val="18"/>
                <w:color w:val="auto"/>
                <w:w w:val="91"/>
              </w:rPr>
              <w:t>$1,377,264,000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July 19, 2016, if settlement occurs after that date.</w:t>
      </w:r>
    </w:p>
    <w:p>
      <w:pPr>
        <w:spacing w:after="0" w:line="84"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July 19, 2016, which is the fifth business day following the date of this prospectus supplement. See “Underwriting.”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20" w:type="dxa"/>
            <w:vAlign w:val="bottom"/>
            <w:gridSpan w:val="2"/>
          </w:tcPr>
          <w:p>
            <w:pPr>
              <w:jc w:val="center"/>
              <w:ind w:right="1420"/>
              <w:spacing w:after="0"/>
              <w:rPr>
                <w:sz w:val="20"/>
                <w:szCs w:val="20"/>
                <w:color w:val="auto"/>
              </w:rPr>
            </w:pPr>
            <w:r>
              <w:rPr>
                <w:rFonts w:ascii="Arial" w:cs="Arial" w:eastAsia="Arial" w:hAnsi="Arial"/>
                <w:sz w:val="18"/>
                <w:szCs w:val="18"/>
                <w:i w:val="1"/>
                <w:iCs w:val="1"/>
                <w:color w:val="auto"/>
                <w:w w:val="89"/>
              </w:rPr>
              <w:t>Joint Book-Running Managers</w:t>
            </w:r>
          </w:p>
        </w:tc>
        <w:tc>
          <w:tcPr>
            <w:tcW w:w="3080" w:type="dxa"/>
            <w:vAlign w:val="bottom"/>
          </w:tcPr>
          <w:p>
            <w:pPr>
              <w:spacing w:after="0"/>
              <w:rPr>
                <w:sz w:val="19"/>
                <w:szCs w:val="19"/>
                <w:color w:val="auto"/>
              </w:rPr>
            </w:pPr>
          </w:p>
        </w:tc>
      </w:tr>
      <w:tr>
        <w:trPr>
          <w:trHeight w:val="336"/>
        </w:trPr>
        <w:tc>
          <w:tcPr>
            <w:tcW w:w="300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1520" w:type="dxa"/>
            <w:vAlign w:val="bottom"/>
          </w:tcPr>
          <w:p>
            <w:pPr>
              <w:spacing w:after="0"/>
              <w:rPr>
                <w:sz w:val="24"/>
                <w:szCs w:val="24"/>
                <w:color w:val="auto"/>
              </w:rPr>
            </w:pPr>
          </w:p>
        </w:tc>
        <w:tc>
          <w:tcPr>
            <w:tcW w:w="3820" w:type="dxa"/>
            <w:vAlign w:val="bottom"/>
            <w:gridSpan w:val="2"/>
          </w:tcPr>
          <w:p>
            <w:pPr>
              <w:ind w:left="600"/>
              <w:spacing w:after="0"/>
              <w:rPr>
                <w:sz w:val="20"/>
                <w:szCs w:val="20"/>
                <w:color w:val="auto"/>
              </w:rPr>
            </w:pPr>
            <w:r>
              <w:rPr>
                <w:rFonts w:ascii="Arial" w:cs="Arial" w:eastAsia="Arial" w:hAnsi="Arial"/>
                <w:sz w:val="22"/>
                <w:szCs w:val="22"/>
                <w:b w:val="1"/>
                <w:bCs w:val="1"/>
                <w:color w:val="auto"/>
              </w:rPr>
              <w:t>J.P. Morgan</w:t>
            </w:r>
          </w:p>
        </w:tc>
        <w:tc>
          <w:tcPr>
            <w:tcW w:w="3080" w:type="dxa"/>
            <w:vAlign w:val="bottom"/>
          </w:tcPr>
          <w:p>
            <w:pPr>
              <w:jc w:val="right"/>
              <w:spacing w:after="0"/>
              <w:rPr>
                <w:sz w:val="20"/>
                <w:szCs w:val="20"/>
                <w:color w:val="auto"/>
              </w:rPr>
            </w:pPr>
            <w:r>
              <w:rPr>
                <w:rFonts w:ascii="Arial" w:cs="Arial" w:eastAsia="Arial" w:hAnsi="Arial"/>
                <w:sz w:val="22"/>
                <w:szCs w:val="22"/>
                <w:b w:val="1"/>
                <w:bCs w:val="1"/>
                <w:color w:val="auto"/>
              </w:rPr>
              <w:t>Mizuho Securities</w:t>
            </w:r>
          </w:p>
        </w:tc>
      </w:tr>
      <w:tr>
        <w:trPr>
          <w:trHeight w:val="446"/>
        </w:trPr>
        <w:tc>
          <w:tcPr>
            <w:tcW w:w="300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1520" w:type="dxa"/>
            <w:vAlign w:val="bottom"/>
          </w:tcPr>
          <w:p>
            <w:pPr>
              <w:spacing w:after="0"/>
              <w:rPr>
                <w:sz w:val="24"/>
                <w:szCs w:val="24"/>
                <w:color w:val="auto"/>
              </w:rPr>
            </w:pPr>
          </w:p>
        </w:tc>
        <w:tc>
          <w:tcPr>
            <w:tcW w:w="3820" w:type="dxa"/>
            <w:vAlign w:val="bottom"/>
            <w:gridSpan w:val="2"/>
          </w:tcPr>
          <w:p>
            <w:pPr>
              <w:jc w:val="center"/>
              <w:ind w:right="1640"/>
              <w:spacing w:after="0"/>
              <w:rPr>
                <w:sz w:val="20"/>
                <w:szCs w:val="20"/>
                <w:color w:val="auto"/>
              </w:rPr>
            </w:pPr>
            <w:r>
              <w:rPr>
                <w:rFonts w:ascii="Arial" w:cs="Arial" w:eastAsia="Arial" w:hAnsi="Arial"/>
                <w:sz w:val="22"/>
                <w:szCs w:val="22"/>
                <w:b w:val="1"/>
                <w:bCs w:val="1"/>
                <w:color w:val="auto"/>
                <w:w w:val="88"/>
              </w:rPr>
              <w:t>Goldman, Sachs &amp; Co.</w:t>
            </w:r>
          </w:p>
        </w:tc>
        <w:tc>
          <w:tcPr>
            <w:tcW w:w="308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r>
        <w:trPr>
          <w:trHeight w:val="152"/>
        </w:trPr>
        <w:tc>
          <w:tcPr>
            <w:tcW w:w="3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289"/>
        </w:trPr>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20" w:type="dxa"/>
            <w:vAlign w:val="bottom"/>
            <w:gridSpan w:val="2"/>
          </w:tcPr>
          <w:p>
            <w:pPr>
              <w:jc w:val="center"/>
              <w:ind w:right="1440"/>
              <w:spacing w:after="0"/>
              <w:rPr>
                <w:sz w:val="20"/>
                <w:szCs w:val="20"/>
                <w:color w:val="auto"/>
              </w:rPr>
            </w:pPr>
            <w:r>
              <w:rPr>
                <w:rFonts w:ascii="Arial" w:cs="Arial" w:eastAsia="Arial" w:hAnsi="Arial"/>
                <w:sz w:val="18"/>
                <w:szCs w:val="18"/>
                <w:i w:val="1"/>
                <w:iCs w:val="1"/>
                <w:color w:val="auto"/>
                <w:w w:val="89"/>
              </w:rPr>
              <w:t>Co-Managers</w:t>
            </w:r>
          </w:p>
        </w:tc>
        <w:tc>
          <w:tcPr>
            <w:tcW w:w="3080" w:type="dxa"/>
            <w:vAlign w:val="bottom"/>
          </w:tcPr>
          <w:p>
            <w:pPr>
              <w:spacing w:after="0"/>
              <w:rPr>
                <w:sz w:val="24"/>
                <w:szCs w:val="24"/>
                <w:color w:val="auto"/>
              </w:rPr>
            </w:pPr>
          </w:p>
        </w:tc>
      </w:tr>
      <w:tr>
        <w:trPr>
          <w:trHeight w:val="299"/>
        </w:trPr>
        <w:tc>
          <w:tcPr>
            <w:tcW w:w="300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520" w:type="dxa"/>
            <w:vAlign w:val="bottom"/>
          </w:tcPr>
          <w:p>
            <w:pPr>
              <w:spacing w:after="0"/>
              <w:rPr>
                <w:sz w:val="24"/>
                <w:szCs w:val="24"/>
                <w:color w:val="auto"/>
              </w:rPr>
            </w:pPr>
          </w:p>
        </w:tc>
        <w:tc>
          <w:tcPr>
            <w:tcW w:w="3820" w:type="dxa"/>
            <w:vAlign w:val="bottom"/>
            <w:gridSpan w:val="2"/>
          </w:tcPr>
          <w:p>
            <w:pPr>
              <w:jc w:val="center"/>
              <w:ind w:right="1640"/>
              <w:spacing w:after="0"/>
              <w:rPr>
                <w:sz w:val="20"/>
                <w:szCs w:val="20"/>
                <w:color w:val="auto"/>
              </w:rPr>
            </w:pPr>
            <w:r>
              <w:rPr>
                <w:rFonts w:ascii="Arial" w:cs="Arial" w:eastAsia="Arial" w:hAnsi="Arial"/>
                <w:sz w:val="22"/>
                <w:szCs w:val="22"/>
                <w:b w:val="1"/>
                <w:bCs w:val="1"/>
                <w:color w:val="auto"/>
                <w:w w:val="93"/>
              </w:rPr>
              <w:t>BNP PARIBAS</w:t>
            </w:r>
          </w:p>
        </w:tc>
        <w:tc>
          <w:tcPr>
            <w:tcW w:w="3080" w:type="dxa"/>
            <w:vAlign w:val="bottom"/>
          </w:tcPr>
          <w:p>
            <w:pPr>
              <w:jc w:val="right"/>
              <w:spacing w:after="0"/>
              <w:rPr>
                <w:sz w:val="20"/>
                <w:szCs w:val="20"/>
                <w:color w:val="auto"/>
              </w:rPr>
            </w:pPr>
            <w:r>
              <w:rPr>
                <w:rFonts w:ascii="Arial" w:cs="Arial" w:eastAsia="Arial" w:hAnsi="Arial"/>
                <w:sz w:val="22"/>
                <w:szCs w:val="22"/>
                <w:b w:val="1"/>
                <w:bCs w:val="1"/>
                <w:color w:val="auto"/>
              </w:rPr>
              <w:t>Credit Suisse</w:t>
            </w:r>
          </w:p>
        </w:tc>
      </w:tr>
      <w:tr>
        <w:trPr>
          <w:trHeight w:val="243"/>
        </w:trPr>
        <w:tc>
          <w:tcPr>
            <w:tcW w:w="3000" w:type="dxa"/>
            <w:vAlign w:val="bottom"/>
          </w:tcPr>
          <w:p>
            <w:pPr>
              <w:spacing w:after="0" w:line="243" w:lineRule="exact"/>
              <w:rPr>
                <w:sz w:val="20"/>
                <w:szCs w:val="20"/>
                <w:color w:val="auto"/>
              </w:rPr>
            </w:pPr>
            <w:r>
              <w:rPr>
                <w:rFonts w:ascii="Arial" w:cs="Arial" w:eastAsia="Arial" w:hAnsi="Arial"/>
                <w:sz w:val="22"/>
                <w:szCs w:val="22"/>
                <w:b w:val="1"/>
                <w:bCs w:val="1"/>
                <w:color w:val="auto"/>
              </w:rPr>
              <w:t>Deutsche Bank Securities</w:t>
            </w:r>
          </w:p>
        </w:tc>
        <w:tc>
          <w:tcPr>
            <w:tcW w:w="1520" w:type="dxa"/>
            <w:vAlign w:val="bottom"/>
          </w:tcPr>
          <w:p>
            <w:pPr>
              <w:spacing w:after="0"/>
              <w:rPr>
                <w:sz w:val="21"/>
                <w:szCs w:val="21"/>
                <w:color w:val="auto"/>
              </w:rPr>
            </w:pPr>
          </w:p>
        </w:tc>
        <w:tc>
          <w:tcPr>
            <w:tcW w:w="3820" w:type="dxa"/>
            <w:vAlign w:val="bottom"/>
            <w:gridSpan w:val="2"/>
          </w:tcPr>
          <w:p>
            <w:pPr>
              <w:jc w:val="center"/>
              <w:ind w:right="1620"/>
              <w:spacing w:after="0" w:line="243" w:lineRule="exact"/>
              <w:rPr>
                <w:sz w:val="20"/>
                <w:szCs w:val="20"/>
                <w:color w:val="auto"/>
              </w:rPr>
            </w:pPr>
            <w:r>
              <w:rPr>
                <w:rFonts w:ascii="Arial" w:cs="Arial" w:eastAsia="Arial" w:hAnsi="Arial"/>
                <w:sz w:val="22"/>
                <w:szCs w:val="22"/>
                <w:b w:val="1"/>
                <w:bCs w:val="1"/>
                <w:color w:val="auto"/>
                <w:w w:val="90"/>
              </w:rPr>
              <w:t>Morgan Stanley</w:t>
            </w:r>
          </w:p>
        </w:tc>
        <w:tc>
          <w:tcPr>
            <w:tcW w:w="30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RBC Capital Markets</w:t>
            </w:r>
          </w:p>
        </w:tc>
      </w:tr>
      <w:tr>
        <w:trPr>
          <w:trHeight w:val="256"/>
        </w:trPr>
        <w:tc>
          <w:tcPr>
            <w:tcW w:w="3000" w:type="dxa"/>
            <w:vAlign w:val="bottom"/>
          </w:tcPr>
          <w:p>
            <w:pPr>
              <w:spacing w:after="0"/>
              <w:rPr>
                <w:sz w:val="20"/>
                <w:szCs w:val="20"/>
                <w:color w:val="auto"/>
              </w:rPr>
            </w:pPr>
            <w:r>
              <w:rPr>
                <w:rFonts w:ascii="Arial" w:cs="Arial" w:eastAsia="Arial" w:hAnsi="Arial"/>
                <w:sz w:val="22"/>
                <w:szCs w:val="22"/>
                <w:b w:val="1"/>
                <w:bCs w:val="1"/>
                <w:color w:val="auto"/>
              </w:rPr>
              <w:t>TD Securities</w:t>
            </w:r>
          </w:p>
        </w:tc>
        <w:tc>
          <w:tcPr>
            <w:tcW w:w="15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8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COMMERZBANK</w:t>
            </w:r>
          </w:p>
        </w:tc>
        <w:tc>
          <w:tcPr>
            <w:tcW w:w="1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DNB Markets</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PNC Capital Markets LLC</w:t>
            </w:r>
          </w:p>
        </w:tc>
        <w:tc>
          <w:tcPr>
            <w:tcW w:w="1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Lloyds Securities</w:t>
            </w:r>
          </w:p>
        </w:tc>
        <w:tc>
          <w:tcPr>
            <w:tcW w:w="1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Allen &amp; Company LLC</w:t>
            </w:r>
          </w:p>
        </w:tc>
        <w:tc>
          <w:tcPr>
            <w:tcW w:w="1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Evercore ISI</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CastleOak Securities, L.P.</w:t>
            </w:r>
          </w:p>
        </w:tc>
        <w:tc>
          <w:tcPr>
            <w:tcW w:w="1520" w:type="dxa"/>
            <w:vAlign w:val="bottom"/>
          </w:tcPr>
          <w:p>
            <w:pPr>
              <w:spacing w:after="0"/>
              <w:rPr>
                <w:sz w:val="18"/>
                <w:szCs w:val="18"/>
                <w:color w:val="auto"/>
              </w:rPr>
            </w:pPr>
          </w:p>
        </w:tc>
        <w:tc>
          <w:tcPr>
            <w:tcW w:w="382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8"/>
              </w:rPr>
              <w:t>C.L. King &amp; Associates</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Drexel Hamilton</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Lebenthal Capital Markets</w:t>
            </w:r>
          </w:p>
        </w:tc>
        <w:tc>
          <w:tcPr>
            <w:tcW w:w="1520" w:type="dxa"/>
            <w:vAlign w:val="bottom"/>
          </w:tcPr>
          <w:p>
            <w:pPr>
              <w:spacing w:after="0"/>
              <w:rPr>
                <w:sz w:val="18"/>
                <w:szCs w:val="18"/>
                <w:color w:val="auto"/>
              </w:rPr>
            </w:pPr>
          </w:p>
        </w:tc>
        <w:tc>
          <w:tcPr>
            <w:tcW w:w="382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1"/>
              </w:rPr>
              <w:t>Loop Capital Markets</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Mischler Financial Group, Inc.</w:t>
            </w:r>
          </w:p>
        </w:tc>
      </w:tr>
      <w:tr>
        <w:trPr>
          <w:trHeight w:val="228"/>
        </w:trPr>
        <w:tc>
          <w:tcPr>
            <w:tcW w:w="3000" w:type="dxa"/>
            <w:vAlign w:val="bottom"/>
          </w:tcPr>
          <w:p>
            <w:pPr>
              <w:spacing w:after="0"/>
              <w:rPr>
                <w:sz w:val="20"/>
                <w:szCs w:val="20"/>
                <w:color w:val="auto"/>
              </w:rPr>
            </w:pPr>
            <w:r>
              <w:rPr>
                <w:rFonts w:ascii="Arial" w:cs="Arial" w:eastAsia="Arial" w:hAnsi="Arial"/>
                <w:sz w:val="18"/>
                <w:szCs w:val="18"/>
                <w:b w:val="1"/>
                <w:bCs w:val="1"/>
                <w:color w:val="auto"/>
              </w:rPr>
              <w:t>Ramirez &amp; Co., Inc.</w:t>
            </w:r>
          </w:p>
        </w:tc>
        <w:tc>
          <w:tcPr>
            <w:tcW w:w="1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r>
        <w:trPr>
          <w:trHeight w:val="164"/>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289"/>
        </w:trPr>
        <w:tc>
          <w:tcPr>
            <w:tcW w:w="3000" w:type="dxa"/>
            <w:vAlign w:val="bottom"/>
          </w:tcPr>
          <w:p>
            <w:pPr>
              <w:spacing w:after="0"/>
              <w:rPr>
                <w:sz w:val="24"/>
                <w:szCs w:val="24"/>
                <w:color w:val="auto"/>
              </w:rPr>
            </w:pPr>
          </w:p>
        </w:tc>
        <w:tc>
          <w:tcPr>
            <w:tcW w:w="534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w w:val="86"/>
              </w:rPr>
              <w:t>The date of this prospectus supplement is July 12, 2016.</w:t>
            </w:r>
          </w:p>
        </w:tc>
        <w:tc>
          <w:tcPr>
            <w:tcW w:w="3080" w:type="dxa"/>
            <w:vAlign w:val="bottom"/>
          </w:tcPr>
          <w:p>
            <w:pPr>
              <w:spacing w:after="0"/>
              <w:rPr>
                <w:sz w:val="24"/>
                <w:szCs w:val="24"/>
                <w:color w:val="auto"/>
              </w:rPr>
            </w:pPr>
          </w:p>
        </w:tc>
      </w:tr>
    </w:tbl>
    <w:p>
      <w:pPr>
        <w:sectPr>
          <w:pgSz w:w="11900" w:h="16838" w:orient="portrait"/>
          <w:cols w:equalWidth="0" w:num="1">
            <w:col w:w="11420"/>
          </w:cols>
          <w:pgMar w:left="240" w:top="459" w:right="239" w:bottom="321"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17"/>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5"/>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Ratios of Earnings to Fixed Charges and of Earnings to Combined Fixed Charges and Preferred Dividends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the Notes</w:t>
              </w:r>
            </w:hyperlink>
          </w:p>
        </w:tc>
        <w:tc>
          <w:tcPr>
            <w:tcW w:w="346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Material U.S. Federal Income Tax Consequences for Non-U.S. Holders</w:t>
              </w:r>
            </w:hyperlink>
          </w:p>
        </w:tc>
        <w:tc>
          <w:tcPr>
            <w:tcW w:w="59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Underwriting</w:t>
              </w:r>
            </w:hyperlink>
          </w:p>
        </w:tc>
        <w:tc>
          <w:tcPr>
            <w:tcW w:w="998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The Companies</w:t>
              </w:r>
            </w:hyperlink>
          </w:p>
        </w:tc>
        <w:tc>
          <w:tcPr>
            <w:tcW w:w="98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Caution Concerning Forward-Looking Statements</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7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Global Securities</w:t>
              </w:r>
            </w:hyperlink>
          </w:p>
        </w:tc>
        <w:tc>
          <w:tcPr>
            <w:tcW w:w="76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Capital Stock</w:t>
              </w:r>
            </w:hyperlink>
          </w:p>
        </w:tc>
        <w:tc>
          <w:tcPr>
            <w:tcW w:w="89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95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Comcast’s and NBCUniversal’s combined Quarterly Report on Form 10-Q for the quarter ended March 31, 2016, filed on April 27, 2016.</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February 17, 2016, February 23, 2016, March 30, 2016, May 24, 2016, May 26, 2016, May 31, 2016 (other than Item 7.01 thereto) and July 1, 2016.</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53" w:lineRule="exact"/>
        <w:rPr>
          <w:sz w:val="20"/>
          <w:szCs w:val="20"/>
          <w:color w:val="auto"/>
        </w:rPr>
      </w:pPr>
    </w:p>
    <w:p>
      <w:pPr>
        <w:ind w:left="1060" w:right="480" w:hanging="323"/>
        <w:spacing w:after="0" w:line="26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20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38" w:lineRule="exact"/>
        <w:rPr>
          <w:rFonts w:ascii="Arial" w:cs="Arial" w:eastAsia="Arial" w:hAnsi="Arial"/>
          <w:sz w:val="18"/>
          <w:szCs w:val="18"/>
          <w:color w:val="auto"/>
        </w:rPr>
      </w:pPr>
    </w:p>
    <w:p>
      <w:pPr>
        <w:ind w:left="1060" w:right="66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38" w:lineRule="exact"/>
        <w:rPr>
          <w:rFonts w:ascii="Arial" w:cs="Arial" w:eastAsia="Arial" w:hAnsi="Arial"/>
          <w:sz w:val="18"/>
          <w:szCs w:val="18"/>
          <w:color w:val="auto"/>
        </w:rPr>
      </w:pPr>
    </w:p>
    <w:p>
      <w:pPr>
        <w:ind w:left="1060" w:right="28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1060" w:right="900" w:hanging="323"/>
        <w:spacing w:after="0" w:line="339"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and Hollywood, California. In November 2015,</w:t>
      </w:r>
      <w:r>
        <w:rPr>
          <w:rFonts w:ascii="Arial" w:cs="Arial" w:eastAsia="Arial" w:hAnsi="Arial"/>
          <w:sz w:val="16"/>
          <w:szCs w:val="16"/>
          <w:b w:val="1"/>
          <w:bCs w:val="1"/>
          <w:color w:val="auto"/>
        </w:rPr>
        <w:t xml:space="preserve"> </w:t>
      </w:r>
      <w:r>
        <w:rPr>
          <w:rFonts w:ascii="Arial" w:cs="Arial" w:eastAsia="Arial" w:hAnsi="Arial"/>
          <w:sz w:val="16"/>
          <w:szCs w:val="16"/>
          <w:color w:val="auto"/>
        </w:rPr>
        <w:t>NBCUniversal acquired a 51% interest in the Universal Studios theme park located in Osaka, Japan.</w:t>
      </w:r>
    </w:p>
    <w:p>
      <w:pPr>
        <w:spacing w:after="0" w:line="80"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32" w:lineRule="exact"/>
        <w:rPr>
          <w:sz w:val="20"/>
          <w:szCs w:val="20"/>
          <w:color w:val="auto"/>
        </w:rPr>
      </w:pPr>
    </w:p>
    <w:p>
      <w:pPr>
        <w:ind w:left="200" w:right="860" w:firstLine="443"/>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On April 28, 2016, we entered into an agreement to acquire the outstanding stock of DreamWorks Animation SKG, Inc., a global family entertainment company, for $41 per share in cash or approximately $3.8 billion. The acquisition is expected to close by the end of 2016, subject to antitrust approvals abroad, as well as the satisfaction of other customary closing conditions. In June 2016, the Federal Trade Commission granted Comcast’s request for early termination of its antitrust review of the DreamWorks acquisition.</w:t>
      </w:r>
    </w:p>
    <w:p>
      <w:pPr>
        <w:spacing w:after="0" w:line="143" w:lineRule="exact"/>
        <w:rPr>
          <w:sz w:val="20"/>
          <w:szCs w:val="20"/>
          <w:color w:val="auto"/>
        </w:rPr>
      </w:pPr>
    </w:p>
    <w:p>
      <w:pPr>
        <w:ind w:left="200" w:right="24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38" w:lineRule="exact"/>
        <w:rPr>
          <w:sz w:val="20"/>
          <w:szCs w:val="20"/>
          <w:color w:val="auto"/>
        </w:rPr>
      </w:pPr>
    </w:p>
    <w:p>
      <w:pPr>
        <w:ind w:left="200" w:right="440" w:hanging="3"/>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59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259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 Effective October 1, 2015, three former guarantors, Comcast Cable Holdings, LLC, Comcast MO of Delaware, LLC and Comcast MO Group, LLC, merged with and into Comcast Cable Communications.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28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94"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5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55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$700,000,000 aggregate principal amount of 1.625% Notes due 2022.</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60"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$1,400,000,000 aggregate principal amount of 2.350% Notes due 2027.</w:t>
      </w: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$1,000,000,000 aggregate principal amount of 3.200% Notes due 2036.</w:t>
      </w: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$1,400,000,000 aggregate principal amount of 3.400% Notes due 2046.</w:t>
      </w:r>
    </w:p>
    <w:p>
      <w:pPr>
        <w:sectPr>
          <w:pgSz w:w="11900" w:h="16838" w:orient="portrait"/>
          <w:cols w:equalWidth="0" w:num="1">
            <w:col w:w="11260"/>
          </w:cols>
          <w:pgMar w:left="240" w:top="459" w:right="399" w:bottom="1440" w:gutter="0" w:footer="0" w:header="0"/>
          <w:type w:val="continuous"/>
        </w:sect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Notes due 2022 will mature on January 15, 2022.</w:t>
      </w:r>
    </w:p>
    <w:p>
      <w:pPr>
        <w:spacing w:after="0" w:line="21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48"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The Notes due 2027 will mature on January 15, 2027.</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The Notes due 2036 will mature on July 15, 2036.</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The Notes due 2046 will mature on July 15, 2046.</w:t>
      </w:r>
    </w:p>
    <w:p>
      <w:pPr>
        <w:sectPr>
          <w:pgSz w:w="11900" w:h="16838" w:orient="portrait"/>
          <w:cols w:equalWidth="0" w:num="1">
            <w:col w:w="11260"/>
          </w:cols>
          <w:pgMar w:left="240" w:top="459" w:right="399" w:bottom="1440" w:gutter="0" w:footer="0" w:header="0"/>
          <w:type w:val="continuous"/>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Interest on the Notes due 2022 will accrue at the rate of 1.625% per year, payable semiannually in cash in arrears on January 15 and July 15, beginning January 15, 2017. Interest on the Notes due 2027 will accrue at the rate of 2.350% per year, payable semiannually in cash in arrears on January 15 and July 15, beginning January 15, 2017. Interest on the Notes due 2036 will accrue at the rate of 3.200% per year, payable semiannually in cash in arrears on January 15 and July 15, beginning January 15, 2017. Interest on the Notes due 2046 will accrue at the rate of 3.400% per year, payable semiannually in cash in arrears on January 15 and July 15, beginning January 15, 2017.</w:t>
      </w:r>
    </w:p>
    <w:p>
      <w:pPr>
        <w:spacing w:after="0" w:line="159"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w:t>
      </w:r>
    </w:p>
    <w:p>
      <w:pPr>
        <w:spacing w:after="0" w:line="172"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Guarantees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14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We may, at our option, redeem any series of notes, in whole or in part, at any time at the applicable Redemption Price determined as set forth under the heading “Description of the Notes —Optional Redemption.”</w:t>
      </w:r>
    </w:p>
    <w:p>
      <w:pPr>
        <w:spacing w:after="0" w:line="18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Arial" w:cs="Arial" w:eastAsia="Arial" w:hAnsi="Arial"/>
          <w:sz w:val="18"/>
          <w:szCs w:val="18"/>
          <w:color w:val="auto"/>
        </w:rPr>
        <w:t>We intend to use the net proceeds from this offering, after deducting the underwriters’ discount and expenses, to fund our acquisition of DreamWorks Animation SKG, Inc., and for working capital and general corporate purposes. The DreamWorks purchase price is approximately $3.8 billion.</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60"/>
          </w:cols>
          <w:pgMar w:left="240" w:top="459" w:right="39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1350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13506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that have accounts with DTC, including Euroclear and Clearstream, and these beneficial interests may not be exchanged for certificated notes, except in limited circumstances. See “Description of the Notes—Book-Entry System” in this prospectus supplement.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intend to use the net proceeds from this offering, after deducting the underwriters’ discount and expenses, to fund our acquisition of DreamWorks Animation SKG, Inc., and for working capital and general corporate purposes. The DreamWorks purchase price is approximately $3.8 billion.</w:t>
      </w:r>
    </w:p>
    <w:p>
      <w:pPr>
        <w:spacing w:after="0" w:line="7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For the Three Months</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Ended March 31,</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56"/>
        </w:trPr>
        <w:tc>
          <w:tcPr>
            <w:tcW w:w="2420" w:type="dxa"/>
            <w:vAlign w:val="bottom"/>
            <w:tcBorders>
              <w:top w:val="single" w:sz="8" w:color="auto"/>
            </w:tcBorders>
          </w:tcPr>
          <w:p>
            <w:pPr>
              <w:jc w:val="right"/>
              <w:ind w:right="1007"/>
              <w:spacing w:after="0" w:line="156"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700" w:type="dxa"/>
            <w:vAlign w:val="bottom"/>
            <w:tcBorders>
              <w:top w:val="single" w:sz="8" w:color="auto"/>
            </w:tcBorders>
          </w:tcPr>
          <w:p>
            <w:pPr>
              <w:jc w:val="right"/>
              <w:ind w:right="642"/>
              <w:spacing w:after="0" w:line="156"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62"/>
              <w:spacing w:after="0" w:line="156" w:lineRule="exact"/>
              <w:rPr>
                <w:sz w:val="20"/>
                <w:szCs w:val="20"/>
                <w:color w:val="auto"/>
              </w:rPr>
            </w:pPr>
            <w:r>
              <w:rPr>
                <w:rFonts w:ascii="Arial" w:cs="Arial" w:eastAsia="Arial" w:hAnsi="Arial"/>
                <w:sz w:val="14"/>
                <w:szCs w:val="14"/>
                <w:b w:val="1"/>
                <w:bCs w:val="1"/>
                <w:color w:val="auto"/>
              </w:rPr>
              <w:t>2014</w:t>
            </w:r>
          </w:p>
        </w:tc>
        <w:tc>
          <w:tcPr>
            <w:tcW w:w="2200" w:type="dxa"/>
            <w:vAlign w:val="bottom"/>
            <w:tcBorders>
              <w:top w:val="single" w:sz="8" w:color="auto"/>
            </w:tcBorders>
            <w:gridSpan w:val="3"/>
          </w:tcPr>
          <w:p>
            <w:pPr>
              <w:jc w:val="right"/>
              <w:ind w:right="612"/>
              <w:spacing w:after="0" w:line="156"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ind w:right="642"/>
              <w:spacing w:after="0" w:line="156"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582"/>
              <w:spacing w:after="0" w:line="156" w:lineRule="exact"/>
              <w:rPr>
                <w:sz w:val="20"/>
                <w:szCs w:val="20"/>
                <w:color w:val="auto"/>
              </w:rPr>
            </w:pPr>
            <w:r>
              <w:rPr>
                <w:rFonts w:ascii="Arial" w:cs="Arial" w:eastAsia="Arial" w:hAnsi="Arial"/>
                <w:sz w:val="14"/>
                <w:szCs w:val="14"/>
                <w:b w:val="1"/>
                <w:bCs w:val="1"/>
                <w:color w:val="auto"/>
              </w:rPr>
              <w:t>2011</w:t>
            </w:r>
          </w:p>
        </w:tc>
      </w:tr>
      <w:tr>
        <w:trPr>
          <w:trHeight w:val="223"/>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5.40x</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5.48x</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302"/>
              <w:spacing w:after="0"/>
              <w:rPr>
                <w:sz w:val="20"/>
                <w:szCs w:val="20"/>
                <w:color w:val="auto"/>
              </w:rPr>
            </w:pPr>
            <w:r>
              <w:rPr>
                <w:rFonts w:ascii="Arial" w:cs="Arial" w:eastAsia="Arial" w:hAnsi="Arial"/>
                <w:sz w:val="18"/>
                <w:szCs w:val="18"/>
                <w:color w:val="auto"/>
                <w:w w:val="86"/>
              </w:rPr>
              <w:t>5.22x</w:t>
            </w: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4.85x</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4.82x</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are offering $700,000,000 aggregate principal amount of our 1.625% Notes due 2022, $1,400,000,000 aggregate principal amount of our 2.350% Notes due 2027, $1,000,000,000 aggregate principal amount of our 3.200% Notes due 2036 and $1,400,000,000 aggregate principal amount of our 3.400% Notes due 2046. The Notes due 2022, the Notes due 2027, the Notes due 2036 and the Notes due 2046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guarantees described below;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$4,500,000,000 comprised as follows:</w:t>
      </w:r>
    </w:p>
    <w:p>
      <w:pPr>
        <w:spacing w:after="0" w:line="90" w:lineRule="exact"/>
        <w:rPr>
          <w:rFonts w:ascii="Arial" w:cs="Arial" w:eastAsia="Arial" w:hAnsi="Arial"/>
          <w:sz w:val="18"/>
          <w:szCs w:val="18"/>
          <w:color w:val="auto"/>
        </w:rPr>
      </w:pPr>
    </w:p>
    <w:p>
      <w:pPr>
        <w:ind w:left="1480" w:right="460" w:hanging="446"/>
        <w:spacing w:after="0" w:line="35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$700,000,000 initial aggregate principal amount of 1.625% Notes due 2022, maturing on January 15, 2022, with interest payable semiannually on each January 15 and July 15, beginning January 15, 2017, to holders of record on the preceding January 1 and July 1;</w:t>
      </w:r>
    </w:p>
    <w:p>
      <w:pPr>
        <w:ind w:left="1480" w:right="460" w:hanging="446"/>
        <w:spacing w:after="0" w:line="35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$1,400,000,000 initial aggregate principal amount of 2.350% Notes due 2027, maturing on January 15, 2027, with interest payable semiannually on each January 15 and July 15, beginning January 15, 2017, to holders of record on the preceding January 1 and July 1;</w:t>
      </w:r>
    </w:p>
    <w:p>
      <w:pPr>
        <w:ind w:left="1480" w:hanging="446"/>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$1,000,000,000 initial aggregate principal amount of 3.200% Notes due 2036, maturing on July 15, 2036, with interest payable semiannually on each January 15 and July 15, beginning January 15, 2017, to holders of record on the preceding January 1 and July 1;</w:t>
      </w:r>
    </w:p>
    <w:p>
      <w:pPr>
        <w:spacing w:after="0" w:line="4" w:lineRule="exact"/>
        <w:rPr>
          <w:rFonts w:ascii="Arial" w:cs="Arial" w:eastAsia="Arial" w:hAnsi="Arial"/>
          <w:sz w:val="16"/>
          <w:szCs w:val="16"/>
          <w:color w:val="auto"/>
        </w:rPr>
      </w:pPr>
    </w:p>
    <w:p>
      <w:pPr>
        <w:ind w:left="1480" w:hanging="446"/>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$1,400,000,000 initial aggregate principal amount of 3.400% Notes due 2046, maturing on July 15, 2046, with interest payable semiannually on each January 15 and July 15, beginning January 15, 2017, to holders of record on the preceding January 1 and July 1;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July 19, 2016 and the date of original issuance or (ii) from the most recent interest payment date to which interest has been paid, and will be payable semiannually on interest payment dates described for each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will have the right at our option to redeem any of the notes of each series in whole or in part, at any time or from time to time prior to their maturity, on at least 30 days, but not more than 60 days, prior notice mailed to the registered address of each holder of notes, at the applicable Redemption Price.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Price” means:</w:t>
      </w:r>
    </w:p>
    <w:p>
      <w:pPr>
        <w:spacing w:after="0" w:line="171" w:lineRule="exact"/>
        <w:rPr>
          <w:sz w:val="20"/>
          <w:szCs w:val="20"/>
          <w:color w:val="auto"/>
        </w:rPr>
      </w:pPr>
    </w:p>
    <w:p>
      <w:pPr>
        <w:ind w:right="40" w:firstLine="464"/>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2022, at any time prior to December 15, 2021 (one month prior to the maturity of the Notes due 2022) (the “2022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2022 Par Call Date, in each case discounted to the redemption date on a semiannual basis (assuming a 360-day year consisting of twelve 30-day months) at the Treasury Rate plus 10 basis points; provided that, if the Notes due 2022 are redeemed on or after the 2022 Par Call Date, the Redemption Price will equal 100% of the principal amount of such notes;</w:t>
      </w:r>
    </w:p>
    <w:p>
      <w:pPr>
        <w:spacing w:after="0" w:line="144" w:lineRule="exact"/>
        <w:rPr>
          <w:rFonts w:ascii="Arial" w:cs="Arial" w:eastAsia="Arial" w:hAnsi="Arial"/>
          <w:sz w:val="18"/>
          <w:szCs w:val="18"/>
          <w:color w:val="auto"/>
        </w:rPr>
      </w:pPr>
    </w:p>
    <w:p>
      <w:pPr>
        <w:ind w:right="20" w:firstLine="464"/>
        <w:spacing w:after="0" w:line="25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2027, at any time prior to October 15, 2026 (three months prior to the maturity of the Notes due 2027)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 semiannual basis (assuming a 360-day year consisting of twelve 30-day months) at the Treasury Rate plus 15 basis points; provided that, if the Notes due 2027 are redeemed on or after the 2027 Par Call Date, the Redemption Price will equal 100% of the principal amount of such notes;</w:t>
      </w:r>
    </w:p>
    <w:p>
      <w:pPr>
        <w:spacing w:after="0" w:line="144" w:lineRule="exact"/>
        <w:rPr>
          <w:rFonts w:ascii="Arial" w:cs="Arial" w:eastAsia="Arial" w:hAnsi="Arial"/>
          <w:sz w:val="18"/>
          <w:szCs w:val="18"/>
          <w:color w:val="auto"/>
        </w:rPr>
      </w:pPr>
    </w:p>
    <w:p>
      <w:pPr>
        <w:ind w:right="40" w:firstLine="464"/>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2036, at any time prior to January 15, 2036 (six months prior to the maturity of the Notes due 2036) (the “2036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2036 Par Call Date, in each case discounted to the redemption date on a semiannual basis (assuming a 360-day year consisting of twelve 30-day months) at the Treasury Rate plus 15 basis points; provided that, if the Notes due 2036 are redeemed on or after the 2036 Par Call Date, the Redemption Price will equal 100% of the principal amount of such notes; and</w:t>
      </w:r>
    </w:p>
    <w:p>
      <w:pPr>
        <w:spacing w:after="0" w:line="144" w:lineRule="exact"/>
        <w:rPr>
          <w:rFonts w:ascii="Arial" w:cs="Arial" w:eastAsia="Arial" w:hAnsi="Arial"/>
          <w:sz w:val="18"/>
          <w:szCs w:val="18"/>
          <w:color w:val="auto"/>
        </w:rPr>
      </w:pPr>
    </w:p>
    <w:p>
      <w:pPr>
        <w:ind w:right="40" w:firstLine="464"/>
        <w:spacing w:after="0" w:line="25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2046, at any time prior to January 15, 2046 (six months prior to the maturity of the Notes due 2046) (the “2046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2046 Par Call Date, in each case discounted to the redemption date on a semiannual basis (assuming a 360-day year consisting of twelve 30-day months) at the Treasury Rate plus 20 basis points; provided that, if the Notes due 2046 are redeemed on or after the 2046 Par Call Date, the Redemption Price will equal 100% of the principal amount of such notes;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“Independent Investment Banker” means one of the Reference Treasury Dealers appointed by us. “Comparable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“Reference Treasury Dealer” means each of Citigroup Global Markets Inc., J.P. Morgan Securities LLC and Mizuho Securities USA Inc.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summary is based on the United States Internal Revenue Code of 1986, as amended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as appropriate, under penalties of perjury, that it is not a U.S. person.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Principal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Principal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Amount of 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Amount of 2027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Amount of 2036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Amount of 2046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Underwriter</w:t>
            </w:r>
          </w:p>
        </w:tc>
        <w:tc>
          <w:tcPr>
            <w:tcW w:w="20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Notes To Be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Notes To Be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Notes To Be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Notes To Be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83"/>
              </w:rPr>
              <w:t>Purchased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Purchased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91,000,000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182,000,000</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130,000,000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182,000,000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91,000,000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130,000,000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63,000,000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90,000,000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63,000,000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SMBC Nikko Securities America,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63,000,000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90,000,000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Incorporated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RBC Capital Markets,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16,450,000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13,650,000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DNB Markets,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13,650,000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13,650,000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U.S. Bancorp Investments,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13,650,000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Lloyds Securities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SG Americas Securities,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7,875,000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11,250,000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Allen &amp; Company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Evercore Group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7,875,000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11,250,000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CastleOak Securities, L.P.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C.L. King &amp; Associates,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2,538,000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Lebenthal &amp; Co.,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2,538,000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2,537,000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Mischler Financial Group,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2,537,000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2,537,000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The Williams Capital Group, L.P.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2,537,000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3,625,000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5,075,000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700,000,000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1,400,000,000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July 19,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 supplement, and to dealers at that price less a concession not in excess of 0.150%, 0.250%, 0.400% and 0.450% of the principal amount of the Notes due 2022, the Notes due 2027, the Notes due 2036 and the Notes due 2046, respectively. The underwriters may allow, and the dealers may reallow, a discount not in excess of 0.100%, 0.200%, 0.250% and 0.275% of the principal amount of the Notes due 2022, the Notes due 2027, the Notes due 2036 and the Notes due 2046, respectively, to other dealers. After the initial public offering, the public offering prices, concessions and discounts may be changed.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$1,100,000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Eduardo G. Mestre, one of our directors, is a non-employee senior advisor to Evercore Partners, which is an affiliate of Evercore Group L.L.C., one of the underwriters.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Canada</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bonds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bonds must be made in accordance with an exemption from, or in a transaction not subject to, the prospectus requirements of applicable securities laws.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5540" w:right="4480" w:hanging="5086"/>
        <w:spacing w:after="0" w:line="440" w:lineRule="auto"/>
        <w:tabs>
          <w:tab w:leader="none" w:pos="8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firstLine="443"/>
        <w:spacing w:after="0" w:line="268" w:lineRule="auto"/>
        <w:tabs>
          <w:tab w:leader="none" w:pos="11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2"/>
          <w:szCs w:val="12"/>
          <w:color w:val="auto"/>
        </w:rPr>
        <w:t>LLP</w:t>
      </w:r>
      <w:r>
        <w:rPr>
          <w:rFonts w:ascii="Arial" w:cs="Arial" w:eastAsia="Arial" w:hAnsi="Arial"/>
          <w:sz w:val="16"/>
          <w:szCs w:val="16"/>
          <w:color w:val="auto"/>
        </w:rPr>
        <w:t>, New York, New York, is representing the underwriters.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2015,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2015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2"/>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16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685800</wp:posOffset>
            </wp:positionV>
            <wp:extent cx="1397635" cy="488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80"/>
        <w:spacing w:after="0"/>
        <w:tabs>
          <w:tab w:leader="none" w:pos="5260" w:val="left"/>
        </w:tabs>
        <w:rPr>
          <w:sz w:val="20"/>
          <w:szCs w:val="20"/>
          <w:color w:val="auto"/>
        </w:rPr>
      </w:pPr>
      <w:r>
        <w:rPr>
          <w:rFonts w:ascii="Arial" w:cs="Arial" w:eastAsia="Arial" w:hAnsi="Arial"/>
          <w:sz w:val="32"/>
          <w:szCs w:val="32"/>
          <w:b w:val="1"/>
          <w:bCs w:val="1"/>
          <w:color w:val="auto"/>
        </w:rPr>
        <w:t>$700,000,000</w:t>
      </w:r>
      <w:r>
        <w:rPr>
          <w:sz w:val="20"/>
          <w:szCs w:val="20"/>
          <w:color w:val="auto"/>
        </w:rPr>
        <w:tab/>
      </w:r>
      <w:r>
        <w:rPr>
          <w:rFonts w:ascii="Arial" w:cs="Arial" w:eastAsia="Arial" w:hAnsi="Arial"/>
          <w:sz w:val="29"/>
          <w:szCs w:val="29"/>
          <w:b w:val="1"/>
          <w:bCs w:val="1"/>
          <w:color w:val="auto"/>
        </w:rPr>
        <w:t>1.625% Notes due 2022</w:t>
      </w:r>
    </w:p>
    <w:p>
      <w:pPr>
        <w:spacing w:after="0" w:line="29" w:lineRule="exact"/>
        <w:rPr>
          <w:sz w:val="20"/>
          <w:szCs w:val="20"/>
          <w:color w:val="auto"/>
        </w:rPr>
      </w:pPr>
    </w:p>
    <w:p>
      <w:pPr>
        <w:ind w:left="2880"/>
        <w:spacing w:after="0"/>
        <w:tabs>
          <w:tab w:leader="none" w:pos="5300" w:val="left"/>
        </w:tabs>
        <w:rPr>
          <w:sz w:val="20"/>
          <w:szCs w:val="20"/>
          <w:color w:val="auto"/>
        </w:rPr>
      </w:pPr>
      <w:r>
        <w:rPr>
          <w:rFonts w:ascii="Arial" w:cs="Arial" w:eastAsia="Arial" w:hAnsi="Arial"/>
          <w:sz w:val="32"/>
          <w:szCs w:val="32"/>
          <w:b w:val="1"/>
          <w:bCs w:val="1"/>
          <w:color w:val="auto"/>
        </w:rPr>
        <w:t>$1,400,000,000</w:t>
      </w:r>
      <w:r>
        <w:rPr>
          <w:sz w:val="20"/>
          <w:szCs w:val="20"/>
          <w:color w:val="auto"/>
        </w:rPr>
        <w:tab/>
      </w:r>
      <w:r>
        <w:rPr>
          <w:rFonts w:ascii="Arial" w:cs="Arial" w:eastAsia="Arial" w:hAnsi="Arial"/>
          <w:sz w:val="29"/>
          <w:szCs w:val="29"/>
          <w:b w:val="1"/>
          <w:bCs w:val="1"/>
          <w:color w:val="auto"/>
        </w:rPr>
        <w:t>2.350% Notes due 2027</w:t>
      </w:r>
    </w:p>
    <w:p>
      <w:pPr>
        <w:ind w:left="2880"/>
        <w:spacing w:after="0"/>
        <w:tabs>
          <w:tab w:leader="none" w:pos="5300" w:val="left"/>
        </w:tabs>
        <w:rPr>
          <w:sz w:val="20"/>
          <w:szCs w:val="20"/>
          <w:color w:val="auto"/>
        </w:rPr>
      </w:pPr>
      <w:r>
        <w:rPr>
          <w:rFonts w:ascii="Arial" w:cs="Arial" w:eastAsia="Arial" w:hAnsi="Arial"/>
          <w:sz w:val="32"/>
          <w:szCs w:val="32"/>
          <w:b w:val="1"/>
          <w:bCs w:val="1"/>
          <w:color w:val="auto"/>
        </w:rPr>
        <w:t>$1,000,000,000</w:t>
      </w:r>
      <w:r>
        <w:rPr>
          <w:sz w:val="20"/>
          <w:szCs w:val="20"/>
          <w:color w:val="auto"/>
        </w:rPr>
        <w:tab/>
      </w:r>
      <w:r>
        <w:rPr>
          <w:rFonts w:ascii="Arial" w:cs="Arial" w:eastAsia="Arial" w:hAnsi="Arial"/>
          <w:sz w:val="29"/>
          <w:szCs w:val="29"/>
          <w:b w:val="1"/>
          <w:bCs w:val="1"/>
          <w:color w:val="auto"/>
        </w:rPr>
        <w:t>3.200% Notes due 2036</w:t>
      </w:r>
    </w:p>
    <w:p>
      <w:pPr>
        <w:spacing w:after="0" w:line="1" w:lineRule="exact"/>
        <w:rPr>
          <w:sz w:val="20"/>
          <w:szCs w:val="20"/>
          <w:color w:val="auto"/>
        </w:rPr>
      </w:pPr>
    </w:p>
    <w:p>
      <w:pPr>
        <w:ind w:left="2880"/>
        <w:spacing w:after="0"/>
        <w:tabs>
          <w:tab w:leader="none" w:pos="5300" w:val="left"/>
        </w:tabs>
        <w:rPr>
          <w:sz w:val="20"/>
          <w:szCs w:val="20"/>
          <w:color w:val="auto"/>
        </w:rPr>
      </w:pPr>
      <w:r>
        <w:rPr>
          <w:rFonts w:ascii="Arial" w:cs="Arial" w:eastAsia="Arial" w:hAnsi="Arial"/>
          <w:sz w:val="32"/>
          <w:szCs w:val="32"/>
          <w:b w:val="1"/>
          <w:bCs w:val="1"/>
          <w:color w:val="auto"/>
        </w:rPr>
        <w:t>$1,400,000,000</w:t>
      </w:r>
      <w:r>
        <w:rPr>
          <w:sz w:val="20"/>
          <w:szCs w:val="20"/>
          <w:color w:val="auto"/>
        </w:rPr>
        <w:tab/>
      </w:r>
      <w:r>
        <w:rPr>
          <w:rFonts w:ascii="Arial" w:cs="Arial" w:eastAsia="Arial" w:hAnsi="Arial"/>
          <w:sz w:val="29"/>
          <w:szCs w:val="29"/>
          <w:b w:val="1"/>
          <w:bCs w:val="1"/>
          <w:color w:val="auto"/>
        </w:rPr>
        <w:t>3.400%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549910</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360" w:type="dxa"/>
            <w:vAlign w:val="bottom"/>
          </w:tcPr>
          <w:p>
            <w:pPr>
              <w:spacing w:after="0"/>
              <w:rPr>
                <w:sz w:val="23"/>
                <w:szCs w:val="23"/>
                <w:color w:val="auto"/>
              </w:rPr>
            </w:pPr>
          </w:p>
        </w:tc>
        <w:tc>
          <w:tcPr>
            <w:tcW w:w="4620" w:type="dxa"/>
            <w:vAlign w:val="bottom"/>
            <w:gridSpan w:val="3"/>
          </w:tcPr>
          <w:p>
            <w:pPr>
              <w:jc w:val="center"/>
              <w:spacing w:after="0"/>
              <w:rPr>
                <w:sz w:val="20"/>
                <w:szCs w:val="20"/>
                <w:color w:val="auto"/>
              </w:rPr>
            </w:pPr>
            <w:r>
              <w:rPr>
                <w:rFonts w:ascii="Arial" w:cs="Arial" w:eastAsia="Arial" w:hAnsi="Arial"/>
                <w:sz w:val="22"/>
                <w:szCs w:val="22"/>
                <w:i w:val="1"/>
                <w:iCs w:val="1"/>
                <w:color w:val="auto"/>
                <w:w w:val="89"/>
              </w:rPr>
              <w:t>Joint Book-Running Managers</w:t>
            </w:r>
          </w:p>
        </w:tc>
        <w:tc>
          <w:tcPr>
            <w:tcW w:w="3440" w:type="dxa"/>
            <w:vAlign w:val="bottom"/>
          </w:tcPr>
          <w:p>
            <w:pPr>
              <w:spacing w:after="0"/>
              <w:rPr>
                <w:sz w:val="23"/>
                <w:szCs w:val="23"/>
                <w:color w:val="auto"/>
              </w:rPr>
            </w:pPr>
          </w:p>
        </w:tc>
      </w:tr>
      <w:tr>
        <w:trPr>
          <w:trHeight w:val="446"/>
        </w:trPr>
        <w:tc>
          <w:tcPr>
            <w:tcW w:w="3360" w:type="dxa"/>
            <w:vAlign w:val="bottom"/>
          </w:tcPr>
          <w:p>
            <w:pPr>
              <w:ind w:left="120"/>
              <w:spacing w:after="0"/>
              <w:rPr>
                <w:sz w:val="20"/>
                <w:szCs w:val="20"/>
                <w:color w:val="auto"/>
              </w:rPr>
            </w:pPr>
            <w:r>
              <w:rPr>
                <w:rFonts w:ascii="Arial" w:cs="Arial" w:eastAsia="Arial" w:hAnsi="Arial"/>
                <w:sz w:val="22"/>
                <w:szCs w:val="22"/>
                <w:b w:val="1"/>
                <w:bCs w:val="1"/>
                <w:color w:val="auto"/>
              </w:rPr>
              <w:t>Citigroup</w:t>
            </w:r>
          </w:p>
        </w:tc>
        <w:tc>
          <w:tcPr>
            <w:tcW w:w="1160" w:type="dxa"/>
            <w:vAlign w:val="bottom"/>
          </w:tcPr>
          <w:p>
            <w:pPr>
              <w:spacing w:after="0"/>
              <w:rPr>
                <w:sz w:val="24"/>
                <w:szCs w:val="24"/>
                <w:color w:val="auto"/>
              </w:rPr>
            </w:pPr>
          </w:p>
        </w:tc>
        <w:tc>
          <w:tcPr>
            <w:tcW w:w="346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89"/>
              </w:rPr>
              <w:t>J.P. Morgan</w:t>
            </w:r>
          </w:p>
        </w:tc>
        <w:tc>
          <w:tcPr>
            <w:tcW w:w="3440" w:type="dxa"/>
            <w:vAlign w:val="bottom"/>
          </w:tcPr>
          <w:p>
            <w:pPr>
              <w:jc w:val="right"/>
              <w:ind w:right="104"/>
              <w:spacing w:after="0"/>
              <w:rPr>
                <w:sz w:val="20"/>
                <w:szCs w:val="20"/>
                <w:color w:val="auto"/>
              </w:rPr>
            </w:pPr>
            <w:r>
              <w:rPr>
                <w:rFonts w:ascii="Arial" w:cs="Arial" w:eastAsia="Arial" w:hAnsi="Arial"/>
                <w:sz w:val="22"/>
                <w:szCs w:val="22"/>
                <w:b w:val="1"/>
                <w:bCs w:val="1"/>
                <w:color w:val="auto"/>
              </w:rPr>
              <w:t>Mizuho Securities</w:t>
            </w:r>
          </w:p>
        </w:tc>
      </w:tr>
      <w:tr>
        <w:trPr>
          <w:trHeight w:val="338"/>
        </w:trPr>
        <w:tc>
          <w:tcPr>
            <w:tcW w:w="3360" w:type="dxa"/>
            <w:vAlign w:val="bottom"/>
          </w:tcPr>
          <w:p>
            <w:pPr>
              <w:ind w:left="120"/>
              <w:spacing w:after="0"/>
              <w:rPr>
                <w:sz w:val="20"/>
                <w:szCs w:val="20"/>
                <w:color w:val="auto"/>
              </w:rPr>
            </w:pPr>
            <w:r>
              <w:rPr>
                <w:rFonts w:ascii="Arial" w:cs="Arial" w:eastAsia="Arial" w:hAnsi="Arial"/>
                <w:sz w:val="22"/>
                <w:szCs w:val="22"/>
                <w:b w:val="1"/>
                <w:bCs w:val="1"/>
                <w:color w:val="auto"/>
              </w:rPr>
              <w:t>Barclays</w:t>
            </w:r>
          </w:p>
        </w:tc>
        <w:tc>
          <w:tcPr>
            <w:tcW w:w="1160" w:type="dxa"/>
            <w:vAlign w:val="bottom"/>
          </w:tcPr>
          <w:p>
            <w:pPr>
              <w:spacing w:after="0"/>
              <w:rPr>
                <w:sz w:val="24"/>
                <w:szCs w:val="24"/>
                <w:color w:val="auto"/>
              </w:rPr>
            </w:pPr>
          </w:p>
        </w:tc>
        <w:tc>
          <w:tcPr>
            <w:tcW w:w="346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89"/>
              </w:rPr>
              <w:t>Goldman, Sachs &amp; Co.</w:t>
            </w:r>
          </w:p>
        </w:tc>
        <w:tc>
          <w:tcPr>
            <w:tcW w:w="3440" w:type="dxa"/>
            <w:vAlign w:val="bottom"/>
          </w:tcPr>
          <w:p>
            <w:pPr>
              <w:jc w:val="right"/>
              <w:ind w:right="104"/>
              <w:spacing w:after="0"/>
              <w:rPr>
                <w:sz w:val="20"/>
                <w:szCs w:val="20"/>
                <w:color w:val="auto"/>
              </w:rPr>
            </w:pPr>
            <w:r>
              <w:rPr>
                <w:rFonts w:ascii="Arial" w:cs="Arial" w:eastAsia="Arial" w:hAnsi="Arial"/>
                <w:sz w:val="22"/>
                <w:szCs w:val="22"/>
                <w:b w:val="1"/>
                <w:bCs w:val="1"/>
                <w:color w:val="auto"/>
              </w:rPr>
              <w:t>SMBC Nikko</w:t>
            </w:r>
          </w:p>
        </w:tc>
      </w:tr>
      <w:tr>
        <w:trPr>
          <w:trHeight w:val="301"/>
        </w:trPr>
        <w:tc>
          <w:tcPr>
            <w:tcW w:w="3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0"/>
        </w:trPr>
        <w:tc>
          <w:tcPr>
            <w:tcW w:w="3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gridSpan w:val="2"/>
          </w:tcPr>
          <w:p>
            <w:pPr>
              <w:jc w:val="center"/>
              <w:ind w:right="1080"/>
              <w:spacing w:after="0"/>
              <w:rPr>
                <w:sz w:val="20"/>
                <w:szCs w:val="20"/>
                <w:color w:val="auto"/>
              </w:rPr>
            </w:pPr>
            <w:r>
              <w:rPr>
                <w:rFonts w:ascii="Arial" w:cs="Arial" w:eastAsia="Arial" w:hAnsi="Arial"/>
                <w:sz w:val="18"/>
                <w:szCs w:val="18"/>
                <w:i w:val="1"/>
                <w:iCs w:val="1"/>
                <w:color w:val="auto"/>
                <w:w w:val="89"/>
              </w:rPr>
              <w:t>Co-Managers</w:t>
            </w:r>
          </w:p>
        </w:tc>
        <w:tc>
          <w:tcPr>
            <w:tcW w:w="3440" w:type="dxa"/>
            <w:vAlign w:val="bottom"/>
          </w:tcPr>
          <w:p>
            <w:pPr>
              <w:spacing w:after="0"/>
              <w:rPr>
                <w:sz w:val="24"/>
                <w:szCs w:val="24"/>
                <w:color w:val="auto"/>
              </w:rPr>
            </w:pPr>
          </w:p>
        </w:tc>
      </w:tr>
      <w:tr>
        <w:trPr>
          <w:trHeight w:val="420"/>
        </w:trPr>
        <w:tc>
          <w:tcPr>
            <w:tcW w:w="336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160" w:type="dxa"/>
            <w:vAlign w:val="bottom"/>
          </w:tcPr>
          <w:p>
            <w:pPr>
              <w:spacing w:after="0"/>
              <w:rPr>
                <w:sz w:val="24"/>
                <w:szCs w:val="24"/>
                <w:color w:val="auto"/>
              </w:rPr>
            </w:pPr>
          </w:p>
        </w:tc>
        <w:tc>
          <w:tcPr>
            <w:tcW w:w="346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93"/>
              </w:rPr>
              <w:t>BNP PARIBAS</w:t>
            </w:r>
          </w:p>
        </w:tc>
        <w:tc>
          <w:tcPr>
            <w:tcW w:w="3440" w:type="dxa"/>
            <w:vAlign w:val="bottom"/>
          </w:tcPr>
          <w:p>
            <w:pPr>
              <w:jc w:val="right"/>
              <w:spacing w:after="0"/>
              <w:rPr>
                <w:sz w:val="20"/>
                <w:szCs w:val="20"/>
                <w:color w:val="auto"/>
              </w:rPr>
            </w:pPr>
            <w:r>
              <w:rPr>
                <w:rFonts w:ascii="Arial" w:cs="Arial" w:eastAsia="Arial" w:hAnsi="Arial"/>
                <w:sz w:val="22"/>
                <w:szCs w:val="22"/>
                <w:b w:val="1"/>
                <w:bCs w:val="1"/>
                <w:color w:val="auto"/>
              </w:rPr>
              <w:t>Credit Suisse</w:t>
            </w: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b w:val="1"/>
                <w:bCs w:val="1"/>
                <w:color w:val="auto"/>
              </w:rPr>
              <w:t>Deutsche Bank Securities</w:t>
            </w:r>
          </w:p>
        </w:tc>
        <w:tc>
          <w:tcPr>
            <w:tcW w:w="1160" w:type="dxa"/>
            <w:vAlign w:val="bottom"/>
          </w:tcPr>
          <w:p>
            <w:pPr>
              <w:spacing w:after="0"/>
              <w:rPr>
                <w:sz w:val="21"/>
                <w:szCs w:val="21"/>
                <w:color w:val="auto"/>
              </w:rPr>
            </w:pPr>
          </w:p>
        </w:tc>
        <w:tc>
          <w:tcPr>
            <w:tcW w:w="3460" w:type="dxa"/>
            <w:vAlign w:val="bottom"/>
            <w:gridSpan w:val="2"/>
          </w:tcPr>
          <w:p>
            <w:pPr>
              <w:jc w:val="center"/>
              <w:ind w:right="1380"/>
              <w:spacing w:after="0" w:line="243" w:lineRule="exact"/>
              <w:rPr>
                <w:sz w:val="20"/>
                <w:szCs w:val="20"/>
                <w:color w:val="auto"/>
              </w:rPr>
            </w:pPr>
            <w:r>
              <w:rPr>
                <w:rFonts w:ascii="Arial" w:cs="Arial" w:eastAsia="Arial" w:hAnsi="Arial"/>
                <w:sz w:val="22"/>
                <w:szCs w:val="22"/>
                <w:b w:val="1"/>
                <w:bCs w:val="1"/>
                <w:color w:val="auto"/>
                <w:w w:val="90"/>
              </w:rPr>
              <w:t>Morgan Stanley</w:t>
            </w:r>
          </w:p>
        </w:tc>
        <w:tc>
          <w:tcPr>
            <w:tcW w:w="344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RBC Capital Markets</w:t>
            </w:r>
          </w:p>
        </w:tc>
      </w:tr>
      <w:tr>
        <w:trPr>
          <w:trHeight w:val="256"/>
        </w:trPr>
        <w:tc>
          <w:tcPr>
            <w:tcW w:w="3360" w:type="dxa"/>
            <w:vAlign w:val="bottom"/>
          </w:tcPr>
          <w:p>
            <w:pPr>
              <w:spacing w:after="0"/>
              <w:rPr>
                <w:sz w:val="20"/>
                <w:szCs w:val="20"/>
                <w:color w:val="auto"/>
              </w:rPr>
            </w:pPr>
            <w:r>
              <w:rPr>
                <w:rFonts w:ascii="Arial" w:cs="Arial" w:eastAsia="Arial" w:hAnsi="Arial"/>
                <w:sz w:val="22"/>
                <w:szCs w:val="22"/>
                <w:b w:val="1"/>
                <w:bCs w:val="1"/>
                <w:color w:val="auto"/>
              </w:rPr>
              <w:t>TD Securities</w:t>
            </w:r>
          </w:p>
        </w:tc>
        <w:tc>
          <w:tcPr>
            <w:tcW w:w="11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4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COMMERZBANK</w:t>
            </w: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DNB Markets</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PNC Capital Markets LLC</w:t>
            </w: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Lloyds Securities</w:t>
            </w: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Allen &amp; Company LLC</w:t>
            </w: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Evercore ISI</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CastleOak Securities, L.P.</w:t>
            </w:r>
          </w:p>
        </w:tc>
        <w:tc>
          <w:tcPr>
            <w:tcW w:w="1160" w:type="dxa"/>
            <w:vAlign w:val="bottom"/>
          </w:tcPr>
          <w:p>
            <w:pPr>
              <w:spacing w:after="0"/>
              <w:rPr>
                <w:sz w:val="18"/>
                <w:szCs w:val="18"/>
                <w:color w:val="auto"/>
              </w:rPr>
            </w:pPr>
          </w:p>
        </w:tc>
        <w:tc>
          <w:tcPr>
            <w:tcW w:w="346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8"/>
              </w:rPr>
              <w:t>C.L. King &amp; Associates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Drexel Hamilton</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Lebenthal Capital Markets</w:t>
            </w:r>
          </w:p>
        </w:tc>
        <w:tc>
          <w:tcPr>
            <w:tcW w:w="1160" w:type="dxa"/>
            <w:vAlign w:val="bottom"/>
          </w:tcPr>
          <w:p>
            <w:pPr>
              <w:spacing w:after="0"/>
              <w:rPr>
                <w:sz w:val="18"/>
                <w:szCs w:val="18"/>
                <w:color w:val="auto"/>
              </w:rPr>
            </w:pPr>
          </w:p>
        </w:tc>
        <w:tc>
          <w:tcPr>
            <w:tcW w:w="346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1"/>
              </w:rPr>
              <w:t>Loop Capital Markets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Mischler Financial Group, Inc.</w:t>
            </w: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Ramirez &amp; Co., Inc.</w:t>
            </w:r>
          </w:p>
        </w:tc>
        <w:tc>
          <w:tcPr>
            <w:tcW w:w="1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r>
        <w:trPr>
          <w:trHeight w:val="972"/>
        </w:trPr>
        <w:tc>
          <w:tcPr>
            <w:tcW w:w="3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July 12, 2016</w:t>
            </w:r>
          </w:p>
        </w:tc>
        <w:tc>
          <w:tcPr>
            <w:tcW w:w="3440" w:type="dxa"/>
            <w:vAlign w:val="bottom"/>
          </w:tcPr>
          <w:p>
            <w:pPr>
              <w:spacing w:after="0"/>
              <w:rPr>
                <w:sz w:val="24"/>
                <w:szCs w:val="24"/>
                <w:color w:val="auto"/>
              </w:rPr>
            </w:pPr>
          </w:p>
        </w:tc>
      </w:tr>
      <w:tr>
        <w:trPr>
          <w:trHeight w:val="522"/>
        </w:trPr>
        <w:tc>
          <w:tcPr>
            <w:tcW w:w="3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215"/>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Letter"/>
      <w:start w:val="3"/>
    </w:lvl>
  </w:abstractNum>
  <w:abstractNum w:abstractNumId="6">
    <w:nsid w:val="54E49EB4"/>
    <w:multiLevelType w:val="hybridMultilevel"/>
    <w:lvl w:ilvl="0">
      <w:lvlJc w:val="left"/>
      <w:lvlText w:val="•"/>
      <w:numFmt w:val="bullet"/>
      <w:start w:val="1"/>
    </w:lvl>
    <w:lvl w:ilvl="1">
      <w:lvlJc w:val="left"/>
      <w:lvlText w:val="•"/>
      <w:numFmt w:val="bullet"/>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upperLetter"/>
      <w:start w:val="1"/>
    </w:lvl>
  </w:abstractNum>
  <w:abstractNum w:abstractNumId="14">
    <w:nsid w:val="7C3DBD3D"/>
    <w:multiLevelType w:val="hybridMultilevel"/>
    <w:lvl w:ilvl="0">
      <w:lvlJc w:val="left"/>
      <w:lvlText w:val="%1."/>
      <w:numFmt w:val="upperLetter"/>
      <w:start w:val="2"/>
    </w:lvl>
  </w:abstractNum>
  <w:abstractNum w:abstractNumId="15">
    <w:nsid w:val="737B8DDC"/>
    <w:multiLevelType w:val="hybridMultilevel"/>
    <w:lvl w:ilvl="0">
      <w:lvlJc w:val="left"/>
      <w:lvlText w:val="(%1)"/>
      <w:numFmt w:val="lowerRoman"/>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lowerLetter"/>
      <w:start w:val="3"/>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3"/>
    </w:lvl>
  </w:abstractNum>
  <w:abstractNum w:abstractNumId="28">
    <w:nsid w:val="5C482A97"/>
    <w:multiLevelType w:val="hybridMultilevel"/>
    <w:lvl w:ilvl="0">
      <w:lvlJc w:val="left"/>
      <w:lvlText w:val="%1"/>
      <w:numFmt w:val="lowerLetter"/>
      <w:start w:val="1"/>
    </w:lvl>
    <w:lvl w:ilvl="1">
      <w:lvlJc w:val="left"/>
      <w:lvlText w:val="(%2)"/>
      <w:numFmt w:val="lowerLetter"/>
      <w:start w:val="13"/>
    </w:lvl>
  </w:abstractNum>
  <w:abstractNum w:abstractNumId="29">
    <w:nsid w:val="2463B9EA"/>
    <w:multiLevelType w:val="hybridMultilevel"/>
    <w:lvl w:ilvl="0">
      <w:lvlJc w:val="left"/>
      <w:lvlText w:val="(%1)"/>
      <w:numFmt w:val="lowerLetter"/>
      <w:start w:val="61"/>
    </w:lvl>
    <w:lvl w:ilvl="1">
      <w:lvlJc w:val="left"/>
      <w:lvlText w:val="(%2)"/>
      <w:numFmt w:val="lowerLetter"/>
      <w:start w:val="19"/>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
      <w:numFmt w:val="bullet"/>
      <w:start w:val="1"/>
    </w:lvl>
    <w:lvl w:ilvl="1">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lvl w:ilvl="1">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2019-12-07T16:13:30Z</dcterms:created>
  <dcterms:modified xsi:type="dcterms:W3CDTF">2019-12-07T16:13:30Z</dcterms:modified>
</cp:coreProperties>
</file>