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February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73"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27-0000798</w:t>
      </w:r>
    </w:p>
    <w:p>
      <w:pPr>
        <w:spacing w:after="0" w:line="56" w:lineRule="exact"/>
        <w:rPr>
          <w:sz w:val="24"/>
          <w:szCs w:val="24"/>
          <w:color w:val="auto"/>
        </w:rPr>
      </w:pPr>
    </w:p>
    <w:p>
      <w:pPr>
        <w:sectPr>
          <w:pgSz w:w="11900" w:h="16838" w:orient="portrait"/>
          <w:cols w:equalWidth="0" w:num="2">
            <w:col w:w="7540" w:space="720"/>
            <w:col w:w="3160"/>
          </w:cols>
          <w:pgMar w:left="240" w:top="233"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PA 19103-2838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 2005 DEFERRED COMPENSATION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40" w:type="dxa"/>
            <w:vAlign w:val="bottom"/>
          </w:tcPr>
          <w:p>
            <w:pPr>
              <w:spacing w:after="0"/>
              <w:rPr>
                <w:sz w:val="23"/>
                <w:szCs w:val="23"/>
                <w:color w:val="auto"/>
              </w:rPr>
            </w:pP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19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20" w:type="dxa"/>
            <w:vAlign w:val="bottom"/>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7" w:lineRule="exact"/>
              <w:rPr>
                <w:sz w:val="20"/>
                <w:szCs w:val="20"/>
                <w:color w:val="auto"/>
              </w:rPr>
            </w:pPr>
            <w:r>
              <w:rPr>
                <w:rFonts w:ascii="Arial" w:cs="Arial" w:eastAsia="Arial" w:hAnsi="Arial"/>
                <w:sz w:val="12"/>
                <w:szCs w:val="12"/>
                <w:b w:val="1"/>
                <w:bCs w:val="1"/>
                <w:color w:val="auto"/>
                <w:w w:val="97"/>
              </w:rPr>
              <w:t>Proposed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7"/>
              </w:rPr>
              <w:t>Title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4"/>
              </w:rPr>
              <w:t>securities to be registered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2"/>
              </w:rPr>
              <w:t>registered</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8"/>
              </w:rPr>
              <w:t>per unit (1)</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 (2)</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 (2)</w:t>
            </w:r>
          </w:p>
        </w:tc>
        <w:tc>
          <w:tcPr>
            <w:tcW w:w="1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Deferred Compensation Obligations</w:t>
            </w:r>
          </w:p>
        </w:tc>
        <w:tc>
          <w:tcPr>
            <w:tcW w:w="14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7"/>
              </w:rPr>
              <w:t>$500,000,000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6"/>
              </w:rPr>
              <w:t>100%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$500,000,000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$57,300</w:t>
            </w:r>
          </w:p>
        </w:tc>
        <w:tc>
          <w:tcPr>
            <w:tcW w:w="1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ind w:left="452" w:hanging="452"/>
        <w:spacing w:after="0" w:line="283"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deferred compensation obligations to which this Registration Statement relates (the “Deferred Compensation Obligations”) arise under the Comcast Corporation 2005 Deferred Compensation Plan (the “Plan”) and relate to obligations to pay deferred compensation in the future pursuant to compensation deferral elections made by participants in the Plan in accordance with the terms of the Plan. The Deferred Compensation Obligations incurred by Comcast Corporation (the “Registrant”) under the Plan will be unsecured general obligations of the Registrant.</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 457(h) under the Securities Act of 1933, as amended,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2"/>
          </w:cols>
          <w:pgMar w:left="248" w:top="33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Pursuant to General Instruction E of Form S-8, this Registration Statement is being filed to register an additional $500,000,000 of Deferred Compensation Obligations that relate to the same employee benefit plan, the Comcast Corporation 2005 Deferred Compensation Plan, as amended and restated, as registered on the Registrant’s registration statements on Form S-8, previously filed with the Commission on December 8, 2004 (Registration No. 333-121082) and January 4, 2006 (Registration No. 333-130845), both all of which are hereby incorporated by reference.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8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18" w:lineRule="exact"/>
        <w:rPr>
          <w:sz w:val="20"/>
          <w:szCs w:val="20"/>
          <w:color w:val="auto"/>
        </w:rPr>
      </w:pPr>
    </w:p>
    <w:p>
      <w:pPr>
        <w:jc w:val="both"/>
        <w:ind w:right="140" w:firstLine="913"/>
        <w:spacing w:after="0" w:line="335" w:lineRule="auto"/>
        <w:rPr>
          <w:sz w:val="20"/>
          <w:szCs w:val="20"/>
          <w:color w:val="auto"/>
        </w:rPr>
      </w:pPr>
      <w:r>
        <w:rPr>
          <w:rFonts w:ascii="Arial" w:cs="Arial" w:eastAsia="Arial" w:hAnsi="Arial"/>
          <w:sz w:val="15"/>
          <w:szCs w:val="15"/>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88"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1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43" w:lineRule="exact"/>
        <w:rPr>
          <w:sz w:val="20"/>
          <w:szCs w:val="20"/>
          <w:color w:val="auto"/>
        </w:rPr>
      </w:pPr>
    </w:p>
    <w:p>
      <w:pPr>
        <w:jc w:val="both"/>
        <w:ind w:right="60" w:firstLine="913"/>
        <w:spacing w:after="0" w:line="294" w:lineRule="auto"/>
        <w:rPr>
          <w:sz w:val="20"/>
          <w:szCs w:val="20"/>
          <w:color w:val="auto"/>
        </w:rPr>
      </w:pPr>
      <w:r>
        <w:rPr>
          <w:rFonts w:ascii="Arial" w:cs="Arial" w:eastAsia="Arial" w:hAnsi="Arial"/>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but need not be, under the control of a trustee, or otherwise secure or insure in any manner its indemnification obligations.</w:t>
      </w:r>
    </w:p>
    <w:p>
      <w:pPr>
        <w:spacing w:after="0" w:line="171"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4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4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4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Section 7.01 of the Registrant’s By-laws provides that the Registrant will indemnify any director or officer of the Registrant (including those who have ceased serving in any such capacity) to the fullest extent permitted by Pennsylvania law against all expense, liability and loss reasonably incurred or suffered by such person in connection with any threatened pending or completed action, suit, claim, counterclaim, cross claim, arbitration, alternate dispute resolution mechanism, investigation, inquiry, administrative hearing or any other threatened, actual or completed proceeding (a “Proceeding”) arising out of or related to such person’s service at any time as a director or officer of the Registrant or in any capacity at the request or for the benefit of the Registrant or in any other capacity for another corporation or other enterprise. No indemnification pursuant to Section 7.01 may be made, however, in any case where the act or failure to act giving rise to the claim for indemnification is determined by a court to have constituted willful misconduct or recklessness.</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Section 7.01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7.01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7.01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7.01 states that the Registrant may create a fund of any nature or otherwise may secure in any manner its indemnification obligations, whether arising under the By-laws or otherwise. Indemnification pursuant to Section 7.01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24"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Section 7.02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7.02.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ectPr>
          <w:pgSz w:w="11900" w:h="16838" w:orient="portrait"/>
          <w:cols w:equalWidth="0" w:num="1">
            <w:col w:w="11420"/>
          </w:cols>
          <w:pgMar w:left="240" w:top="280" w:right="239" w:bottom="1440" w:gutter="0" w:footer="0" w:header="0"/>
        </w:sectPr>
      </w:pPr>
    </w:p>
    <w:bookmarkStart w:id="4" w:name="page5"/>
    <w:bookmarkEnd w:id="4"/>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 has entered into indemnification agreements with each of its directors pursuant to which the Registrant has agreed to indemnify each director and hold him or her harmless from and against any and all expenses and liabilities reasonably incurred by such director by reason of his or her service as a director of the Registrant, or service in any other capacity of any other corporation or enterprise at the request or for the benefit of the Registrant, to the fullest extent permitted by applicable law. Pursuant to such indemnification agreements, the Registrant also has agreed to pay or reimburse any expenses reasonably incurred by any such director by reason of his or her service as a director of the Registrant, or service in any other capacity of any other corporation or enterprise at the request or for the benefit of the Registrant; provided that the Registrant’s obligation to pay or reimburse any such expenses prior to the final disposition of a Proceeding is subject to the condition that, if, when and to the extent a final, non-appealable judgment of a court of competent jurisdiction determines that such director would not be permitted to be indemnified by law, then the Registrant shall be entitled to be reimbursed promptly by such director for all such amounts theretofore paid. The Registrant is not obligated under such indemnification agreements to indemnify a director or pay or reimburse any expenses (i) in connection with any claims arising under applicable laws concerning insider trading or claims for an accounting of profits from the purchase or sale of the Registrant’s securities by such director within the meaning of Section 16(b) of the Securities Exchange Act of 1934, as amended, unless such director is ultimately successful with respect to such claim (it being understood that the Registrant’s obligations pursuant to the foregoing sentence shall remain in full force and effect with respect to such claims); or (ii) in connection with any action, suit or proceeding initiated by such director (other than to establish or enforce such director’s rights under the indemnification agreement) against the Registrant or its directors, officers, employees or other indemnitees, unless the Board of Directors authorized such action, suit or proceeding before its initiation.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1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117" w:lineRule="exact"/>
        <w:rPr>
          <w:sz w:val="20"/>
          <w:szCs w:val="20"/>
          <w:color w:val="auto"/>
        </w:rPr>
      </w:pPr>
    </w:p>
    <w:p>
      <w:pPr>
        <w:ind w:left="1100" w:right="420" w:hanging="634"/>
        <w:spacing w:after="0" w:line="268" w:lineRule="auto"/>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Comcast Corporation 2005 Deferred Compensation Plan, as amended and restated effective February 22, 2011 (incorporated by reference to Exhibit 10.6 to our Quarterly Report on Form 10-Q for the quarter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1160" w:hanging="239"/>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00" w:right="60" w:hanging="446"/>
        <w:spacing w:after="0" w:line="25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380"/>
          </w:cols>
          <w:pgMar w:left="240" w:top="280" w:right="279" w:bottom="1440" w:gutter="0" w:footer="0" w:header="0"/>
        </w:sectPr>
      </w:pPr>
    </w:p>
    <w:bookmarkStart w:id="5" w:name="page6"/>
    <w:bookmarkEnd w:id="5"/>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40" w:lineRule="exact"/>
        <w:rPr>
          <w:sz w:val="20"/>
          <w:szCs w:val="20"/>
          <w:color w:val="auto"/>
        </w:rPr>
      </w:pPr>
    </w:p>
    <w:p>
      <w:pPr>
        <w:ind w:right="140" w:firstLine="921"/>
        <w:spacing w:after="0" w:line="259" w:lineRule="auto"/>
        <w:tabs>
          <w:tab w:leader="none" w:pos="1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that remain unsold at the termination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offering.</w:t>
      </w:r>
    </w:p>
    <w:p>
      <w:pPr>
        <w:spacing w:after="0" w:line="165" w:lineRule="exact"/>
        <w:rPr>
          <w:sz w:val="20"/>
          <w:szCs w:val="20"/>
          <w:color w:val="auto"/>
        </w:rPr>
      </w:pPr>
    </w:p>
    <w:p>
      <w:pPr>
        <w:jc w:val="both"/>
        <w:ind w:right="120" w:firstLine="921"/>
        <w:spacing w:after="0" w:line="256"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rFonts w:ascii="Arial" w:cs="Arial" w:eastAsia="Arial" w:hAnsi="Arial"/>
          <w:sz w:val="18"/>
          <w:szCs w:val="18"/>
          <w:color w:val="auto"/>
        </w:rPr>
      </w:pPr>
    </w:p>
    <w:p>
      <w:pPr>
        <w:ind w:firstLine="921"/>
        <w:spacing w:after="0" w:line="290" w:lineRule="auto"/>
        <w:tabs>
          <w:tab w:leader="none" w:pos="115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February 23,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913"/>
        <w:spacing w:after="0" w:line="312" w:lineRule="auto"/>
        <w:rPr>
          <w:sz w:val="20"/>
          <w:szCs w:val="20"/>
          <w:color w:val="auto"/>
        </w:rPr>
      </w:pPr>
      <w:r>
        <w:rPr>
          <w:rFonts w:ascii="Arial" w:cs="Arial" w:eastAsia="Arial" w:hAnsi="Arial"/>
          <w:sz w:val="15"/>
          <w:szCs w:val="15"/>
          <w:color w:val="auto"/>
        </w:rPr>
        <w:t>KNOW ALL MEN BY THESE PRESENTS, that each person whose signature appears below hereby constitutes and appoints each of Brian L. Roberts, Michael J. Angelakis,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05"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5780" w:type="dxa"/>
            <w:vAlign w:val="bottom"/>
          </w:tcPr>
          <w:p>
            <w:pPr>
              <w:jc w:val="center"/>
              <w:ind w:left="74"/>
              <w:spacing w:after="0"/>
              <w:rPr>
                <w:sz w:val="20"/>
                <w:szCs w:val="20"/>
                <w:color w:val="auto"/>
              </w:rPr>
            </w:pPr>
            <w:r>
              <w:rPr>
                <w:rFonts w:ascii="Arial" w:cs="Arial" w:eastAsia="Arial" w:hAnsi="Arial"/>
                <w:sz w:val="14"/>
                <w:szCs w:val="14"/>
                <w:b w:val="1"/>
                <w:bCs w:val="1"/>
                <w:color w:val="auto"/>
                <w:w w:val="90"/>
              </w:rPr>
              <w:t>Title</w:t>
            </w:r>
          </w:p>
        </w:tc>
        <w:tc>
          <w:tcPr>
            <w:tcW w:w="1860" w:type="dxa"/>
            <w:vAlign w:val="bottom"/>
          </w:tcPr>
          <w:p>
            <w:pPr>
              <w:ind w:left="880"/>
              <w:spacing w:after="0"/>
              <w:rPr>
                <w:sz w:val="20"/>
                <w:szCs w:val="20"/>
                <w:color w:val="auto"/>
              </w:rPr>
            </w:pPr>
            <w:r>
              <w:rPr>
                <w:rFonts w:ascii="Arial" w:cs="Arial" w:eastAsia="Arial" w:hAnsi="Arial"/>
                <w:sz w:val="14"/>
                <w:szCs w:val="14"/>
                <w:b w:val="1"/>
                <w:bCs w:val="1"/>
                <w:color w:val="auto"/>
              </w:rPr>
              <w:t>Date</w:t>
            </w:r>
          </w:p>
        </w:tc>
      </w:tr>
      <w:tr>
        <w:trPr>
          <w:trHeight w:val="419"/>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Brian L. Roberts</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0"/>
              </w:rPr>
              <w:t>Chairman and CEO; Director (Principal Executive Officer)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90"/>
              </w:rPr>
              <w:t>Brian L. Roberts</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Ralph J. Roberts</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89"/>
              </w:rPr>
              <w:t>Founder; Chairman Emeritus of the Board</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87"/>
              </w:rPr>
              <w:t>Ralph J. Roberts</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Angelakis</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0"/>
              </w:rPr>
              <w:t>Vice Chairman and CFO (Principal Financial Officer)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91"/>
              </w:rPr>
              <w:t>Michael J. Angelakis</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Lawrence J. Salva</w:t>
            </w:r>
          </w:p>
        </w:tc>
        <w:tc>
          <w:tcPr>
            <w:tcW w:w="5780" w:type="dxa"/>
            <w:vAlign w:val="bottom"/>
          </w:tcPr>
          <w:p>
            <w:pPr>
              <w:jc w:val="center"/>
              <w:ind w:left="94"/>
              <w:spacing w:after="0"/>
              <w:rPr>
                <w:sz w:val="20"/>
                <w:szCs w:val="20"/>
                <w:color w:val="auto"/>
              </w:rPr>
            </w:pPr>
            <w:r>
              <w:rPr>
                <w:rFonts w:ascii="Arial" w:cs="Arial" w:eastAsia="Arial" w:hAnsi="Arial"/>
                <w:sz w:val="18"/>
                <w:szCs w:val="18"/>
                <w:color w:val="auto"/>
                <w:w w:val="90"/>
              </w:rPr>
              <w:t>Senior Vice President, Chief Accounting Officer and Controller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87"/>
              </w:rPr>
              <w:t>Lawrence J. Salva</w:t>
            </w:r>
          </w:p>
        </w:tc>
        <w:tc>
          <w:tcPr>
            <w:tcW w:w="5780" w:type="dxa"/>
            <w:vAlign w:val="bottom"/>
          </w:tcPr>
          <w:p>
            <w:pPr>
              <w:jc w:val="center"/>
              <w:ind w:left="94"/>
              <w:spacing w:after="0"/>
              <w:rPr>
                <w:sz w:val="20"/>
                <w:szCs w:val="20"/>
                <w:color w:val="auto"/>
              </w:rPr>
            </w:pPr>
            <w:r>
              <w:rPr>
                <w:rFonts w:ascii="Arial" w:cs="Arial" w:eastAsia="Arial" w:hAnsi="Arial"/>
                <w:sz w:val="18"/>
                <w:szCs w:val="18"/>
                <w:color w:val="auto"/>
                <w:w w:val="92"/>
              </w:rPr>
              <w:t>(Principal Accounting Officer)</w:t>
            </w: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Kenneth J. Bacon</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87"/>
              </w:rPr>
              <w:t>Kenneth J. Bacon</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Sheldon M. Bonovitz</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90"/>
              </w:rPr>
              <w:t>Sheldon M. Bonovitz</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J. Collins</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86"/>
              </w:rPr>
              <w:t>Joseph J. Collins</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 Michael Cook</w:t>
            </w:r>
          </w:p>
        </w:tc>
        <w:tc>
          <w:tcPr>
            <w:tcW w:w="5780" w:type="dxa"/>
            <w:vAlign w:val="bottom"/>
          </w:tcPr>
          <w:p>
            <w:pPr>
              <w:jc w:val="center"/>
              <w:ind w:left="74"/>
              <w:spacing w:after="0"/>
              <w:rPr>
                <w:sz w:val="20"/>
                <w:szCs w:val="20"/>
                <w:color w:val="auto"/>
              </w:rPr>
            </w:pPr>
            <w:r>
              <w:rPr>
                <w:rFonts w:ascii="Arial" w:cs="Arial" w:eastAsia="Arial" w:hAnsi="Arial"/>
                <w:sz w:val="18"/>
                <w:szCs w:val="18"/>
                <w:color w:val="auto"/>
                <w:w w:val="91"/>
              </w:rPr>
              <w:t>Director</w:t>
            </w:r>
          </w:p>
        </w:tc>
        <w:tc>
          <w:tcPr>
            <w:tcW w:w="1860" w:type="dxa"/>
            <w:vAlign w:val="bottom"/>
          </w:tcPr>
          <w:p>
            <w:pPr>
              <w:ind w:left="560"/>
              <w:spacing w:after="0"/>
              <w:rPr>
                <w:sz w:val="20"/>
                <w:szCs w:val="20"/>
                <w:color w:val="auto"/>
              </w:rPr>
            </w:pPr>
            <w:r>
              <w:rPr>
                <w:rFonts w:ascii="Arial" w:cs="Arial" w:eastAsia="Arial" w:hAnsi="Arial"/>
                <w:sz w:val="18"/>
                <w:szCs w:val="18"/>
                <w:color w:val="auto"/>
                <w:w w:val="86"/>
              </w:rPr>
              <w:t>February 23, 2012</w:t>
            </w:r>
          </w:p>
        </w:tc>
      </w:tr>
      <w:tr>
        <w:trPr>
          <w:trHeight w:val="221"/>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 Michael Cook</w:t>
            </w:r>
          </w:p>
        </w:tc>
        <w:tc>
          <w:tcPr>
            <w:tcW w:w="578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ind w:left="620"/>
        <w:spacing w:after="0"/>
        <w:rPr>
          <w:sz w:val="20"/>
          <w:szCs w:val="20"/>
          <w:color w:val="auto"/>
        </w:rPr>
      </w:pPr>
      <w:r>
        <w:rPr>
          <w:rFonts w:ascii="Arial" w:cs="Arial" w:eastAsia="Arial" w:hAnsi="Arial"/>
          <w:sz w:val="14"/>
          <w:szCs w:val="14"/>
          <w:b w:val="1"/>
          <w:bCs w:val="1"/>
          <w:color w:val="auto"/>
        </w:rPr>
        <w:t>Signature</w:t>
      </w:r>
    </w:p>
    <w:p>
      <w:pPr>
        <w:spacing w:after="0" w:line="208"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10795</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Gerald L. Hassell</w:t>
      </w:r>
    </w:p>
    <w:p>
      <w:pPr>
        <w:spacing w:after="0" w:line="225" w:lineRule="exact"/>
        <w:rPr>
          <w:sz w:val="20"/>
          <w:szCs w:val="20"/>
          <w:color w:val="auto"/>
        </w:rPr>
      </w:pPr>
    </w:p>
    <w:p>
      <w:pPr>
        <w:jc w:val="center"/>
        <w:ind w:right="2960"/>
        <w:spacing w:after="0"/>
        <w:rPr>
          <w:sz w:val="20"/>
          <w:szCs w:val="20"/>
          <w:color w:val="auto"/>
        </w:rPr>
      </w:pPr>
      <w:r>
        <w:rPr>
          <w:rFonts w:ascii="Arial" w:cs="Arial" w:eastAsia="Arial" w:hAnsi="Arial"/>
          <w:sz w:val="16"/>
          <w:szCs w:val="16"/>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25400</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9"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Jeffrey A. Honickman</w:t>
      </w:r>
    </w:p>
    <w:p>
      <w:pPr>
        <w:spacing w:after="0" w:line="225"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/s/ 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10795</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Eduardo G. Mestre</w:t>
      </w:r>
    </w:p>
    <w:p>
      <w:pPr>
        <w:spacing w:after="0" w:line="225" w:lineRule="exact"/>
        <w:rPr>
          <w:sz w:val="20"/>
          <w:szCs w:val="20"/>
          <w:color w:val="auto"/>
        </w:rPr>
      </w:pPr>
    </w:p>
    <w:p>
      <w:pPr>
        <w:jc w:val="center"/>
        <w:ind w:right="2960"/>
        <w:spacing w:after="0"/>
        <w:rPr>
          <w:sz w:val="20"/>
          <w:szCs w:val="20"/>
          <w:color w:val="auto"/>
        </w:rPr>
      </w:pPr>
      <w:r>
        <w:rPr>
          <w:rFonts w:ascii="Arial" w:cs="Arial" w:eastAsia="Arial" w:hAnsi="Arial"/>
          <w:sz w:val="15"/>
          <w:szCs w:val="15"/>
          <w:color w:val="auto"/>
        </w:rPr>
        <w:t>/s/ Johnathan A.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33020</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1" w:lineRule="exact"/>
        <w:rPr>
          <w:sz w:val="20"/>
          <w:szCs w:val="20"/>
          <w:color w:val="auto"/>
        </w:rPr>
      </w:pPr>
    </w:p>
    <w:p>
      <w:pPr>
        <w:jc w:val="center"/>
        <w:ind w:right="2960"/>
        <w:spacing w:after="0"/>
        <w:rPr>
          <w:sz w:val="20"/>
          <w:szCs w:val="20"/>
          <w:color w:val="auto"/>
        </w:rPr>
      </w:pPr>
      <w:r>
        <w:rPr>
          <w:rFonts w:ascii="Arial" w:cs="Arial" w:eastAsia="Arial" w:hAnsi="Arial"/>
          <w:sz w:val="16"/>
          <w:szCs w:val="16"/>
          <w:color w:val="auto"/>
        </w:rPr>
        <w:t>Johnathan A. Rodgers</w:t>
      </w:r>
    </w:p>
    <w:p>
      <w:pPr>
        <w:spacing w:after="0" w:line="248"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/s/ Dr. Judith 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10795</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Dr. Judith Rodin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jc w:val="center"/>
              <w:ind w:right="1356"/>
              <w:spacing w:after="0"/>
              <w:rPr>
                <w:sz w:val="20"/>
                <w:szCs w:val="20"/>
                <w:color w:val="auto"/>
              </w:rPr>
            </w:pPr>
            <w:r>
              <w:rPr>
                <w:rFonts w:ascii="Arial" w:cs="Arial" w:eastAsia="Arial" w:hAnsi="Arial"/>
                <w:sz w:val="14"/>
                <w:szCs w:val="14"/>
                <w:b w:val="1"/>
                <w:bCs w:val="1"/>
                <w:color w:val="auto"/>
                <w:w w:val="90"/>
              </w:rPr>
              <w:t>Title</w:t>
            </w:r>
          </w:p>
        </w:tc>
        <w:tc>
          <w:tcPr>
            <w:tcW w:w="2740" w:type="dxa"/>
            <w:vAlign w:val="bottom"/>
          </w:tcPr>
          <w:p>
            <w:pPr>
              <w:jc w:val="center"/>
              <w:ind w:left="1356"/>
              <w:spacing w:after="0"/>
              <w:rPr>
                <w:sz w:val="20"/>
                <w:szCs w:val="20"/>
                <w:color w:val="auto"/>
              </w:rPr>
            </w:pPr>
            <w:r>
              <w:rPr>
                <w:rFonts w:ascii="Arial" w:cs="Arial" w:eastAsia="Arial" w:hAnsi="Arial"/>
                <w:sz w:val="14"/>
                <w:szCs w:val="14"/>
                <w:b w:val="1"/>
                <w:bCs w:val="1"/>
                <w:color w:val="auto"/>
                <w:w w:val="85"/>
              </w:rPr>
              <w:t>Date</w:t>
            </w:r>
          </w:p>
        </w:tc>
      </w:tr>
      <w:tr>
        <w:trPr>
          <w:trHeight w:val="444"/>
        </w:trPr>
        <w:tc>
          <w:tcPr>
            <w:tcW w:w="2020" w:type="dxa"/>
            <w:vAlign w:val="bottom"/>
          </w:tcPr>
          <w:p>
            <w:pPr>
              <w:jc w:val="center"/>
              <w:ind w:right="1356"/>
              <w:spacing w:after="0"/>
              <w:rPr>
                <w:sz w:val="20"/>
                <w:szCs w:val="20"/>
                <w:color w:val="auto"/>
              </w:rPr>
            </w:pPr>
            <w:r>
              <w:rPr>
                <w:rFonts w:ascii="Arial" w:cs="Arial" w:eastAsia="Arial" w:hAnsi="Arial"/>
                <w:sz w:val="18"/>
                <w:szCs w:val="18"/>
                <w:color w:val="auto"/>
                <w:w w:val="91"/>
              </w:rPr>
              <w:t>Director</w:t>
            </w:r>
          </w:p>
        </w:tc>
        <w:tc>
          <w:tcPr>
            <w:tcW w:w="2740" w:type="dxa"/>
            <w:vAlign w:val="bottom"/>
          </w:tcPr>
          <w:p>
            <w:pPr>
              <w:jc w:val="center"/>
              <w:ind w:left="1356"/>
              <w:spacing w:after="0"/>
              <w:rPr>
                <w:sz w:val="20"/>
                <w:szCs w:val="20"/>
                <w:color w:val="auto"/>
              </w:rPr>
            </w:pPr>
            <w:r>
              <w:rPr>
                <w:rFonts w:ascii="Arial" w:cs="Arial" w:eastAsia="Arial" w:hAnsi="Arial"/>
                <w:sz w:val="18"/>
                <w:szCs w:val="18"/>
                <w:color w:val="auto"/>
                <w:w w:val="88"/>
              </w:rPr>
              <w:t>February 23, 2012</w:t>
            </w:r>
          </w:p>
        </w:tc>
      </w:tr>
      <w:tr>
        <w:trPr>
          <w:trHeight w:val="675"/>
        </w:trPr>
        <w:tc>
          <w:tcPr>
            <w:tcW w:w="2020" w:type="dxa"/>
            <w:vAlign w:val="bottom"/>
          </w:tcPr>
          <w:p>
            <w:pPr>
              <w:jc w:val="center"/>
              <w:ind w:right="1356"/>
              <w:spacing w:after="0"/>
              <w:rPr>
                <w:sz w:val="20"/>
                <w:szCs w:val="20"/>
                <w:color w:val="auto"/>
              </w:rPr>
            </w:pPr>
            <w:r>
              <w:rPr>
                <w:rFonts w:ascii="Arial" w:cs="Arial" w:eastAsia="Arial" w:hAnsi="Arial"/>
                <w:sz w:val="18"/>
                <w:szCs w:val="18"/>
                <w:color w:val="auto"/>
                <w:w w:val="91"/>
              </w:rPr>
              <w:t>Director</w:t>
            </w:r>
          </w:p>
        </w:tc>
        <w:tc>
          <w:tcPr>
            <w:tcW w:w="2740" w:type="dxa"/>
            <w:vAlign w:val="bottom"/>
          </w:tcPr>
          <w:p>
            <w:pPr>
              <w:jc w:val="center"/>
              <w:ind w:left="1356"/>
              <w:spacing w:after="0"/>
              <w:rPr>
                <w:sz w:val="20"/>
                <w:szCs w:val="20"/>
                <w:color w:val="auto"/>
              </w:rPr>
            </w:pPr>
            <w:r>
              <w:rPr>
                <w:rFonts w:ascii="Arial" w:cs="Arial" w:eastAsia="Arial" w:hAnsi="Arial"/>
                <w:sz w:val="18"/>
                <w:szCs w:val="18"/>
                <w:color w:val="auto"/>
                <w:w w:val="88"/>
              </w:rPr>
              <w:t>February 23, 2012</w:t>
            </w:r>
          </w:p>
        </w:tc>
      </w:tr>
      <w:tr>
        <w:trPr>
          <w:trHeight w:val="675"/>
        </w:trPr>
        <w:tc>
          <w:tcPr>
            <w:tcW w:w="2020" w:type="dxa"/>
            <w:vAlign w:val="bottom"/>
          </w:tcPr>
          <w:p>
            <w:pPr>
              <w:jc w:val="center"/>
              <w:ind w:right="1356"/>
              <w:spacing w:after="0"/>
              <w:rPr>
                <w:sz w:val="20"/>
                <w:szCs w:val="20"/>
                <w:color w:val="auto"/>
              </w:rPr>
            </w:pPr>
            <w:r>
              <w:rPr>
                <w:rFonts w:ascii="Arial" w:cs="Arial" w:eastAsia="Arial" w:hAnsi="Arial"/>
                <w:sz w:val="18"/>
                <w:szCs w:val="18"/>
                <w:color w:val="auto"/>
                <w:w w:val="91"/>
              </w:rPr>
              <w:t>Director</w:t>
            </w:r>
          </w:p>
        </w:tc>
        <w:tc>
          <w:tcPr>
            <w:tcW w:w="2740" w:type="dxa"/>
            <w:vAlign w:val="bottom"/>
          </w:tcPr>
          <w:p>
            <w:pPr>
              <w:jc w:val="center"/>
              <w:ind w:left="1356"/>
              <w:spacing w:after="0"/>
              <w:rPr>
                <w:sz w:val="20"/>
                <w:szCs w:val="20"/>
                <w:color w:val="auto"/>
              </w:rPr>
            </w:pPr>
            <w:r>
              <w:rPr>
                <w:rFonts w:ascii="Arial" w:cs="Arial" w:eastAsia="Arial" w:hAnsi="Arial"/>
                <w:sz w:val="18"/>
                <w:szCs w:val="18"/>
                <w:color w:val="auto"/>
                <w:w w:val="88"/>
              </w:rPr>
              <w:t>February 23, 2012</w:t>
            </w:r>
          </w:p>
        </w:tc>
      </w:tr>
      <w:tr>
        <w:trPr>
          <w:trHeight w:val="675"/>
        </w:trPr>
        <w:tc>
          <w:tcPr>
            <w:tcW w:w="2020" w:type="dxa"/>
            <w:vAlign w:val="bottom"/>
          </w:tcPr>
          <w:p>
            <w:pPr>
              <w:jc w:val="center"/>
              <w:ind w:right="1356"/>
              <w:spacing w:after="0"/>
              <w:rPr>
                <w:sz w:val="20"/>
                <w:szCs w:val="20"/>
                <w:color w:val="auto"/>
              </w:rPr>
            </w:pPr>
            <w:r>
              <w:rPr>
                <w:rFonts w:ascii="Arial" w:cs="Arial" w:eastAsia="Arial" w:hAnsi="Arial"/>
                <w:sz w:val="18"/>
                <w:szCs w:val="18"/>
                <w:color w:val="auto"/>
                <w:w w:val="91"/>
              </w:rPr>
              <w:t>Director</w:t>
            </w:r>
          </w:p>
        </w:tc>
        <w:tc>
          <w:tcPr>
            <w:tcW w:w="2740" w:type="dxa"/>
            <w:vAlign w:val="bottom"/>
          </w:tcPr>
          <w:p>
            <w:pPr>
              <w:jc w:val="center"/>
              <w:ind w:left="1356"/>
              <w:spacing w:after="0"/>
              <w:rPr>
                <w:sz w:val="20"/>
                <w:szCs w:val="20"/>
                <w:color w:val="auto"/>
              </w:rPr>
            </w:pPr>
            <w:r>
              <w:rPr>
                <w:rFonts w:ascii="Arial" w:cs="Arial" w:eastAsia="Arial" w:hAnsi="Arial"/>
                <w:sz w:val="18"/>
                <w:szCs w:val="18"/>
                <w:color w:val="auto"/>
                <w:w w:val="88"/>
              </w:rPr>
              <w:t>February 23, 2012</w:t>
            </w:r>
          </w:p>
        </w:tc>
      </w:tr>
      <w:tr>
        <w:trPr>
          <w:trHeight w:val="675"/>
        </w:trPr>
        <w:tc>
          <w:tcPr>
            <w:tcW w:w="2020" w:type="dxa"/>
            <w:vAlign w:val="bottom"/>
          </w:tcPr>
          <w:p>
            <w:pPr>
              <w:jc w:val="center"/>
              <w:ind w:right="1356"/>
              <w:spacing w:after="0"/>
              <w:rPr>
                <w:sz w:val="20"/>
                <w:szCs w:val="20"/>
                <w:color w:val="auto"/>
              </w:rPr>
            </w:pPr>
            <w:r>
              <w:rPr>
                <w:rFonts w:ascii="Arial" w:cs="Arial" w:eastAsia="Arial" w:hAnsi="Arial"/>
                <w:sz w:val="18"/>
                <w:szCs w:val="18"/>
                <w:color w:val="auto"/>
                <w:w w:val="91"/>
              </w:rPr>
              <w:t>Director</w:t>
            </w:r>
          </w:p>
        </w:tc>
        <w:tc>
          <w:tcPr>
            <w:tcW w:w="2740" w:type="dxa"/>
            <w:vAlign w:val="bottom"/>
          </w:tcPr>
          <w:p>
            <w:pPr>
              <w:jc w:val="center"/>
              <w:ind w:left="1356"/>
              <w:spacing w:after="0"/>
              <w:rPr>
                <w:sz w:val="20"/>
                <w:szCs w:val="20"/>
                <w:color w:val="auto"/>
              </w:rPr>
            </w:pPr>
            <w:r>
              <w:rPr>
                <w:rFonts w:ascii="Arial" w:cs="Arial" w:eastAsia="Arial" w:hAnsi="Arial"/>
                <w:sz w:val="18"/>
                <w:szCs w:val="18"/>
                <w:color w:val="auto"/>
                <w:w w:val="88"/>
              </w:rPr>
              <w:t>February 23,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-2193290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4740" w:space="720"/>
            <w:col w:w="4760"/>
          </w:cols>
          <w:pgMar w:left="1240" w:top="275"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10400" w:type="dxa"/>
            <w:vAlign w:val="bottom"/>
            <w:gridSpan w:val="3"/>
          </w:tcPr>
          <w:p>
            <w:pPr>
              <w:ind w:left="4580"/>
              <w:spacing w:after="0"/>
              <w:rPr>
                <w:sz w:val="20"/>
                <w:szCs w:val="20"/>
                <w:color w:val="auto"/>
              </w:rPr>
            </w:pPr>
            <w:r>
              <w:rPr>
                <w:rFonts w:ascii="Arial" w:cs="Arial" w:eastAsia="Arial" w:hAnsi="Arial"/>
                <w:sz w:val="18"/>
                <w:szCs w:val="18"/>
                <w:color w:val="auto"/>
              </w:rPr>
              <w:t>EXHIBIT INDEX</w:t>
            </w:r>
          </w:p>
        </w:tc>
      </w:tr>
      <w:tr>
        <w:trPr>
          <w:trHeight w:val="342"/>
        </w:trPr>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5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59"/>
        </w:trPr>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5180" w:type="dxa"/>
            <w:vAlign w:val="bottom"/>
          </w:tcPr>
          <w:p>
            <w:pPr>
              <w:spacing w:after="0"/>
              <w:rPr>
                <w:sz w:val="13"/>
                <w:szCs w:val="13"/>
                <w:color w:val="auto"/>
              </w:rPr>
            </w:pPr>
          </w:p>
        </w:tc>
        <w:tc>
          <w:tcPr>
            <w:tcW w:w="112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91"/>
              </w:rPr>
              <w:t>Exhibit Description</w:t>
            </w:r>
          </w:p>
        </w:tc>
        <w:tc>
          <w:tcPr>
            <w:tcW w:w="4100" w:type="dxa"/>
            <w:vAlign w:val="bottom"/>
          </w:tcPr>
          <w:p>
            <w:pPr>
              <w:spacing w:after="0"/>
              <w:rPr>
                <w:sz w:val="13"/>
                <w:szCs w:val="13"/>
                <w:color w:val="auto"/>
              </w:rPr>
            </w:pPr>
          </w:p>
        </w:tc>
      </w:tr>
      <w:tr>
        <w:trPr>
          <w:trHeight w:val="316"/>
        </w:trPr>
        <w:tc>
          <w:tcPr>
            <w:tcW w:w="480" w:type="dxa"/>
            <w:vAlign w:val="bottom"/>
          </w:tcPr>
          <w:p>
            <w:pPr>
              <w:jc w:val="right"/>
              <w:ind w:right="77"/>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rPr>
              <w:t>5.2</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23.1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23.2</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Consent of Pepper Hamilton LLP (contained in Exhibits 5.1 and 5.2)</w:t>
            </w:r>
          </w:p>
        </w:tc>
      </w:tr>
      <w:tr>
        <w:trPr>
          <w:trHeight w:val="324"/>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24.1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Power of Attorney (contained in the signature pages hereto)</w:t>
            </w:r>
          </w:p>
        </w:tc>
      </w:tr>
      <w:tr>
        <w:trPr>
          <w:trHeight w:val="318"/>
        </w:trPr>
        <w:tc>
          <w:tcPr>
            <w:tcW w:w="480" w:type="dxa"/>
            <w:vAlign w:val="bottom"/>
          </w:tcPr>
          <w:p>
            <w:pPr>
              <w:jc w:val="right"/>
              <w:ind w:right="77"/>
              <w:spacing w:after="0"/>
              <w:rPr>
                <w:sz w:val="20"/>
                <w:szCs w:val="20"/>
                <w:color w:val="auto"/>
              </w:rPr>
            </w:pPr>
            <w:r>
              <w:rPr>
                <w:rFonts w:ascii="Arial" w:cs="Arial" w:eastAsia="Arial" w:hAnsi="Arial"/>
                <w:sz w:val="18"/>
                <w:szCs w:val="18"/>
                <w:color w:val="auto"/>
                <w:w w:val="85"/>
              </w:rPr>
              <w:t>99.1</w:t>
            </w: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w w:val="87"/>
              </w:rPr>
              <w:t>Comcast Corporation 2005 Deferred Compensation Plan, as amended and restated effective February 22, 2011 (incorporated by reference to</w:t>
            </w:r>
          </w:p>
        </w:tc>
      </w:tr>
      <w:tr>
        <w:trPr>
          <w:trHeight w:val="222"/>
        </w:trPr>
        <w:tc>
          <w:tcPr>
            <w:tcW w:w="480" w:type="dxa"/>
            <w:vAlign w:val="bottom"/>
          </w:tcPr>
          <w:p>
            <w:pPr>
              <w:spacing w:after="0"/>
              <w:rPr>
                <w:sz w:val="19"/>
                <w:szCs w:val="19"/>
                <w:color w:val="auto"/>
              </w:rPr>
            </w:pPr>
          </w:p>
        </w:tc>
        <w:tc>
          <w:tcPr>
            <w:tcW w:w="10400" w:type="dxa"/>
            <w:vAlign w:val="bottom"/>
            <w:gridSpan w:val="3"/>
          </w:tcPr>
          <w:p>
            <w:pPr>
              <w:ind w:left="560"/>
              <w:spacing w:after="0"/>
              <w:rPr>
                <w:sz w:val="20"/>
                <w:szCs w:val="20"/>
                <w:color w:val="auto"/>
              </w:rPr>
            </w:pPr>
            <w:r>
              <w:rPr>
                <w:rFonts w:ascii="Arial" w:cs="Arial" w:eastAsia="Arial" w:hAnsi="Arial"/>
                <w:sz w:val="18"/>
                <w:szCs w:val="18"/>
                <w:color w:val="auto"/>
              </w:rPr>
              <w:t>Exhibit 10.6 to our Quarterly Report on Form 10-Q for the quarter ended March 31, 2011)</w:t>
            </w:r>
          </w:p>
        </w:tc>
      </w:tr>
    </w:tbl>
    <w:p>
      <w:pPr>
        <w:ind w:left="560"/>
        <w:spacing w:after="0"/>
        <w:rPr>
          <w:sz w:val="20"/>
          <w:szCs w:val="20"/>
          <w:color w:val="auto"/>
        </w:rPr>
        <w:sectPr>
          <w:pgSz w:w="11900" w:h="16838" w:orient="portrait"/>
          <w:cols w:equalWidth="0" w:num="1">
            <w:col w:w="10880"/>
          </w:cols>
          <w:pgMar w:left="240" w:top="280" w:right="7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PEPPER HAMILTON LLP]</w:t>
      </w:r>
    </w:p>
    <w:p>
      <w:pPr>
        <w:spacing w:after="0" w:line="171"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February 21,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Registration Statement relates to $500,000,000 of obligations (“Deferred Compensation Obligations”) which may be incurred by the Company pursuant to the Comcast Corporation 2005 Deferred Compensation Plan (the “Plan”).</w:t>
      </w:r>
    </w:p>
    <w:p>
      <w:pPr>
        <w:spacing w:after="0" w:line="132"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set forth below,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Based on the foregoing, it is our opinion that the Deferred Compensation Obligations incurred by the Company in accordance with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 affecting creditors’ rights 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20"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1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PEPPER HAMILTON LLP]</w:t>
      </w:r>
    </w:p>
    <w:p>
      <w:pPr>
        <w:spacing w:after="0" w:line="171"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February 21,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PA19103-2838</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Comcast Corporation 2005 Deferred Compensation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60" w:firstLine="913"/>
        <w:spacing w:after="0" w:line="298" w:lineRule="auto"/>
        <w:rPr>
          <w:sz w:val="20"/>
          <w:szCs w:val="20"/>
          <w:color w:val="auto"/>
        </w:rPr>
      </w:pPr>
      <w:r>
        <w:rPr>
          <w:rFonts w:ascii="Arial" w:cs="Arial" w:eastAsia="Arial" w:hAnsi="Arial"/>
          <w:sz w:val="16"/>
          <w:szCs w:val="16"/>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13"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3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has been duly adopted by the Company, and (2) the Plan is, and at all times since it was adopted by the Company has been, maintained primarily for the purpose of providing the opportunity to defer the receipt of compensation to non-employee directors and a select group of management or highly compensated employees.</w:t>
      </w:r>
    </w:p>
    <w:p>
      <w:pPr>
        <w:spacing w:after="0" w:line="12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143"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4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pacing w:after="0" w:line="132"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4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22, 2012,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1"/>
    </w:lvl>
    <w:lvl w:ilvl="1">
      <w:lvlJc w:val="left"/>
      <w:lvlText w:val="(%2)"/>
      <w:numFmt w:val="decimal"/>
      <w:start w:val="1"/>
    </w:lvl>
  </w:abstractNum>
  <w:abstractNum w:abstractNumId="2">
    <w:nsid w:val="625558EC"/>
    <w:multiLevelType w:val="hybridMultilevel"/>
    <w:lvl w:ilvl="0">
      <w:lvlJc w:val="left"/>
      <w:lvlText w:val="(%1)"/>
      <w:numFmt w:val="lowerRoman"/>
      <w:start w:val="1"/>
    </w:lvl>
    <w:lvl w:ilvl="1">
      <w:lvlJc w:val="left"/>
      <w:lvlText w:val="%2"/>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2019-12-09T14:42:43Z</dcterms:created>
  <dcterms:modified xsi:type="dcterms:W3CDTF">2019-12-09T14:42:43Z</dcterms:modified>
</cp:coreProperties>
</file>