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AS FILED WITH THE SECURITIES AND EXCHANGE COMMISSION ON AUGUST 11, 1994</w:t>
      </w:r>
    </w:p>
    <w:p>
      <w:pPr>
        <w:spacing w:after="0" w:line="24"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2"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4"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WASHINGTON, D.C. 20549</w:t>
      </w:r>
    </w:p>
    <w:p>
      <w:pPr>
        <w:spacing w:after="0" w:line="140"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SCHEDULE 13E-3</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Rule 13e-3 Transaction Statement (Pursuant to Section</w:t>
      </w:r>
    </w:p>
    <w:p>
      <w:pPr>
        <w:spacing w:after="0" w:line="2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13(e) of the Securities Exchange Act of 1934)</w:t>
      </w:r>
    </w:p>
    <w:p>
      <w:pPr>
        <w:spacing w:after="0" w:line="140"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QVC, INC.</w:t>
      </w:r>
    </w:p>
    <w:p>
      <w:pPr>
        <w:spacing w:after="0" w:line="24"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(Name of Issuer)</w:t>
      </w:r>
    </w:p>
    <w:p>
      <w:pPr>
        <w:spacing w:after="0" w:line="140"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QVC, INC.</w:t>
      </w:r>
    </w:p>
    <w:p>
      <w:pPr>
        <w:spacing w:after="0" w:line="23"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QVC PROGRAMMING HOLDINGS, INC.</w:t>
      </w:r>
    </w:p>
    <w:p>
      <w:pPr>
        <w:ind w:left="2640"/>
        <w:spacing w:after="0" w:line="237" w:lineRule="auto"/>
        <w:rPr>
          <w:sz w:val="20"/>
          <w:szCs w:val="20"/>
          <w:color w:val="auto"/>
        </w:rPr>
      </w:pPr>
      <w:r>
        <w:rPr>
          <w:rFonts w:ascii="Courier New" w:cs="Courier New" w:eastAsia="Courier New" w:hAnsi="Courier New"/>
          <w:sz w:val="15"/>
          <w:szCs w:val="15"/>
          <w:color w:val="auto"/>
        </w:rPr>
        <w:t>COMCAST CORPORATION</w:t>
      </w:r>
    </w:p>
    <w:p>
      <w:pPr>
        <w:ind w:left="2380"/>
        <w:spacing w:after="0" w:line="238" w:lineRule="auto"/>
        <w:rPr>
          <w:sz w:val="20"/>
          <w:szCs w:val="20"/>
          <w:color w:val="auto"/>
        </w:rPr>
      </w:pPr>
      <w:r>
        <w:rPr>
          <w:rFonts w:ascii="Courier New" w:cs="Courier New" w:eastAsia="Courier New" w:hAnsi="Courier New"/>
          <w:sz w:val="15"/>
          <w:szCs w:val="15"/>
          <w:color w:val="auto"/>
        </w:rPr>
        <w:t>TELE-COMMUNICATIONS, INC.</w:t>
      </w:r>
    </w:p>
    <w:p>
      <w:pPr>
        <w:ind w:left="1940"/>
        <w:spacing w:after="0"/>
        <w:rPr>
          <w:sz w:val="20"/>
          <w:szCs w:val="20"/>
          <w:color w:val="auto"/>
        </w:rPr>
      </w:pPr>
      <w:r>
        <w:rPr>
          <w:rFonts w:ascii="Courier New" w:cs="Courier New" w:eastAsia="Courier New" w:hAnsi="Courier New"/>
          <w:sz w:val="15"/>
          <w:szCs w:val="15"/>
          <w:color w:val="auto"/>
        </w:rPr>
        <w:t>(Name of Person(s) Filing Statement)</w:t>
      </w:r>
    </w:p>
    <w:p>
      <w:pPr>
        <w:spacing w:after="0" w:line="14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 $.01 PAR VALUE</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(Title of Class of Securities)</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747262 10 3</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(CUSIP Number of Class of Securities)</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05"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NEAL S. GRABELL</w:t>
      </w:r>
    </w:p>
    <w:p>
      <w:pPr>
        <w:spacing w:after="0" w:line="23" w:lineRule="exact"/>
        <w:rPr>
          <w:sz w:val="24"/>
          <w:szCs w:val="24"/>
          <w:color w:val="auto"/>
        </w:rPr>
      </w:pPr>
    </w:p>
    <w:p>
      <w:pPr>
        <w:ind w:left="980"/>
        <w:spacing w:after="0"/>
        <w:rPr>
          <w:sz w:val="20"/>
          <w:szCs w:val="20"/>
          <w:color w:val="auto"/>
        </w:rPr>
      </w:pPr>
      <w:r>
        <w:rPr>
          <w:rFonts w:ascii="Courier New" w:cs="Courier New" w:eastAsia="Courier New" w:hAnsi="Courier New"/>
          <w:sz w:val="15"/>
          <w:szCs w:val="15"/>
          <w:color w:val="auto"/>
        </w:rPr>
        <w:t>QVC, INC.</w:t>
      </w:r>
    </w:p>
    <w:p>
      <w:pPr>
        <w:ind w:left="440"/>
        <w:spacing w:after="0"/>
        <w:rPr>
          <w:sz w:val="20"/>
          <w:szCs w:val="20"/>
          <w:color w:val="auto"/>
        </w:rPr>
      </w:pPr>
      <w:r>
        <w:rPr>
          <w:rFonts w:ascii="Courier New" w:cs="Courier New" w:eastAsia="Courier New" w:hAnsi="Courier New"/>
          <w:sz w:val="14"/>
          <w:szCs w:val="14"/>
          <w:color w:val="auto"/>
        </w:rPr>
        <w:t>1365 ENTERPRISE DRIVE</w:t>
      </w:r>
    </w:p>
    <w:p>
      <w:pPr>
        <w:spacing w:after="0" w:line="10"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WEST CHESTER, PA 19380</w:t>
      </w:r>
    </w:p>
    <w:p>
      <w:pPr>
        <w:spacing w:after="0" w:line="10"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(610) 430-1000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STANLEY L. WANG</w:t>
      </w:r>
    </w:p>
    <w:p>
      <w:pPr>
        <w:spacing w:after="0" w:line="23"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COMCAST CORPORATION</w:t>
      </w:r>
    </w:p>
    <w:p>
      <w:pPr>
        <w:ind w:left="160"/>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rPr>
          <w:sz w:val="20"/>
          <w:szCs w:val="20"/>
          <w:color w:val="auto"/>
        </w:rPr>
      </w:pPr>
      <w:r>
        <w:rPr>
          <w:rFonts w:ascii="Courier New" w:cs="Courier New" w:eastAsia="Courier New" w:hAnsi="Courier New"/>
          <w:sz w:val="14"/>
          <w:szCs w:val="14"/>
          <w:color w:val="auto"/>
        </w:rPr>
        <w:t>PHILADELPHIA, PA 19102</w:t>
      </w:r>
    </w:p>
    <w:p>
      <w:pPr>
        <w:spacing w:after="0" w:line="10"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(215) 981-7510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STEPHEN M. BRETT</w:t>
      </w: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TELE-COMMUNICATIONS, INC.</w:t>
      </w:r>
    </w:p>
    <w:p>
      <w:pPr>
        <w:spacing w:after="0" w:line="8"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5619 DTC PARKWAY</w:t>
      </w:r>
    </w:p>
    <w:p>
      <w:pPr>
        <w:ind w:left="260"/>
        <w:spacing w:after="0" w:line="237" w:lineRule="auto"/>
        <w:rPr>
          <w:sz w:val="20"/>
          <w:szCs w:val="20"/>
          <w:color w:val="auto"/>
        </w:rPr>
      </w:pPr>
      <w:r>
        <w:rPr>
          <w:rFonts w:ascii="Courier New" w:cs="Courier New" w:eastAsia="Courier New" w:hAnsi="Courier New"/>
          <w:sz w:val="15"/>
          <w:szCs w:val="15"/>
          <w:color w:val="auto"/>
        </w:rPr>
        <w:t>ENGLEWOOD, CO 80111</w:t>
      </w:r>
    </w:p>
    <w:p>
      <w:pPr>
        <w:ind w:left="440"/>
        <w:spacing w:after="0"/>
        <w:rPr>
          <w:sz w:val="20"/>
          <w:szCs w:val="20"/>
          <w:color w:val="auto"/>
        </w:rPr>
      </w:pPr>
      <w:r>
        <w:rPr>
          <w:rFonts w:ascii="Courier New" w:cs="Courier New" w:eastAsia="Courier New" w:hAnsi="Courier New"/>
          <w:sz w:val="15"/>
          <w:szCs w:val="15"/>
          <w:color w:val="auto"/>
        </w:rPr>
        <w:t>(303) 267-5500</w:t>
      </w:r>
    </w:p>
    <w:p>
      <w:pPr>
        <w:spacing w:after="0" w:line="200" w:lineRule="exact"/>
        <w:rPr>
          <w:sz w:val="24"/>
          <w:szCs w:val="24"/>
          <w:color w:val="auto"/>
        </w:rPr>
      </w:pPr>
    </w:p>
    <w:p>
      <w:pPr>
        <w:sectPr>
          <w:pgSz w:w="11900" w:h="16838" w:orient="portrait"/>
          <w:cols w:equalWidth="0" w:num="3">
            <w:col w:w="2360" w:space="720"/>
            <w:col w:w="1920" w:space="700"/>
            <w:col w:w="4539"/>
          </w:cols>
          <w:pgMar w:left="220" w:top="205" w:right="1440" w:bottom="1440" w:gutter="0" w:footer="0" w:header="0"/>
          <w:type w:val="continuous"/>
        </w:sectPr>
      </w:pPr>
    </w:p>
    <w:p>
      <w:pPr>
        <w:spacing w:after="0" w:line="109"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(Name, Address and Telephone Number of Persons Authorized to Receive Notices</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Communications on Behalf of</w:t>
            </w:r>
          </w:p>
        </w:tc>
        <w:tc>
          <w:tcPr>
            <w:tcW w:w="4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Person(s) Filing Statement)</w:t>
            </w:r>
          </w:p>
        </w:tc>
      </w:tr>
      <w:tr>
        <w:trPr>
          <w:trHeight w:val="310"/>
        </w:trPr>
        <w:tc>
          <w:tcPr>
            <w:tcW w:w="5520" w:type="dxa"/>
            <w:vAlign w:val="bottom"/>
            <w:gridSpan w:val="3"/>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spacing w:after="0"/>
              <w:rPr>
                <w:sz w:val="24"/>
                <w:szCs w:val="24"/>
                <w:color w:val="auto"/>
              </w:rPr>
            </w:pPr>
          </w:p>
        </w:tc>
      </w:tr>
      <w:tr>
        <w:trPr>
          <w:trHeight w:val="336"/>
        </w:trPr>
        <w:tc>
          <w:tcPr>
            <w:tcW w:w="2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Copies</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180" w:type="dxa"/>
            <w:vAlign w:val="bottom"/>
          </w:tcPr>
          <w:p>
            <w:pPr>
              <w:spacing w:after="0"/>
              <w:rPr>
                <w:sz w:val="24"/>
                <w:szCs w:val="24"/>
                <w:color w:val="auto"/>
              </w:rPr>
            </w:pPr>
          </w:p>
        </w:tc>
      </w:tr>
      <w:tr>
        <w:trPr>
          <w:trHeight w:val="596"/>
        </w:trPr>
        <w:tc>
          <w:tcPr>
            <w:tcW w:w="28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PAMELA S. SEYMON</w:t>
            </w:r>
          </w:p>
        </w:tc>
        <w:tc>
          <w:tcPr>
            <w:tcW w:w="2720" w:type="dxa"/>
            <w:vAlign w:val="bottom"/>
            <w:gridSpan w:val="2"/>
          </w:tcPr>
          <w:p>
            <w:pPr>
              <w:jc w:val="center"/>
              <w:ind w:right="167"/>
              <w:spacing w:after="0"/>
              <w:rPr>
                <w:sz w:val="20"/>
                <w:szCs w:val="20"/>
                <w:color w:val="auto"/>
              </w:rPr>
            </w:pPr>
            <w:r>
              <w:rPr>
                <w:rFonts w:ascii="Courier New" w:cs="Courier New" w:eastAsia="Courier New" w:hAnsi="Courier New"/>
                <w:sz w:val="15"/>
                <w:szCs w:val="15"/>
                <w:color w:val="auto"/>
                <w:w w:val="97"/>
              </w:rPr>
              <w:t>DENNIS S. HERSCH</w:t>
            </w:r>
          </w:p>
        </w:tc>
        <w:tc>
          <w:tcPr>
            <w:tcW w:w="21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FREDERICK H. MCGRATH</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WACHTELL, LIPTON, ROSEN &amp; KATZ</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DAVIS</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POLK &amp; WARDWELL</w:t>
            </w:r>
          </w:p>
        </w:tc>
        <w:tc>
          <w:tcPr>
            <w:tcW w:w="2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6"/>
              </w:rPr>
              <w:t>BAKER &amp; BOTTS, L.L.P.</w:t>
            </w:r>
          </w:p>
        </w:tc>
      </w:tr>
      <w:tr>
        <w:trPr>
          <w:trHeight w:val="168"/>
        </w:trPr>
        <w:tc>
          <w:tcPr>
            <w:tcW w:w="28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51 WEST 52ND STREET</w:t>
            </w:r>
          </w:p>
        </w:tc>
        <w:tc>
          <w:tcPr>
            <w:tcW w:w="27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450 LEXINGTON AVENUE</w:t>
            </w:r>
          </w:p>
        </w:tc>
        <w:tc>
          <w:tcPr>
            <w:tcW w:w="21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885 THIRD AVENUE</w:t>
            </w:r>
          </w:p>
        </w:tc>
      </w:tr>
      <w:tr>
        <w:trPr>
          <w:trHeight w:val="168"/>
        </w:trPr>
        <w:tc>
          <w:tcPr>
            <w:tcW w:w="28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NEW YORK, NY 10019</w:t>
            </w:r>
          </w:p>
        </w:tc>
        <w:tc>
          <w:tcPr>
            <w:tcW w:w="272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NEW YORK, NY 10017</w:t>
            </w:r>
          </w:p>
        </w:tc>
        <w:tc>
          <w:tcPr>
            <w:tcW w:w="21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NEW YORK, NY 10022</w:t>
            </w:r>
          </w:p>
        </w:tc>
      </w:tr>
      <w:tr>
        <w:trPr>
          <w:trHeight w:val="245"/>
        </w:trPr>
        <w:tc>
          <w:tcPr>
            <w:tcW w:w="28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(212) 403-1000</w:t>
            </w:r>
          </w:p>
        </w:tc>
        <w:tc>
          <w:tcPr>
            <w:tcW w:w="27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TELEPHONE: (212) 450-4000</w:t>
            </w:r>
          </w:p>
        </w:tc>
        <w:tc>
          <w:tcPr>
            <w:tcW w:w="21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6"/>
              </w:rPr>
              <w:t>(212) 705-5000</w:t>
            </w:r>
          </w:p>
        </w:tc>
      </w:tr>
    </w:tbl>
    <w:p>
      <w:pPr>
        <w:spacing w:after="0" w:line="25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AUGUST 11, 1994</w:t>
      </w:r>
    </w:p>
    <w:p>
      <w:pPr>
        <w:spacing w:after="0" w:line="24"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(Date Tender Offer First Published, Sent, or Given to Securityholders)</w:t>
      </w:r>
    </w:p>
    <w:p>
      <w:pPr>
        <w:spacing w:after="0" w:line="140"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0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239" w:firstLine="437"/>
        <w:spacing w:after="0" w:line="259" w:lineRule="auto"/>
        <w:rPr>
          <w:sz w:val="20"/>
          <w:szCs w:val="20"/>
          <w:color w:val="auto"/>
        </w:rPr>
      </w:pPr>
      <w:r>
        <w:rPr>
          <w:rFonts w:ascii="Courier New" w:cs="Courier New" w:eastAsia="Courier New" w:hAnsi="Courier New"/>
          <w:sz w:val="14"/>
          <w:szCs w:val="14"/>
          <w:color w:val="auto"/>
        </w:rPr>
        <w:t>This Rule 13E-3 Transaction Statement (the "Statement") relates to a tender offer by QVC Programming Holdings, Inc., a Delaware corporation (the "Purchaser") to be wholly owned by Comcast Corporation, a Pennsylvania corporation ("Comcast") and Liberty Media Corporation, a Delaware corporation ("Liberty" and, together with Comcast the "Parent Purchasers") and a wholly-owned subsidiary of Tele-Communications, Inc. ("TCI") to purchase all outstanding shares (the "Shares") of Common Stock, $.01 par value per share (the "Common Stock") and Series B Preferred Stock and Series C Preferred Stock, each $.10 par value per share (together, the "Preferred Stock"), of QVC, Inc., a Delaware corporation (the "Company"), at $46 per share of Common Stock and $460 per share of Preferred Stock, net to the seller in cash without interest thereon, on the terms and subject to the conditions set forth in the Purchaser's Offer to Purchase dated August 11, 1994 (the "Offer to Purchase"), and the related Letter of Transmittal (which together constitute the "Offer"). The Offer is being made pursuant to an Agreement and Plan of Merger dated as of August 4, 1994 (the "Merger Agreement"), which provides, among other things, that as promptly as practicable after the satisfaction or, if permissible, waiver of the conditions set forth therein, a wholly-owned subsidiary of the Purchaser will be merged with and into the Company (the "Merger"), with the Company continuing as the surviving corporation, and outstanding Shares will be converted into rights to receive $46 (in the case of shares of Common Stock) or $460 (in the case of shares of Preferred Stock) in cash or any higher price that may be paid per share of Common Stock or Preferred Stock, as the case may be, in the Offer. Copies of the Offer to Purchase and the related Letter of Transmittal are filed by the Purchaser as Exhibits (a)(1) and (a)(2), respectively, to the Schedule 14D-1 (the "Schedule 14D-1") which was filed by the Purchaser, Comcast and TCI with the Securities and Exchange Commission (the "Commission") contemporaneously with this Statement.</w:t>
      </w:r>
    </w:p>
    <w:p>
      <w:pPr>
        <w:spacing w:after="0" w:line="257" w:lineRule="exact"/>
        <w:rPr>
          <w:sz w:val="20"/>
          <w:szCs w:val="20"/>
          <w:color w:val="auto"/>
        </w:rPr>
      </w:pPr>
    </w:p>
    <w:p>
      <w:pPr>
        <w:ind w:right="3239" w:firstLine="437"/>
        <w:spacing w:after="0" w:line="264" w:lineRule="auto"/>
        <w:rPr>
          <w:sz w:val="20"/>
          <w:szCs w:val="20"/>
          <w:color w:val="auto"/>
        </w:rPr>
      </w:pPr>
      <w:r>
        <w:rPr>
          <w:rFonts w:ascii="Courier New" w:cs="Courier New" w:eastAsia="Courier New" w:hAnsi="Courier New"/>
          <w:sz w:val="15"/>
          <w:szCs w:val="15"/>
          <w:color w:val="auto"/>
        </w:rPr>
        <w:t>This Statement is being filed jointly by the Company, the Purchaser, Comcast and TCI. By filing this Schedule 13E-3, none of the joint signatories concedes that Rule 13e-3 under the Securities Exchange Act of 1934 is applicable to the Offer, the Merger or other transactions contemplated by the Merger Agreement.</w:t>
      </w:r>
    </w:p>
    <w:p>
      <w:pPr>
        <w:sectPr>
          <w:pgSz w:w="11900" w:h="16838" w:orient="portrait"/>
          <w:cols w:equalWidth="0" w:num="1">
            <w:col w:w="10239"/>
          </w:cols>
          <w:pgMar w:left="220" w:top="26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5"/>
          <w:szCs w:val="15"/>
          <w:color w:val="auto"/>
        </w:rPr>
        <w:t>The cross reference sheet below is being supplied pursuant to General Instruction F to Schedule 13E-3 and shows the location in the Schedule 14D-1 of the information required to be included in response to the items of this Statement. The information in the Schedule 14D-1, including all Exhibits thereto, is hereby expressly incorporated herein by reference and the responses to each item in this Statement are qualified in their entirety by the information contained in the Schedule 14D-1.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140" w:type="dxa"/>
            <w:vAlign w:val="bottom"/>
          </w:tcPr>
          <w:p>
            <w:pPr>
              <w:ind w:left="2540"/>
              <w:spacing w:after="0"/>
              <w:rPr>
                <w:sz w:val="20"/>
                <w:szCs w:val="20"/>
                <w:color w:val="auto"/>
              </w:rPr>
            </w:pPr>
            <w:r>
              <w:rPr>
                <w:rFonts w:ascii="Courier New" w:cs="Courier New" w:eastAsia="Courier New" w:hAnsi="Courier New"/>
                <w:sz w:val="15"/>
                <w:szCs w:val="15"/>
                <w:color w:val="auto"/>
              </w:rPr>
              <w:t>CROSS REFERENCE SHEET</w:t>
            </w:r>
          </w:p>
        </w:tc>
        <w:tc>
          <w:tcPr>
            <w:tcW w:w="1820" w:type="dxa"/>
            <w:vAlign w:val="bottom"/>
          </w:tcPr>
          <w:p>
            <w:pPr>
              <w:spacing w:after="0"/>
              <w:rPr>
                <w:sz w:val="21"/>
                <w:szCs w:val="21"/>
                <w:color w:val="auto"/>
              </w:rPr>
            </w:pPr>
          </w:p>
        </w:tc>
      </w:tr>
      <w:tr>
        <w:trPr>
          <w:trHeight w:val="596"/>
        </w:trPr>
        <w:tc>
          <w:tcPr>
            <w:tcW w:w="6140" w:type="dxa"/>
            <w:vAlign w:val="bottom"/>
          </w:tcPr>
          <w:p>
            <w:pPr>
              <w:ind w:left="700"/>
              <w:spacing w:after="0"/>
              <w:rPr>
                <w:sz w:val="20"/>
                <w:szCs w:val="20"/>
                <w:color w:val="auto"/>
              </w:rPr>
            </w:pPr>
            <w:r>
              <w:rPr>
                <w:rFonts w:ascii="Courier New" w:cs="Courier New" w:eastAsia="Courier New" w:hAnsi="Courier New"/>
                <w:sz w:val="15"/>
                <w:szCs w:val="15"/>
                <w:color w:val="auto"/>
              </w:rPr>
              <w:t>WHERE LOCATED IN</w:t>
            </w:r>
          </w:p>
        </w:tc>
        <w:tc>
          <w:tcPr>
            <w:tcW w:w="1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WHERE LOCATED IN</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IN SCHEDULE 13E-3</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SCHEDULE 14D-1</w:t>
            </w:r>
          </w:p>
        </w:tc>
      </w:tr>
      <w:tr>
        <w:trPr>
          <w:trHeight w:val="245"/>
        </w:trPr>
        <w:tc>
          <w:tcPr>
            <w:tcW w:w="61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259"/>
        </w:trPr>
        <w:tc>
          <w:tcPr>
            <w:tcW w:w="6140" w:type="dxa"/>
            <w:vAlign w:val="bottom"/>
          </w:tcPr>
          <w:p>
            <w:pPr>
              <w:ind w:left="700"/>
              <w:spacing w:after="0"/>
              <w:rPr>
                <w:sz w:val="20"/>
                <w:szCs w:val="20"/>
                <w:color w:val="auto"/>
              </w:rPr>
            </w:pPr>
            <w:r>
              <w:rPr>
                <w:rFonts w:ascii="Courier New" w:cs="Courier New" w:eastAsia="Courier New" w:hAnsi="Courier New"/>
                <w:sz w:val="15"/>
                <w:szCs w:val="15"/>
                <w:color w:val="auto"/>
              </w:rPr>
              <w:t>Item 1(a)...................................................</w:t>
            </w:r>
          </w:p>
        </w:tc>
        <w:tc>
          <w:tcPr>
            <w:tcW w:w="1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Item 1(a)</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1(b)...................................................</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1(b)-(c)</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1(c)...................................................</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1(c)</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1(d)-(f)...............................................</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2......................................................</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2</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3(a)...................................................</w:t>
            </w:r>
          </w:p>
        </w:tc>
        <w:tc>
          <w:tcPr>
            <w:tcW w:w="1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Item 3(a)-(b)</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3(b)...................................................</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4......................................................</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5(a)-(f)...............................................</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5</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5(g)...................................................</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6(a)...................................................</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Item 4(a)</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6(b)...................................................</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6(c)...................................................</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Item 4(b)</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6(d)...................................................</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7(a)...................................................</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5</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7(b)-(d)...............................................</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8......................................................</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9......................................................</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10.....................................................</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6</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11.....................................................</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7</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12.....................................................</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13(a)..................................................</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13(b)-(c)..............................................</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14.....................................................</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15(a)..................................................</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15(b)..................................................</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 8</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16.....................................................</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Item 10(f)</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17(a)..................................................</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17(b)..................................................</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17(c)..................................................</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Item 11(c)</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17(d)..................................................</w:t>
            </w:r>
          </w:p>
        </w:tc>
        <w:tc>
          <w:tcPr>
            <w:tcW w:w="1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Item 11(a)</w:t>
            </w:r>
          </w:p>
        </w:tc>
      </w:tr>
      <w:tr>
        <w:trPr>
          <w:trHeight w:val="168"/>
        </w:trPr>
        <w:tc>
          <w:tcPr>
            <w:tcW w:w="61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Item 17(e)..................................................</w:t>
            </w:r>
          </w:p>
        </w:tc>
        <w:tc>
          <w:tcPr>
            <w:tcW w:w="1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245"/>
        </w:trPr>
        <w:tc>
          <w:tcPr>
            <w:tcW w:w="6140" w:type="dxa"/>
            <w:vAlign w:val="bottom"/>
          </w:tcPr>
          <w:p>
            <w:pPr>
              <w:ind w:left="700"/>
              <w:spacing w:after="0"/>
              <w:rPr>
                <w:sz w:val="20"/>
                <w:szCs w:val="20"/>
                <w:color w:val="auto"/>
              </w:rPr>
            </w:pPr>
            <w:r>
              <w:rPr>
                <w:rFonts w:ascii="Courier New" w:cs="Courier New" w:eastAsia="Courier New" w:hAnsi="Courier New"/>
                <w:sz w:val="15"/>
                <w:szCs w:val="15"/>
                <w:color w:val="auto"/>
              </w:rPr>
              <w:t>Item 17(f)..................................................</w:t>
            </w:r>
          </w:p>
        </w:tc>
        <w:tc>
          <w:tcPr>
            <w:tcW w:w="18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r>
      <w:tr>
        <w:trPr>
          <w:trHeight w:val="453"/>
        </w:trPr>
        <w:tc>
          <w:tcPr>
            <w:tcW w:w="6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20" w:type="dxa"/>
            <w:vAlign w:val="bottom"/>
          </w:tcPr>
          <w:p>
            <w:pPr>
              <w:spacing w:after="0"/>
              <w:rPr>
                <w:sz w:val="24"/>
                <w:szCs w:val="24"/>
                <w:color w:val="auto"/>
              </w:rPr>
            </w:pPr>
          </w:p>
        </w:tc>
      </w:tr>
    </w:tbl>
    <w:p>
      <w:pPr>
        <w:ind w:left="280" w:right="3319" w:hanging="270"/>
        <w:spacing w:after="0" w:line="307" w:lineRule="auto"/>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requested by this Item is not required to be included in the Schedule 14D-1.</w:t>
      </w:r>
    </w:p>
    <w:p>
      <w:pPr>
        <w:spacing w:after="0" w:line="43"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Item is inapplicable or the answer thereto is in the negative.</w:t>
      </w:r>
    </w:p>
    <w:p>
      <w:pPr>
        <w:sectPr>
          <w:pgSz w:w="11900" w:h="16838" w:orient="portrait"/>
          <w:cols w:equalWidth="0" w:num="1">
            <w:col w:w="10239"/>
          </w:cols>
          <w:pgMar w:left="220" w:top="26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ISSUER AND CLASS OF SECURITIES SUBJECT TO THE TRANSACTION.</w:t>
      </w:r>
    </w:p>
    <w:p>
      <w:pPr>
        <w:spacing w:after="0" w:line="166" w:lineRule="exact"/>
        <w:rPr>
          <w:sz w:val="20"/>
          <w:szCs w:val="20"/>
          <w:color w:val="auto"/>
        </w:rPr>
      </w:pPr>
    </w:p>
    <w:p>
      <w:pPr>
        <w:ind w:right="3239" w:firstLine="447"/>
        <w:spacing w:after="0" w:line="344"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1(a) of the Schedule 14D-1 is incorporated herein by reference.</w:t>
      </w:r>
    </w:p>
    <w:p>
      <w:pPr>
        <w:spacing w:after="0" w:line="17" w:lineRule="exact"/>
        <w:rPr>
          <w:rFonts w:ascii="Courier New" w:cs="Courier New" w:eastAsia="Courier New" w:hAnsi="Courier New"/>
          <w:sz w:val="15"/>
          <w:szCs w:val="15"/>
          <w:color w:val="auto"/>
        </w:rPr>
      </w:pPr>
    </w:p>
    <w:p>
      <w:pPr>
        <w:ind w:right="4199" w:firstLine="447"/>
        <w:spacing w:after="0" w:line="344"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answers to Items 1(b) and 1(c) of the Schedule 14D-1 are incorporated herein by reference.</w:t>
      </w:r>
    </w:p>
    <w:p>
      <w:pPr>
        <w:spacing w:after="0" w:line="17" w:lineRule="exact"/>
        <w:rPr>
          <w:rFonts w:ascii="Courier New" w:cs="Courier New" w:eastAsia="Courier New" w:hAnsi="Courier New"/>
          <w:sz w:val="15"/>
          <w:szCs w:val="15"/>
          <w:color w:val="auto"/>
        </w:rPr>
      </w:pPr>
    </w:p>
    <w:p>
      <w:pPr>
        <w:ind w:right="3239" w:firstLine="447"/>
        <w:spacing w:after="0" w:line="344" w:lineRule="auto"/>
        <w:tabs>
          <w:tab w:leader="none" w:pos="7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1(c) of the Schedule 14D-1 is incorporated herein by reference.</w:t>
      </w:r>
    </w:p>
    <w:p>
      <w:pPr>
        <w:spacing w:after="0" w:line="17" w:lineRule="exact"/>
        <w:rPr>
          <w:sz w:val="20"/>
          <w:szCs w:val="20"/>
          <w:color w:val="auto"/>
        </w:rPr>
      </w:pPr>
    </w:p>
    <w:p>
      <w:pPr>
        <w:ind w:right="3239" w:firstLine="437"/>
        <w:spacing w:after="0" w:line="320" w:lineRule="auto"/>
        <w:rPr>
          <w:sz w:val="20"/>
          <w:szCs w:val="20"/>
          <w:color w:val="auto"/>
        </w:rPr>
      </w:pPr>
      <w:r>
        <w:rPr>
          <w:rFonts w:ascii="Courier New" w:cs="Courier New" w:eastAsia="Courier New" w:hAnsi="Courier New"/>
          <w:sz w:val="14"/>
          <w:szCs w:val="14"/>
          <w:color w:val="auto"/>
        </w:rPr>
        <w:t>(d)-(e) The information set forth under "Special Factors -- Interests of Certain Persons in the Transaction", "The Tender Offer -- 5. Price Range of Shares; Dividends" in the Offer to Purchase is incorporated herein by reference.</w:t>
      </w:r>
    </w:p>
    <w:p>
      <w:pPr>
        <w:spacing w:after="0" w:line="38" w:lineRule="exact"/>
        <w:rPr>
          <w:sz w:val="20"/>
          <w:szCs w:val="20"/>
          <w:color w:val="auto"/>
        </w:rPr>
      </w:pPr>
    </w:p>
    <w:p>
      <w:pPr>
        <w:ind w:right="3579" w:firstLine="447"/>
        <w:spacing w:after="0" w:line="290" w:lineRule="auto"/>
        <w:tabs>
          <w:tab w:leader="none" w:pos="7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"Special Factors -- Interests of Certain Persons in the Transaction" in the Offer to Purchase is incorporated herein by reference.</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IDENTITY AND BACKGROUND.</w:t>
      </w:r>
    </w:p>
    <w:p>
      <w:pPr>
        <w:spacing w:after="0" w:line="166" w:lineRule="exact"/>
        <w:rPr>
          <w:sz w:val="20"/>
          <w:szCs w:val="20"/>
          <w:color w:val="auto"/>
        </w:rPr>
      </w:pPr>
    </w:p>
    <w:p>
      <w:pPr>
        <w:ind w:right="3399" w:firstLine="437"/>
        <w:spacing w:after="0" w:line="320" w:lineRule="auto"/>
        <w:rPr>
          <w:sz w:val="20"/>
          <w:szCs w:val="20"/>
          <w:color w:val="auto"/>
        </w:rPr>
      </w:pPr>
      <w:r>
        <w:rPr>
          <w:rFonts w:ascii="Courier New" w:cs="Courier New" w:eastAsia="Courier New" w:hAnsi="Courier New"/>
          <w:sz w:val="14"/>
          <w:szCs w:val="14"/>
          <w:color w:val="auto"/>
        </w:rPr>
        <w:t>The answer to Item 2 of the Schedule 14D-1 is incorporated herein by reference. One of the persons filing this statement is the issuer of the class of equity securities which is the subject of the Rule 13e-3 transaction.</w:t>
      </w:r>
    </w:p>
    <w:p>
      <w:pPr>
        <w:spacing w:after="0" w:line="3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PAST CONTACTS, TRANSACTIONS OR NEGOTIATIONS.</w:t>
      </w:r>
    </w:p>
    <w:p>
      <w:pPr>
        <w:spacing w:after="0" w:line="166" w:lineRule="exact"/>
        <w:rPr>
          <w:sz w:val="20"/>
          <w:szCs w:val="20"/>
          <w:color w:val="auto"/>
        </w:rPr>
      </w:pPr>
    </w:p>
    <w:p>
      <w:pPr>
        <w:ind w:right="3759" w:firstLine="447"/>
        <w:spacing w:after="0" w:line="344" w:lineRule="auto"/>
        <w:tabs>
          <w:tab w:leader="none" w:pos="7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3(a)-(b) of the Schedule 14D-1 is incorporated herein by reference.</w:t>
      </w:r>
    </w:p>
    <w:p>
      <w:pPr>
        <w:spacing w:after="0" w:line="1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"Introduction", "Special</w:t>
      </w:r>
    </w:p>
    <w:p>
      <w:pPr>
        <w:spacing w:after="0" w:line="24" w:lineRule="exact"/>
        <w:rPr>
          <w:sz w:val="20"/>
          <w:szCs w:val="20"/>
          <w:color w:val="auto"/>
        </w:rPr>
      </w:pPr>
    </w:p>
    <w:p>
      <w:pPr>
        <w:jc w:val="both"/>
        <w:ind w:right="3319"/>
        <w:spacing w:after="0" w:line="300" w:lineRule="auto"/>
        <w:rPr>
          <w:sz w:val="20"/>
          <w:szCs w:val="20"/>
          <w:color w:val="auto"/>
        </w:rPr>
      </w:pPr>
      <w:r>
        <w:rPr>
          <w:rFonts w:ascii="Courier New" w:cs="Courier New" w:eastAsia="Courier New" w:hAnsi="Courier New"/>
          <w:sz w:val="14"/>
          <w:szCs w:val="14"/>
          <w:color w:val="auto"/>
        </w:rPr>
        <w:t>Factors -- Background of the Transaction", "-- Purpose of the Transaction" and "The Tender Offer -- 7. Certain Information Concerning the Purchaser and Parent Purchasers" in the Offer to Purchase is incorporated herein by reference.</w:t>
      </w:r>
    </w:p>
    <w:p>
      <w:pPr>
        <w:spacing w:after="0" w:line="5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66" w:lineRule="exact"/>
        <w:rPr>
          <w:sz w:val="20"/>
          <w:szCs w:val="20"/>
          <w:color w:val="auto"/>
        </w:rPr>
      </w:pPr>
    </w:p>
    <w:p>
      <w:pPr>
        <w:ind w:right="3239" w:firstLine="447"/>
        <w:spacing w:after="0" w:line="255" w:lineRule="auto"/>
        <w:tabs>
          <w:tab w:leader="none" w:pos="7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"Introduction", "Special Factors -- The Merger Agreement", "-- The Merger Agreement", "-- Dissenters Rights",</w:t>
      </w:r>
    </w:p>
    <w:p>
      <w:pPr>
        <w:spacing w:after="0" w:line="1" w:lineRule="exact"/>
        <w:rPr>
          <w:rFonts w:ascii="Courier New" w:cs="Courier New" w:eastAsia="Courier New" w:hAnsi="Courier New"/>
          <w:sz w:val="15"/>
          <w:szCs w:val="15"/>
          <w:color w:val="auto"/>
        </w:rPr>
      </w:pPr>
    </w:p>
    <w:p>
      <w:pPr>
        <w:ind w:right="3399"/>
        <w:spacing w:after="0" w:line="28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 Certain Effects of the Transaction", "The Tender Offer -- 1. Terms of the Offer", "-- 2. Acceptance for Payment and Payment", "-- 3. Procedure for Tendering Shares", "-- 4. Withdrawal Rights" and "-- 10. Certain Conditions of the Offer" in the Offer to Purchase is incorporated herein by reference.</w:t>
      </w:r>
    </w:p>
    <w:p>
      <w:pPr>
        <w:spacing w:after="0" w:line="61"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"Introduction", "Special</w:t>
      </w:r>
    </w:p>
    <w:tbl>
      <w:tblPr>
        <w:tblLayout w:type="fixed"/>
        <w:tblInd w:w="0" w:type="dxa"/>
        <w:tblCellMar>
          <w:top w:w="0" w:type="dxa"/>
          <w:left w:w="0" w:type="dxa"/>
          <w:bottom w:w="0" w:type="dxa"/>
          <w:right w:w="0" w:type="dxa"/>
        </w:tblCellMar>
      </w:tblPr>
      <w:tr>
        <w:trPr>
          <w:trHeight w:val="166"/>
        </w:trPr>
        <w:tc>
          <w:tcPr>
            <w:tcW w:w="920" w:type="dxa"/>
            <w:vAlign w:val="bottom"/>
            <w:gridSpan w:val="2"/>
          </w:tcPr>
          <w:p>
            <w:pPr>
              <w:spacing w:after="0" w:line="167" w:lineRule="exact"/>
              <w:rPr>
                <w:sz w:val="20"/>
                <w:szCs w:val="20"/>
                <w:color w:val="auto"/>
              </w:rPr>
            </w:pPr>
            <w:r>
              <w:rPr>
                <w:rFonts w:ascii="Courier New" w:cs="Courier New" w:eastAsia="Courier New" w:hAnsi="Courier New"/>
                <w:sz w:val="15"/>
                <w:szCs w:val="15"/>
                <w:color w:val="auto"/>
                <w:w w:val="99"/>
              </w:rPr>
              <w:t>Factors --</w:t>
            </w:r>
          </w:p>
        </w:tc>
        <w:tc>
          <w:tcPr>
            <w:tcW w:w="1180" w:type="dxa"/>
            <w:vAlign w:val="bottom"/>
          </w:tcPr>
          <w:p>
            <w:pPr>
              <w:ind w:left="60"/>
              <w:spacing w:after="0" w:line="167" w:lineRule="exact"/>
              <w:rPr>
                <w:sz w:val="20"/>
                <w:szCs w:val="20"/>
                <w:color w:val="auto"/>
              </w:rPr>
            </w:pPr>
            <w:r>
              <w:rPr>
                <w:rFonts w:ascii="Courier New" w:cs="Courier New" w:eastAsia="Courier New" w:hAnsi="Courier New"/>
                <w:sz w:val="15"/>
                <w:szCs w:val="15"/>
                <w:color w:val="auto"/>
                <w:w w:val="93"/>
              </w:rPr>
              <w:t>Background of</w:t>
            </w:r>
          </w:p>
        </w:tc>
        <w:tc>
          <w:tcPr>
            <w:tcW w:w="1760" w:type="dxa"/>
            <w:vAlign w:val="bottom"/>
            <w:gridSpan w:val="3"/>
          </w:tcPr>
          <w:p>
            <w:pPr>
              <w:jc w:val="right"/>
              <w:spacing w:after="0" w:line="167" w:lineRule="exact"/>
              <w:rPr>
                <w:sz w:val="20"/>
                <w:szCs w:val="20"/>
                <w:color w:val="auto"/>
              </w:rPr>
            </w:pPr>
            <w:r>
              <w:rPr>
                <w:rFonts w:ascii="Courier New" w:cs="Courier New" w:eastAsia="Courier New" w:hAnsi="Courier New"/>
                <w:sz w:val="15"/>
                <w:szCs w:val="15"/>
                <w:color w:val="auto"/>
              </w:rPr>
              <w:t>the Transaction", "</w:t>
            </w:r>
          </w:p>
        </w:tc>
        <w:tc>
          <w:tcPr>
            <w:tcW w:w="3140" w:type="dxa"/>
            <w:vAlign w:val="bottom"/>
            <w:gridSpan w:val="2"/>
          </w:tcPr>
          <w:p>
            <w:pPr>
              <w:spacing w:after="0" w:line="167" w:lineRule="exact"/>
              <w:rPr>
                <w:sz w:val="20"/>
                <w:szCs w:val="20"/>
                <w:color w:val="auto"/>
              </w:rPr>
            </w:pPr>
            <w:r>
              <w:rPr>
                <w:rFonts w:ascii="Courier New" w:cs="Courier New" w:eastAsia="Courier New" w:hAnsi="Courier New"/>
                <w:sz w:val="15"/>
                <w:szCs w:val="15"/>
                <w:color w:val="auto"/>
              </w:rPr>
              <w:t>-- Fairness of the Transaction",</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Interests of Certain</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Persons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the Transaction", "--</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The Merger Agreement",</w:t>
            </w:r>
          </w:p>
        </w:tc>
      </w:tr>
      <w:tr>
        <w:trPr>
          <w:trHeight w:val="168"/>
        </w:trPr>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Dissenters Rights",</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Certain</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Tax Consequences" and</w:t>
            </w:r>
          </w:p>
        </w:tc>
        <w:tc>
          <w:tcPr>
            <w:tcW w:w="1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 Certain Effects of</w:t>
            </w:r>
          </w:p>
        </w:tc>
      </w:tr>
      <w:tr>
        <w:trPr>
          <w:trHeight w:val="245"/>
        </w:trPr>
        <w:tc>
          <w:tcPr>
            <w:tcW w:w="32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Transaction" in the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Offer to</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Purchase is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incorporated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herein by reference.</w:t>
            </w:r>
          </w:p>
        </w:tc>
      </w:tr>
    </w:tbl>
    <w:p>
      <w:pPr>
        <w:spacing w:after="0" w:line="9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PLANS OR PROPOSALS OF THE ISSUER OR AFFILIATE.</w:t>
      </w:r>
    </w:p>
    <w:p>
      <w:pPr>
        <w:spacing w:after="0" w:line="166" w:lineRule="exact"/>
        <w:rPr>
          <w:sz w:val="20"/>
          <w:szCs w:val="20"/>
          <w:color w:val="auto"/>
        </w:rPr>
      </w:pPr>
    </w:p>
    <w:p>
      <w:pPr>
        <w:ind w:right="3399" w:firstLine="437"/>
        <w:spacing w:after="0" w:line="344" w:lineRule="auto"/>
        <w:rPr>
          <w:sz w:val="20"/>
          <w:szCs w:val="20"/>
          <w:color w:val="auto"/>
        </w:rPr>
      </w:pPr>
      <w:r>
        <w:rPr>
          <w:rFonts w:ascii="Courier New" w:cs="Courier New" w:eastAsia="Courier New" w:hAnsi="Courier New"/>
          <w:sz w:val="15"/>
          <w:szCs w:val="15"/>
          <w:color w:val="auto"/>
        </w:rPr>
        <w:t>(a)-(g) The answer to Item 5 of the Schedule 14D-1 is incorporated herein by reference.</w:t>
      </w:r>
    </w:p>
    <w:p>
      <w:pPr>
        <w:spacing w:after="0" w:line="1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SOURCE AND AMOUNT OF FUNDS OR OTHER CONSIDERATION.</w:t>
      </w:r>
    </w:p>
    <w:p>
      <w:pPr>
        <w:spacing w:after="0" w:line="166" w:lineRule="exact"/>
        <w:rPr>
          <w:sz w:val="20"/>
          <w:szCs w:val="20"/>
          <w:color w:val="auto"/>
        </w:rPr>
      </w:pPr>
    </w:p>
    <w:p>
      <w:pPr>
        <w:ind w:right="3759" w:firstLine="447"/>
        <w:spacing w:after="0" w:line="344" w:lineRule="auto"/>
        <w:tabs>
          <w:tab w:leader="none" w:pos="7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4(a)-(b) of the Schedule 14D-1 is incorporated herein by reference.</w:t>
      </w:r>
    </w:p>
    <w:p>
      <w:pPr>
        <w:spacing w:after="0" w:line="17" w:lineRule="exact"/>
        <w:rPr>
          <w:rFonts w:ascii="Courier New" w:cs="Courier New" w:eastAsia="Courier New" w:hAnsi="Courier New"/>
          <w:sz w:val="15"/>
          <w:szCs w:val="15"/>
          <w:color w:val="auto"/>
        </w:rPr>
      </w:pPr>
    </w:p>
    <w:p>
      <w:pPr>
        <w:ind w:right="3759" w:firstLine="447"/>
        <w:spacing w:after="0" w:line="381" w:lineRule="auto"/>
        <w:tabs>
          <w:tab w:leader="none" w:pos="78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set forth under "The Tender Offer -- 12. Fees and Expenses" in the Offer to Purchase is incorporated herein by reference.</w:t>
      </w:r>
    </w:p>
    <w:p>
      <w:pPr>
        <w:spacing w:after="0" w:line="1" w:lineRule="exact"/>
        <w:rPr>
          <w:rFonts w:ascii="Courier New" w:cs="Courier New" w:eastAsia="Courier New" w:hAnsi="Courier New"/>
          <w:sz w:val="14"/>
          <w:szCs w:val="14"/>
          <w:color w:val="auto"/>
        </w:rPr>
      </w:pPr>
    </w:p>
    <w:p>
      <w:pPr>
        <w:ind w:right="3759" w:firstLine="447"/>
        <w:spacing w:after="0" w:line="344" w:lineRule="auto"/>
        <w:tabs>
          <w:tab w:leader="none" w:pos="7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4(a)-(b) of the Schedule 14D-1 is incorporated herein by reference.</w:t>
      </w:r>
    </w:p>
    <w:p>
      <w:pPr>
        <w:spacing w:after="0" w:line="1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PURPOSES, ALTERNATIVES, REASONS AND EFFECTS.</w:t>
      </w:r>
    </w:p>
    <w:p>
      <w:pPr>
        <w:spacing w:after="0" w:line="166" w:lineRule="exact"/>
        <w:rPr>
          <w:sz w:val="20"/>
          <w:szCs w:val="20"/>
          <w:color w:val="auto"/>
        </w:rPr>
      </w:pPr>
    </w:p>
    <w:p>
      <w:pPr>
        <w:ind w:right="3499" w:firstLine="447"/>
        <w:spacing w:after="0" w:line="344" w:lineRule="auto"/>
        <w:tabs>
          <w:tab w:leader="none" w:pos="78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5 of the Schedule 14D-1 is incorporated herein by reference.</w:t>
      </w:r>
    </w:p>
    <w:p>
      <w:pPr>
        <w:spacing w:after="0" w:line="1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(b)-(c) The information set forth under "Special Factors -- Background of the Transaction" and "-- Purpose of the Transaction" in the Offer to Purchase is incorporated herein by reference.</w:t>
      </w:r>
    </w:p>
    <w:p>
      <w:pPr>
        <w:spacing w:after="0" w:line="57" w:lineRule="exact"/>
        <w:rPr>
          <w:sz w:val="20"/>
          <w:szCs w:val="20"/>
          <w:color w:val="auto"/>
        </w:rPr>
      </w:pPr>
    </w:p>
    <w:p>
      <w:pPr>
        <w:ind w:right="3839" w:firstLine="447"/>
        <w:spacing w:after="0" w:line="290" w:lineRule="auto"/>
        <w:tabs>
          <w:tab w:leader="none" w:pos="7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"Special Factors -- Certain Tax Consequences" and "-- Certain Effects of the Transaction" in the Offer to Purchase is incorporated herein by reference.</w:t>
      </w:r>
    </w:p>
    <w:p>
      <w:pPr>
        <w:spacing w:after="0" w:line="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FAIRNESS OF THE TRANSACTION.</w:t>
      </w:r>
    </w:p>
    <w:p>
      <w:pPr>
        <w:spacing w:after="0" w:line="166" w:lineRule="exact"/>
        <w:rPr>
          <w:sz w:val="20"/>
          <w:szCs w:val="20"/>
          <w:color w:val="auto"/>
        </w:rPr>
      </w:pPr>
    </w:p>
    <w:p>
      <w:pPr>
        <w:jc w:val="both"/>
        <w:ind w:right="3239" w:firstLine="437"/>
        <w:spacing w:after="0" w:line="290" w:lineRule="auto"/>
        <w:rPr>
          <w:sz w:val="20"/>
          <w:szCs w:val="20"/>
          <w:color w:val="auto"/>
        </w:rPr>
      </w:pPr>
      <w:r>
        <w:rPr>
          <w:rFonts w:ascii="Courier New" w:cs="Courier New" w:eastAsia="Courier New" w:hAnsi="Courier New"/>
          <w:sz w:val="15"/>
          <w:szCs w:val="15"/>
          <w:color w:val="auto"/>
        </w:rPr>
        <w:t>(a)-(b) The information set forth under "Special Factors -- Fairness of the Transaction" and "-- Opinions and Reports of Financial Advisors" in the Offer to Purchase is incorporated herein by reference.</w:t>
      </w:r>
    </w:p>
    <w:p>
      <w:pPr>
        <w:spacing w:after="0" w:line="57"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(c)-(d) The information set forth under "Introduction" and "Special Factors -- Fairness of the Transaction" in the Offer to Purchase is incorporated herein by reference.</w:t>
      </w:r>
    </w:p>
    <w:p>
      <w:pPr>
        <w:spacing w:after="0" w:line="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 The information set forth under "Introduction" and "Special</w:t>
      </w:r>
    </w:p>
    <w:p>
      <w:pPr>
        <w:spacing w:after="0" w:line="24" w:lineRule="exact"/>
        <w:rPr>
          <w:sz w:val="20"/>
          <w:szCs w:val="20"/>
          <w:color w:val="auto"/>
        </w:rPr>
      </w:pPr>
    </w:p>
    <w:p>
      <w:pPr>
        <w:ind w:right="3239"/>
        <w:spacing w:after="0" w:line="307" w:lineRule="auto"/>
        <w:rPr>
          <w:sz w:val="20"/>
          <w:szCs w:val="20"/>
          <w:color w:val="auto"/>
        </w:rPr>
      </w:pPr>
      <w:r>
        <w:rPr>
          <w:rFonts w:ascii="Courier New" w:cs="Courier New" w:eastAsia="Courier New" w:hAnsi="Courier New"/>
          <w:sz w:val="15"/>
          <w:szCs w:val="15"/>
          <w:color w:val="auto"/>
        </w:rPr>
        <w:t>Factors -- Fairness of the Transaction" in the Offer to Purchase is incorporated herein by reference.</w:t>
      </w:r>
    </w:p>
    <w:p>
      <w:pPr>
        <w:spacing w:after="0" w:line="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 Not applicable.</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REPORTS, OPINIONS, APPRAISALS AND CERTAIN NEGOTIATIONS.</w:t>
      </w:r>
    </w:p>
    <w:p>
      <w:pPr>
        <w:spacing w:after="0" w:line="166" w:lineRule="exact"/>
        <w:rPr>
          <w:sz w:val="20"/>
          <w:szCs w:val="20"/>
          <w:color w:val="auto"/>
        </w:rPr>
      </w:pPr>
    </w:p>
    <w:p>
      <w:pPr>
        <w:jc w:val="both"/>
        <w:ind w:right="3319" w:firstLine="437"/>
        <w:spacing w:after="0" w:line="273" w:lineRule="auto"/>
        <w:rPr>
          <w:sz w:val="20"/>
          <w:szCs w:val="20"/>
          <w:color w:val="auto"/>
        </w:rPr>
      </w:pPr>
      <w:r>
        <w:rPr>
          <w:rFonts w:ascii="Courier New" w:cs="Courier New" w:eastAsia="Courier New" w:hAnsi="Courier New"/>
          <w:sz w:val="15"/>
          <w:szCs w:val="15"/>
          <w:color w:val="auto"/>
        </w:rPr>
        <w:t>(a)-(c) The information set forth under "Special Factors -- Background of the Transaction", "-- Fairness of the Transaction", "-- Opinions and Reports of Financial Advisors" and "-- Interests of Certain Persons in the Transaction" in the Offer to Purchase is incorporated herein by reference.</w:t>
      </w:r>
    </w:p>
    <w:p>
      <w:pPr>
        <w:spacing w:after="0" w:line="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INTEREST IN SECURITIES OF THE ISSUER.</w:t>
      </w:r>
    </w:p>
    <w:p>
      <w:pPr>
        <w:spacing w:after="0" w:line="166"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(a)-(b) The answer to Item 6 of the Schedule 14D-1 is incorporated herein by reference. The information set forth under "The Tender Offer -- 6. Certain Information Concerning the Company" in, and in Schedule I to, the Offer to Purchase is also incorporated herein by reference.</w:t>
      </w:r>
    </w:p>
    <w:p>
      <w:pPr>
        <w:spacing w:after="0" w:line="68"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ITEM 11. CONTRACTS, ARRANGEMENTS OR UNDERSTANDINGS WITH RESPECT TO THE ISSUER'S SECURITIES.</w:t>
      </w:r>
    </w:p>
    <w:p>
      <w:pPr>
        <w:spacing w:after="0" w:line="17" w:lineRule="exact"/>
        <w:rPr>
          <w:sz w:val="20"/>
          <w:szCs w:val="20"/>
          <w:color w:val="auto"/>
        </w:rPr>
      </w:pPr>
    </w:p>
    <w:p>
      <w:pPr>
        <w:ind w:right="3839" w:firstLine="437"/>
        <w:spacing w:after="0" w:line="344" w:lineRule="auto"/>
        <w:rPr>
          <w:sz w:val="20"/>
          <w:szCs w:val="20"/>
          <w:color w:val="auto"/>
        </w:rPr>
      </w:pPr>
      <w:r>
        <w:rPr>
          <w:rFonts w:ascii="Courier New" w:cs="Courier New" w:eastAsia="Courier New" w:hAnsi="Courier New"/>
          <w:sz w:val="15"/>
          <w:szCs w:val="15"/>
          <w:color w:val="auto"/>
        </w:rPr>
        <w:t>The answer to Item 7 of the Schedule 14D-1 is incorporated herein by reference.</w:t>
      </w:r>
    </w:p>
    <w:p>
      <w:pPr>
        <w:spacing w:after="0" w:line="17" w:lineRule="exact"/>
        <w:rPr>
          <w:sz w:val="20"/>
          <w:szCs w:val="20"/>
          <w:color w:val="auto"/>
        </w:rPr>
      </w:pPr>
    </w:p>
    <w:p>
      <w:pPr>
        <w:ind w:right="3239"/>
        <w:spacing w:after="0" w:line="344" w:lineRule="auto"/>
        <w:rPr>
          <w:sz w:val="20"/>
          <w:szCs w:val="20"/>
          <w:color w:val="auto"/>
        </w:rPr>
      </w:pPr>
      <w:r>
        <w:rPr>
          <w:rFonts w:ascii="Courier New" w:cs="Courier New" w:eastAsia="Courier New" w:hAnsi="Courier New"/>
          <w:sz w:val="15"/>
          <w:szCs w:val="15"/>
          <w:color w:val="auto"/>
        </w:rPr>
        <w:t>ITEM 12. PRESENT INTENTION AND RECOMMENDATION OF CERTAIN PERSONS WITH REGARD TO THE TRANSACTION.</w:t>
      </w:r>
    </w:p>
    <w:p>
      <w:pPr>
        <w:spacing w:after="0" w:line="17" w:lineRule="exact"/>
        <w:rPr>
          <w:sz w:val="20"/>
          <w:szCs w:val="20"/>
          <w:color w:val="auto"/>
        </w:rPr>
      </w:pPr>
    </w:p>
    <w:p>
      <w:pPr>
        <w:ind w:right="3679" w:firstLine="447"/>
        <w:spacing w:after="0" w:line="290" w:lineRule="auto"/>
        <w:tabs>
          <w:tab w:leader="none" w:pos="78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 Introduction" and "Special Factors -- Interests of Certain Persons in the Transaction" in the Offer to Purchase is incorporated herein by reference.</w:t>
      </w:r>
    </w:p>
    <w:p>
      <w:pPr>
        <w:spacing w:after="0" w:line="5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"Introduction", "Special</w:t>
      </w:r>
    </w:p>
    <w:p>
      <w:pPr>
        <w:spacing w:after="0" w:line="24" w:lineRule="exact"/>
        <w:rPr>
          <w:sz w:val="20"/>
          <w:szCs w:val="20"/>
          <w:color w:val="auto"/>
        </w:rPr>
      </w:pPr>
    </w:p>
    <w:p>
      <w:pPr>
        <w:ind w:right="4019"/>
        <w:spacing w:after="0" w:line="272" w:lineRule="auto"/>
        <w:rPr>
          <w:sz w:val="20"/>
          <w:szCs w:val="20"/>
          <w:color w:val="auto"/>
        </w:rPr>
      </w:pPr>
      <w:r>
        <w:rPr>
          <w:rFonts w:ascii="Courier New" w:cs="Courier New" w:eastAsia="Courier New" w:hAnsi="Courier New"/>
          <w:sz w:val="15"/>
          <w:szCs w:val="15"/>
          <w:color w:val="auto"/>
        </w:rPr>
        <w:t>Factors -- Fairness of the Transaction" and "-- Opinions and Reports of Financial Advisors" in the Offer to Purchase is incorporated herein by reference.</w:t>
      </w:r>
    </w:p>
    <w:p>
      <w:pPr>
        <w:spacing w:after="0" w:line="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PROVISIONS OF THE TRANSACTION.</w:t>
      </w:r>
    </w:p>
    <w:p>
      <w:pPr>
        <w:spacing w:after="0" w:line="166" w:lineRule="exact"/>
        <w:rPr>
          <w:sz w:val="20"/>
          <w:szCs w:val="20"/>
          <w:color w:val="auto"/>
        </w:rPr>
      </w:pPr>
    </w:p>
    <w:p>
      <w:pPr>
        <w:ind w:right="3319" w:firstLine="447"/>
        <w:spacing w:after="0" w:line="344" w:lineRule="auto"/>
        <w:tabs>
          <w:tab w:leader="none" w:pos="78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"Special Factors -- Dissenters Rights" in the Offer to Purchase is incorporated herein by reference.</w:t>
      </w:r>
    </w:p>
    <w:p>
      <w:pPr>
        <w:spacing w:after="0" w:line="1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ind w:right="3239" w:firstLine="437"/>
        <w:spacing w:after="0" w:line="290" w:lineRule="auto"/>
        <w:rPr>
          <w:sz w:val="20"/>
          <w:szCs w:val="20"/>
          <w:color w:val="auto"/>
        </w:rPr>
      </w:pPr>
      <w:r>
        <w:rPr>
          <w:rFonts w:ascii="Courier New" w:cs="Courier New" w:eastAsia="Courier New" w:hAnsi="Courier New"/>
          <w:sz w:val="15"/>
          <w:szCs w:val="15"/>
          <w:color w:val="auto"/>
        </w:rPr>
        <w:t>The information set forth under "The Tender Offer -- 6. Certain Information Concerning the Company" in, and in Annex C to, the Offer to Purchase is incorporated herein by reference.</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6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PERSONS AND ASSETS EMPLOYED, RETAINED OR UTILIZED.</w:t>
      </w:r>
    </w:p>
    <w:p>
      <w:pPr>
        <w:spacing w:after="0" w:line="166" w:lineRule="exact"/>
        <w:rPr>
          <w:sz w:val="20"/>
          <w:szCs w:val="20"/>
          <w:color w:val="auto"/>
        </w:rPr>
      </w:pPr>
    </w:p>
    <w:p>
      <w:pPr>
        <w:ind w:right="3579" w:firstLine="447"/>
        <w:spacing w:after="0" w:line="290"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under "Special Factors -- Plans for the Company After the Merger" in the Offer to Purchase is incorporated herein by reference.</w:t>
      </w:r>
    </w:p>
    <w:p>
      <w:pPr>
        <w:spacing w:after="0" w:line="56" w:lineRule="exact"/>
        <w:rPr>
          <w:rFonts w:ascii="Courier New" w:cs="Courier New" w:eastAsia="Courier New" w:hAnsi="Courier New"/>
          <w:sz w:val="15"/>
          <w:szCs w:val="15"/>
          <w:color w:val="auto"/>
        </w:rPr>
      </w:pPr>
    </w:p>
    <w:p>
      <w:pPr>
        <w:ind w:right="3499" w:firstLine="447"/>
        <w:spacing w:after="0" w:line="344" w:lineRule="auto"/>
        <w:tabs>
          <w:tab w:leader="none" w:pos="78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answer to Item 8 of the Schedule 14D-1 is incorporated herein by reference.</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ADDITIONAL INFORMATION.</w:t>
      </w:r>
    </w:p>
    <w:p>
      <w:pPr>
        <w:spacing w:after="0" w:line="166" w:lineRule="exact"/>
        <w:rPr>
          <w:sz w:val="20"/>
          <w:szCs w:val="20"/>
          <w:color w:val="auto"/>
        </w:rPr>
      </w:pPr>
    </w:p>
    <w:p>
      <w:pPr>
        <w:ind w:right="3499" w:firstLine="437"/>
        <w:spacing w:after="0" w:line="344" w:lineRule="auto"/>
        <w:rPr>
          <w:sz w:val="20"/>
          <w:szCs w:val="20"/>
          <w:color w:val="auto"/>
        </w:rPr>
      </w:pPr>
      <w:r>
        <w:rPr>
          <w:rFonts w:ascii="Courier New" w:cs="Courier New" w:eastAsia="Courier New" w:hAnsi="Courier New"/>
          <w:sz w:val="15"/>
          <w:szCs w:val="15"/>
          <w:color w:val="auto"/>
        </w:rPr>
        <w:t>The answer to Item 10(f) of the Schedule 14D-1 is incorporated herein by reference.</w:t>
      </w:r>
    </w:p>
    <w:p>
      <w:pPr>
        <w:spacing w:after="0" w:line="1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MATERIAL TO BE FILED AS EXHIBITS.</w:t>
      </w:r>
    </w:p>
    <w:p>
      <w:pPr>
        <w:spacing w:after="0" w:line="200" w:lineRule="exact"/>
        <w:rPr>
          <w:sz w:val="20"/>
          <w:szCs w:val="20"/>
          <w:color w:val="auto"/>
        </w:rPr>
      </w:pPr>
    </w:p>
    <w:p>
      <w:pPr>
        <w:spacing w:after="0" w:line="303" w:lineRule="exact"/>
        <w:rPr>
          <w:sz w:val="20"/>
          <w:szCs w:val="20"/>
          <w:color w:val="auto"/>
        </w:rPr>
      </w:pPr>
    </w:p>
    <w:p>
      <w:pPr>
        <w:ind w:left="1240" w:hanging="880"/>
        <w:spacing w:after="0"/>
        <w:tabs>
          <w:tab w:leader="none" w:pos="12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 applicable.</w:t>
      </w:r>
    </w:p>
    <w:tbl>
      <w:tblPr>
        <w:tblLayout w:type="fixed"/>
        <w:tblInd w:w="360" w:type="dxa"/>
        <w:tblCellMar>
          <w:top w:w="0" w:type="dxa"/>
          <w:left w:w="0" w:type="dxa"/>
          <w:bottom w:w="0" w:type="dxa"/>
          <w:right w:w="0" w:type="dxa"/>
        </w:tblCellMar>
      </w:tblPr>
      <w:tr>
        <w:trPr>
          <w:trHeight w:val="166"/>
        </w:trPr>
        <w:tc>
          <w:tcPr>
            <w:tcW w:w="700" w:type="dxa"/>
            <w:vAlign w:val="bottom"/>
          </w:tcPr>
          <w:p>
            <w:pPr>
              <w:spacing w:after="0" w:line="167" w:lineRule="exact"/>
              <w:rPr>
                <w:sz w:val="20"/>
                <w:szCs w:val="20"/>
                <w:color w:val="auto"/>
              </w:rPr>
            </w:pPr>
            <w:r>
              <w:rPr>
                <w:rFonts w:ascii="Courier New" w:cs="Courier New" w:eastAsia="Courier New" w:hAnsi="Courier New"/>
                <w:sz w:val="15"/>
                <w:szCs w:val="15"/>
                <w:color w:val="auto"/>
              </w:rPr>
              <w:t>(b)(1)</w:t>
            </w:r>
          </w:p>
        </w:tc>
        <w:tc>
          <w:tcPr>
            <w:tcW w:w="7260" w:type="dxa"/>
            <w:vAlign w:val="bottom"/>
          </w:tcPr>
          <w:p>
            <w:pPr>
              <w:ind w:left="180"/>
              <w:spacing w:after="0" w:line="167" w:lineRule="exact"/>
              <w:rPr>
                <w:sz w:val="20"/>
                <w:szCs w:val="20"/>
                <w:color w:val="auto"/>
              </w:rPr>
            </w:pPr>
            <w:r>
              <w:rPr>
                <w:rFonts w:ascii="Courier New" w:cs="Courier New" w:eastAsia="Courier New" w:hAnsi="Courier New"/>
                <w:sz w:val="15"/>
                <w:szCs w:val="15"/>
                <w:color w:val="auto"/>
              </w:rPr>
              <w:t>--   Report of Lazard Freres &amp; Co. dated July 12, 1994.</w:t>
            </w: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(b)(2)</w:t>
            </w: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Opinion of Lazard Freres &amp; Co. dated July 12, 1994.</w:t>
            </w: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(b)(3)</w:t>
            </w: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Opinion of Lazard Freres &amp; Co. dated August 4, 1994.</w:t>
            </w: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(b)(4)</w:t>
            </w: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   Opinion of Allen &amp; Company Incorporated dated August 4, 1994 (set forth as</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(b)(5)</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Annex A to the Offer to Purchase).</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Report of Allen &amp; Company Incorporated dated August 4, 1994.</w:t>
            </w:r>
          </w:p>
        </w:tc>
        <w:tc>
          <w:tcPr>
            <w:tcW w:w="0" w:type="dxa"/>
            <w:vAlign w:val="bottom"/>
          </w:tcPr>
          <w:p>
            <w:pPr>
              <w:spacing w:after="0"/>
              <w:rPr>
                <w:sz w:val="1"/>
                <w:szCs w:val="1"/>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(c)(1)</w:t>
            </w: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Joint Filing Agreement pursuant to Rule 13d-1(f), dated December 1, 1992</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between Comcast Corporation and Liberty Media Corporation (Incorporated by</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reference to Exhibit 1 to the Schedule 13D filed by Comcast Corporation and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Liberty Media Corporation, in respect of Common Stock of the Company, dated</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(c)(2)</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December 2, 1992)</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Participation Agreement, dated as of December 1, 1992 among Comcast</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Corporation, Comcast Financial Corporation, Comcast Cable Communications,</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 Comcast Cablevision of Maryland Limited Partnership, Comcast Cable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Investors L.P., Comcast Cablevision of Indiana L.P., Liberty Media</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Corporation and Liberty Program Investments, Inc. (Incorporated by reference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 Exhibit 2 to the Schedule 13D filed by Comcast Corporation and Liberty</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Media Corporation, in respect of Common Stock of the Company, dated December</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(c)(3)</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2, 1992)</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   Joint Filing Agreement pursuant to Rule 13d-1(f), dated December 15, 1992,</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among Comcast Corporation, Liberty Media Corporation and Barry Diller</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3 to Amendment No. 1 to the Schedule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13D filed by Comcast Corporation and Liberty Media Corporation and the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original Schedule 13D filed by Barry Diller, in respect of Common Stock of</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(c)(4)</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Company, dated December 15, 1992)</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Summary Term Sheet, dated December 9, 1992, agreed to in principle by</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Comcast Corporation, Liberty Media Corporation and Barry Diller</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7 to Amendment No. 1 to the Schedule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13D filed by Comcast Corporation and Liberty Media Corporation and the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original Schedule 13D filed by Barry Diller, in respect of Common Stock of</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(c)(5)</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the Company, dated December 15, 1992)</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   Stock Purchase Agreement, dated December 9, 1992, between Barry Diller and</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Liberty Media Corporation (Incorporated by reference to Exhibit 8 to</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Amendment No. 1 to the Schedule 13D filed by Comcast Corporation and Liberty</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Media Corporation and the original Schedule 13D filed by Barry Diller, in</w:t>
            </w:r>
          </w:p>
        </w:tc>
        <w:tc>
          <w:tcPr>
            <w:tcW w:w="0" w:type="dxa"/>
            <w:vAlign w:val="bottom"/>
          </w:tcPr>
          <w:p>
            <w:pPr>
              <w:spacing w:after="0"/>
              <w:rPr>
                <w:sz w:val="1"/>
                <w:szCs w:val="1"/>
                <w:color w:val="auto"/>
              </w:rPr>
            </w:pPr>
          </w:p>
        </w:tc>
      </w:tr>
      <w:tr>
        <w:trPr>
          <w:trHeight w:val="168"/>
        </w:trPr>
        <w:tc>
          <w:tcPr>
            <w:tcW w:w="700" w:type="dxa"/>
            <w:vAlign w:val="bottom"/>
            <w:vMerge w:val="restart"/>
          </w:tcPr>
          <w:p>
            <w:pPr>
              <w:spacing w:after="0"/>
              <w:rPr>
                <w:sz w:val="20"/>
                <w:szCs w:val="20"/>
                <w:color w:val="auto"/>
              </w:rPr>
            </w:pPr>
            <w:r>
              <w:rPr>
                <w:rFonts w:ascii="Courier New" w:cs="Courier New" w:eastAsia="Courier New" w:hAnsi="Courier New"/>
                <w:sz w:val="15"/>
                <w:szCs w:val="15"/>
                <w:color w:val="auto"/>
              </w:rPr>
              <w:t>(c)(6)</w:t>
            </w: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respect of Common Stock of the Company, dated December 15, 1992)</w:t>
            </w: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7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Letter, dated December 23, 1992, from William F. Costello, Executive Vice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President and Chief Financial Officer of the Company, to Peter R. Barton,</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6"/>
              </w:rPr>
              <w:t>President of Liberty Program Investments, Inc. (Incorporated by reference to</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Exhibit 9 to Amendment No. 2 to the Schedule 13D filed by Comcast</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1 to Schedule</w:t>
            </w: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2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8"/>
              </w:rPr>
              <w:t>13D filed by Barry Diller, in respect of Common Stock of the Company, dated</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7260" w:type="dxa"/>
            <w:vAlign w:val="bottom"/>
          </w:tcPr>
          <w:p>
            <w:pPr>
              <w:ind w:left="620"/>
              <w:spacing w:after="0"/>
              <w:rPr>
                <w:sz w:val="20"/>
                <w:szCs w:val="20"/>
                <w:color w:val="auto"/>
              </w:rPr>
            </w:pPr>
            <w:r>
              <w:rPr>
                <w:rFonts w:ascii="Courier New" w:cs="Courier New" w:eastAsia="Courier New" w:hAnsi="Courier New"/>
                <w:sz w:val="15"/>
                <w:szCs w:val="15"/>
                <w:color w:val="auto"/>
              </w:rPr>
              <w:t>January 7, 1993)</w:t>
            </w:r>
          </w:p>
        </w:tc>
        <w:tc>
          <w:tcPr>
            <w:tcW w:w="0" w:type="dxa"/>
            <w:vAlign w:val="bottom"/>
          </w:tcPr>
          <w:p>
            <w:pPr>
              <w:spacing w:after="0"/>
              <w:rPr>
                <w:sz w:val="1"/>
                <w:szCs w:val="1"/>
                <w:color w:val="auto"/>
              </w:rPr>
            </w:pPr>
          </w:p>
        </w:tc>
      </w:tr>
      <w:tr>
        <w:trPr>
          <w:trHeight w:val="505"/>
        </w:trPr>
        <w:tc>
          <w:tcPr>
            <w:tcW w:w="700" w:type="dxa"/>
            <w:vAlign w:val="bottom"/>
          </w:tcPr>
          <w:p>
            <w:pPr>
              <w:spacing w:after="0"/>
              <w:rPr>
                <w:sz w:val="24"/>
                <w:szCs w:val="24"/>
                <w:color w:val="auto"/>
              </w:rPr>
            </w:pPr>
          </w:p>
        </w:tc>
        <w:tc>
          <w:tcPr>
            <w:tcW w:w="7260" w:type="dxa"/>
            <w:vAlign w:val="bottom"/>
          </w:tcPr>
          <w:p>
            <w:pPr>
              <w:ind w:left="244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(c)(7)</w:t>
            </w:r>
          </w:p>
        </w:tc>
        <w:tc>
          <w:tcPr>
            <w:tcW w:w="7220" w:type="dxa"/>
            <w:vAlign w:val="bottom"/>
          </w:tcPr>
          <w:p>
            <w:pPr>
              <w:ind w:left="140"/>
              <w:spacing w:after="0"/>
              <w:rPr>
                <w:sz w:val="20"/>
                <w:szCs w:val="20"/>
                <w:color w:val="auto"/>
              </w:rPr>
            </w:pPr>
            <w:r>
              <w:rPr>
                <w:rFonts w:ascii="Courier New" w:cs="Courier New" w:eastAsia="Courier New" w:hAnsi="Courier New"/>
                <w:sz w:val="15"/>
                <w:szCs w:val="15"/>
                <w:color w:val="auto"/>
              </w:rPr>
              <w:t>--   Letter, dated December 23, 1992, from William F. Costello, Executive Vice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President and Chief Financial Officer of the Company, to Peter R. Barton,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President of Liberty (Incorporated by reference to Exhibit 10 to Amendment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No. 2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1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(c)(8)</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January 7,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   Letter, dated December 28, 1992, from Neal S. Grabell, Senior Vice President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and General Counsel of the Company, to Vivian Carr, Assistant Secretary of</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Liberty (Incorporated by reference to Exhibit 11 to Amendment No. 2 to the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Schedule 13D filed by Comcast Corporation and Liberty Media Corporation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Amendment No. 1 to Schedule 13D filed by Barry Diller, in respect of Common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(c)(9)</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Stock of the Company, dated January 7,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   Letter, dated July 12, 1993, from Liberty Media Corporation to the Board of</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Directors of the Company (Incorporated by reference to Exhibit 14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Amendment No. 3 to the Schedule 13D filed by Comcast Corporation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Media Corporation and Amendment No. 2 to Schedule 13D filed by Barry Diller,</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(c)(10)</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respect of Common Stock of the Company, dated July 19,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   Equity Compensation Agreement dated as of December 9, 1992 by and among the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Company, Diller and Arrow (Incorporated by reference to Exhibit 15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Amendment No. 3 to the Schedule 13D filed by Comcast Corporation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Media Corporation and Amendment No. 2 to Schedule 13D filed by Barry Diller,</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(c)(11)</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respect of Common Stock of the Company, dated July 19,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Stockholders Agreement, dated July 16, 1993, among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Comcast Corporation, Barry Diller and certain affiliates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subsidiaries of such parties (Incorporated by reference to Exhibit 16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Amendment No. 3 to the Schedule 13D filed by Comcast Corporation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Media Corporation and Amendment No. 2 to Schedule 13D filed by Barry Diller,</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(c)(12)</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respect of Common Stock of the Company, dated July 19,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Preliminary term sheet for Series E Cumulative Convertible Exchangeable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Preferred Stock (Incorporated by reference to Exhibit 19 to Amendment No. 4</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3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(c)(13)</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September 21,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Letter agreement dated October 15, 1993, among QVC Network, Inc.,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Corporation, Liberty Media Corporation, Advance Publications, Inc. and Cox</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Enterprises, Inc. (Incorporated by reference to Exhibit 20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6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5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(c)(14)</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October 18,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   Agreement dated October 15, 1993, among Comcast Corporation,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Corporation, Barry Diller, Advance Publications, Inc. and Cox Enterprises,</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Inc. (Incorporated by reference to Exhibit 21 to Amendment No. 6 to the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Schedule 13D filed by Comcast Corporation and Liberty Media Corporation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Amendment No. 5 to Schedule 13D filed by Barry Diller, in respect of Common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(c)(15)</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Stock of the Company, dated October 18,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   Term Sheet for Convertible Exchangeable Preferred Stock of QVC Network, Inc.</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7220" w:type="dxa"/>
            <w:vAlign w:val="bottom"/>
          </w:tcPr>
          <w:p>
            <w:pPr>
              <w:ind w:left="580"/>
              <w:spacing w:after="0"/>
              <w:rPr>
                <w:sz w:val="20"/>
                <w:szCs w:val="20"/>
                <w:color w:val="auto"/>
              </w:rPr>
            </w:pPr>
            <w:r>
              <w:rPr>
                <w:rFonts w:ascii="Courier New" w:cs="Courier New" w:eastAsia="Courier New" w:hAnsi="Courier New"/>
                <w:sz w:val="15"/>
                <w:szCs w:val="15"/>
                <w:color w:val="auto"/>
                <w:w w:val="98"/>
              </w:rPr>
              <w:t>(Incorporated by reference to Exhibit 22 to Amendment No. 6 to the Schedule</w:t>
            </w:r>
          </w:p>
        </w:tc>
        <w:tc>
          <w:tcPr>
            <w:tcW w:w="0" w:type="dxa"/>
            <w:vAlign w:val="bottom"/>
          </w:tcPr>
          <w:p>
            <w:pPr>
              <w:spacing w:after="0"/>
              <w:rPr>
                <w:sz w:val="1"/>
                <w:szCs w:val="1"/>
                <w:color w:val="auto"/>
              </w:rPr>
            </w:pPr>
          </w:p>
        </w:tc>
      </w:tr>
    </w:tbl>
    <w:p>
      <w:pPr>
        <w:ind w:left="1400" w:right="1919"/>
        <w:spacing w:after="0" w:line="272" w:lineRule="auto"/>
        <w:rPr>
          <w:sz w:val="20"/>
          <w:szCs w:val="20"/>
          <w:color w:val="auto"/>
        </w:rPr>
      </w:pPr>
      <w:r>
        <w:rPr>
          <w:rFonts w:ascii="Courier New" w:cs="Courier New" w:eastAsia="Courier New" w:hAnsi="Courier New"/>
          <w:sz w:val="15"/>
          <w:szCs w:val="15"/>
          <w:color w:val="auto"/>
        </w:rPr>
        <w:t>13D filed by Comcast Corporation and Liberty Media Corporation and Amendment No. 5 to Schedule 13D filed by Barry Diller, in respect of Common Stock of the Company, dated October 18, 1993)</w:t>
      </w:r>
    </w:p>
    <w:p>
      <w:pPr>
        <w:spacing w:after="0" w:line="23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(c)(16)</w:t>
            </w:r>
          </w:p>
        </w:tc>
        <w:tc>
          <w:tcPr>
            <w:tcW w:w="7220" w:type="dxa"/>
            <w:vAlign w:val="bottom"/>
          </w:tcPr>
          <w:p>
            <w:pPr>
              <w:ind w:left="140"/>
              <w:spacing w:after="0"/>
              <w:rPr>
                <w:sz w:val="20"/>
                <w:szCs w:val="20"/>
                <w:color w:val="auto"/>
              </w:rPr>
            </w:pPr>
            <w:r>
              <w:rPr>
                <w:rFonts w:ascii="Courier New" w:cs="Courier New" w:eastAsia="Courier New" w:hAnsi="Courier New"/>
                <w:sz w:val="15"/>
                <w:szCs w:val="15"/>
                <w:color w:val="auto"/>
              </w:rPr>
              <w:t>--   Letter dated November 11, 1993, from QVC Network, Inc. to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Advance Publications, Inc. and Cox Enterprises, Inc.</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24 to Amendment No. 7 to the Schedule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13D filed by Comcast Corporation and Liberty Media Corporation and Amendment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No. 6 to Schedule 13D filed by Barry Diller, in respect of Common Stock of</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(c)(17)</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the Company, dated 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Agreement dated November 11, 1993, between QVC Network, Inc.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Media Corporation (Incorporated by reference to Exhibit 25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6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(c)(18)</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Memorandum of Understanding dated November 11, 1993, between BellSouth</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Corporation and QVC Network, Inc. (Incorporated by reference to Exhibit 26</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to Amendment No. 7 to the Schedule 13D filed by Comcast Corporation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Liberty Media Corporation and Amendment No. 6 to Schedule 13D filed by Barry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Diller, in respect of the Common Stock of the Company, dated November 16,</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(c)(19)</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Understanding Among Stockholders dated November 11, 1993, among BellSouth</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Comcast Corporation, Liberty Media Corporation and Arrow</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Investments, L.P. (Incorporated by reference to Exhibit 27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6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(c)(20)</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Agreement Among Stockholders dated November 11, 1993, among BellSouth</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Comcast Corporation, Arrow Investments, L.P., Advance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Publications, Inc. and Cox Enterprises, Inc. (Incorporated by reference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Exhibit 28 to Amendment No. 7 to the Schedule 13D filed by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6 to Schedule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13D filed by Barry Diller, in respect of Common Stock of the Company, dated</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(c)(21)</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   Agreement containing Consent Order dated November 11, 1993, among the Bureau</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of Competition of the Federal Trade Commission, Tele-Communications, Inc.</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and Liberty Media Corporation (Incorporated by reference to Exhibit 33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Amendment No. 7 to the Schedule 13D filed by Comcast Corporation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Media Corporation and Amendment No. 6 to Schedule 13D filed by Barry Diller,</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(c)(22)</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respect of Common Stock of the Company, dated 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Interim Agreement dated November 11, 1993, among the Federal Trade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Commission, Tele-Communications, Inc. and Liberty Media Corporation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34 to Amendment No. 7 to the Schedule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13D filed by Comcast Corporation and Liberty Media Corporation and Amendment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No. 6 to Schedule 13D filed by Barry Diller, in respect of Common Stock of</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(c)(23)</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the Company, dated November 16,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   Voting Agreement dated December 22, 1993 by BellSouth Corporation,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Cox Enterprises, Inc., Advance Publications, Inc., and Arrow</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Investments, L.P. (Incorporated by reference to Exhibit 35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8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7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(c)(24)</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December 29, 1993)</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Letter Agreement dated as of December 20, 1993 among QVC Network, Inc.,</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Comcast Corporation, Cox Enterprises, Inc., Advance Publications, Inc.,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BellSouth Corporation (Incorporated by reference to Exhibit 36 to Amendment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No. 8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7 to Schedule 13D filed by Barry Diller, in</w:t>
            </w:r>
          </w:p>
        </w:tc>
        <w:tc>
          <w:tcPr>
            <w:tcW w:w="0" w:type="dxa"/>
            <w:vAlign w:val="bottom"/>
          </w:tcPr>
          <w:p>
            <w:pPr>
              <w:spacing w:after="0"/>
              <w:rPr>
                <w:sz w:val="1"/>
                <w:szCs w:val="1"/>
                <w:color w:val="auto"/>
              </w:rPr>
            </w:pPr>
          </w:p>
        </w:tc>
      </w:tr>
      <w:tr>
        <w:trPr>
          <w:trHeight w:val="245"/>
        </w:trPr>
        <w:tc>
          <w:tcPr>
            <w:tcW w:w="740" w:type="dxa"/>
            <w:vAlign w:val="bottom"/>
          </w:tcPr>
          <w:p>
            <w:pPr>
              <w:spacing w:after="0"/>
              <w:rPr>
                <w:sz w:val="21"/>
                <w:szCs w:val="21"/>
                <w:color w:val="auto"/>
              </w:rPr>
            </w:pPr>
          </w:p>
        </w:tc>
        <w:tc>
          <w:tcPr>
            <w:tcW w:w="7220" w:type="dxa"/>
            <w:vAlign w:val="bottom"/>
          </w:tcPr>
          <w:p>
            <w:pPr>
              <w:ind w:left="580"/>
              <w:spacing w:after="0"/>
              <w:rPr>
                <w:sz w:val="20"/>
                <w:szCs w:val="20"/>
                <w:color w:val="auto"/>
              </w:rPr>
            </w:pPr>
            <w:r>
              <w:rPr>
                <w:rFonts w:ascii="Courier New" w:cs="Courier New" w:eastAsia="Courier New" w:hAnsi="Courier New"/>
                <w:sz w:val="15"/>
                <w:szCs w:val="15"/>
                <w:color w:val="auto"/>
              </w:rPr>
              <w:t>respect of Common Stock of the Company, dated December 29, 1993)</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7220" w:type="dxa"/>
            <w:vAlign w:val="bottom"/>
          </w:tcPr>
          <w:p>
            <w:pPr>
              <w:ind w:left="2400"/>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bl>
    <w:p>
      <w:pPr>
        <w:sectPr>
          <w:pgSz w:w="11900" w:h="16838" w:orient="portrait"/>
          <w:cols w:equalWidth="0" w:num="1">
            <w:col w:w="9959"/>
          </w:cols>
          <w:pgMar w:left="500" w:top="26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(c)(25)</w:t>
            </w:r>
          </w:p>
        </w:tc>
        <w:tc>
          <w:tcPr>
            <w:tcW w:w="7220" w:type="dxa"/>
            <w:vAlign w:val="bottom"/>
          </w:tcPr>
          <w:p>
            <w:pPr>
              <w:ind w:left="140"/>
              <w:spacing w:after="0"/>
              <w:rPr>
                <w:sz w:val="20"/>
                <w:szCs w:val="20"/>
                <w:color w:val="auto"/>
              </w:rPr>
            </w:pPr>
            <w:r>
              <w:rPr>
                <w:rFonts w:ascii="Courier New" w:cs="Courier New" w:eastAsia="Courier New" w:hAnsi="Courier New"/>
                <w:sz w:val="15"/>
                <w:szCs w:val="15"/>
                <w:color w:val="auto"/>
              </w:rPr>
              <w:t>--   Letter Agreement dated as of February 1, 1994, among Comcast Corporation,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Cox Enterprises, Inc., Advance Publications, Inc., BellSouth Corporation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QVC Network, Inc. (Incorporated by reference to Exhibit 37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9 to the Schedule 13D filed by Comcast Corporation and Liberty Media</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Amendment No. 8 to Schedule 13D filed by Barry Diller, in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(c)(26)</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respect of Common Stock of the Company, dated February 3,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Stock Option Agreement dated as of February 15, 1994, among QVC Network,</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Inc., BellSouth Corporation, Cox Enterprises, Inc. and Advance Publications,</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Inc. (including exhibits) (Incorporated by reference to Exhibit 40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Amendment No. 11 to the Schedule 13D filed by Comcast Corporation and</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Liberty Media Corporation and Amendment No. 10 to Schedule 13D filed by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Barry Diller, in respect of Common Stock of the Company, dated April 28,</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(c)(27)</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Acknowledgement and Agreement dated as of February 15, 1994, by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and Liberty Media Corporation (Incorporated by reference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Exhibit 41 to Amendment No. 11 to the Schedule 13D filed by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Corporation and Liberty Media Corporation and Amendment No. 10 to Schedule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13D filed by Barry Diller, in respect of Common Stock of the Company, dated</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(c)(28)</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April 28,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   Letter Agreement dated as of February 15, 1994, among Comcast Corporation,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BellSouth Corporation, Advance Publications, Inc., Arrow Investments, L.P.,</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Cox Enterprises, Inc. and Liberty Media Corporation (Incorporated by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reference to Exhibit 42 to Amendment No. 11 to the Schedule 13D filed by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Comcast Corporation and Liberty Media Corporation and Amendment No. 10 to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Schedule 13D filed by Barry Diller, in respect of Common Stock of the</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(c)(29)</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Company, dated April 28,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   Letter Agreement dated as of February 15, 1994, among BellSouth Corporation,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Liberty Media Corporation, Comcast Corporation and Arrow Investments, L.P.</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(Incorporated by reference to Exhibit 43 to Amendment No. 11 to the Schedule</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13D filed by Comcast Corporation and Liberty Media Corporation and Amendment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No. 10 to Schedule 13D filed by Barry Diller, in respect of Common Stock of</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(c)(30)</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the Company, dated April 28,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   Letter dated July 12, 1994 of Comcast Corporation to Barry Diller, Chairman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and Chief Executive Officer of QVC, Inc. (Included under "Special Factors --</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(c)(31)</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Background of the Transaction" in Exhibit (d)(1) hereto)</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6"/>
              </w:rPr>
              <w:t>--   Letter Agreement dated July 21, 1994 between Comcast Corporation and Liberty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Media Corporation (Incorporated by reference to Exhibit 46 to Amendment No.</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9"/>
              </w:rPr>
              <w:t>20 to the Schedule 13D filed by Comcast Corporation , in respect of Common</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(c)(32)</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Stock of the Company, dated July 22,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9"/>
              </w:rPr>
              <w:t>--   Agreement and Plan of Merger, dated as of August 4, 1994, among QVC, Inc.,</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(c)(33)</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Comcast Corporation, Liberty Media Corporation and Comcast QMerger, Inc.*</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Letter Agreement, dated as of August 4, 1994, among Comcast Corporation,</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Liberty Media Corporation and Tele-Communications, Inc. (Incorporated by</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reference to Exhibit 48 to Amendment No. 21 to Schedule 13D filed by Comcast</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Corporation , in respect of Common Stock of the Company, dated August 8,</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(c)(34)</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Letter Agreement, dated as of August 4, 1994, Comcast Corporation, Arrow</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8"/>
              </w:rPr>
              <w:t>Investments, L.P. and Barry Diller (Incorporated by reference to Exhibit 50</w:t>
            </w:r>
          </w:p>
        </w:tc>
        <w:tc>
          <w:tcPr>
            <w:tcW w:w="0" w:type="dxa"/>
            <w:vAlign w:val="bottom"/>
          </w:tcPr>
          <w:p>
            <w:pPr>
              <w:spacing w:after="0"/>
              <w:rPr>
                <w:sz w:val="1"/>
                <w:szCs w:val="1"/>
                <w:color w:val="auto"/>
              </w:rPr>
            </w:pPr>
          </w:p>
        </w:tc>
      </w:tr>
      <w:tr>
        <w:trPr>
          <w:trHeight w:val="168"/>
        </w:trPr>
        <w:tc>
          <w:tcPr>
            <w:tcW w:w="740" w:type="dxa"/>
            <w:vAlign w:val="bottom"/>
          </w:tcPr>
          <w:p>
            <w:pPr>
              <w:spacing w:after="0"/>
              <w:rPr>
                <w:sz w:val="14"/>
                <w:szCs w:val="14"/>
                <w:color w:val="auto"/>
              </w:rPr>
            </w:pP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w w:val="96"/>
              </w:rPr>
              <w:t>to Amendment No. 21 to Schedule 13D filed by Comcast Corporation, in respect</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(d)(1)</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of Common Stock of the Company, dated August 8, 1994)</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Offer to Purchase, dated August 11, 1994*</w:t>
            </w:r>
          </w:p>
        </w:tc>
        <w:tc>
          <w:tcPr>
            <w:tcW w:w="0" w:type="dxa"/>
            <w:vAlign w:val="bottom"/>
          </w:tcPr>
          <w:p>
            <w:pPr>
              <w:spacing w:after="0"/>
              <w:rPr>
                <w:sz w:val="1"/>
                <w:szCs w:val="1"/>
                <w:color w:val="auto"/>
              </w:rPr>
            </w:pP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(d)(2)</w:t>
            </w: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Form of Letter of Transmittal (including Guidelines for Certification of</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(d)(3)</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Taxpayer Identification Number on Substitute Form W-9)*</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Form of Notice of Guaranteed Delivery and Guarantee*</w:t>
            </w:r>
          </w:p>
        </w:tc>
        <w:tc>
          <w:tcPr>
            <w:tcW w:w="0" w:type="dxa"/>
            <w:vAlign w:val="bottom"/>
          </w:tcPr>
          <w:p>
            <w:pPr>
              <w:spacing w:after="0"/>
              <w:rPr>
                <w:sz w:val="1"/>
                <w:szCs w:val="1"/>
                <w:color w:val="auto"/>
              </w:rPr>
            </w:pP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(d)(4)</w:t>
            </w: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Form of Letter to Brokers, Dealers, Commercial Banks, Trust Companies and</w:t>
            </w:r>
          </w:p>
        </w:tc>
        <w:tc>
          <w:tcPr>
            <w:tcW w:w="0" w:type="dxa"/>
            <w:vAlign w:val="bottom"/>
          </w:tcPr>
          <w:p>
            <w:pPr>
              <w:spacing w:after="0"/>
              <w:rPr>
                <w:sz w:val="1"/>
                <w:szCs w:val="1"/>
                <w:color w:val="auto"/>
              </w:rPr>
            </w:pPr>
          </w:p>
        </w:tc>
      </w:tr>
      <w:tr>
        <w:trPr>
          <w:trHeight w:val="168"/>
        </w:trPr>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(d)(5)</w:t>
            </w:r>
          </w:p>
        </w:tc>
        <w:tc>
          <w:tcPr>
            <w:tcW w:w="722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Other Nominees*</w:t>
            </w:r>
          </w:p>
        </w:tc>
        <w:tc>
          <w:tcPr>
            <w:tcW w:w="0" w:type="dxa"/>
            <w:vAlign w:val="bottom"/>
          </w:tcPr>
          <w:p>
            <w:pPr>
              <w:spacing w:after="0"/>
              <w:rPr>
                <w:sz w:val="1"/>
                <w:szCs w:val="1"/>
                <w:color w:val="auto"/>
              </w:rPr>
            </w:pPr>
          </w:p>
        </w:tc>
      </w:tr>
      <w:tr>
        <w:trPr>
          <w:trHeight w:val="168"/>
        </w:trPr>
        <w:tc>
          <w:tcPr>
            <w:tcW w:w="740" w:type="dxa"/>
            <w:vAlign w:val="bottom"/>
            <w:vMerge w:val="continue"/>
          </w:tcPr>
          <w:p>
            <w:pPr>
              <w:spacing w:after="0"/>
              <w:rPr>
                <w:sz w:val="14"/>
                <w:szCs w:val="14"/>
                <w:color w:val="auto"/>
              </w:rPr>
            </w:pPr>
          </w:p>
        </w:tc>
        <w:tc>
          <w:tcPr>
            <w:tcW w:w="7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Form of Letter to Clients from Brokers, Dealers, Commercial Banks, Trust</w:t>
            </w:r>
          </w:p>
        </w:tc>
        <w:tc>
          <w:tcPr>
            <w:tcW w:w="0" w:type="dxa"/>
            <w:vAlign w:val="bottom"/>
          </w:tcPr>
          <w:p>
            <w:pPr>
              <w:spacing w:after="0"/>
              <w:rPr>
                <w:sz w:val="1"/>
                <w:szCs w:val="1"/>
                <w:color w:val="auto"/>
              </w:rPr>
            </w:pPr>
          </w:p>
        </w:tc>
      </w:tr>
      <w:tr>
        <w:trPr>
          <w:trHeight w:val="245"/>
        </w:trPr>
        <w:tc>
          <w:tcPr>
            <w:tcW w:w="740" w:type="dxa"/>
            <w:vAlign w:val="bottom"/>
          </w:tcPr>
          <w:p>
            <w:pPr>
              <w:spacing w:after="0"/>
              <w:rPr>
                <w:sz w:val="21"/>
                <w:szCs w:val="21"/>
                <w:color w:val="auto"/>
              </w:rPr>
            </w:pPr>
          </w:p>
        </w:tc>
        <w:tc>
          <w:tcPr>
            <w:tcW w:w="7220" w:type="dxa"/>
            <w:vAlign w:val="bottom"/>
          </w:tcPr>
          <w:p>
            <w:pPr>
              <w:ind w:left="580"/>
              <w:spacing w:after="0"/>
              <w:rPr>
                <w:sz w:val="20"/>
                <w:szCs w:val="20"/>
                <w:color w:val="auto"/>
              </w:rPr>
            </w:pPr>
            <w:r>
              <w:rPr>
                <w:rFonts w:ascii="Courier New" w:cs="Courier New" w:eastAsia="Courier New" w:hAnsi="Courier New"/>
                <w:sz w:val="15"/>
                <w:szCs w:val="15"/>
                <w:color w:val="auto"/>
              </w:rPr>
              <w:t>Companies and Other Nominees*</w:t>
            </w:r>
          </w:p>
        </w:tc>
        <w:tc>
          <w:tcPr>
            <w:tcW w:w="0" w:type="dxa"/>
            <w:vAlign w:val="bottom"/>
          </w:tcPr>
          <w:p>
            <w:pPr>
              <w:spacing w:after="0"/>
              <w:rPr>
                <w:sz w:val="1"/>
                <w:szCs w:val="1"/>
                <w:color w:val="auto"/>
              </w:rPr>
            </w:pPr>
          </w:p>
        </w:tc>
      </w:tr>
      <w:tr>
        <w:trPr>
          <w:trHeight w:val="505"/>
        </w:trPr>
        <w:tc>
          <w:tcPr>
            <w:tcW w:w="740" w:type="dxa"/>
            <w:vAlign w:val="bottom"/>
          </w:tcPr>
          <w:p>
            <w:pPr>
              <w:spacing w:after="0"/>
              <w:rPr>
                <w:sz w:val="24"/>
                <w:szCs w:val="24"/>
                <w:color w:val="auto"/>
              </w:rPr>
            </w:pPr>
          </w:p>
        </w:tc>
        <w:tc>
          <w:tcPr>
            <w:tcW w:w="7220" w:type="dxa"/>
            <w:vAlign w:val="bottom"/>
          </w:tcPr>
          <w:p>
            <w:pPr>
              <w:ind w:left="2400"/>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bl>
    <w:p>
      <w:pPr>
        <w:sectPr>
          <w:pgSz w:w="11900" w:h="16838" w:orient="portrait"/>
          <w:cols w:equalWidth="0" w:num="1">
            <w:col w:w="9959"/>
          </w:cols>
          <w:pgMar w:left="500" w:top="261" w:right="1440" w:bottom="1440" w:gutter="0" w:footer="0" w:header="0"/>
        </w:sectPr>
      </w:pPr>
    </w:p>
    <w:bookmarkStart w:id="9" w:name="page10"/>
    <w:bookmarkEnd w:id="9"/>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245"/>
        </w:trPr>
        <w:tc>
          <w:tcPr>
            <w:tcW w:w="7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77"/>
              </w:rPr>
              <w:t>10</w:t>
            </w:r>
          </w:p>
        </w:tc>
        <w:tc>
          <w:tcPr>
            <w:tcW w:w="6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(d)(6)</w:t>
            </w:r>
          </w:p>
        </w:tc>
        <w:tc>
          <w:tcPr>
            <w:tcW w:w="6480" w:type="dxa"/>
            <w:vAlign w:val="bottom"/>
          </w:tcPr>
          <w:p>
            <w:pPr>
              <w:ind w:left="180"/>
              <w:spacing w:after="0"/>
              <w:rPr>
                <w:sz w:val="20"/>
                <w:szCs w:val="20"/>
                <w:color w:val="auto"/>
              </w:rPr>
            </w:pPr>
            <w:r>
              <w:rPr>
                <w:rFonts w:ascii="Courier New" w:cs="Courier New" w:eastAsia="Courier New" w:hAnsi="Courier New"/>
                <w:sz w:val="15"/>
                <w:szCs w:val="15"/>
                <w:color w:val="auto"/>
                <w:w w:val="98"/>
              </w:rPr>
              <w:t>--   Text of press release issued by Comcast Corporation, Liberty Media</w:t>
            </w:r>
          </w:p>
        </w:tc>
        <w:tc>
          <w:tcPr>
            <w:tcW w:w="0" w:type="dxa"/>
            <w:vAlign w:val="bottom"/>
          </w:tcPr>
          <w:p>
            <w:pPr>
              <w:spacing w:after="0"/>
              <w:rPr>
                <w:sz w:val="1"/>
                <w:szCs w:val="1"/>
                <w:color w:val="auto"/>
              </w:rPr>
            </w:pPr>
          </w:p>
        </w:tc>
      </w:tr>
      <w:tr>
        <w:trPr>
          <w:trHeight w:val="168"/>
        </w:trPr>
        <w:tc>
          <w:tcPr>
            <w:tcW w:w="7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(d)(7)</w:t>
            </w:r>
          </w:p>
        </w:tc>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Corporation and QVC, Inc. dated August 4, 1994*</w:t>
            </w:r>
          </w:p>
        </w:tc>
        <w:tc>
          <w:tcPr>
            <w:tcW w:w="0" w:type="dxa"/>
            <w:vAlign w:val="bottom"/>
          </w:tcPr>
          <w:p>
            <w:pPr>
              <w:spacing w:after="0"/>
              <w:rPr>
                <w:sz w:val="1"/>
                <w:szCs w:val="1"/>
                <w:color w:val="auto"/>
              </w:rPr>
            </w:pPr>
          </w:p>
        </w:tc>
      </w:tr>
      <w:tr>
        <w:trPr>
          <w:trHeight w:val="168"/>
        </w:trPr>
        <w:tc>
          <w:tcPr>
            <w:tcW w:w="780" w:type="dxa"/>
            <w:vAlign w:val="bottom"/>
            <w:vMerge w:val="continue"/>
          </w:tcPr>
          <w:p>
            <w:pPr>
              <w:spacing w:after="0"/>
              <w:rPr>
                <w:sz w:val="14"/>
                <w:szCs w:val="14"/>
                <w:color w:val="auto"/>
              </w:rPr>
            </w:pP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Form of summary advertisement dated August 11, 1994*</w:t>
            </w:r>
          </w:p>
        </w:tc>
        <w:tc>
          <w:tcPr>
            <w:tcW w:w="0" w:type="dxa"/>
            <w:vAlign w:val="bottom"/>
          </w:tcPr>
          <w:p>
            <w:pPr>
              <w:spacing w:after="0"/>
              <w:rPr>
                <w:sz w:val="1"/>
                <w:szCs w:val="1"/>
                <w:color w:val="auto"/>
              </w:rPr>
            </w:pPr>
          </w:p>
        </w:tc>
      </w:tr>
      <w:tr>
        <w:trPr>
          <w:trHeight w:val="168"/>
        </w:trPr>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(d)(8)</w:t>
            </w:r>
          </w:p>
        </w:tc>
        <w:tc>
          <w:tcPr>
            <w:tcW w:w="6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   Accountants' consent relating to the inclusion of certain financial</w:t>
            </w: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6480" w:type="dxa"/>
            <w:vAlign w:val="bottom"/>
          </w:tcPr>
          <w:p>
            <w:pPr>
              <w:ind w:left="620"/>
              <w:spacing w:after="0"/>
              <w:rPr>
                <w:sz w:val="20"/>
                <w:szCs w:val="20"/>
                <w:color w:val="auto"/>
              </w:rPr>
            </w:pPr>
            <w:r>
              <w:rPr>
                <w:rFonts w:ascii="Courier New" w:cs="Courier New" w:eastAsia="Courier New" w:hAnsi="Courier New"/>
                <w:sz w:val="15"/>
                <w:szCs w:val="15"/>
                <w:color w:val="auto"/>
              </w:rPr>
              <w:t>statements of QVC, Inc. in Annex C to the Offer to Purchase.</w:t>
            </w:r>
          </w:p>
        </w:tc>
        <w:tc>
          <w:tcPr>
            <w:tcW w:w="0" w:type="dxa"/>
            <w:vAlign w:val="bottom"/>
          </w:tcPr>
          <w:p>
            <w:pPr>
              <w:spacing w:after="0"/>
              <w:rPr>
                <w:sz w:val="1"/>
                <w:szCs w:val="1"/>
                <w:color w:val="auto"/>
              </w:rPr>
            </w:pPr>
          </w:p>
        </w:tc>
      </w:tr>
    </w:tbl>
    <w:p>
      <w:pPr>
        <w:ind w:left="1670" w:right="1919" w:hanging="1320"/>
        <w:spacing w:after="0" w:line="237" w:lineRule="auto"/>
        <w:tabs>
          <w:tab w:leader="none" w:pos="1233"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Section 262 of the Delaware General Corporation Law (set forth as Annex B to the Offer to Purchase).</w:t>
      </w:r>
    </w:p>
    <w:p>
      <w:pPr>
        <w:ind w:left="1230" w:hanging="880"/>
        <w:spacing w:after="0"/>
        <w:tabs>
          <w:tab w:leader="none" w:pos="123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 applicable.</w:t>
      </w:r>
    </w:p>
    <w:p>
      <w:pPr>
        <w:spacing w:after="0" w:line="308"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3490" w:right="5859" w:hanging="3490"/>
        <w:spacing w:after="0" w:line="581" w:lineRule="auto"/>
        <w:tabs>
          <w:tab w:leader="none" w:pos="1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Schedule 14D-1. 8</w:t>
      </w:r>
    </w:p>
    <w:p>
      <w:pPr>
        <w:sectPr>
          <w:pgSz w:w="11900" w:h="16838" w:orient="portrait"/>
          <w:cols w:equalWidth="0" w:num="1">
            <w:col w:w="10229"/>
          </w:cols>
          <w:pgMar w:left="230" w:top="26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SIGNATURE</w:t>
      </w:r>
    </w:p>
    <w:p>
      <w:pPr>
        <w:spacing w:after="0" w:line="166" w:lineRule="exact"/>
        <w:rPr>
          <w:sz w:val="20"/>
          <w:szCs w:val="20"/>
          <w:color w:val="auto"/>
        </w:rPr>
      </w:pPr>
    </w:p>
    <w:p>
      <w:pPr>
        <w:ind w:right="3319" w:firstLine="437"/>
        <w:spacing w:after="0" w:line="381"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11, 1994</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QVC,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NEAL S. GRABELL</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Neal S. Grabell</w:t>
      </w:r>
    </w:p>
    <w:p>
      <w:pPr>
        <w:ind w:left="4040"/>
        <w:spacing w:after="0" w:line="237" w:lineRule="auto"/>
        <w:rPr>
          <w:sz w:val="20"/>
          <w:szCs w:val="20"/>
          <w:color w:val="auto"/>
        </w:rPr>
      </w:pPr>
      <w:r>
        <w:rPr>
          <w:rFonts w:ascii="Courier New" w:cs="Courier New" w:eastAsia="Courier New" w:hAnsi="Courier New"/>
          <w:sz w:val="15"/>
          <w:szCs w:val="15"/>
          <w:color w:val="auto"/>
        </w:rPr>
        <w:t>Title: Senior Vice President,</w:t>
      </w:r>
    </w:p>
    <w:p>
      <w:pPr>
        <w:ind w:left="4640"/>
        <w:spacing w:after="0" w:line="238" w:lineRule="auto"/>
        <w:rPr>
          <w:sz w:val="20"/>
          <w:szCs w:val="20"/>
          <w:color w:val="auto"/>
        </w:rPr>
      </w:pPr>
      <w:r>
        <w:rPr>
          <w:rFonts w:ascii="Courier New" w:cs="Courier New" w:eastAsia="Courier New" w:hAnsi="Courier New"/>
          <w:sz w:val="15"/>
          <w:szCs w:val="15"/>
          <w:color w:val="auto"/>
        </w:rPr>
        <w:t>General Counsel</w:t>
      </w:r>
    </w:p>
    <w:p>
      <w:pPr>
        <w:ind w:left="4640"/>
        <w:spacing w:after="0"/>
        <w:rPr>
          <w:sz w:val="20"/>
          <w:szCs w:val="20"/>
          <w:color w:val="auto"/>
        </w:rPr>
      </w:pPr>
      <w:r>
        <w:rPr>
          <w:rFonts w:ascii="Courier New" w:cs="Courier New" w:eastAsia="Courier New" w:hAnsi="Courier New"/>
          <w:sz w:val="15"/>
          <w:szCs w:val="15"/>
          <w:color w:val="auto"/>
        </w:rPr>
        <w:t>and Corporate Secretary</w:t>
      </w:r>
    </w:p>
    <w:p>
      <w:pPr>
        <w:spacing w:after="0" w:line="1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QVC PROGRAMMING HOLDINGS,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JULIAN A. BRODSKY</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Julian A. Brodsky</w:t>
      </w:r>
    </w:p>
    <w:p>
      <w:pPr>
        <w:ind w:left="4040"/>
        <w:spacing w:after="0"/>
        <w:rPr>
          <w:sz w:val="20"/>
          <w:szCs w:val="20"/>
          <w:color w:val="auto"/>
        </w:rPr>
      </w:pPr>
      <w:r>
        <w:rPr>
          <w:rFonts w:ascii="Courier New" w:cs="Courier New" w:eastAsia="Courier New" w:hAnsi="Courier New"/>
          <w:sz w:val="15"/>
          <w:szCs w:val="15"/>
          <w:color w:val="auto"/>
        </w:rPr>
        <w:t>Title: Vice Chairman</w:t>
      </w:r>
    </w:p>
    <w:p>
      <w:pPr>
        <w:spacing w:after="0" w:line="1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JULIAN A. BRODSKY</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Julian A. Brodsky</w:t>
      </w:r>
    </w:p>
    <w:p>
      <w:pPr>
        <w:ind w:left="4040"/>
        <w:spacing w:after="0"/>
        <w:rPr>
          <w:sz w:val="20"/>
          <w:szCs w:val="20"/>
          <w:color w:val="auto"/>
        </w:rPr>
      </w:pPr>
      <w:r>
        <w:rPr>
          <w:rFonts w:ascii="Courier New" w:cs="Courier New" w:eastAsia="Courier New" w:hAnsi="Courier New"/>
          <w:sz w:val="15"/>
          <w:szCs w:val="15"/>
          <w:color w:val="auto"/>
        </w:rPr>
        <w:t>Title: Vice Chairman</w:t>
      </w:r>
    </w:p>
    <w:p>
      <w:pPr>
        <w:spacing w:after="0" w:line="14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TELE-COMMUNICATIONS, INC.</w:t>
      </w:r>
    </w:p>
    <w:p>
      <w:pPr>
        <w:spacing w:after="0" w:line="166" w:lineRule="exact"/>
        <w:rPr>
          <w:sz w:val="20"/>
          <w:szCs w:val="20"/>
          <w:color w:val="auto"/>
        </w:rPr>
      </w:pPr>
    </w:p>
    <w:p>
      <w:pPr>
        <w:ind w:left="3680"/>
        <w:spacing w:after="0"/>
        <w:tabs>
          <w:tab w:leader="none" w:pos="44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STEPHEN M. BRETT</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Name: Stephen M. Brett</w:t>
      </w:r>
    </w:p>
    <w:p>
      <w:pPr>
        <w:ind w:left="4040"/>
        <w:spacing w:after="0"/>
        <w:rPr>
          <w:sz w:val="20"/>
          <w:szCs w:val="20"/>
          <w:color w:val="auto"/>
        </w:rPr>
      </w:pPr>
      <w:r>
        <w:rPr>
          <w:rFonts w:ascii="Courier New" w:cs="Courier New" w:eastAsia="Courier New" w:hAnsi="Courier New"/>
          <w:sz w:val="15"/>
          <w:szCs w:val="15"/>
          <w:color w:val="auto"/>
        </w:rPr>
        <w:t>Title: Executive Vice President</w:t>
      </w:r>
    </w:p>
    <w:p>
      <w:pPr>
        <w:spacing w:after="0" w:line="1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Pr>
          <w:p>
            <w:pPr>
              <w:spacing w:after="0"/>
              <w:rPr>
                <w:sz w:val="21"/>
                <w:szCs w:val="21"/>
                <w:color w:val="auto"/>
              </w:rPr>
            </w:pPr>
          </w:p>
        </w:tc>
        <w:tc>
          <w:tcPr>
            <w:tcW w:w="6220" w:type="dxa"/>
            <w:vAlign w:val="bottom"/>
          </w:tcPr>
          <w:p>
            <w:pPr>
              <w:jc w:val="right"/>
              <w:ind w:right="3427"/>
              <w:spacing w:after="0"/>
              <w:rPr>
                <w:sz w:val="20"/>
                <w:szCs w:val="20"/>
                <w:color w:val="auto"/>
              </w:rPr>
            </w:pPr>
            <w:r>
              <w:rPr>
                <w:rFonts w:ascii="Courier New" w:cs="Courier New" w:eastAsia="Courier New" w:hAnsi="Courier New"/>
                <w:sz w:val="15"/>
                <w:szCs w:val="15"/>
                <w:color w:val="auto"/>
              </w:rPr>
              <w:t>EXHIBIT INDEX</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EXHIBIT</w:t>
            </w:r>
          </w:p>
        </w:tc>
        <w:tc>
          <w:tcPr>
            <w:tcW w:w="6220" w:type="dxa"/>
            <w:vAlign w:val="bottom"/>
          </w:tcPr>
          <w:p>
            <w:pPr>
              <w:spacing w:after="0"/>
              <w:rPr>
                <w:sz w:val="24"/>
                <w:szCs w:val="24"/>
                <w:color w:val="auto"/>
              </w:rPr>
            </w:pP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SEQUENTIALLY</w:t>
            </w:r>
          </w:p>
        </w:tc>
        <w:tc>
          <w:tcPr>
            <w:tcW w:w="0" w:type="dxa"/>
            <w:vAlign w:val="bottom"/>
          </w:tcPr>
          <w:p>
            <w:pPr>
              <w:spacing w:after="0"/>
              <w:rPr>
                <w:sz w:val="1"/>
                <w:szCs w:val="1"/>
                <w:color w:val="auto"/>
              </w:rPr>
            </w:pPr>
          </w:p>
        </w:tc>
      </w:tr>
      <w:tr>
        <w:trPr>
          <w:trHeight w:val="168"/>
        </w:trPr>
        <w:tc>
          <w:tcPr>
            <w:tcW w:w="1320" w:type="dxa"/>
            <w:vAlign w:val="bottom"/>
            <w:vMerge w:val="continue"/>
          </w:tcPr>
          <w:p>
            <w:pPr>
              <w:spacing w:after="0"/>
              <w:rPr>
                <w:sz w:val="14"/>
                <w:szCs w:val="14"/>
                <w:color w:val="auto"/>
              </w:rPr>
            </w:pPr>
          </w:p>
        </w:tc>
        <w:tc>
          <w:tcPr>
            <w:tcW w:w="6220" w:type="dxa"/>
            <w:vAlign w:val="bottom"/>
            <w:vMerge w:val="restart"/>
          </w:tcPr>
          <w:p>
            <w:pPr>
              <w:jc w:val="right"/>
              <w:ind w:right="2567"/>
              <w:spacing w:after="0"/>
              <w:rPr>
                <w:sz w:val="20"/>
                <w:szCs w:val="20"/>
                <w:color w:val="auto"/>
              </w:rPr>
            </w:pPr>
            <w:r>
              <w:rPr>
                <w:rFonts w:ascii="Courier New" w:cs="Courier New" w:eastAsia="Courier New" w:hAnsi="Courier New"/>
                <w:sz w:val="15"/>
                <w:szCs w:val="15"/>
                <w:color w:val="auto"/>
              </w:rPr>
              <w:t>DESCRIPTION</w:t>
            </w:r>
          </w:p>
        </w:tc>
        <w:tc>
          <w:tcPr>
            <w:tcW w:w="12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NUMBERED</w:t>
            </w:r>
          </w:p>
        </w:tc>
        <w:tc>
          <w:tcPr>
            <w:tcW w:w="0" w:type="dxa"/>
            <w:vAlign w:val="bottom"/>
          </w:tcPr>
          <w:p>
            <w:pPr>
              <w:spacing w:after="0"/>
              <w:rPr>
                <w:sz w:val="1"/>
                <w:szCs w:val="1"/>
                <w:color w:val="auto"/>
              </w:rPr>
            </w:pPr>
          </w:p>
        </w:tc>
      </w:tr>
      <w:tr>
        <w:trPr>
          <w:trHeight w:val="168"/>
        </w:trPr>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220" w:type="dxa"/>
            <w:vAlign w:val="bottom"/>
            <w:vMerge w:val="continue"/>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PAGE</w:t>
            </w:r>
          </w:p>
        </w:tc>
        <w:tc>
          <w:tcPr>
            <w:tcW w:w="0" w:type="dxa"/>
            <w:vAlign w:val="bottom"/>
          </w:tcPr>
          <w:p>
            <w:pPr>
              <w:spacing w:after="0"/>
              <w:rPr>
                <w:sz w:val="1"/>
                <w:szCs w:val="1"/>
                <w:color w:val="auto"/>
              </w:rPr>
            </w:pPr>
          </w:p>
        </w:tc>
      </w:tr>
      <w:tr>
        <w:trPr>
          <w:trHeight w:val="245"/>
        </w:trPr>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 ---------</w:t>
            </w:r>
          </w:p>
        </w:tc>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060" w:hanging="1050"/>
        <w:spacing w:after="0"/>
        <w:tabs>
          <w:tab w:leader="none" w:pos="10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 applicable.</w:t>
      </w:r>
    </w:p>
    <w:tbl>
      <w:tblPr>
        <w:tblLayout w:type="fixed"/>
        <w:tblInd w:w="0" w:type="dxa"/>
        <w:tblCellMar>
          <w:top w:w="0" w:type="dxa"/>
          <w:left w:w="0" w:type="dxa"/>
          <w:bottom w:w="0" w:type="dxa"/>
          <w:right w:w="0" w:type="dxa"/>
        </w:tblCellMar>
      </w:tblPr>
      <w:tr>
        <w:trPr>
          <w:trHeight w:val="166"/>
        </w:trPr>
        <w:tc>
          <w:tcPr>
            <w:tcW w:w="800" w:type="dxa"/>
            <w:vAlign w:val="bottom"/>
          </w:tcPr>
          <w:p>
            <w:pPr>
              <w:spacing w:after="0" w:line="167" w:lineRule="exact"/>
              <w:rPr>
                <w:sz w:val="20"/>
                <w:szCs w:val="20"/>
                <w:color w:val="auto"/>
              </w:rPr>
            </w:pPr>
            <w:r>
              <w:rPr>
                <w:rFonts w:ascii="Courier New" w:cs="Courier New" w:eastAsia="Courier New" w:hAnsi="Courier New"/>
                <w:sz w:val="15"/>
                <w:szCs w:val="15"/>
                <w:color w:val="auto"/>
              </w:rPr>
              <w:t>(b)(1)</w:t>
            </w:r>
          </w:p>
        </w:tc>
        <w:tc>
          <w:tcPr>
            <w:tcW w:w="6560" w:type="dxa"/>
            <w:vAlign w:val="bottom"/>
          </w:tcPr>
          <w:p>
            <w:pPr>
              <w:ind w:left="260"/>
              <w:spacing w:after="0" w:line="167" w:lineRule="exact"/>
              <w:rPr>
                <w:sz w:val="20"/>
                <w:szCs w:val="20"/>
                <w:color w:val="auto"/>
              </w:rPr>
            </w:pPr>
            <w:r>
              <w:rPr>
                <w:rFonts w:ascii="Courier New" w:cs="Courier New" w:eastAsia="Courier New" w:hAnsi="Courier New"/>
                <w:sz w:val="15"/>
                <w:szCs w:val="15"/>
                <w:color w:val="auto"/>
                <w:w w:val="96"/>
              </w:rPr>
              <w:t>--   Report of Lazard Freres &amp; Co. dated July 12, 1994..................</w:t>
            </w:r>
          </w:p>
        </w:tc>
        <w:tc>
          <w:tcPr>
            <w:tcW w:w="0" w:type="dxa"/>
            <w:vAlign w:val="bottom"/>
          </w:tcPr>
          <w:p>
            <w:pPr>
              <w:spacing w:after="0"/>
              <w:rPr>
                <w:sz w:val="1"/>
                <w:szCs w:val="1"/>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(b)(2)</w:t>
            </w: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Opinion of Lazard Freres &amp; Co. dated July 12, 1994.................</w:t>
            </w:r>
          </w:p>
        </w:tc>
        <w:tc>
          <w:tcPr>
            <w:tcW w:w="0" w:type="dxa"/>
            <w:vAlign w:val="bottom"/>
          </w:tcPr>
          <w:p>
            <w:pPr>
              <w:spacing w:after="0"/>
              <w:rPr>
                <w:sz w:val="1"/>
                <w:szCs w:val="1"/>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(b)(3)</w:t>
            </w: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Opinion of Lazard Freres &amp; Co. dated August 4, 1994................</w:t>
            </w:r>
          </w:p>
        </w:tc>
        <w:tc>
          <w:tcPr>
            <w:tcW w:w="0" w:type="dxa"/>
            <w:vAlign w:val="bottom"/>
          </w:tcPr>
          <w:p>
            <w:pPr>
              <w:spacing w:after="0"/>
              <w:rPr>
                <w:sz w:val="1"/>
                <w:szCs w:val="1"/>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(b)(4)</w:t>
            </w: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   Opinion of Allen &amp; Company Incorporated dated August 4, 1994 (set</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(b)(5)</w:t>
            </w: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forth as Annex A to the Offer to Purchase) ........................</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Report of Allen &amp; Company Incorporated dated August 4, 1994 .......</w:t>
            </w:r>
          </w:p>
        </w:tc>
        <w:tc>
          <w:tcPr>
            <w:tcW w:w="0" w:type="dxa"/>
            <w:vAlign w:val="bottom"/>
          </w:tcPr>
          <w:p>
            <w:pPr>
              <w:spacing w:after="0"/>
              <w:rPr>
                <w:sz w:val="1"/>
                <w:szCs w:val="1"/>
                <w:color w:val="auto"/>
              </w:rPr>
            </w:pP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(c)(1)</w:t>
            </w: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Joint Filing Agreement pursuant to Rule 13d-1(f), dated December 1,</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1992 between Comcast Corporation and Liberty Media Corporation</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 to the Schedule 13D filed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by Comcast Corporation and Liberty Media Corporation, in respect of</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(c)(2)</w:t>
            </w: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Common Stock of the Company, dated December 2, 1992)...............</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   Participation Agreement, dated as of December 1, 1992 among Comcast</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Corporation, Comcast Financial Corporation, Comcast Cable</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Communications, Inc., Comcast Cablevision of Maryland Limited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Partnership, Comcast Cable Investors L.P., Comcast Cablevision of</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Indiana L.P., Liberty Media Corporation and Liberty Program</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Investments, Inc. (Incorporated by reference to Exhibit 2 to the</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Schedule 13D filed by Comcast Corporation and Liberty Media</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Corporation, in respect of Common Stock of the Company, dated</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(c)(3)</w:t>
            </w: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December 2, 1992)..................................................</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Joint Filing Agreement pursuant to Rule 13d-1(f), dated December</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15, 1992, among Comcast Corporation, Liberty Media Corporation and</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Barry Diller (Incorporated by reference to Exhibit 3 to Amendment</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No. 1 to the Schedule 13D filed by Comcast Corporation and Liberty</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Media Corporation and the original Schedule 13D filed by Barry</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Diller, in respect of Common Stock of the Company, dated December</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(c)(4)</w:t>
            </w: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15, 1992)..........................................................</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   Summary Term Sheet, dated December 9, 1992, agreed to in principle</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by Comcast Corporation, Liberty Media Corporation and Barry Diller</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7 to Amendment No. 1 to the</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Schedule 13D filed by Comcast Corporation and Liberty Media</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Corporation and the original Schedule 13D filed by Barry Diller, in</w:t>
            </w: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(c)(5)</w:t>
            </w: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6"/>
              </w:rPr>
              <w:t>respect of Common Stock of the Company, dated December 15, 1992)...</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6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Stock Purchase Agreement, dated December 9, 1992, between Barry</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8"/>
              </w:rPr>
              <w:t>Diller and Liberty Media Corporation (Incorporated by reference to</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6560" w:type="dxa"/>
            <w:vAlign w:val="bottom"/>
          </w:tcPr>
          <w:p>
            <w:pPr>
              <w:ind w:left="700"/>
              <w:spacing w:after="0"/>
              <w:rPr>
                <w:sz w:val="20"/>
                <w:szCs w:val="20"/>
                <w:color w:val="auto"/>
              </w:rPr>
            </w:pPr>
            <w:r>
              <w:rPr>
                <w:rFonts w:ascii="Courier New" w:cs="Courier New" w:eastAsia="Courier New" w:hAnsi="Courier New"/>
                <w:sz w:val="15"/>
                <w:szCs w:val="15"/>
                <w:color w:val="auto"/>
                <w:w w:val="99"/>
              </w:rPr>
              <w:t>Exhibit 8 to Amendment No. 1 to the Schedule 13D filed by Comcast</w:t>
            </w:r>
          </w:p>
        </w:tc>
        <w:tc>
          <w:tcPr>
            <w:tcW w:w="0" w:type="dxa"/>
            <w:vAlign w:val="bottom"/>
          </w:tcPr>
          <w:p>
            <w:pPr>
              <w:spacing w:after="0"/>
              <w:rPr>
                <w:sz w:val="1"/>
                <w:szCs w:val="1"/>
                <w:color w:val="auto"/>
              </w:rPr>
            </w:pPr>
          </w:p>
        </w:tc>
      </w:tr>
    </w:tbl>
    <w:p>
      <w:pPr>
        <w:ind w:left="1500" w:right="2879"/>
        <w:spacing w:after="0" w:line="300" w:lineRule="auto"/>
        <w:rPr>
          <w:sz w:val="20"/>
          <w:szCs w:val="20"/>
          <w:color w:val="auto"/>
        </w:rPr>
      </w:pPr>
      <w:r>
        <w:rPr>
          <w:rFonts w:ascii="Courier New" w:cs="Courier New" w:eastAsia="Courier New" w:hAnsi="Courier New"/>
          <w:sz w:val="14"/>
          <w:szCs w:val="14"/>
          <w:color w:val="auto"/>
        </w:rPr>
        <w:t>Corporation and Liberty Media Corporation and the original Schedule 13D filed by Barry Diller, in respect of Common Stock of the Company, dated December 15, 1992)..................................</w:t>
      </w:r>
    </w:p>
    <w:p>
      <w:pPr>
        <w:sectPr>
          <w:pgSz w:w="11900" w:h="16838" w:orient="portrait"/>
          <w:cols w:equalWidth="0" w:num="1">
            <w:col w:w="10239"/>
          </w:cols>
          <w:pgMar w:left="220" w:top="26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5"/>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6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6340" w:type="dxa"/>
            <w:vAlign w:val="bottom"/>
            <w:vMerge w:val="restart"/>
          </w:tcPr>
          <w:p>
            <w:pPr>
              <w:ind w:left="29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40" w:type="dxa"/>
            <w:vAlign w:val="bottom"/>
          </w:tcPr>
          <w:p>
            <w:pPr>
              <w:ind w:left="3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(c)(6)</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Letter, dated December 23, 1992, from William F. Costello,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Executive Vice President and Chief Financial Officer of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Company, to Peter R. Barton, President of Liberty Program</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Investments, Inc. (Incorporated by reference to Exhibit 9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Amendment No. 2 to the Schedule 13D filed by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and Liberty Media Corporation and Amendment No. 1 to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filed by Barry Diller, in respect of Common Stock of the Company,</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dated January 7,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(c)(7)</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Letter, dated December 23, 1992, from William F. Costello,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Executive Vice President and Chief Financial Officer of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Company, to Peter R. Barton, President of Liberty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10 to Amendment No. 2 to the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Amendment No. 1 to Schedule 13D filed by Barry Diller, in respect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Common Stock of the Company, dated January 7,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(c)(8)</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8"/>
              </w:rPr>
              <w:t>--   Letter, dated December 28, 1992, from Neal S. Grabell, Senior Vice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President and General Counsel of the Company, to Vivian Carr,</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Assistant Secretary of Liberty (Incorporated by reference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Exhibit 11 to Amendment No. 2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1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January 7,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(c)(9)</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8"/>
              </w:rPr>
              <w:t>--   Letter, dated July 12, 1993, from Liberty Media Corporation to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Board of Directors of the Company (Incorporated by reference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Exhibit 14 to Amendment No. 3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2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July 19,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(c)(10)</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9"/>
              </w:rPr>
              <w:t>--   Equity Compensation Agreement dated as of December 9, 1992 by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among the Company, Diller and Arrow (Incorporated by reference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Exhibit 15 to Amendment No. 3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2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July 19,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(c)(11)</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Stockholders Agreement, dated July 16, 1993, among Liberty,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Comcast, Barry Diller and certain affiliates and subsidiaries of</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such parties (Incorporated by reference to Exhibit 16 to Amendment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No. 3 to the Schedule 13D filed by Comcast Corporation and Liberty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Media Corporation and Amendment No. 2 to Schedule 13D filed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Barry Diller, in respect of Common Stock of the Company, dated July</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19,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(c)(12)</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Preliminary term sheet for Series E Cumulative Convertible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Exchangeable Preferred Stock (Incorporated by reference to Exhibit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 to Amendment No. 4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3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September 21,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(c)(13)</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9"/>
              </w:rPr>
              <w:t>--   Letter agreement dated October 15, 1993, among QVC Network, Inc.,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Comcast Corporation, Liberty Media Corporation, Advance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Publications, Inc. and Cox Enterprises, Inc.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20 to Amendment No. 6 to the Schedule 13D</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bl>
    <w:p>
      <w:pPr>
        <w:ind w:left="1500"/>
        <w:spacing w:after="0" w:line="237" w:lineRule="auto"/>
        <w:rPr>
          <w:sz w:val="20"/>
          <w:szCs w:val="20"/>
          <w:color w:val="auto"/>
        </w:rPr>
      </w:pPr>
      <w:r>
        <w:rPr>
          <w:rFonts w:ascii="Courier New" w:cs="Courier New" w:eastAsia="Courier New" w:hAnsi="Courier New"/>
          <w:sz w:val="15"/>
          <w:szCs w:val="15"/>
          <w:color w:val="auto"/>
        </w:rPr>
        <w:t>Amendment No. 5 to Schedule 13D filed by Barry Diller, in respect</w:t>
      </w:r>
    </w:p>
    <w:p>
      <w:pPr>
        <w:ind w:left="1500"/>
        <w:spacing w:after="0"/>
        <w:rPr>
          <w:sz w:val="20"/>
          <w:szCs w:val="20"/>
          <w:color w:val="auto"/>
        </w:rPr>
      </w:pPr>
      <w:r>
        <w:rPr>
          <w:rFonts w:ascii="Courier New" w:cs="Courier New" w:eastAsia="Courier New" w:hAnsi="Courier New"/>
          <w:sz w:val="14"/>
          <w:szCs w:val="14"/>
          <w:color w:val="auto"/>
        </w:rPr>
        <w:t>of Common Stock of the Company, dated October 18,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4"/>
          <w:szCs w:val="14"/>
          <w:color w:val="auto"/>
        </w:rPr>
        <w:t>SEQUENTIALLY</w:t>
      </w:r>
    </w:p>
    <w:p>
      <w:pPr>
        <w:spacing w:after="0" w:line="3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5"/>
          <w:szCs w:val="15"/>
          <w:color w:val="auto"/>
        </w:rPr>
        <w:t>NUMBERED</w:t>
      </w:r>
    </w:p>
    <w:p>
      <w:pPr>
        <w:jc w:val="center"/>
        <w:ind w:right="1659"/>
        <w:spacing w:after="0" w:line="237" w:lineRule="auto"/>
        <w:rPr>
          <w:sz w:val="20"/>
          <w:szCs w:val="20"/>
          <w:color w:val="auto"/>
        </w:rPr>
      </w:pPr>
      <w:r>
        <w:rPr>
          <w:rFonts w:ascii="Courier New" w:cs="Courier New" w:eastAsia="Courier New" w:hAnsi="Courier New"/>
          <w:sz w:val="15"/>
          <w:szCs w:val="15"/>
          <w:color w:val="auto"/>
        </w:rPr>
        <w:t>PAGE</w:t>
      </w: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60" w:space="180"/>
            <w:col w:w="2699"/>
          </w:cols>
          <w:pgMar w:left="220" w:top="26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5"/>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14</w:t>
            </w:r>
          </w:p>
        </w:tc>
        <w:tc>
          <w:tcPr>
            <w:tcW w:w="6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6340" w:type="dxa"/>
            <w:vAlign w:val="bottom"/>
            <w:vMerge w:val="restart"/>
          </w:tcPr>
          <w:p>
            <w:pPr>
              <w:ind w:left="29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40" w:type="dxa"/>
            <w:vAlign w:val="bottom"/>
          </w:tcPr>
          <w:p>
            <w:pPr>
              <w:ind w:left="3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(c)(14)</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Agreement dated October 15, 1993, among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Liberty Media Corporation, Barry Diller, Advance Publications, Inc.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and Cox Enterprises, Inc. (Incorporated by reference to Exhibit 21</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to Amendment No. 6 to the Schedule 13D filed by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and Liberty Media Corporation and Amendment No. 5 to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filed by Barry Diller, in respect of Common Stock of the Company,</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dated October 18,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(c)(15)</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Term Sheet for Convertible Exchangeable Preferred Stock of QVC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Network, Inc. (Incorporated by reference to Exhibit 22 to Amendment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No. 6 to the Schedule 13D filed by Comcast Corporation and Liberty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Media Corporation and Amendment No. 5 to Schedule 13D filed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Barry Diller, in respect of Common Stock of the Company, dated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October 18,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(c)(16)</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9"/>
              </w:rPr>
              <w:t>--   Letter dated November 11, 1993, from QVC Network, Inc. to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Corporation, Advance Publications, Inc. and Cox Enterprises, Inc.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24 to Amendment No. 7 to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Schedule 13D filed by Comcast Corporation and Liberty Media</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Amendment No. 6 to Schedule 13D filed by Barry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Diller, in respect of Common Stock of the Company, dated November</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(c)(17)</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Agreement dated November 11, 1993, between QVC Network, Inc.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Liberty Media Corporation (Incorporated by reference to Exhibit 25</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to Amendment No. 7 to the Schedule 13D filed by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and Liberty Media Corporation and Amendment No. 6 to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filed by Barry Diller, in respect of Common Stock of the Company,</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dated November 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(c)(18)</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Memorandum of Understanding dated November 11, 1993, between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BellSouth Corporation and QVC Network, Inc.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26 to Amendment No. 7 to the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Amendment No. 6 to Schedule 13D filed by Barry Diller, in respect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Common Stock of the Company, dated November 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(c)(19)</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Understanding Among Stockholders dated November 11, 1993, among</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BellSouth Corporation, Comcast Corporation, Liberty Media</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Corporation and Arrow Investments, L.P. (Incorporated by reference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 Exhibit 27 to Amendment No. 7 to the Schedule 13D filed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Comcast Corporation and Liberty Media Corporation and Amendment No.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6 to Schedule 13D filed by Barry Diller, in respect of Common Stock</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the Company, dated November 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(c)(20)</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Agreement Among Stockholders dated November 11, 1993, among</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rPr>
              <w:t>BellSouth Corporation, Comcast Corporation, Arrow Investments,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142"/>
        </w:trPr>
        <w:tc>
          <w:tcPr>
            <w:tcW w:w="3540" w:type="dxa"/>
            <w:vAlign w:val="bottom"/>
          </w:tcPr>
          <w:p>
            <w:pPr>
              <w:spacing w:after="0" w:line="142" w:lineRule="exact"/>
              <w:rPr>
                <w:sz w:val="20"/>
                <w:szCs w:val="20"/>
                <w:color w:val="auto"/>
              </w:rPr>
            </w:pPr>
            <w:r>
              <w:rPr>
                <w:rFonts w:ascii="Courier New" w:cs="Courier New" w:eastAsia="Courier New" w:hAnsi="Courier New"/>
                <w:sz w:val="15"/>
                <w:szCs w:val="15"/>
                <w:color w:val="auto"/>
                <w:w w:val="97"/>
              </w:rPr>
              <w:t>L.P., Advance Publications, Inc. and Cox</w:t>
            </w:r>
          </w:p>
        </w:tc>
        <w:tc>
          <w:tcPr>
            <w:tcW w:w="1140" w:type="dxa"/>
            <w:vAlign w:val="bottom"/>
            <w:gridSpan w:val="2"/>
          </w:tcPr>
          <w:p>
            <w:pPr>
              <w:jc w:val="right"/>
              <w:spacing w:after="0" w:line="142" w:lineRule="exact"/>
              <w:rPr>
                <w:sz w:val="20"/>
                <w:szCs w:val="20"/>
                <w:color w:val="auto"/>
              </w:rPr>
            </w:pPr>
            <w:r>
              <w:rPr>
                <w:rFonts w:ascii="Courier New" w:cs="Courier New" w:eastAsia="Courier New" w:hAnsi="Courier New"/>
                <w:sz w:val="15"/>
                <w:szCs w:val="15"/>
                <w:color w:val="auto"/>
                <w:w w:val="99"/>
              </w:rPr>
              <w:t>Enterprises,</w:t>
            </w:r>
          </w:p>
        </w:tc>
        <w:tc>
          <w:tcPr>
            <w:tcW w:w="520" w:type="dxa"/>
            <w:vAlign w:val="bottom"/>
          </w:tcPr>
          <w:p>
            <w:pPr>
              <w:ind w:left="40"/>
              <w:spacing w:after="0" w:line="142" w:lineRule="exact"/>
              <w:rPr>
                <w:sz w:val="20"/>
                <w:szCs w:val="20"/>
                <w:color w:val="auto"/>
              </w:rPr>
            </w:pPr>
            <w:r>
              <w:rPr>
                <w:rFonts w:ascii="Courier New" w:cs="Courier New" w:eastAsia="Courier New" w:hAnsi="Courier New"/>
                <w:sz w:val="15"/>
                <w:szCs w:val="15"/>
                <w:color w:val="auto"/>
              </w:rPr>
              <w:t>Inc.</w:t>
            </w:r>
          </w:p>
        </w:tc>
        <w:tc>
          <w:tcPr>
            <w:tcW w:w="56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2"/>
              </w:rPr>
              <w:t>to the</w:t>
            </w:r>
          </w:p>
        </w:tc>
        <w:tc>
          <w:tcPr>
            <w:tcW w:w="0" w:type="dxa"/>
            <w:vAlign w:val="bottom"/>
          </w:tcPr>
          <w:p>
            <w:pPr>
              <w:spacing w:after="0"/>
              <w:rPr>
                <w:sz w:val="1"/>
                <w:szCs w:val="1"/>
                <w:color w:val="auto"/>
              </w:rPr>
            </w:pPr>
          </w:p>
        </w:tc>
      </w:tr>
      <w:tr>
        <w:trPr>
          <w:trHeight w:val="168"/>
        </w:trPr>
        <w:tc>
          <w:tcPr>
            <w:tcW w:w="35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(Incorporated by reference to Exhibit 28</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Amendment</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7</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Schedule 13D filed by Comcast Corporation and Liberty</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Media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97"/>
              </w:rPr>
              <w:t>Corporation and Amendment No. 6 to Schedule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13D filed</w:t>
            </w:r>
          </w:p>
        </w:tc>
        <w:tc>
          <w:tcPr>
            <w:tcW w:w="1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 Barry</w:t>
            </w:r>
          </w:p>
        </w:tc>
        <w:tc>
          <w:tcPr>
            <w:tcW w:w="0" w:type="dxa"/>
            <w:vAlign w:val="bottom"/>
          </w:tcPr>
          <w:p>
            <w:pPr>
              <w:spacing w:after="0"/>
              <w:rPr>
                <w:sz w:val="1"/>
                <w:szCs w:val="1"/>
                <w:color w:val="auto"/>
              </w:rPr>
            </w:pPr>
          </w:p>
        </w:tc>
      </w:tr>
    </w:tbl>
    <w:p>
      <w:pPr>
        <w:ind w:left="1500"/>
        <w:spacing w:after="0" w:line="237" w:lineRule="auto"/>
        <w:rPr>
          <w:sz w:val="20"/>
          <w:szCs w:val="20"/>
          <w:color w:val="auto"/>
        </w:rPr>
      </w:pPr>
      <w:r>
        <w:rPr>
          <w:rFonts w:ascii="Courier New" w:cs="Courier New" w:eastAsia="Courier New" w:hAnsi="Courier New"/>
          <w:sz w:val="15"/>
          <w:szCs w:val="15"/>
          <w:color w:val="auto"/>
        </w:rPr>
        <w:t>Diller, in respect of Common Stock of the Company, dated November</w:t>
      </w:r>
    </w:p>
    <w:p>
      <w:pPr>
        <w:ind w:left="1500"/>
        <w:spacing w:after="0"/>
        <w:rPr>
          <w:sz w:val="20"/>
          <w:szCs w:val="20"/>
          <w:color w:val="auto"/>
        </w:rPr>
      </w:pPr>
      <w:r>
        <w:rPr>
          <w:rFonts w:ascii="Courier New" w:cs="Courier New" w:eastAsia="Courier New" w:hAnsi="Courier New"/>
          <w:sz w:val="14"/>
          <w:szCs w:val="14"/>
          <w:color w:val="auto"/>
        </w:rPr>
        <w:t>16, 1993)..........................................................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4"/>
          <w:szCs w:val="14"/>
          <w:color w:val="auto"/>
        </w:rPr>
        <w:t>SEQUENTIALLY</w:t>
      </w:r>
    </w:p>
    <w:p>
      <w:pPr>
        <w:spacing w:after="0" w:line="3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5"/>
          <w:szCs w:val="15"/>
          <w:color w:val="auto"/>
        </w:rPr>
        <w:t>NUMBERED</w:t>
      </w:r>
    </w:p>
    <w:p>
      <w:pPr>
        <w:jc w:val="center"/>
        <w:ind w:right="1659"/>
        <w:spacing w:after="0" w:line="237" w:lineRule="auto"/>
        <w:rPr>
          <w:sz w:val="20"/>
          <w:szCs w:val="20"/>
          <w:color w:val="auto"/>
        </w:rPr>
      </w:pPr>
      <w:r>
        <w:rPr>
          <w:rFonts w:ascii="Courier New" w:cs="Courier New" w:eastAsia="Courier New" w:hAnsi="Courier New"/>
          <w:sz w:val="15"/>
          <w:szCs w:val="15"/>
          <w:color w:val="auto"/>
        </w:rPr>
        <w:t>PAGE</w:t>
      </w: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60" w:space="180"/>
            <w:col w:w="2699"/>
          </w:cols>
          <w:pgMar w:left="220" w:top="26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45"/>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6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6340" w:type="dxa"/>
            <w:vAlign w:val="bottom"/>
            <w:vMerge w:val="restart"/>
          </w:tcPr>
          <w:p>
            <w:pPr>
              <w:ind w:left="292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6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40" w:type="dxa"/>
            <w:vAlign w:val="bottom"/>
          </w:tcPr>
          <w:p>
            <w:pPr>
              <w:ind w:left="3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(c)(21)</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9"/>
              </w:rPr>
              <w:t>--   Agreement containing Consent Order dated November 11, 1993, among</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the Bureau of Competition of the Federal Trade Commission,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Tele-Communications, Inc. and Liberty Media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33 to Amendment No. 7 to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Schedule 13D filed by Comcast Corporation and Liberty Media</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Amendment No. 6 to Schedule 13D filed by Barry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Diller, in respect of Common Stock of the Company, dated November</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(c)(22)</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8"/>
              </w:rPr>
              <w:t>--   Interim Agreement dated November 11, 1993, among the Federal Trade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Commission, Tele-Communications, Inc. and Liberty Media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(Incorporated by reference to Exhibit 34 to Amendment No. 7 to the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Schedule 13D filed by Comcast Corporation and Liberty Media</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Amendment No. 6 to Schedule 13D filed by Barry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Diller, in respect of Common Stock of the Company, dated November</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16,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(c)(23)</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8"/>
              </w:rPr>
              <w:t>--   Voting Agreement dated December 22, 1993 by BellSouth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Comcast Corporation, Cox Enterprises, Inc., Advance Publications,</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 and Arrow Investments, L.P. (Incorporated by reference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Exhibit 35 to Amendment No. 8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and Liberty Media Corporation and Amendment No. 7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December 29,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(c)(24)</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w w:val="99"/>
              </w:rPr>
              <w:t>--   Letter Agreement dated as of December 20, 1993 among QVC Network,</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Inc., Comcast Corporation, Cox Enterprises, Inc., Advance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Publications, Inc., and BellSouth Corporation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36 to Amendment No. 8 to the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Amendment No. 7 to Schedule 13D filed by Barry Diller, in respect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Common Stock of the Company, dated December 29, 1993)...........</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(c)(25)</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Letter Agreement dated as of February 1, 1994, among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Corporation, Cox Enterprises, Inc., Advance Publications, Inc.,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BellSouth Corporation and QVC Network, Inc.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37 to Amendment No. 9 to the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Amendment No. 8 to Schedule 13D filed by Barry Diller, in respect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Common Stock of the Company, dated February 3,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(c)(26)</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Stock Option Agreement dated as of February 15, 1994, among QVC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Network, Inc., BellSouth Corporation, Cox Enterprises, Inc.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Advance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Publications, Inc. (including exhibits) (Incorporated by reference</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6"/>
              </w:rPr>
              <w:t>Exhibit 40 to Amendment No. 11 to the Schedule 13D filed by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Corporation and Liberty Media Corporation and Amendment No. 10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Schedule 13D filed by Barry Diller, in respect of Common Stock of</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the Company, dated April 28,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(c)(27)</w:t>
            </w:r>
          </w:p>
        </w:tc>
        <w:tc>
          <w:tcPr>
            <w:tcW w:w="6340" w:type="dxa"/>
            <w:vAlign w:val="bottom"/>
          </w:tcPr>
          <w:p>
            <w:pPr>
              <w:ind w:left="40"/>
              <w:spacing w:after="0"/>
              <w:rPr>
                <w:sz w:val="20"/>
                <w:szCs w:val="20"/>
                <w:color w:val="auto"/>
              </w:rPr>
            </w:pPr>
            <w:r>
              <w:rPr>
                <w:rFonts w:ascii="Courier New" w:cs="Courier New" w:eastAsia="Courier New" w:hAnsi="Courier New"/>
                <w:sz w:val="15"/>
                <w:szCs w:val="15"/>
                <w:color w:val="auto"/>
              </w:rPr>
              <w:t>--   Acknowledgement and Agreement dated as of February 15, 1994,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Comcast Corporation and Liberty Media Corporation (Incorporated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reference to Exhibit 41 to Amendment No. 11 to the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and Liberty Media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Amendment No. 10 to Schedule 13D filed by Barry Diller, in respect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tcPr>
          <w:p>
            <w:pPr>
              <w:ind w:left="480"/>
              <w:spacing w:after="0"/>
              <w:rPr>
                <w:sz w:val="20"/>
                <w:szCs w:val="20"/>
                <w:color w:val="auto"/>
              </w:rPr>
            </w:pPr>
            <w:r>
              <w:rPr>
                <w:rFonts w:ascii="Courier New" w:cs="Courier New" w:eastAsia="Courier New" w:hAnsi="Courier New"/>
                <w:sz w:val="15"/>
                <w:szCs w:val="15"/>
                <w:color w:val="auto"/>
                <w:w w:val="96"/>
              </w:rPr>
              <w:t>of Common Stock of the Company, dated April 28, 1994)..............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4"/>
          <w:szCs w:val="14"/>
          <w:color w:val="auto"/>
        </w:rPr>
        <w:t>SEQUENTIALLY</w:t>
      </w:r>
    </w:p>
    <w:p>
      <w:pPr>
        <w:spacing w:after="0" w:line="3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5"/>
          <w:szCs w:val="15"/>
          <w:color w:val="auto"/>
        </w:rPr>
        <w:t>NUMBERED</w:t>
      </w:r>
    </w:p>
    <w:p>
      <w:pPr>
        <w:jc w:val="center"/>
        <w:ind w:right="1659"/>
        <w:spacing w:after="0" w:line="237" w:lineRule="auto"/>
        <w:rPr>
          <w:sz w:val="20"/>
          <w:szCs w:val="20"/>
          <w:color w:val="auto"/>
        </w:rPr>
      </w:pPr>
      <w:r>
        <w:rPr>
          <w:rFonts w:ascii="Courier New" w:cs="Courier New" w:eastAsia="Courier New" w:hAnsi="Courier New"/>
          <w:sz w:val="15"/>
          <w:szCs w:val="15"/>
          <w:color w:val="auto"/>
        </w:rPr>
        <w:t>PAGE</w:t>
      </w: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60" w:space="180"/>
            <w:col w:w="2699"/>
          </w:cols>
          <w:pgMar w:left="220" w:top="26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45"/>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16</w:t>
            </w:r>
          </w:p>
        </w:tc>
        <w:tc>
          <w:tcPr>
            <w:tcW w:w="22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EXHIBIT</w:t>
            </w:r>
          </w:p>
        </w:tc>
        <w:tc>
          <w:tcPr>
            <w:tcW w:w="2220" w:type="dxa"/>
            <w:vAlign w:val="bottom"/>
          </w:tcPr>
          <w:p>
            <w:pPr>
              <w:spacing w:after="0"/>
              <w:rPr>
                <w:sz w:val="24"/>
                <w:szCs w:val="24"/>
                <w:color w:val="auto"/>
              </w:rPr>
            </w:pPr>
          </w:p>
        </w:tc>
        <w:tc>
          <w:tcPr>
            <w:tcW w:w="4120" w:type="dxa"/>
            <w:vAlign w:val="bottom"/>
            <w:vMerge w:val="restart"/>
          </w:tcPr>
          <w:p>
            <w:pPr>
              <w:jc w:val="right"/>
              <w:ind w:right="2387"/>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68"/>
        </w:trPr>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2220" w:type="dxa"/>
            <w:vAlign w:val="bottom"/>
          </w:tcPr>
          <w:p>
            <w:pPr>
              <w:spacing w:after="0"/>
              <w:rPr>
                <w:sz w:val="14"/>
                <w:szCs w:val="14"/>
                <w:color w:val="auto"/>
              </w:rPr>
            </w:pPr>
          </w:p>
        </w:tc>
        <w:tc>
          <w:tcPr>
            <w:tcW w:w="4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spacing w:after="0"/>
              <w:rPr>
                <w:sz w:val="21"/>
                <w:szCs w:val="21"/>
                <w:color w:val="auto"/>
              </w:rPr>
            </w:pPr>
          </w:p>
        </w:tc>
        <w:tc>
          <w:tcPr>
            <w:tcW w:w="412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(c)(28)</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Letter Agreement dated as of February 15, 1994, among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Corporation, BellSouth Corporation, Advance Publications, Inc.,</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Arrow Investments, L.P., Cox Enterprises, Inc. and Liberty Media</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9"/>
              </w:rPr>
              <w:t>Corporation (Incorporated by reference to Exhibit 42 to Amendment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No. 11 to the Schedule 13D filed by Comcast Corporation and Liberty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Media Corporation and Amendment No. 10 to Schedule 13D filed by</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Barry Diller, in respect of Common Stock of the Company, dated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April 28,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(c)(29)</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Letter Agreement dated as of February 15, 1994, among BellSouth</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Corporation, Liberty Media Corporation, Comcast Corporation and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Arrow Investments, L.P. (Incorporated by reference to Exhibit 43 to</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9"/>
              </w:rPr>
              <w:t>Amendment No. 11 to the Schedule 13D filed by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and Liberty Media Corporation and Amendment No. 10 to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9"/>
              </w:rPr>
              <w:t>filed by Barry Diller, in respect of Common Stock of the Company,</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dated April 28,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(c)(30)</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Letter dated July 12, 1994 of Comcast Corporation to Barry Diller,</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9"/>
              </w:rPr>
              <w:t>Chairman and Chief Executive Officer of QVC, Inc. (Included under</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"Special Factors --</w:t>
            </w:r>
          </w:p>
        </w:tc>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Background of the Transaction" in Exhibit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(d)(1) hereto).....................................................</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(c)(31)</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Letter Agreement dated July 21, 1994 between Comcast Corporation</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and Liberty Media Corporation (Incorporated by reference to Exhibit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46 to Amendment No. 20 to the Schedule 13D filed by Comcast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Corporation, in respect of the Company, dated July 22,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(c)(32)</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Agreement and Plan of Merger, dated as of August 4, 1994, among</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QVC, Inc., Comcast Corporation, Liberty Media Corporation and</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Comcast QMerger, Inc.*.............................................</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(c)(33)</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Letter Agreement, dated as of August 4, 1994, among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Corporation, Liberty Media Corporation and Tele-Communications,</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9"/>
              </w:rPr>
              <w:t>Inc. (Incorporated by reference to Exhibit 48 to Amendment No. 21</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to Schedule 13D filed by Comcast, in respect of Common Stock of the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Company, dated August 8,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(c)(34)</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Letter Agreement, dated as of August 4, 1994, among Comcast</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Corporation, Arrow Investments, L.P. and Barry Diller (Incorporated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by reference to Exhibit 50 to Amendment No. 21 to Schedule 13D</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filed by Comcast Corporation, in respect of Common Stock of the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Company, dated August 8, 1994).....................................</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(d)(1)</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   Offer to Purchase, dated August 11, 1994*..........................</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(d)(2)</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Form of Letter of Transmittal (including Guidelines for</w:t>
            </w: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6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Certification of Taxpayer Identification Number on Substitute Form</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W-9)*..............................................................</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(d)(3)</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   Form of Notice of Guaranteed Delivery and Guarantee*...............</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(d)(4)</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Form of Letter to Brokers, Dealers, Commercial Banks, Trust</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Companies and Other Nominees*......................................</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(d)(5)</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Form of Letter to Clients from Brokers, Dealers, Commercial Banks,</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Trust Companies and Other Nominees*................................</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(d)(6)</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   Text of press release issued by Comcast Corporation, Liberty Media</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63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6"/>
              </w:rPr>
              <w:t>Corporation and the Company dated August 4, 1994*..................</w:t>
            </w:r>
          </w:p>
        </w:tc>
        <w:tc>
          <w:tcPr>
            <w:tcW w:w="0" w:type="dxa"/>
            <w:vAlign w:val="bottom"/>
          </w:tcPr>
          <w:p>
            <w:pPr>
              <w:spacing w:after="0"/>
              <w:rPr>
                <w:sz w:val="1"/>
                <w:szCs w:val="1"/>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(d)(7)</w:t>
            </w:r>
          </w:p>
        </w:tc>
        <w:tc>
          <w:tcPr>
            <w:tcW w:w="6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   Form of summary advertisement dated August 11, 1994*...............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4"/>
          <w:szCs w:val="14"/>
          <w:color w:val="auto"/>
        </w:rPr>
        <w:t>SEQUENTIALLY</w:t>
      </w:r>
    </w:p>
    <w:p>
      <w:pPr>
        <w:spacing w:after="0" w:line="3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5"/>
          <w:szCs w:val="15"/>
          <w:color w:val="auto"/>
        </w:rPr>
        <w:t>NUMBERED</w:t>
      </w:r>
    </w:p>
    <w:p>
      <w:pPr>
        <w:jc w:val="center"/>
        <w:ind w:right="1659"/>
        <w:spacing w:after="0" w:line="237" w:lineRule="auto"/>
        <w:rPr>
          <w:sz w:val="20"/>
          <w:szCs w:val="20"/>
          <w:color w:val="auto"/>
        </w:rPr>
      </w:pPr>
      <w:r>
        <w:rPr>
          <w:rFonts w:ascii="Courier New" w:cs="Courier New" w:eastAsia="Courier New" w:hAnsi="Courier New"/>
          <w:sz w:val="15"/>
          <w:szCs w:val="15"/>
          <w:color w:val="auto"/>
        </w:rPr>
        <w:t>PAGE</w:t>
      </w:r>
    </w:p>
    <w:p>
      <w:pPr>
        <w:ind w:left="1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360" w:space="180"/>
            <w:col w:w="2699"/>
          </w:cols>
          <w:pgMar w:left="220" w:top="261"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5"/>
        </w:trPr>
        <w:tc>
          <w:tcPr>
            <w:tcW w:w="1020" w:type="dxa"/>
            <w:vAlign w:val="bottom"/>
          </w:tcPr>
          <w:p>
            <w:pPr>
              <w:ind w:left="280"/>
              <w:spacing w:after="0"/>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10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EXHIBIT</w:t>
            </w:r>
          </w:p>
        </w:tc>
        <w:tc>
          <w:tcPr>
            <w:tcW w:w="3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SEQUENTIALLY</w:t>
            </w:r>
          </w:p>
        </w:tc>
        <w:tc>
          <w:tcPr>
            <w:tcW w:w="0" w:type="dxa"/>
            <w:vAlign w:val="bottom"/>
          </w:tcPr>
          <w:p>
            <w:pPr>
              <w:spacing w:after="0"/>
              <w:rPr>
                <w:sz w:val="1"/>
                <w:szCs w:val="1"/>
                <w:color w:val="auto"/>
              </w:rPr>
            </w:pPr>
          </w:p>
        </w:tc>
      </w:tr>
      <w:tr>
        <w:trPr>
          <w:trHeight w:val="168"/>
        </w:trPr>
        <w:tc>
          <w:tcPr>
            <w:tcW w:w="1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DESCRIPTION</w:t>
            </w:r>
          </w:p>
        </w:tc>
        <w:tc>
          <w:tcPr>
            <w:tcW w:w="12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NUMBERED</w:t>
            </w:r>
          </w:p>
        </w:tc>
        <w:tc>
          <w:tcPr>
            <w:tcW w:w="0" w:type="dxa"/>
            <w:vAlign w:val="bottom"/>
          </w:tcPr>
          <w:p>
            <w:pPr>
              <w:spacing w:after="0"/>
              <w:rPr>
                <w:sz w:val="1"/>
                <w:szCs w:val="1"/>
                <w:color w:val="auto"/>
              </w:rPr>
            </w:pPr>
          </w:p>
        </w:tc>
      </w:tr>
      <w:tr>
        <w:trPr>
          <w:trHeight w:val="168"/>
        </w:trPr>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NUMBER</w:t>
            </w:r>
          </w:p>
        </w:tc>
        <w:tc>
          <w:tcPr>
            <w:tcW w:w="340" w:type="dxa"/>
            <w:vAlign w:val="bottom"/>
          </w:tcPr>
          <w:p>
            <w:pPr>
              <w:spacing w:after="0"/>
              <w:rPr>
                <w:sz w:val="14"/>
                <w:szCs w:val="14"/>
                <w:color w:val="auto"/>
              </w:rPr>
            </w:pPr>
          </w:p>
        </w:tc>
        <w:tc>
          <w:tcPr>
            <w:tcW w:w="6180" w:type="dxa"/>
            <w:vAlign w:val="bottom"/>
            <w:vMerge w:val="continue"/>
          </w:tcPr>
          <w:p>
            <w:pPr>
              <w:spacing w:after="0"/>
              <w:rPr>
                <w:sz w:val="14"/>
                <w:szCs w:val="14"/>
                <w:color w:val="auto"/>
              </w:rPr>
            </w:pPr>
          </w:p>
        </w:tc>
        <w:tc>
          <w:tcPr>
            <w:tcW w:w="12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PAGE</w:t>
            </w: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spacing w:after="0"/>
              <w:rPr>
                <w:sz w:val="21"/>
                <w:szCs w:val="21"/>
                <w:color w:val="auto"/>
              </w:rPr>
            </w:pPr>
          </w:p>
        </w:tc>
        <w:tc>
          <w:tcPr>
            <w:tcW w:w="6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0"/>
                <w:szCs w:val="20"/>
                <w:color w:val="auto"/>
              </w:rPr>
            </w:pPr>
            <w:r>
              <w:rPr>
                <w:rFonts w:ascii="Courier New" w:cs="Courier New" w:eastAsia="Courier New" w:hAnsi="Courier New"/>
                <w:sz w:val="15"/>
                <w:szCs w:val="15"/>
                <w:color w:val="auto"/>
              </w:rPr>
              <w:t>(d)(8)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180" w:type="dxa"/>
            <w:vAlign w:val="bottom"/>
          </w:tcPr>
          <w:p>
            <w:pPr>
              <w:jc w:val="center"/>
              <w:spacing w:after="0"/>
              <w:rPr>
                <w:sz w:val="20"/>
                <w:szCs w:val="20"/>
                <w:color w:val="auto"/>
              </w:rPr>
            </w:pPr>
            <w:r>
              <w:rPr>
                <w:rFonts w:ascii="Courier New" w:cs="Courier New" w:eastAsia="Courier New" w:hAnsi="Courier New"/>
                <w:sz w:val="15"/>
                <w:szCs w:val="15"/>
                <w:color w:val="auto"/>
                <w:w w:val="97"/>
              </w:rPr>
              <w:t>Accountants' consent relating to the inclusion of certain financial</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180" w:type="dxa"/>
            <w:vAlign w:val="bottom"/>
          </w:tcPr>
          <w:p>
            <w:pPr>
              <w:jc w:val="center"/>
              <w:spacing w:after="0"/>
              <w:rPr>
                <w:sz w:val="20"/>
                <w:szCs w:val="20"/>
                <w:color w:val="auto"/>
              </w:rPr>
            </w:pPr>
            <w:r>
              <w:rPr>
                <w:rFonts w:ascii="Courier New" w:cs="Courier New" w:eastAsia="Courier New" w:hAnsi="Courier New"/>
                <w:sz w:val="15"/>
                <w:szCs w:val="15"/>
                <w:color w:val="auto"/>
                <w:w w:val="97"/>
              </w:rPr>
              <w:t>statements of QVC, Inc. in Annex C to the Offer to Purchase........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500" w:right="2879" w:hanging="1490"/>
        <w:spacing w:after="0" w:line="254" w:lineRule="auto"/>
        <w:tabs>
          <w:tab w:leader="none" w:pos="106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Section 262 of the Delaware General Corporation Law (set forth as Annex B to the Offer to Purchase)..................................</w:t>
      </w:r>
    </w:p>
    <w:p>
      <w:pPr>
        <w:ind w:left="1060" w:hanging="1050"/>
        <w:spacing w:after="0"/>
        <w:tabs>
          <w:tab w:leader="none" w:pos="10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 applicable.</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Incorporated by reference to the 14D-1.</w:t>
      </w:r>
    </w:p>
    <w:p>
      <w:pPr>
        <w:sectPr>
          <w:pgSz w:w="11900" w:h="16838" w:orient="portrait"/>
          <w:cols w:equalWidth="0" w:num="1">
            <w:col w:w="10239"/>
          </w:cols>
          <w:pgMar w:left="220" w:top="261" w:right="1440" w:bottom="1440" w:gutter="0" w:footer="0" w:header="0"/>
        </w:sectPr>
      </w:pPr>
    </w:p>
    <w:bookmarkStart w:id="17" w:name="page18"/>
    <w:bookmarkEnd w:id="17"/>
    <w:p>
      <w:pPr>
        <w:ind w:left="270"/>
        <w:spacing w:after="0"/>
        <w:rPr>
          <w:sz w:val="20"/>
          <w:szCs w:val="20"/>
          <w:color w:val="auto"/>
        </w:rPr>
      </w:pPr>
      <w:r>
        <w:rPr>
          <w:rFonts w:ascii="Courier New" w:cs="Courier New" w:eastAsia="Courier New" w:hAnsi="Courier New"/>
          <w:sz w:val="15"/>
          <w:szCs w:val="15"/>
          <w:color w:val="auto"/>
        </w:rPr>
        <w:t>1</w:t>
      </w:r>
    </w:p>
    <w:p>
      <w:pPr>
        <w:spacing w:after="0" w:line="23" w:lineRule="exact"/>
        <w:rPr>
          <w:sz w:val="20"/>
          <w:szCs w:val="20"/>
          <w:color w:val="auto"/>
        </w:rPr>
      </w:pPr>
    </w:p>
    <w:p>
      <w:pPr>
        <w:ind w:left="5770"/>
        <w:spacing w:after="0"/>
        <w:rPr>
          <w:sz w:val="20"/>
          <w:szCs w:val="20"/>
          <w:color w:val="auto"/>
        </w:rPr>
      </w:pPr>
      <w:r>
        <w:rPr>
          <w:rFonts w:ascii="Courier New" w:cs="Courier New" w:eastAsia="Courier New" w:hAnsi="Courier New"/>
          <w:sz w:val="15"/>
          <w:szCs w:val="15"/>
          <w:color w:val="auto"/>
        </w:rPr>
        <w:t>EXHIBIT(b)(1)</w:t>
      </w:r>
    </w:p>
    <w:p>
      <w:pPr>
        <w:ind w:left="170" w:hanging="170"/>
        <w:spacing w:after="0"/>
        <w:tabs>
          <w:tab w:leader="none" w:pos="1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51" w:lineRule="exact"/>
        <w:rPr>
          <w:rFonts w:ascii="Courier New" w:cs="Courier New" w:eastAsia="Courier New" w:hAnsi="Courier New"/>
          <w:sz w:val="14"/>
          <w:szCs w:val="14"/>
          <w:color w:val="auto"/>
        </w:rPr>
      </w:pPr>
    </w:p>
    <w:p>
      <w:pPr>
        <w:ind w:left="2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PROJECT QUICK</w:t>
      </w:r>
    </w:p>
    <w:p>
      <w:pPr>
        <w:spacing w:after="0" w:line="16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1830"/>
        <w:spacing w:after="0"/>
        <w:rPr>
          <w:sz w:val="20"/>
          <w:szCs w:val="20"/>
          <w:color w:val="auto"/>
        </w:rPr>
      </w:pPr>
      <w:r>
        <w:rPr>
          <w:rFonts w:ascii="Courier New" w:cs="Courier New" w:eastAsia="Courier New" w:hAnsi="Courier New"/>
          <w:sz w:val="15"/>
          <w:szCs w:val="15"/>
          <w:color w:val="auto"/>
        </w:rPr>
        <w:t>PRESENTATION TO THE BOARD OF DIRECTORS</w:t>
      </w:r>
    </w:p>
    <w:p>
      <w:pPr>
        <w:spacing w:after="0" w:line="200" w:lineRule="exact"/>
        <w:rPr>
          <w:sz w:val="20"/>
          <w:szCs w:val="20"/>
          <w:color w:val="auto"/>
        </w:rPr>
      </w:pPr>
    </w:p>
    <w:p>
      <w:pPr>
        <w:spacing w:after="0" w:line="303" w:lineRule="exact"/>
        <w:rPr>
          <w:sz w:val="20"/>
          <w:szCs w:val="20"/>
          <w:color w:val="auto"/>
        </w:rPr>
      </w:pPr>
    </w:p>
    <w:p>
      <w:pPr>
        <w:ind w:left="2890"/>
        <w:spacing w:after="0"/>
        <w:rPr>
          <w:sz w:val="20"/>
          <w:szCs w:val="20"/>
          <w:color w:val="auto"/>
        </w:rPr>
      </w:pPr>
      <w:r>
        <w:rPr>
          <w:rFonts w:ascii="Courier New" w:cs="Courier New" w:eastAsia="Courier New" w:hAnsi="Courier New"/>
          <w:sz w:val="15"/>
          <w:szCs w:val="15"/>
          <w:color w:val="auto"/>
        </w:rPr>
        <w:t>JULY 12,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50"/>
        <w:spacing w:after="0"/>
        <w:rPr>
          <w:sz w:val="20"/>
          <w:szCs w:val="20"/>
          <w:color w:val="auto"/>
        </w:rPr>
      </w:pPr>
      <w:r>
        <w:rPr>
          <w:rFonts w:ascii="Courier New" w:cs="Courier New" w:eastAsia="Courier New" w:hAnsi="Courier New"/>
          <w:sz w:val="15"/>
          <w:szCs w:val="15"/>
          <w:color w:val="auto"/>
        </w:rPr>
        <w:t>Lazard Freres &amp; Co.</w:t>
      </w:r>
    </w:p>
    <w:p>
      <w:pPr>
        <w:sectPr>
          <w:pgSz w:w="11900" w:h="16838" w:orient="portrait"/>
          <w:cols w:equalWidth="0" w:num="1">
            <w:col w:w="10229"/>
          </w:cols>
          <w:pgMar w:left="230" w:top="115" w:right="1440" w:bottom="1440" w:gutter="0" w:footer="0" w:header="0"/>
        </w:sectPr>
      </w:pPr>
    </w:p>
    <w:bookmarkStart w:id="18" w:name="page19"/>
    <w:bookmarkEnd w:id="18"/>
    <w:p>
      <w:pPr>
        <w:ind w:left="27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170" w:hanging="170"/>
        <w:spacing w:after="0"/>
        <w:tabs>
          <w:tab w:leader="none" w:pos="17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27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Table of Contents</w:t>
      </w:r>
    </w:p>
    <w:p>
      <w:pPr>
        <w:spacing w:after="0" w:line="166"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61"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Tab</w:t>
      </w:r>
    </w:p>
    <w:p>
      <w:pPr>
        <w:spacing w:after="0" w:line="36" w:lineRule="exact"/>
        <w:rPr>
          <w:sz w:val="20"/>
          <w:szCs w:val="20"/>
          <w:color w:val="auto"/>
        </w:rPr>
      </w:pPr>
    </w:p>
    <w:p>
      <w:pPr>
        <w:ind w:left="3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p>
      <w:pPr>
        <w:sectPr>
          <w:pgSz w:w="11900" w:h="16838" w:orient="portrait"/>
          <w:cols w:equalWidth="0" w:num="2">
            <w:col w:w="5830" w:space="720"/>
            <w:col w:w="3679"/>
          </w:cols>
          <w:pgMar w:left="230" w:top="261" w:right="1440" w:bottom="1440" w:gutter="0" w:footer="0" w:header="0"/>
          <w:type w:val="continuous"/>
        </w:sectPr>
      </w:pPr>
    </w:p>
    <w:p>
      <w:pPr>
        <w:ind w:left="350"/>
        <w:spacing w:after="0"/>
        <w:rPr>
          <w:sz w:val="20"/>
          <w:szCs w:val="20"/>
          <w:color w:val="auto"/>
        </w:rPr>
      </w:pPr>
      <w:r>
        <w:rPr>
          <w:rFonts w:ascii="Courier New" w:cs="Courier New" w:eastAsia="Courier New" w:hAnsi="Courier New"/>
          <w:sz w:val="15"/>
          <w:szCs w:val="15"/>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SUMMARY............................................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sectPr>
          <w:pgSz w:w="11900" w:h="16838" w:orient="portrait"/>
          <w:cols w:equalWidth="0" w:num="3">
            <w:col w:w="530" w:space="600"/>
            <w:col w:w="5340" w:space="260"/>
            <w:col w:w="3499"/>
          </w:cols>
          <w:pgMar w:left="230" w:top="261" w:right="1440" w:bottom="1440" w:gutter="0" w:footer="0" w:header="0"/>
          <w:type w:val="continuous"/>
        </w:sectPr>
      </w:pPr>
    </w:p>
    <w:p>
      <w:pPr>
        <w:ind w:left="1130" w:hanging="780"/>
        <w:spacing w:after="0"/>
        <w:tabs>
          <w:tab w:leader="none" w:pos="113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STRUCTURE</w:t>
      </w:r>
    </w:p>
    <w:p>
      <w:pPr>
        <w:spacing w:after="0" w:line="166" w:lineRule="exact"/>
        <w:rPr>
          <w:sz w:val="20"/>
          <w:szCs w:val="20"/>
          <w:color w:val="auto"/>
        </w:rPr>
      </w:pPr>
    </w:p>
    <w:p>
      <w:pPr>
        <w:ind w:left="1130"/>
        <w:spacing w:after="0"/>
        <w:tabs>
          <w:tab w:leader="none" w:pos="1810" w:val="left"/>
          <w:tab w:leader="dot" w:pos="671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CONSIDERATION</w:t>
      </w:r>
      <w:r>
        <w:rPr>
          <w:sz w:val="20"/>
          <w:szCs w:val="20"/>
          <w:color w:val="auto"/>
        </w:rPr>
        <w:tab/>
      </w:r>
      <w:r>
        <w:rPr>
          <w:rFonts w:ascii="Courier New" w:cs="Courier New" w:eastAsia="Courier New" w:hAnsi="Courier New"/>
          <w:sz w:val="15"/>
          <w:szCs w:val="15"/>
          <w:color w:val="auto"/>
        </w:rPr>
        <w:t>2</w:t>
      </w:r>
    </w:p>
    <w:p>
      <w:pPr>
        <w:spacing w:after="0" w:line="23" w:lineRule="exact"/>
        <w:rPr>
          <w:sz w:val="20"/>
          <w:szCs w:val="20"/>
          <w:color w:val="auto"/>
        </w:rPr>
      </w:pPr>
    </w:p>
    <w:p>
      <w:pPr>
        <w:ind w:left="1130"/>
        <w:spacing w:after="0"/>
        <w:tabs>
          <w:tab w:leader="none" w:pos="1810" w:val="left"/>
          <w:tab w:leader="dot" w:pos="671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SOURCES AND USES</w:t>
      </w:r>
      <w:r>
        <w:rPr>
          <w:sz w:val="20"/>
          <w:szCs w:val="20"/>
          <w:color w:val="auto"/>
        </w:rPr>
        <w:tab/>
      </w:r>
      <w:r>
        <w:rPr>
          <w:rFonts w:ascii="Courier New" w:cs="Courier New" w:eastAsia="Courier New" w:hAnsi="Courier New"/>
          <w:sz w:val="15"/>
          <w:szCs w:val="15"/>
          <w:color w:val="auto"/>
        </w:rPr>
        <w:t>3</w:t>
      </w:r>
    </w:p>
    <w:p>
      <w:pPr>
        <w:ind w:left="1130"/>
        <w:spacing w:after="0"/>
        <w:tabs>
          <w:tab w:leader="none" w:pos="1810" w:val="left"/>
          <w:tab w:leader="dot" w:pos="671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CASH/DEBT BALANCES</w:t>
      </w:r>
      <w:r>
        <w:rPr>
          <w:sz w:val="20"/>
          <w:szCs w:val="20"/>
          <w:color w:val="auto"/>
        </w:rPr>
        <w:tab/>
      </w:r>
      <w:r>
        <w:rPr>
          <w:rFonts w:ascii="Courier New" w:cs="Courier New" w:eastAsia="Courier New" w:hAnsi="Courier New"/>
          <w:sz w:val="15"/>
          <w:szCs w:val="15"/>
          <w:color w:val="auto"/>
        </w:rPr>
        <w:t>4</w:t>
      </w:r>
    </w:p>
    <w:p>
      <w:pPr>
        <w:spacing w:after="0" w:line="140" w:lineRule="exact"/>
        <w:rPr>
          <w:sz w:val="20"/>
          <w:szCs w:val="20"/>
          <w:color w:val="auto"/>
        </w:rPr>
      </w:pPr>
    </w:p>
    <w:p>
      <w:pPr>
        <w:ind w:left="1050" w:hanging="788"/>
        <w:spacing w:after="0"/>
        <w:tabs>
          <w:tab w:leader="none" w:pos="10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CBS DEAL</w:t>
      </w:r>
    </w:p>
    <w:p>
      <w:pPr>
        <w:spacing w:after="0" w:line="166" w:lineRule="exact"/>
        <w:rPr>
          <w:sz w:val="20"/>
          <w:szCs w:val="20"/>
          <w:color w:val="auto"/>
        </w:rPr>
      </w:pPr>
    </w:p>
    <w:p>
      <w:pPr>
        <w:ind w:left="1050"/>
        <w:spacing w:after="0"/>
        <w:tabs>
          <w:tab w:leader="none" w:pos="1730" w:val="left"/>
          <w:tab w:leader="dot" w:pos="671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OVERVIEW</w:t>
      </w:r>
      <w:r>
        <w:rPr>
          <w:sz w:val="20"/>
          <w:szCs w:val="20"/>
          <w:color w:val="auto"/>
        </w:rPr>
        <w:tab/>
      </w:r>
      <w:r>
        <w:rPr>
          <w:rFonts w:ascii="Courier New" w:cs="Courier New" w:eastAsia="Courier New" w:hAnsi="Courier New"/>
          <w:sz w:val="15"/>
          <w:szCs w:val="15"/>
          <w:color w:val="auto"/>
        </w:rPr>
        <w:t>5</w:t>
      </w:r>
    </w:p>
    <w:p>
      <w:pPr>
        <w:spacing w:after="0" w:line="23" w:lineRule="exact"/>
        <w:rPr>
          <w:sz w:val="20"/>
          <w:szCs w:val="20"/>
          <w:color w:val="auto"/>
        </w:rPr>
      </w:pPr>
    </w:p>
    <w:p>
      <w:pPr>
        <w:ind w:left="1050"/>
        <w:spacing w:after="0"/>
        <w:tabs>
          <w:tab w:leader="none" w:pos="1730" w:val="left"/>
          <w:tab w:leader="dot" w:pos="671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BLENDED MULTIPLE ANALYSIS</w:t>
      </w:r>
      <w:r>
        <w:rPr>
          <w:sz w:val="20"/>
          <w:szCs w:val="20"/>
          <w:color w:val="auto"/>
        </w:rPr>
        <w:tab/>
      </w:r>
      <w:r>
        <w:rPr>
          <w:rFonts w:ascii="Courier New" w:cs="Courier New" w:eastAsia="Courier New" w:hAnsi="Courier New"/>
          <w:sz w:val="15"/>
          <w:szCs w:val="15"/>
          <w:color w:val="auto"/>
        </w:rPr>
        <w:t>6</w:t>
      </w:r>
    </w:p>
    <w:p>
      <w:pPr>
        <w:ind w:left="1050"/>
        <w:spacing w:after="0"/>
        <w:tabs>
          <w:tab w:leader="none" w:pos="1730" w:val="left"/>
          <w:tab w:leader="dot" w:pos="671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STOCK TRADING HISTORY</w:t>
      </w:r>
      <w:r>
        <w:rPr>
          <w:sz w:val="20"/>
          <w:szCs w:val="20"/>
          <w:color w:val="auto"/>
        </w:rPr>
        <w:tab/>
      </w:r>
      <w:r>
        <w:rPr>
          <w:rFonts w:ascii="Courier New" w:cs="Courier New" w:eastAsia="Courier New" w:hAnsi="Courier New"/>
          <w:sz w:val="15"/>
          <w:szCs w:val="15"/>
          <w:color w:val="auto"/>
        </w:rPr>
        <w:t>7</w:t>
      </w:r>
    </w:p>
    <w:p>
      <w:pPr>
        <w:spacing w:after="0" w:line="140" w:lineRule="exact"/>
        <w:rPr>
          <w:sz w:val="20"/>
          <w:szCs w:val="20"/>
          <w:color w:val="auto"/>
        </w:rPr>
      </w:pPr>
    </w:p>
    <w:p>
      <w:pPr>
        <w:ind w:left="350"/>
        <w:spacing w:after="0"/>
        <w:tabs>
          <w:tab w:leader="none" w:pos="111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VALUATION OF QVC</w:t>
      </w:r>
    </w:p>
    <w:p>
      <w:pPr>
        <w:spacing w:after="0" w:line="166" w:lineRule="exact"/>
        <w:rPr>
          <w:sz w:val="20"/>
          <w:szCs w:val="20"/>
          <w:color w:val="auto"/>
        </w:rPr>
      </w:pPr>
    </w:p>
    <w:p>
      <w:pPr>
        <w:ind w:left="1050"/>
        <w:spacing w:after="0"/>
        <w:tabs>
          <w:tab w:leader="none" w:pos="1730" w:val="left"/>
          <w:tab w:leader="dot" w:pos="671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OPERATIONAL OVERVIEW</w:t>
      </w:r>
      <w:r>
        <w:rPr>
          <w:sz w:val="20"/>
          <w:szCs w:val="20"/>
          <w:color w:val="auto"/>
        </w:rPr>
        <w:tab/>
      </w:r>
      <w:r>
        <w:rPr>
          <w:rFonts w:ascii="Courier New" w:cs="Courier New" w:eastAsia="Courier New" w:hAnsi="Courier New"/>
          <w:sz w:val="15"/>
          <w:szCs w:val="15"/>
          <w:color w:val="auto"/>
        </w:rPr>
        <w:t>8</w:t>
      </w:r>
    </w:p>
    <w:p>
      <w:pPr>
        <w:spacing w:after="0" w:line="23" w:lineRule="exact"/>
        <w:rPr>
          <w:sz w:val="20"/>
          <w:szCs w:val="20"/>
          <w:color w:val="auto"/>
        </w:rPr>
      </w:pPr>
    </w:p>
    <w:p>
      <w:pPr>
        <w:ind w:left="1050"/>
        <w:spacing w:after="0"/>
        <w:tabs>
          <w:tab w:leader="none" w:pos="1730" w:val="left"/>
          <w:tab w:leader="dot" w:pos="671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SUMMARY VALUATION RESULTS</w:t>
      </w:r>
      <w:r>
        <w:rPr>
          <w:sz w:val="20"/>
          <w:szCs w:val="20"/>
          <w:color w:val="auto"/>
        </w:rPr>
        <w:tab/>
      </w:r>
      <w:r>
        <w:rPr>
          <w:rFonts w:ascii="Courier New" w:cs="Courier New" w:eastAsia="Courier New" w:hAnsi="Courier New"/>
          <w:sz w:val="15"/>
          <w:szCs w:val="15"/>
          <w:color w:val="auto"/>
        </w:rPr>
        <w:t>9</w:t>
      </w:r>
    </w:p>
    <w:p>
      <w:pPr>
        <w:ind w:left="1050"/>
        <w:spacing w:after="0" w:line="237" w:lineRule="auto"/>
        <w:tabs>
          <w:tab w:leader="none" w:pos="1730" w:val="left"/>
          <w:tab w:leader="dot" w:pos="6630" w:val="left"/>
        </w:tabs>
        <w:rPr>
          <w:sz w:val="20"/>
          <w:szCs w:val="20"/>
          <w:color w:val="auto"/>
        </w:rPr>
      </w:pPr>
      <w:r>
        <w:rPr>
          <w:rFonts w:ascii="Courier New" w:cs="Courier New" w:eastAsia="Courier New" w:hAnsi="Courier New"/>
          <w:sz w:val="15"/>
          <w:szCs w:val="15"/>
          <w:color w:val="auto"/>
        </w:rPr>
        <w:t>C.</w:t>
      </w:r>
      <w:r>
        <w:rPr>
          <w:sz w:val="20"/>
          <w:szCs w:val="20"/>
          <w:color w:val="auto"/>
        </w:rPr>
        <w:tab/>
      </w:r>
      <w:r>
        <w:rPr>
          <w:rFonts w:ascii="Courier New" w:cs="Courier New" w:eastAsia="Courier New" w:hAnsi="Courier New"/>
          <w:sz w:val="15"/>
          <w:szCs w:val="15"/>
          <w:color w:val="auto"/>
        </w:rPr>
        <w:t>PROJECTIONS</w:t>
      </w:r>
      <w:r>
        <w:rPr>
          <w:sz w:val="20"/>
          <w:szCs w:val="20"/>
          <w:color w:val="auto"/>
        </w:rPr>
        <w:tab/>
      </w:r>
      <w:r>
        <w:rPr>
          <w:rFonts w:ascii="Courier New" w:cs="Courier New" w:eastAsia="Courier New" w:hAnsi="Courier New"/>
          <w:sz w:val="15"/>
          <w:szCs w:val="15"/>
          <w:color w:val="auto"/>
        </w:rPr>
        <w:t>10</w:t>
      </w:r>
    </w:p>
    <w:p>
      <w:pPr>
        <w:ind w:left="1050"/>
        <w:spacing w:after="0" w:line="238" w:lineRule="auto"/>
        <w:tabs>
          <w:tab w:leader="none" w:pos="1730" w:val="left"/>
          <w:tab w:leader="dot" w:pos="6630" w:val="left"/>
        </w:tabs>
        <w:rPr>
          <w:sz w:val="20"/>
          <w:szCs w:val="20"/>
          <w:color w:val="auto"/>
        </w:rPr>
      </w:pPr>
      <w:r>
        <w:rPr>
          <w:rFonts w:ascii="Courier New" w:cs="Courier New" w:eastAsia="Courier New" w:hAnsi="Courier New"/>
          <w:sz w:val="15"/>
          <w:szCs w:val="15"/>
          <w:color w:val="auto"/>
        </w:rPr>
        <w:t>D.</w:t>
      </w:r>
      <w:r>
        <w:rPr>
          <w:sz w:val="20"/>
          <w:szCs w:val="20"/>
          <w:color w:val="auto"/>
        </w:rPr>
        <w:tab/>
      </w:r>
      <w:r>
        <w:rPr>
          <w:rFonts w:ascii="Courier New" w:cs="Courier New" w:eastAsia="Courier New" w:hAnsi="Courier New"/>
          <w:sz w:val="15"/>
          <w:szCs w:val="15"/>
          <w:color w:val="auto"/>
        </w:rPr>
        <w:t>ANALYSIS AT VARIOUS PRICES</w:t>
      </w:r>
      <w:r>
        <w:rPr>
          <w:sz w:val="20"/>
          <w:szCs w:val="20"/>
          <w:color w:val="auto"/>
        </w:rPr>
        <w:tab/>
      </w:r>
      <w:r>
        <w:rPr>
          <w:rFonts w:ascii="Courier New" w:cs="Courier New" w:eastAsia="Courier New" w:hAnsi="Courier New"/>
          <w:sz w:val="15"/>
          <w:szCs w:val="15"/>
          <w:color w:val="auto"/>
        </w:rPr>
        <w:t>15</w:t>
      </w:r>
    </w:p>
    <w:p>
      <w:pPr>
        <w:ind w:left="1050"/>
        <w:spacing w:after="0" w:line="237" w:lineRule="auto"/>
        <w:tabs>
          <w:tab w:leader="none" w:pos="1730" w:val="left"/>
          <w:tab w:leader="dot" w:pos="663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STOCK TRADING HISTORY</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1050"/>
        <w:spacing w:after="0"/>
        <w:tabs>
          <w:tab w:leader="none" w:pos="1730" w:val="left"/>
          <w:tab w:leader="dot" w:pos="6630" w:val="left"/>
        </w:tabs>
        <w:rPr>
          <w:sz w:val="20"/>
          <w:szCs w:val="20"/>
          <w:color w:val="auto"/>
        </w:rPr>
      </w:pPr>
      <w:r>
        <w:rPr>
          <w:rFonts w:ascii="Courier New" w:cs="Courier New" w:eastAsia="Courier New" w:hAnsi="Courier New"/>
          <w:sz w:val="15"/>
          <w:szCs w:val="15"/>
          <w:color w:val="auto"/>
        </w:rPr>
        <w:t>F.</w:t>
      </w:r>
      <w:r>
        <w:rPr>
          <w:sz w:val="20"/>
          <w:szCs w:val="20"/>
          <w:color w:val="auto"/>
        </w:rPr>
        <w:tab/>
      </w:r>
      <w:r>
        <w:rPr>
          <w:rFonts w:ascii="Courier New" w:cs="Courier New" w:eastAsia="Courier New" w:hAnsi="Courier New"/>
          <w:sz w:val="15"/>
          <w:szCs w:val="15"/>
          <w:color w:val="auto"/>
        </w:rPr>
        <w:t>COMPARABLE COMPANIES SUMMARY</w:t>
      </w:r>
      <w:r>
        <w:rPr>
          <w:sz w:val="20"/>
          <w:szCs w:val="20"/>
          <w:color w:val="auto"/>
        </w:rPr>
        <w:tab/>
      </w:r>
      <w:r>
        <w:rPr>
          <w:rFonts w:ascii="Courier New" w:cs="Courier New" w:eastAsia="Courier New" w:hAnsi="Courier New"/>
          <w:sz w:val="15"/>
          <w:szCs w:val="15"/>
          <w:color w:val="auto"/>
        </w:rPr>
        <w:t>18</w:t>
      </w:r>
    </w:p>
    <w:p>
      <w:pPr>
        <w:spacing w:after="0" w:line="140" w:lineRule="exact"/>
        <w:rPr>
          <w:sz w:val="20"/>
          <w:szCs w:val="20"/>
          <w:color w:val="auto"/>
        </w:rPr>
      </w:pPr>
    </w:p>
    <w:p>
      <w:pPr>
        <w:ind w:left="430"/>
        <w:spacing w:after="0"/>
        <w:tabs>
          <w:tab w:leader="none" w:pos="1210" w:val="left"/>
          <w:tab w:leader="dot" w:pos="6630"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SUMMARY OF RECENT RESEARCH REPORTS</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29"/>
          </w:cols>
          <w:pgMar w:left="230" w:top="261"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26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 Executive Summary</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5"/>
          <w:szCs w:val="15"/>
          <w:color w:val="auto"/>
        </w:rPr>
        <w:t>Comcast is planning to propose to acquire all shares of QVC which Comcast does not already own for a consideration of $45.00 per share consisting of $38.00 per share in cash and $7.00 per share in a newly formed class of Comcast Convertible Exchangeable Preferred Stock. This Preferred would have a 7.5% annual dividend and would be convertible into Class A Special Common Stock at a conversion price of $21.00 per share.</w:t>
      </w:r>
    </w:p>
    <w:p>
      <w:pPr>
        <w:spacing w:after="0" w:line="81" w:lineRule="exact"/>
        <w:rPr>
          <w:sz w:val="20"/>
          <w:szCs w:val="20"/>
          <w:color w:val="auto"/>
        </w:rPr>
      </w:pPr>
    </w:p>
    <w:p>
      <w:pPr>
        <w:ind w:right="3399"/>
        <w:spacing w:after="0" w:line="290" w:lineRule="auto"/>
        <w:rPr>
          <w:sz w:val="20"/>
          <w:szCs w:val="20"/>
          <w:color w:val="auto"/>
        </w:rPr>
      </w:pPr>
      <w:r>
        <w:rPr>
          <w:rFonts w:ascii="Courier New" w:cs="Courier New" w:eastAsia="Courier New" w:hAnsi="Courier New"/>
          <w:sz w:val="15"/>
          <w:szCs w:val="15"/>
          <w:color w:val="auto"/>
        </w:rPr>
        <w:t>QVC's stock price as of 1:15 p.m. today was $35.125. The $45.00 price represents a 28% premium to this price (and a 39% premium to QVC's stock price the day prior to the announcement of the CBS deal).</w:t>
      </w:r>
    </w:p>
    <w:p>
      <w:pPr>
        <w:spacing w:after="0" w:line="57" w:lineRule="exact"/>
        <w:rPr>
          <w:sz w:val="20"/>
          <w:szCs w:val="20"/>
          <w:color w:val="auto"/>
        </w:rPr>
      </w:pPr>
    </w:p>
    <w:p>
      <w:pPr>
        <w:jc w:val="both"/>
        <w:ind w:right="4099"/>
        <w:spacing w:after="0" w:line="290" w:lineRule="auto"/>
        <w:rPr>
          <w:sz w:val="20"/>
          <w:szCs w:val="20"/>
          <w:color w:val="auto"/>
        </w:rPr>
      </w:pPr>
      <w:r>
        <w:rPr>
          <w:rFonts w:ascii="Courier New" w:cs="Courier New" w:eastAsia="Courier New" w:hAnsi="Courier New"/>
          <w:sz w:val="15"/>
          <w:szCs w:val="15"/>
          <w:color w:val="auto"/>
        </w:rPr>
        <w:t>The total amount of funds required to complete the QVC transaction is approximately $1.9 billion, of which $274 million would be Convertible Preferred.</w:t>
      </w:r>
    </w:p>
    <w:p>
      <w:pPr>
        <w:spacing w:after="0" w:line="57"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The board meetings for both QVC and CBS to approve their proposed merger are scheduled for Wednesday, July 13. Comcast's acquisition proposal would be delivered and publicly disclosed after the close of business today, subject to the approval of the Comcast board of directors.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40"/>
        <w:spacing w:after="0"/>
        <w:tabs>
          <w:tab w:leader="none" w:pos="524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0239"/>
          </w:cols>
          <w:pgMar w:left="220" w:top="26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4</w:t>
      </w:r>
    </w:p>
    <w:p>
      <w:pPr>
        <w:spacing w:after="0" w:line="24" w:lineRule="exact"/>
        <w:rPr>
          <w:sz w:val="20"/>
          <w:szCs w:val="20"/>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 Transaction Structure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Consideration</w:t>
      </w:r>
    </w:p>
    <w:p>
      <w:pPr>
        <w:spacing w:after="0" w:line="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Consideration Summary:</w:t>
            </w:r>
          </w:p>
        </w:tc>
        <w:tc>
          <w:tcPr>
            <w:tcW w:w="2800" w:type="dxa"/>
            <w:vAlign w:val="bottom"/>
            <w:vMerge w:val="restart"/>
          </w:tcPr>
          <w:p>
            <w:pPr>
              <w:ind w:left="1360"/>
              <w:spacing w:after="0"/>
              <w:rPr>
                <w:sz w:val="20"/>
                <w:szCs w:val="20"/>
                <w:color w:val="auto"/>
              </w:rPr>
            </w:pPr>
            <w:r>
              <w:rPr>
                <w:rFonts w:ascii="Courier New" w:cs="Courier New" w:eastAsia="Courier New" w:hAnsi="Courier New"/>
                <w:sz w:val="15"/>
                <w:szCs w:val="15"/>
                <w:color w:val="auto"/>
              </w:rPr>
              <w:t>Per Share</w:t>
            </w:r>
          </w:p>
        </w:tc>
        <w:tc>
          <w:tcPr>
            <w:tcW w:w="2060" w:type="dxa"/>
            <w:vAlign w:val="bottom"/>
            <w:vMerge w:val="restart"/>
          </w:tcPr>
          <w:p>
            <w:pPr>
              <w:ind w:left="840"/>
              <w:spacing w:after="0"/>
              <w:rPr>
                <w:sz w:val="20"/>
                <w:szCs w:val="20"/>
                <w:color w:val="auto"/>
              </w:rPr>
            </w:pPr>
            <w:r>
              <w:rPr>
                <w:rFonts w:ascii="Courier New" w:cs="Courier New" w:eastAsia="Courier New" w:hAnsi="Courier New"/>
                <w:sz w:val="15"/>
                <w:szCs w:val="15"/>
                <w:color w:val="auto"/>
              </w:rPr>
              <w:t>Aggregate</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80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80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2800" w:type="dxa"/>
            <w:vAlign w:val="bottom"/>
          </w:tcPr>
          <w:p>
            <w:pPr>
              <w:ind w:left="1200"/>
              <w:spacing w:after="0"/>
              <w:rPr>
                <w:sz w:val="20"/>
                <w:szCs w:val="20"/>
                <w:color w:val="auto"/>
              </w:rPr>
            </w:pPr>
            <w:r>
              <w:rPr>
                <w:rFonts w:ascii="Courier New" w:cs="Courier New" w:eastAsia="Courier New" w:hAnsi="Courier New"/>
                <w:sz w:val="15"/>
                <w:szCs w:val="15"/>
                <w:color w:val="auto"/>
              </w:rPr>
              <w:t>$38.00</w:t>
            </w:r>
          </w:p>
        </w:tc>
        <w:tc>
          <w:tcPr>
            <w:tcW w:w="2060" w:type="dxa"/>
            <w:vAlign w:val="bottom"/>
          </w:tcPr>
          <w:p>
            <w:pPr>
              <w:ind w:left="760"/>
              <w:spacing w:after="0"/>
              <w:rPr>
                <w:sz w:val="20"/>
                <w:szCs w:val="20"/>
                <w:color w:val="auto"/>
              </w:rPr>
            </w:pPr>
            <w:r>
              <w:rPr>
                <w:rFonts w:ascii="Courier New" w:cs="Courier New" w:eastAsia="Courier New" w:hAnsi="Courier New"/>
                <w:sz w:val="15"/>
                <w:szCs w:val="15"/>
                <w:color w:val="auto"/>
              </w:rPr>
              <w:t>$1,489</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84.4%</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Convertible Preferred</w:t>
            </w:r>
          </w:p>
        </w:tc>
        <w:tc>
          <w:tcPr>
            <w:tcW w:w="2800" w:type="dxa"/>
            <w:vAlign w:val="bottom"/>
          </w:tcPr>
          <w:p>
            <w:pPr>
              <w:ind w:left="1360"/>
              <w:spacing w:after="0"/>
              <w:rPr>
                <w:sz w:val="20"/>
                <w:szCs w:val="20"/>
                <w:color w:val="auto"/>
              </w:rPr>
            </w:pPr>
            <w:r>
              <w:rPr>
                <w:rFonts w:ascii="Courier New" w:cs="Courier New" w:eastAsia="Courier New" w:hAnsi="Courier New"/>
                <w:sz w:val="15"/>
                <w:szCs w:val="15"/>
                <w:color w:val="auto"/>
              </w:rPr>
              <w:t>7.00</w:t>
            </w:r>
          </w:p>
        </w:tc>
        <w:tc>
          <w:tcPr>
            <w:tcW w:w="2060" w:type="dxa"/>
            <w:vAlign w:val="bottom"/>
          </w:tcPr>
          <w:p>
            <w:pPr>
              <w:ind w:left="1020"/>
              <w:spacing w:after="0"/>
              <w:rPr>
                <w:sz w:val="20"/>
                <w:szCs w:val="20"/>
                <w:color w:val="auto"/>
              </w:rPr>
            </w:pPr>
            <w:r>
              <w:rPr>
                <w:rFonts w:ascii="Courier New" w:cs="Courier New" w:eastAsia="Courier New" w:hAnsi="Courier New"/>
                <w:sz w:val="15"/>
                <w:szCs w:val="15"/>
                <w:color w:val="auto"/>
              </w:rPr>
              <w:t>274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80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00" w:type="dxa"/>
            <w:vAlign w:val="bottom"/>
          </w:tcPr>
          <w:p>
            <w:pPr>
              <w:ind w:left="1200"/>
              <w:spacing w:after="0"/>
              <w:rPr>
                <w:sz w:val="20"/>
                <w:szCs w:val="20"/>
                <w:color w:val="auto"/>
              </w:rPr>
            </w:pPr>
            <w:r>
              <w:rPr>
                <w:rFonts w:ascii="Courier New" w:cs="Courier New" w:eastAsia="Courier New" w:hAnsi="Courier New"/>
                <w:sz w:val="15"/>
                <w:szCs w:val="15"/>
                <w:color w:val="auto"/>
              </w:rPr>
              <w:t>$45.00</w:t>
            </w:r>
          </w:p>
        </w:tc>
        <w:tc>
          <w:tcPr>
            <w:tcW w:w="2060" w:type="dxa"/>
            <w:vAlign w:val="bottom"/>
          </w:tcPr>
          <w:p>
            <w:pPr>
              <w:ind w:left="760"/>
              <w:spacing w:after="0"/>
              <w:rPr>
                <w:sz w:val="20"/>
                <w:szCs w:val="20"/>
                <w:color w:val="auto"/>
              </w:rPr>
            </w:pPr>
            <w:r>
              <w:rPr>
                <w:rFonts w:ascii="Courier New" w:cs="Courier New" w:eastAsia="Courier New" w:hAnsi="Courier New"/>
                <w:sz w:val="15"/>
                <w:szCs w:val="15"/>
                <w:color w:val="auto"/>
              </w:rPr>
              <w:t>$1,764</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80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42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Shares purchased:</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Public</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23.873</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Liberty</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10.256</w:t>
            </w:r>
          </w:p>
        </w:tc>
        <w:tc>
          <w:tcPr>
            <w:tcW w:w="0" w:type="dxa"/>
            <w:vAlign w:val="bottom"/>
          </w:tcPr>
          <w:p>
            <w:pPr>
              <w:spacing w:after="0"/>
              <w:rPr>
                <w:sz w:val="1"/>
                <w:szCs w:val="1"/>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Time Warner</w:t>
            </w:r>
          </w:p>
        </w:tc>
        <w:tc>
          <w:tcPr>
            <w:tcW w:w="2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4.062</w:t>
            </w:r>
          </w:p>
        </w:tc>
        <w:tc>
          <w:tcPr>
            <w:tcW w:w="0" w:type="dxa"/>
            <w:vAlign w:val="bottom"/>
          </w:tcPr>
          <w:p>
            <w:pPr>
              <w:spacing w:after="0"/>
              <w:rPr>
                <w:sz w:val="1"/>
                <w:szCs w:val="1"/>
                <w:color w:val="auto"/>
              </w:rPr>
            </w:pPr>
          </w:p>
        </w:tc>
      </w:tr>
      <w:tr>
        <w:trPr>
          <w:trHeight w:val="259"/>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Barry Diller</w:t>
            </w:r>
          </w:p>
        </w:tc>
        <w:tc>
          <w:tcPr>
            <w:tcW w:w="28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68"/>
        </w:trPr>
        <w:tc>
          <w:tcPr>
            <w:tcW w:w="3280" w:type="dxa"/>
            <w:vAlign w:val="bottom"/>
            <w:vMerge w:val="restart"/>
          </w:tcPr>
          <w:p>
            <w:pPr>
              <w:spacing w:after="0"/>
              <w:rPr>
                <w:sz w:val="20"/>
                <w:szCs w:val="20"/>
                <w:color w:val="auto"/>
              </w:rPr>
            </w:pPr>
            <w:r>
              <w:rPr>
                <w:rFonts w:ascii="Courier New" w:cs="Courier New" w:eastAsia="Courier New" w:hAnsi="Courier New"/>
                <w:sz w:val="15"/>
                <w:szCs w:val="15"/>
                <w:color w:val="auto"/>
              </w:rPr>
              <w:t>Total (1)</w:t>
            </w:r>
          </w:p>
        </w:tc>
        <w:tc>
          <w:tcPr>
            <w:tcW w:w="2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8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39.191</w:t>
            </w: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right="4199" w:firstLine="10"/>
        <w:spacing w:after="0" w:line="237" w:lineRule="auto"/>
        <w:tabs>
          <w:tab w:leader="none" w:pos="35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8.027 MM options are cancelled for cash on a net basis. Note: Total transaction value including Comcast's 8.628 MM shares is approximately $2.2 billion.</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Lazard Freres &amp; Co.</w:t>
      </w:r>
    </w:p>
    <w:p>
      <w:pPr>
        <w:spacing w:after="0" w:line="140"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6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5</w:t>
      </w:r>
    </w:p>
    <w:p>
      <w:pPr>
        <w:spacing w:after="0" w:line="24" w:lineRule="exact"/>
        <w:rPr>
          <w:sz w:val="20"/>
          <w:szCs w:val="20"/>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0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 Transaction Structure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Sources/Uses</w:t>
      </w:r>
    </w:p>
    <w:p>
      <w:pPr>
        <w:spacing w:after="0" w:line="2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Sources:</w:t>
            </w:r>
          </w:p>
        </w:tc>
        <w:tc>
          <w:tcPr>
            <w:tcW w:w="1000" w:type="dxa"/>
            <w:vAlign w:val="bottom"/>
          </w:tcPr>
          <w:p>
            <w:pPr>
              <w:spacing w:after="0"/>
              <w:rPr>
                <w:sz w:val="14"/>
                <w:szCs w:val="14"/>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Uses: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spacing w:after="0"/>
              <w:rPr>
                <w:sz w:val="21"/>
                <w:szCs w:val="21"/>
                <w:color w:val="auto"/>
              </w:rPr>
            </w:pPr>
          </w:p>
        </w:tc>
        <w:tc>
          <w:tcPr>
            <w:tcW w:w="3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From QVC:</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  950</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Total Cash:</w:t>
            </w: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$ 1,489</w:t>
            </w:r>
          </w:p>
        </w:tc>
        <w:tc>
          <w:tcPr>
            <w:tcW w:w="0" w:type="dxa"/>
            <w:vAlign w:val="bottom"/>
          </w:tcPr>
          <w:p>
            <w:pPr>
              <w:spacing w:after="0"/>
              <w:rPr>
                <w:sz w:val="1"/>
                <w:szCs w:val="1"/>
                <w:color w:val="auto"/>
              </w:rPr>
            </w:pP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New QVC Bank Debt</w:t>
            </w:r>
          </w:p>
        </w:tc>
        <w:tc>
          <w:tcPr>
            <w:tcW w:w="1000" w:type="dxa"/>
            <w:vAlign w:val="bottom"/>
            <w:vMerge w:val="continue"/>
          </w:tcPr>
          <w:p>
            <w:pPr>
              <w:spacing w:after="0"/>
              <w:rPr>
                <w:sz w:val="14"/>
                <w:szCs w:val="14"/>
                <w:color w:val="auto"/>
              </w:rPr>
            </w:pPr>
          </w:p>
        </w:tc>
        <w:tc>
          <w:tcPr>
            <w:tcW w:w="3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$38.00 of Cash per QVC share</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New QVC Senior Subordinated Debt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w:t>
            </w:r>
          </w:p>
        </w:tc>
        <w:tc>
          <w:tcPr>
            <w:tcW w:w="3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Cancellation of options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3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Fees and expenses</w:t>
            </w:r>
          </w:p>
        </w:tc>
        <w:tc>
          <w:tcPr>
            <w:tcW w:w="1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QVC Sources: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1,150</w:t>
            </w: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3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Total Cash Uses:</w:t>
            </w:r>
          </w:p>
        </w:tc>
        <w:tc>
          <w:tcPr>
            <w:tcW w:w="11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1,625</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From Comcast:</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475</w:t>
            </w:r>
          </w:p>
        </w:tc>
        <w:tc>
          <w:tcPr>
            <w:tcW w:w="3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w w:val="99"/>
              </w:rPr>
              <w:t>New Comcast Borrowing/Cash</w:t>
            </w:r>
          </w:p>
        </w:tc>
        <w:tc>
          <w:tcPr>
            <w:tcW w:w="1000" w:type="dxa"/>
            <w:vAlign w:val="bottom"/>
            <w:vMerge w:val="continue"/>
          </w:tcPr>
          <w:p>
            <w:pPr>
              <w:spacing w:after="0"/>
              <w:rPr>
                <w:sz w:val="14"/>
                <w:szCs w:val="14"/>
                <w:color w:val="auto"/>
              </w:rPr>
            </w:pPr>
          </w:p>
        </w:tc>
        <w:tc>
          <w:tcPr>
            <w:tcW w:w="4500" w:type="dxa"/>
            <w:vAlign w:val="bottom"/>
            <w:gridSpan w:val="2"/>
            <w:vMerge w:val="restart"/>
          </w:tcPr>
          <w:p>
            <w:pPr>
              <w:ind w:left="140"/>
              <w:spacing w:after="0"/>
              <w:rPr>
                <w:sz w:val="20"/>
                <w:szCs w:val="20"/>
                <w:color w:val="auto"/>
              </w:rPr>
            </w:pPr>
            <w:r>
              <w:rPr>
                <w:rFonts w:ascii="Courier New" w:cs="Courier New" w:eastAsia="Courier New" w:hAnsi="Courier New"/>
                <w:sz w:val="15"/>
                <w:szCs w:val="15"/>
                <w:color w:val="auto"/>
                <w:w w:val="98"/>
              </w:rPr>
              <w:t>$7.00 of Convertible Preferred per QVC share  274</w:t>
            </w:r>
          </w:p>
        </w:tc>
        <w:tc>
          <w:tcPr>
            <w:tcW w:w="0" w:type="dxa"/>
            <w:vAlign w:val="bottom"/>
          </w:tcPr>
          <w:p>
            <w:pPr>
              <w:spacing w:after="0"/>
              <w:rPr>
                <w:sz w:val="1"/>
                <w:szCs w:val="1"/>
                <w:color w:val="auto"/>
              </w:rPr>
            </w:pPr>
          </w:p>
        </w:tc>
      </w:tr>
      <w:tr>
        <w:trPr>
          <w:trHeight w:val="168"/>
        </w:trPr>
        <w:tc>
          <w:tcPr>
            <w:tcW w:w="386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Convertible Preferred (1)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w:t>
            </w:r>
          </w:p>
        </w:tc>
        <w:tc>
          <w:tcPr>
            <w:tcW w:w="4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380" w:type="dxa"/>
            <w:vAlign w:val="bottom"/>
          </w:tcPr>
          <w:p>
            <w:pPr>
              <w:spacing w:after="0"/>
              <w:rPr>
                <w:sz w:val="21"/>
                <w:szCs w:val="21"/>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Comcast Sources: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750</w:t>
            </w:r>
          </w:p>
        </w:tc>
        <w:tc>
          <w:tcPr>
            <w:tcW w:w="3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Sources: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$ 1,900</w:t>
            </w:r>
          </w:p>
        </w:tc>
        <w:tc>
          <w:tcPr>
            <w:tcW w:w="3380" w:type="dxa"/>
            <w:vAlign w:val="bottom"/>
          </w:tcPr>
          <w:p>
            <w:pPr>
              <w:ind w:left="140"/>
              <w:spacing w:after="0"/>
              <w:rPr>
                <w:sz w:val="20"/>
                <w:szCs w:val="20"/>
                <w:color w:val="auto"/>
              </w:rPr>
            </w:pPr>
            <w:r>
              <w:rPr>
                <w:rFonts w:ascii="Courier New" w:cs="Courier New" w:eastAsia="Courier New" w:hAnsi="Courier New"/>
                <w:sz w:val="15"/>
                <w:szCs w:val="15"/>
                <w:color w:val="auto"/>
              </w:rPr>
              <w:t>Total Uses: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$ 1,900</w:t>
            </w:r>
          </w:p>
        </w:tc>
        <w:tc>
          <w:tcPr>
            <w:tcW w:w="0" w:type="dxa"/>
            <w:vAlign w:val="bottom"/>
          </w:tcPr>
          <w:p>
            <w:pPr>
              <w:spacing w:after="0"/>
              <w:rPr>
                <w:sz w:val="1"/>
                <w:szCs w:val="1"/>
                <w:color w:val="auto"/>
              </w:rPr>
            </w:pPr>
          </w:p>
        </w:tc>
      </w:tr>
      <w:tr>
        <w:trPr>
          <w:trHeight w:val="245"/>
        </w:trPr>
        <w:tc>
          <w:tcPr>
            <w:tcW w:w="3860" w:type="dxa"/>
            <w:vAlign w:val="bottom"/>
          </w:tcPr>
          <w:p>
            <w:pPr>
              <w:spacing w:after="0"/>
              <w:rPr>
                <w:sz w:val="21"/>
                <w:szCs w:val="21"/>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3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96"/>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860" w:type="dxa"/>
            <w:vAlign w:val="bottom"/>
            <w:gridSpan w:val="2"/>
          </w:tcPr>
          <w:p>
            <w:pPr>
              <w:spacing w:after="0"/>
              <w:rPr>
                <w:sz w:val="20"/>
                <w:szCs w:val="20"/>
                <w:color w:val="auto"/>
              </w:rPr>
            </w:pPr>
            <w:r>
              <w:rPr>
                <w:rFonts w:ascii="Courier New" w:cs="Courier New" w:eastAsia="Courier New" w:hAnsi="Courier New"/>
                <w:sz w:val="15"/>
                <w:szCs w:val="15"/>
                <w:color w:val="auto"/>
                <w:w w:val="99"/>
              </w:rPr>
              <w:t>(1) Issuable shares: 13.1 million at $21.00 per Share.</w:t>
            </w:r>
          </w:p>
        </w:tc>
        <w:tc>
          <w:tcPr>
            <w:tcW w:w="3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9"/>
        </w:trPr>
        <w:tc>
          <w:tcPr>
            <w:tcW w:w="3860" w:type="dxa"/>
            <w:vAlign w:val="bottom"/>
          </w:tcPr>
          <w:p>
            <w:pPr>
              <w:ind w:left="3420"/>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spacing w:after="0"/>
              <w:rPr>
                <w:sz w:val="24"/>
                <w:szCs w:val="24"/>
                <w:color w:val="auto"/>
              </w:rPr>
            </w:pPr>
          </w:p>
        </w:tc>
        <w:tc>
          <w:tcPr>
            <w:tcW w:w="3380" w:type="dxa"/>
            <w:vAlign w:val="bottom"/>
          </w:tcPr>
          <w:p>
            <w:pPr>
              <w:ind w:left="480"/>
              <w:spacing w:after="0"/>
              <w:rPr>
                <w:sz w:val="20"/>
                <w:szCs w:val="20"/>
                <w:color w:val="auto"/>
              </w:rPr>
            </w:pPr>
            <w:r>
              <w:rPr>
                <w:rFonts w:ascii="Courier New" w:cs="Courier New" w:eastAsia="Courier New" w:hAnsi="Courier New"/>
                <w:sz w:val="15"/>
                <w:szCs w:val="15"/>
                <w:color w:val="auto"/>
              </w:rPr>
              <w:t>Lazard Freres &amp; Co.</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6</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1940"/>
        <w:spacing w:after="0"/>
        <w:tabs>
          <w:tab w:leader="none" w:pos="2360" w:val="left"/>
        </w:tabs>
        <w:rPr>
          <w:sz w:val="20"/>
          <w:szCs w:val="20"/>
          <w:color w:val="auto"/>
        </w:rPr>
      </w:pPr>
      <w:r>
        <w:rPr>
          <w:rFonts w:ascii="Courier New" w:cs="Courier New" w:eastAsia="Courier New" w:hAnsi="Courier New"/>
          <w:sz w:val="15"/>
          <w:szCs w:val="15"/>
          <w:color w:val="auto"/>
        </w:rPr>
        <w:t>II.</w:t>
        <w:tab/>
        <w:t>Transaction Structure (cont'd)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Cash/Debt Balances</w:t>
      </w:r>
    </w:p>
    <w:p>
      <w:pPr>
        <w:ind w:left="27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28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Estimated 12/31/94</w:t>
            </w:r>
          </w:p>
        </w:tc>
        <w:tc>
          <w:tcPr>
            <w:tcW w:w="20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1994 Operating</w:t>
            </w:r>
          </w:p>
        </w:tc>
        <w:tc>
          <w:tcPr>
            <w:tcW w:w="12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Net Debt/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Value of</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328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Cash</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Debt</w:t>
            </w:r>
          </w:p>
        </w:tc>
        <w:tc>
          <w:tcPr>
            <w:tcW w:w="15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Net Debt</w:t>
            </w:r>
          </w:p>
        </w:tc>
        <w:tc>
          <w:tcPr>
            <w:tcW w:w="2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Cash Flow</w:t>
            </w: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OCF</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Portfolio</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Comcast Standalone</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$4,234</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$3,800</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6.33x</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$1,736</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Maclean Hunter</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1,300</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Heritage Stake</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(275)</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Pro Forma Before QVC</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5,034</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4,825</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720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6.70x</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1,461</w:t>
            </w:r>
          </w:p>
        </w:tc>
        <w:tc>
          <w:tcPr>
            <w:tcW w:w="0" w:type="dxa"/>
            <w:vAlign w:val="bottom"/>
          </w:tcPr>
          <w:p>
            <w:pPr>
              <w:spacing w:after="0"/>
              <w:rPr>
                <w:sz w:val="1"/>
                <w:szCs w:val="1"/>
                <w:color w:val="auto"/>
              </w:rPr>
            </w:pPr>
          </w:p>
        </w:tc>
      </w:tr>
      <w:tr>
        <w:trPr>
          <w:trHeight w:val="427"/>
        </w:trPr>
        <w:tc>
          <w:tcPr>
            <w:tcW w:w="194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(475)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1,150</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1,625</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193</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spacing w:after="0"/>
              <w:rPr>
                <w:sz w:val="20"/>
                <w:szCs w:val="20"/>
                <w:color w:val="auto"/>
              </w:rPr>
            </w:pPr>
            <w:r>
              <w:rPr>
                <w:rFonts w:ascii="Courier New" w:cs="Courier New" w:eastAsia="Courier New" w:hAnsi="Courier New"/>
                <w:sz w:val="15"/>
                <w:szCs w:val="15"/>
                <w:color w:val="auto"/>
              </w:rPr>
              <w:t>Pro Forma with QVC</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$6,184</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$6,450</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$913</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7.07x</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$1,180</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Sources for $475 Shortfall:</w:t>
      </w:r>
    </w:p>
    <w:p>
      <w:pPr>
        <w:spacing w:after="0" w:line="23" w:lineRule="exact"/>
        <w:rPr>
          <w:sz w:val="20"/>
          <w:szCs w:val="20"/>
          <w:color w:val="auto"/>
        </w:rPr>
      </w:pPr>
    </w:p>
    <w:p>
      <w:pPr>
        <w:ind w:left="180" w:hanging="170"/>
        <w:spacing w:after="0"/>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hanging="181"/>
        <w:spacing w:after="0"/>
        <w:tabs>
          <w:tab w:leader="none" w:pos="12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for Maclean Hunter</w:t>
      </w:r>
    </w:p>
    <w:p>
      <w:pPr>
        <w:spacing w:after="0" w:line="140" w:lineRule="exact"/>
        <w:rPr>
          <w:rFonts w:ascii="Courier New" w:cs="Courier New" w:eastAsia="Courier New" w:hAnsi="Courier New"/>
          <w:sz w:val="15"/>
          <w:szCs w:val="15"/>
          <w:color w:val="auto"/>
        </w:rPr>
      </w:pPr>
    </w:p>
    <w:p>
      <w:pPr>
        <w:ind w:left="1240" w:hanging="181"/>
        <w:spacing w:after="0"/>
        <w:tabs>
          <w:tab w:leader="none" w:pos="12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 for QVC</w:t>
      </w:r>
    </w:p>
    <w:p>
      <w:pPr>
        <w:spacing w:after="0" w:line="166" w:lineRule="exact"/>
        <w:rPr>
          <w:rFonts w:ascii="Courier New" w:cs="Courier New" w:eastAsia="Courier New" w:hAnsi="Courier New"/>
          <w:sz w:val="15"/>
          <w:szCs w:val="15"/>
          <w:color w:val="auto"/>
        </w:rPr>
      </w:pPr>
    </w:p>
    <w:p>
      <w:pPr>
        <w:ind w:left="1240" w:hanging="181"/>
        <w:spacing w:after="0"/>
        <w:tabs>
          <w:tab w:leader="none" w:pos="12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Sales:</w:t>
      </w:r>
    </w:p>
    <w:p>
      <w:pPr>
        <w:spacing w:after="0" w:line="166" w:lineRule="exact"/>
        <w:rPr>
          <w:rFonts w:ascii="Courier New" w:cs="Courier New" w:eastAsia="Courier New" w:hAnsi="Courier New"/>
          <w:sz w:val="15"/>
          <w:szCs w:val="15"/>
          <w:color w:val="auto"/>
        </w:rPr>
      </w:pPr>
    </w:p>
    <w:p>
      <w:pPr>
        <w:ind w:left="2200" w:hanging="179"/>
        <w:spacing w:after="0"/>
        <w:tabs>
          <w:tab w:leader="none" w:pos="220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Nextel</w:t>
      </w:r>
    </w:p>
    <w:p>
      <w:pPr>
        <w:spacing w:after="0" w:line="166" w:lineRule="exact"/>
        <w:rPr>
          <w:rFonts w:ascii="Courier New" w:cs="Courier New" w:eastAsia="Courier New" w:hAnsi="Courier New"/>
          <w:sz w:val="15"/>
          <w:szCs w:val="15"/>
          <w:color w:val="auto"/>
        </w:rPr>
      </w:pPr>
    </w:p>
    <w:p>
      <w:pPr>
        <w:ind w:left="2200" w:hanging="179"/>
        <w:spacing w:after="0"/>
        <w:tabs>
          <w:tab w:leader="none" w:pos="220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Assets</w:t>
      </w:r>
    </w:p>
    <w:p>
      <w:pPr>
        <w:spacing w:after="0" w:line="166" w:lineRule="exact"/>
        <w:rPr>
          <w:rFonts w:ascii="Courier New" w:cs="Courier New" w:eastAsia="Courier New" w:hAnsi="Courier New"/>
          <w:sz w:val="15"/>
          <w:szCs w:val="15"/>
          <w:color w:val="auto"/>
        </w:rPr>
      </w:pPr>
    </w:p>
    <w:p>
      <w:pPr>
        <w:ind w:left="1240" w:hanging="181"/>
        <w:spacing w:after="0"/>
        <w:tabs>
          <w:tab w:leader="none" w:pos="12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Potential Tax Free Deal with Liberty and/or Time Warner</w:t>
      </w:r>
    </w:p>
    <w:p>
      <w:pPr>
        <w:spacing w:after="0" w:line="335" w:lineRule="exact"/>
        <w:rPr>
          <w:sz w:val="20"/>
          <w:szCs w:val="20"/>
          <w:color w:val="auto"/>
        </w:rPr>
      </w:pPr>
    </w:p>
    <w:p>
      <w:pPr>
        <w:ind w:left="2640"/>
        <w:spacing w:after="0"/>
        <w:tabs>
          <w:tab w:leader="none" w:pos="524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1540"/>
          </w:cols>
          <w:pgMar w:left="220" w:top="261" w:right="139"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III.  Analysis of CBS Deal</w:t>
      </w:r>
    </w:p>
    <w:p>
      <w:pPr>
        <w:ind w:left="180" w:hanging="170"/>
        <w:spacing w:after="0"/>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Overview</w:t>
      </w: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180" w:hanging="170"/>
        <w:spacing w:after="0"/>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 July 30, CBS and QVC announced they were close to a merger.</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CBS/QVC merger details:</w:t>
      </w:r>
    </w:p>
    <w:p>
      <w:pPr>
        <w:spacing w:after="0" w:line="166" w:lineRule="exact"/>
        <w:rPr>
          <w:sz w:val="20"/>
          <w:szCs w:val="20"/>
          <w:color w:val="auto"/>
        </w:rPr>
      </w:pPr>
    </w:p>
    <w:p>
      <w:pPr>
        <w:jc w:val="center"/>
        <w:ind w:right="1219"/>
        <w:spacing w:after="0"/>
        <w:rPr>
          <w:sz w:val="20"/>
          <w:szCs w:val="20"/>
          <w:color w:val="auto"/>
        </w:rPr>
      </w:pPr>
      <w:r>
        <w:rPr>
          <w:rFonts w:ascii="Courier New" w:cs="Courier New" w:eastAsia="Courier New" w:hAnsi="Courier New"/>
          <w:sz w:val="15"/>
          <w:szCs w:val="15"/>
          <w:color w:val="auto"/>
        </w:rPr>
        <w:t>Per Share Consideration to CBS and QVC Based on Current</w:t>
      </w:r>
    </w:p>
    <w:p>
      <w:pPr>
        <w:spacing w:after="0" w:line="23" w:lineRule="exact"/>
        <w:rPr>
          <w:sz w:val="20"/>
          <w:szCs w:val="20"/>
          <w:color w:val="auto"/>
        </w:rPr>
      </w:pPr>
    </w:p>
    <w:p>
      <w:pPr>
        <w:jc w:val="center"/>
        <w:ind w:right="1119"/>
        <w:spacing w:after="0"/>
        <w:rPr>
          <w:sz w:val="20"/>
          <w:szCs w:val="20"/>
          <w:color w:val="auto"/>
        </w:rPr>
      </w:pPr>
      <w:r>
        <w:rPr>
          <w:rFonts w:ascii="Courier New" w:cs="Courier New" w:eastAsia="Courier New" w:hAnsi="Courier New"/>
          <w:sz w:val="15"/>
          <w:szCs w:val="15"/>
          <w:color w:val="auto"/>
        </w:rPr>
        <w:t>CBS Share Price of $300.00</w:t>
      </w:r>
    </w:p>
    <w:tbl>
      <w:tblPr>
        <w:tblLayout w:type="fixed"/>
        <w:tblInd w:w="0" w:type="dxa"/>
        <w:tblCellMar>
          <w:top w:w="0" w:type="dxa"/>
          <w:left w:w="0" w:type="dxa"/>
          <w:bottom w:w="0" w:type="dxa"/>
          <w:right w:w="0" w:type="dxa"/>
        </w:tblCellMar>
      </w:tblPr>
      <w:tr>
        <w:trPr>
          <w:trHeight w:val="245"/>
        </w:trPr>
        <w:tc>
          <w:tcPr>
            <w:tcW w:w="1100" w:type="dxa"/>
            <w:vAlign w:val="bottom"/>
          </w:tcPr>
          <w:p>
            <w:pPr>
              <w:spacing w:after="0"/>
              <w:rPr>
                <w:sz w:val="21"/>
                <w:szCs w:val="21"/>
                <w:color w:val="auto"/>
              </w:rPr>
            </w:pPr>
          </w:p>
        </w:tc>
        <w:tc>
          <w:tcPr>
            <w:tcW w:w="6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1100" w:type="dxa"/>
            <w:vAlign w:val="bottom"/>
          </w:tcPr>
          <w:p>
            <w:pPr>
              <w:spacing w:after="0"/>
              <w:rPr>
                <w:sz w:val="24"/>
                <w:szCs w:val="24"/>
                <w:color w:val="auto"/>
              </w:rPr>
            </w:pPr>
          </w:p>
        </w:tc>
        <w:tc>
          <w:tcPr>
            <w:tcW w:w="6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Implied Trading Level of CBS (Newco):</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$311.80</w:t>
            </w:r>
          </w:p>
        </w:tc>
        <w:tc>
          <w:tcPr>
            <w:tcW w:w="0" w:type="dxa"/>
            <w:vAlign w:val="bottom"/>
          </w:tcPr>
          <w:p>
            <w:pPr>
              <w:spacing w:after="0"/>
              <w:rPr>
                <w:sz w:val="1"/>
                <w:szCs w:val="1"/>
                <w:color w:val="auto"/>
              </w:rPr>
            </w:pPr>
          </w:p>
        </w:tc>
      </w:tr>
      <w:tr>
        <w:trPr>
          <w:trHeight w:val="245"/>
        </w:trPr>
        <w:tc>
          <w:tcPr>
            <w:tcW w:w="714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CBS Shareholders Receive</w:t>
            </w: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91"/>
        </w:trPr>
        <w:tc>
          <w:tcPr>
            <w:tcW w:w="7140" w:type="dxa"/>
            <w:vAlign w:val="bottom"/>
            <w:gridSpan w:val="2"/>
            <w:vMerge w:val="continue"/>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center"/>
              <w:ind w:left="47"/>
              <w:spacing w:after="0"/>
              <w:rPr>
                <w:sz w:val="20"/>
                <w:szCs w:val="20"/>
                <w:color w:val="auto"/>
              </w:rPr>
            </w:pPr>
            <w:r>
              <w:rPr>
                <w:rFonts w:ascii="Courier New" w:cs="Courier New" w:eastAsia="Courier New" w:hAnsi="Courier New"/>
                <w:sz w:val="15"/>
                <w:szCs w:val="15"/>
                <w:color w:val="auto"/>
                <w:w w:val="98"/>
              </w:rPr>
              <w:t>$175.00</w:t>
            </w: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Cash Dividend ($175.00)</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Shares of Newco Common (0.4009)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125.00</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040" w:type="dxa"/>
            <w:vAlign w:val="bottom"/>
            <w:vMerge w:val="restart"/>
          </w:tcPr>
          <w:p>
            <w:pPr>
              <w:jc w:val="right"/>
              <w:ind w:right="364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040" w:type="dxa"/>
            <w:vAlign w:val="bottom"/>
            <w:vMerge w:val="continue"/>
          </w:tcPr>
          <w:p>
            <w:pPr>
              <w:spacing w:after="0"/>
              <w:rPr>
                <w:sz w:val="14"/>
                <w:szCs w:val="14"/>
                <w:color w:val="auto"/>
              </w:rPr>
            </w:pP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$300.00</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714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QVC Shareholders Receive</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$23.05</w:t>
            </w: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Shares of Newco Conv. Pref. (0.1931)</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Shares of Newco Common (0.0486)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040" w:type="dxa"/>
            <w:vAlign w:val="bottom"/>
            <w:vMerge w:val="restart"/>
          </w:tcPr>
          <w:p>
            <w:pPr>
              <w:jc w:val="right"/>
              <w:ind w:right="3647"/>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6040" w:type="dxa"/>
            <w:vAlign w:val="bottom"/>
            <w:vMerge w:val="continue"/>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$38.20</w:t>
            </w: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1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 -  Current</w:t>
            </w:r>
          </w:p>
        </w:tc>
        <w:tc>
          <w:tcPr>
            <w:tcW w:w="6040" w:type="dxa"/>
            <w:vAlign w:val="bottom"/>
          </w:tcPr>
          <w:p>
            <w:pPr>
              <w:jc w:val="right"/>
              <w:ind w:right="3827"/>
              <w:spacing w:after="0"/>
              <w:rPr>
                <w:sz w:val="20"/>
                <w:szCs w:val="20"/>
                <w:color w:val="auto"/>
              </w:rPr>
            </w:pPr>
            <w:r>
              <w:rPr>
                <w:rFonts w:ascii="Courier New" w:cs="Courier New" w:eastAsia="Courier New" w:hAnsi="Courier New"/>
                <w:sz w:val="15"/>
                <w:szCs w:val="15"/>
                <w:color w:val="auto"/>
                <w:w w:val="98"/>
              </w:rPr>
              <w:t>Stock prices at 7/11/94: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CBS</w:t>
            </w:r>
          </w:p>
        </w:tc>
        <w:tc>
          <w:tcPr>
            <w:tcW w:w="6040" w:type="dxa"/>
            <w:vAlign w:val="bottom"/>
          </w:tcPr>
          <w:p>
            <w:pPr>
              <w:jc w:val="right"/>
              <w:ind w:right="5307"/>
              <w:spacing w:after="0"/>
              <w:rPr>
                <w:sz w:val="20"/>
                <w:szCs w:val="20"/>
                <w:color w:val="auto"/>
              </w:rPr>
            </w:pPr>
            <w:r>
              <w:rPr>
                <w:rFonts w:ascii="Courier New" w:cs="Courier New" w:eastAsia="Courier New" w:hAnsi="Courier New"/>
                <w:sz w:val="15"/>
                <w:szCs w:val="15"/>
                <w:color w:val="auto"/>
              </w:rPr>
              <w:t>$302.00</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100" w:type="dxa"/>
            <w:vAlign w:val="bottom"/>
          </w:tcPr>
          <w:p>
            <w:pPr>
              <w:ind w:left="540"/>
              <w:spacing w:after="0"/>
              <w:rPr>
                <w:sz w:val="20"/>
                <w:szCs w:val="20"/>
                <w:color w:val="auto"/>
              </w:rPr>
            </w:pPr>
            <w:r>
              <w:rPr>
                <w:rFonts w:ascii="Courier New" w:cs="Courier New" w:eastAsia="Courier New" w:hAnsi="Courier New"/>
                <w:sz w:val="15"/>
                <w:szCs w:val="15"/>
                <w:color w:val="auto"/>
              </w:rPr>
              <w:t>QVC</w:t>
            </w:r>
          </w:p>
        </w:tc>
        <w:tc>
          <w:tcPr>
            <w:tcW w:w="6040" w:type="dxa"/>
            <w:vAlign w:val="bottom"/>
          </w:tcPr>
          <w:p>
            <w:pPr>
              <w:jc w:val="right"/>
              <w:ind w:right="5307"/>
              <w:spacing w:after="0"/>
              <w:rPr>
                <w:sz w:val="20"/>
                <w:szCs w:val="20"/>
                <w:color w:val="auto"/>
              </w:rPr>
            </w:pPr>
            <w:r>
              <w:rPr>
                <w:rFonts w:ascii="Courier New" w:cs="Courier New" w:eastAsia="Courier New" w:hAnsi="Courier New"/>
                <w:sz w:val="15"/>
                <w:szCs w:val="15"/>
                <w:color w:val="auto"/>
              </w:rPr>
              <w:t>$35.75</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Newco Convertible Preferred Terms:</w:t>
      </w:r>
    </w:p>
    <w:p>
      <w:pPr>
        <w:spacing w:after="0" w:line="200" w:lineRule="exact"/>
        <w:rPr>
          <w:sz w:val="20"/>
          <w:szCs w:val="20"/>
          <w:color w:val="auto"/>
        </w:rPr>
      </w:pPr>
    </w:p>
    <w:p>
      <w:pPr>
        <w:spacing w:after="0" w:line="303" w:lineRule="exact"/>
        <w:rPr>
          <w:sz w:val="20"/>
          <w:szCs w:val="20"/>
          <w:color w:val="auto"/>
        </w:rPr>
      </w:pPr>
    </w:p>
    <w:tbl>
      <w:tblPr>
        <w:tblLayout w:type="fixed"/>
        <w:tblInd w:w="540" w:type="dxa"/>
        <w:tblCellMar>
          <w:top w:w="0" w:type="dxa"/>
          <w:left w:w="0" w:type="dxa"/>
          <w:bottom w:w="0" w:type="dxa"/>
          <w:right w:w="0" w:type="dxa"/>
        </w:tblCellMar>
      </w:tblPr>
      <w:tr>
        <w:trPr>
          <w:trHeight w:val="245"/>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Face</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Value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336"/>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 Coupon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336"/>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 Conversion Price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$309.69</w:t>
            </w:r>
          </w:p>
        </w:tc>
        <w:tc>
          <w:tcPr>
            <w:tcW w:w="0" w:type="dxa"/>
            <w:vAlign w:val="bottom"/>
          </w:tcPr>
          <w:p>
            <w:pPr>
              <w:spacing w:after="0"/>
              <w:rPr>
                <w:sz w:val="1"/>
                <w:szCs w:val="1"/>
                <w:color w:val="auto"/>
              </w:rPr>
            </w:pPr>
          </w:p>
        </w:tc>
      </w:tr>
      <w:tr>
        <w:trPr>
          <w:trHeight w:val="259"/>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 Number of Newco Common</w:t>
            </w:r>
          </w:p>
        </w:tc>
        <w:tc>
          <w:tcPr>
            <w:tcW w:w="1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0.3229</w:t>
            </w:r>
          </w:p>
        </w:tc>
        <w:tc>
          <w:tcPr>
            <w:tcW w:w="0" w:type="dxa"/>
            <w:vAlign w:val="bottom"/>
          </w:tcPr>
          <w:p>
            <w:pPr>
              <w:spacing w:after="0"/>
              <w:rPr>
                <w:sz w:val="1"/>
                <w:szCs w:val="1"/>
                <w:color w:val="auto"/>
              </w:rPr>
            </w:pPr>
          </w:p>
        </w:tc>
      </w:tr>
      <w:tr>
        <w:trPr>
          <w:trHeight w:val="245"/>
        </w:trPr>
        <w:tc>
          <w:tcPr>
            <w:tcW w:w="560" w:type="dxa"/>
            <w:vAlign w:val="bottom"/>
          </w:tcPr>
          <w:p>
            <w:pPr>
              <w:ind w:left="160"/>
              <w:spacing w:after="0"/>
              <w:rPr>
                <w:sz w:val="20"/>
                <w:szCs w:val="20"/>
                <w:color w:val="auto"/>
              </w:rPr>
            </w:pPr>
            <w:r>
              <w:rPr>
                <w:rFonts w:ascii="Courier New" w:cs="Courier New" w:eastAsia="Courier New" w:hAnsi="Courier New"/>
                <w:sz w:val="15"/>
                <w:szCs w:val="15"/>
                <w:color w:val="auto"/>
              </w:rPr>
              <w:t>Each</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Pref. Convertible Into</w:t>
            </w: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700" w:hanging="166"/>
        <w:spacing w:after="0"/>
        <w:tabs>
          <w:tab w:leader="none" w:pos="7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10-Year Non-Callable</w:t>
      </w:r>
    </w:p>
    <w:p>
      <w:pPr>
        <w:spacing w:after="0" w:line="166" w:lineRule="exact"/>
        <w:rPr>
          <w:rFonts w:ascii="Courier New" w:cs="Courier New" w:eastAsia="Courier New" w:hAnsi="Courier New"/>
          <w:sz w:val="15"/>
          <w:szCs w:val="15"/>
          <w:color w:val="auto"/>
        </w:rPr>
      </w:pPr>
    </w:p>
    <w:p>
      <w:pPr>
        <w:ind w:left="700" w:hanging="166"/>
        <w:spacing w:after="0"/>
        <w:tabs>
          <w:tab w:leader="none" w:pos="7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Exchangeable into Convertible Debt After 5 Years</w:t>
      </w:r>
    </w:p>
    <w:p>
      <w:pPr>
        <w:spacing w:after="0" w:line="166" w:lineRule="exact"/>
        <w:rPr>
          <w:rFonts w:ascii="Courier New" w:cs="Courier New" w:eastAsia="Courier New" w:hAnsi="Courier New"/>
          <w:sz w:val="15"/>
          <w:szCs w:val="15"/>
          <w:color w:val="auto"/>
        </w:rPr>
      </w:pPr>
    </w:p>
    <w:p>
      <w:pPr>
        <w:ind w:left="280" w:right="3319" w:hanging="270"/>
        <w:spacing w:after="0" w:line="344" w:lineRule="auto"/>
        <w:tabs>
          <w:tab w:leader="none" w:pos="193"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stock price of QVC has declined 8% to $35.125, after peaking at $38.00 the date CBS/QVC deal was announced.</w:t>
      </w:r>
    </w:p>
    <w:p>
      <w:pPr>
        <w:spacing w:after="0" w:line="186" w:lineRule="exact"/>
        <w:rPr>
          <w:sz w:val="20"/>
          <w:szCs w:val="20"/>
          <w:color w:val="auto"/>
        </w:rPr>
      </w:pPr>
    </w:p>
    <w:p>
      <w:pPr>
        <w:ind w:left="2540"/>
        <w:spacing w:after="0"/>
        <w:tabs>
          <w:tab w:leader="none" w:pos="516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0239"/>
          </w:cols>
          <w:pgMar w:left="220" w:top="26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8</w:t>
      </w:r>
    </w:p>
    <w:p>
      <w:pPr>
        <w:spacing w:after="0" w:line="335" w:lineRule="exact"/>
        <w:rPr>
          <w:sz w:val="20"/>
          <w:szCs w:val="20"/>
          <w:color w:val="auto"/>
        </w:rPr>
      </w:pPr>
    </w:p>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9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III.  Analysis of CBS Deal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640" w:type="dxa"/>
            <w:vAlign w:val="bottom"/>
            <w:gridSpan w:val="4"/>
          </w:tcPr>
          <w:p>
            <w:pPr>
              <w:ind w:left="2980"/>
              <w:spacing w:after="0"/>
              <w:rPr>
                <w:sz w:val="20"/>
                <w:szCs w:val="20"/>
                <w:color w:val="auto"/>
              </w:rPr>
            </w:pPr>
            <w:r>
              <w:rPr>
                <w:rFonts w:ascii="Courier New" w:cs="Courier New" w:eastAsia="Courier New" w:hAnsi="Courier New"/>
                <w:sz w:val="15"/>
                <w:szCs w:val="15"/>
                <w:color w:val="auto"/>
              </w:rPr>
              <w:t>Blended Multiple Analysis</w:t>
            </w:r>
          </w:p>
        </w:tc>
        <w:tc>
          <w:tcPr>
            <w:tcW w:w="1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40" w:type="dxa"/>
            <w:vAlign w:val="bottom"/>
            <w:gridSpan w:val="4"/>
          </w:tcPr>
          <w:p>
            <w:pPr>
              <w:ind w:left="298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Comp. Co. Multiples</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Comparable Multiple Values:</w:t>
            </w:r>
          </w:p>
        </w:tc>
        <w:tc>
          <w:tcPr>
            <w:tcW w:w="18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Pre-Merger Multiples</w:t>
            </w:r>
          </w:p>
        </w:tc>
        <w:tc>
          <w:tcPr>
            <w:tcW w:w="232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1020" w:type="dxa"/>
            <w:vAlign w:val="bottom"/>
            <w:gridSpan w:val="2"/>
            <w:vMerge w:val="restart"/>
          </w:tcPr>
          <w:p>
            <w:pPr>
              <w:spacing w:after="0"/>
              <w:rPr>
                <w:sz w:val="20"/>
                <w:szCs w:val="20"/>
                <w:color w:val="auto"/>
              </w:rPr>
            </w:pPr>
            <w:r>
              <w:rPr>
                <w:rFonts w:ascii="Courier New" w:cs="Courier New" w:eastAsia="Courier New" w:hAnsi="Courier New"/>
                <w:sz w:val="10"/>
                <w:szCs w:val="10"/>
                <w:color w:val="auto"/>
                <w:w w:val="71"/>
              </w:rPr>
              <w:t>--------------------</w:t>
            </w:r>
            <w:r>
              <w:rPr>
                <w:rFonts w:ascii="Courier New" w:cs="Courier New" w:eastAsia="Courier New" w:hAnsi="Courier New"/>
                <w:sz w:val="17"/>
                <w:szCs w:val="17"/>
                <w:color w:val="auto"/>
                <w:w w:val="71"/>
                <w:vertAlign w:val="subscript"/>
              </w:rPr>
              <w:t>CBS</w:t>
            </w:r>
          </w:p>
        </w:tc>
        <w:tc>
          <w:tcPr>
            <w:tcW w:w="8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QVC</w:t>
            </w:r>
          </w:p>
        </w:tc>
        <w:tc>
          <w:tcPr>
            <w:tcW w:w="2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Cap Cities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News Corp.</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960" w:type="dxa"/>
            <w:vAlign w:val="bottom"/>
            <w:gridSpan w:val="6"/>
          </w:tcPr>
          <w:p>
            <w:pPr>
              <w:jc w:val="right"/>
              <w:ind w:right="187"/>
              <w:spacing w:after="0"/>
              <w:rPr>
                <w:sz w:val="20"/>
                <w:szCs w:val="20"/>
                <w:color w:val="auto"/>
              </w:rPr>
            </w:pPr>
            <w:r>
              <w:rPr>
                <w:rFonts w:ascii="Courier New" w:cs="Courier New" w:eastAsia="Courier New" w:hAnsi="Courier New"/>
                <w:sz w:val="15"/>
                <w:szCs w:val="15"/>
                <w:color w:val="auto"/>
              </w:rPr>
              <w:t>---------- ----------- ------------ ----------</w:t>
            </w: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760" w:type="dxa"/>
            <w:vAlign w:val="bottom"/>
          </w:tcPr>
          <w:p>
            <w:pPr>
              <w:ind w:left="520"/>
              <w:spacing w:after="0"/>
              <w:rPr>
                <w:sz w:val="20"/>
                <w:szCs w:val="20"/>
                <w:color w:val="auto"/>
              </w:rPr>
            </w:pPr>
            <w:r>
              <w:rPr>
                <w:rFonts w:ascii="Courier New" w:cs="Courier New" w:eastAsia="Courier New" w:hAnsi="Courier New"/>
                <w:sz w:val="15"/>
                <w:szCs w:val="15"/>
                <w:color w:val="auto"/>
              </w:rPr>
              <w:t>1994 EBITDA Multiple</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7.0x</w:t>
            </w:r>
          </w:p>
        </w:tc>
        <w:tc>
          <w:tcPr>
            <w:tcW w:w="1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ind w:left="300"/>
              <w:spacing w:after="0"/>
              <w:rPr>
                <w:sz w:val="20"/>
                <w:szCs w:val="20"/>
                <w:color w:val="auto"/>
              </w:rPr>
            </w:pPr>
            <w:r>
              <w:rPr>
                <w:rFonts w:ascii="Courier New" w:cs="Courier New" w:eastAsia="Courier New" w:hAnsi="Courier New"/>
                <w:sz w:val="15"/>
                <w:szCs w:val="15"/>
                <w:color w:val="auto"/>
              </w:rPr>
              <w:t>7.9x</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9.2x</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12.1x</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Implied Deal Value per CBS Shares   $</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266</w:t>
            </w:r>
          </w:p>
        </w:tc>
        <w:tc>
          <w:tcPr>
            <w:tcW w:w="140" w:type="dxa"/>
            <w:vAlign w:val="bottom"/>
            <w:vMerge w:val="continue"/>
          </w:tcPr>
          <w:p>
            <w:pPr>
              <w:spacing w:after="0"/>
              <w:rPr>
                <w:sz w:val="14"/>
                <w:szCs w:val="14"/>
                <w:color w:val="auto"/>
              </w:rPr>
            </w:pPr>
          </w:p>
        </w:tc>
        <w:tc>
          <w:tcPr>
            <w:tcW w:w="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287</w:t>
            </w:r>
          </w:p>
        </w:tc>
        <w:tc>
          <w:tcPr>
            <w:tcW w:w="11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317</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760" w:type="dxa"/>
            <w:vAlign w:val="bottom"/>
          </w:tcPr>
          <w:p>
            <w:pPr>
              <w:ind w:left="520"/>
              <w:spacing w:after="0"/>
              <w:rPr>
                <w:sz w:val="20"/>
                <w:szCs w:val="20"/>
                <w:color w:val="auto"/>
              </w:rPr>
            </w:pPr>
            <w:r>
              <w:rPr>
                <w:rFonts w:ascii="Courier New" w:cs="Courier New" w:eastAsia="Courier New" w:hAnsi="Courier New"/>
                <w:sz w:val="15"/>
                <w:szCs w:val="15"/>
                <w:color w:val="auto"/>
              </w:rPr>
              <w:t>Implied Deal Value per QVC Shares</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21"/>
                <w:szCs w:val="21"/>
                <w:color w:val="auto"/>
              </w:rPr>
            </w:pPr>
          </w:p>
        </w:tc>
        <w:tc>
          <w:tcPr>
            <w:tcW w:w="860" w:type="dxa"/>
            <w:vAlign w:val="bottom"/>
          </w:tcPr>
          <w:p>
            <w:pPr>
              <w:ind w:left="380"/>
              <w:spacing w:after="0"/>
              <w:rPr>
                <w:sz w:val="20"/>
                <w:szCs w:val="20"/>
                <w:color w:val="auto"/>
              </w:rPr>
            </w:pPr>
            <w:r>
              <w:rPr>
                <w:rFonts w:ascii="Courier New" w:cs="Courier New" w:eastAsia="Courier New" w:hAnsi="Courier New"/>
                <w:sz w:val="15"/>
                <w:szCs w:val="15"/>
                <w:color w:val="auto"/>
              </w:rPr>
              <w:t>35</w:t>
            </w:r>
          </w:p>
        </w:tc>
        <w:tc>
          <w:tcPr>
            <w:tcW w:w="1140" w:type="dxa"/>
            <w:vAlign w:val="bottom"/>
          </w:tcPr>
          <w:p>
            <w:pPr>
              <w:ind w:left="660"/>
              <w:spacing w:after="0"/>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w:t>
            </w: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5640" w:type="dxa"/>
            <w:vAlign w:val="bottom"/>
            <w:gridSpan w:val="4"/>
          </w:tcPr>
          <w:p>
            <w:pPr>
              <w:ind w:left="2720"/>
              <w:spacing w:after="0"/>
              <w:rPr>
                <w:sz w:val="20"/>
                <w:szCs w:val="20"/>
                <w:color w:val="auto"/>
              </w:rPr>
            </w:pPr>
            <w:r>
              <w:rPr>
                <w:rFonts w:ascii="Courier New" w:cs="Courier New" w:eastAsia="Courier New" w:hAnsi="Courier New"/>
                <w:sz w:val="15"/>
                <w:szCs w:val="15"/>
                <w:color w:val="auto"/>
              </w:rPr>
              <w:t>Blended Multiple Analysis:</w:t>
            </w:r>
          </w:p>
        </w:tc>
        <w:tc>
          <w:tcPr>
            <w:tcW w:w="2320" w:type="dxa"/>
            <w:vAlign w:val="bottom"/>
            <w:gridSpan w:val="2"/>
            <w:vMerge w:val="restart"/>
          </w:tcPr>
          <w:p>
            <w:pPr>
              <w:jc w:val="right"/>
              <w:ind w:right="367"/>
              <w:spacing w:after="0"/>
              <w:rPr>
                <w:sz w:val="20"/>
                <w:szCs w:val="20"/>
                <w:color w:val="auto"/>
              </w:rPr>
            </w:pPr>
            <w:r>
              <w:rPr>
                <w:rFonts w:ascii="Courier New" w:cs="Courier New" w:eastAsia="Courier New" w:hAnsi="Courier New"/>
                <w:sz w:val="15"/>
                <w:szCs w:val="15"/>
                <w:color w:val="auto"/>
              </w:rPr>
              <w:t>CBS Multiple</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3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760" w:type="dxa"/>
            <w:vAlign w:val="bottom"/>
          </w:tcPr>
          <w:p>
            <w:pPr>
              <w:spacing w:after="0"/>
              <w:rPr>
                <w:sz w:val="22"/>
                <w:szCs w:val="22"/>
                <w:color w:val="auto"/>
              </w:rPr>
            </w:pPr>
          </w:p>
        </w:tc>
        <w:tc>
          <w:tcPr>
            <w:tcW w:w="8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7.0x</w:t>
            </w:r>
          </w:p>
        </w:tc>
        <w:tc>
          <w:tcPr>
            <w:tcW w:w="14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5"/>
                <w:szCs w:val="15"/>
                <w:color w:val="auto"/>
              </w:rPr>
              <w:t>7.0x</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7.5x</w:t>
            </w: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8.0x</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8.5x</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9.0x</w:t>
            </w:r>
          </w:p>
        </w:tc>
        <w:tc>
          <w:tcPr>
            <w:tcW w:w="0" w:type="dxa"/>
            <w:vAlign w:val="bottom"/>
          </w:tcPr>
          <w:p>
            <w:pPr>
              <w:spacing w:after="0"/>
              <w:rPr>
                <w:sz w:val="1"/>
                <w:szCs w:val="1"/>
                <w:color w:val="auto"/>
              </w:rPr>
            </w:pPr>
          </w:p>
        </w:tc>
      </w:tr>
      <w:tr>
        <w:trPr>
          <w:trHeight w:val="168"/>
        </w:trPr>
        <w:tc>
          <w:tcPr>
            <w:tcW w:w="37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7.0x</w:t>
            </w:r>
          </w:p>
        </w:tc>
        <w:tc>
          <w:tcPr>
            <w:tcW w:w="11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7.4x</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7.7x</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8.1x</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8.5x</w:t>
            </w:r>
          </w:p>
        </w:tc>
        <w:tc>
          <w:tcPr>
            <w:tcW w:w="0" w:type="dxa"/>
            <w:vAlign w:val="bottom"/>
          </w:tcPr>
          <w:p>
            <w:pPr>
              <w:spacing w:after="0"/>
              <w:rPr>
                <w:sz w:val="1"/>
                <w:szCs w:val="1"/>
                <w:color w:val="auto"/>
              </w:rPr>
            </w:pPr>
          </w:p>
        </w:tc>
      </w:tr>
      <w:tr>
        <w:trPr>
          <w:trHeight w:val="168"/>
        </w:trPr>
        <w:tc>
          <w:tcPr>
            <w:tcW w:w="3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QVC Multiple</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7.5x</w:t>
            </w:r>
          </w:p>
        </w:tc>
        <w:tc>
          <w:tcPr>
            <w:tcW w:w="140" w:type="dxa"/>
            <w:vAlign w:val="bottom"/>
          </w:tcPr>
          <w:p>
            <w:pPr>
              <w:spacing w:after="0"/>
              <w:rPr>
                <w:sz w:val="14"/>
                <w:szCs w:val="14"/>
                <w:color w:val="auto"/>
              </w:rPr>
            </w:pPr>
          </w:p>
        </w:tc>
        <w:tc>
          <w:tcPr>
            <w:tcW w:w="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7.1</w:t>
            </w:r>
          </w:p>
        </w:tc>
        <w:tc>
          <w:tcPr>
            <w:tcW w:w="11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3760" w:type="dxa"/>
            <w:vAlign w:val="bottom"/>
            <w:vMerge w:val="continue"/>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8.0x</w:t>
            </w:r>
          </w:p>
        </w:tc>
        <w:tc>
          <w:tcPr>
            <w:tcW w:w="140" w:type="dxa"/>
            <w:vAlign w:val="bottom"/>
          </w:tcPr>
          <w:p>
            <w:pPr>
              <w:spacing w:after="0"/>
              <w:rPr>
                <w:sz w:val="14"/>
                <w:szCs w:val="14"/>
                <w:color w:val="auto"/>
              </w:rPr>
            </w:pPr>
          </w:p>
        </w:tc>
        <w:tc>
          <w:tcPr>
            <w:tcW w:w="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7.3</w:t>
            </w:r>
          </w:p>
        </w:tc>
        <w:tc>
          <w:tcPr>
            <w:tcW w:w="11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8.0</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8.4</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3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8.5x</w:t>
            </w:r>
          </w:p>
        </w:tc>
        <w:tc>
          <w:tcPr>
            <w:tcW w:w="140" w:type="dxa"/>
            <w:vAlign w:val="bottom"/>
          </w:tcPr>
          <w:p>
            <w:pPr>
              <w:spacing w:after="0"/>
              <w:rPr>
                <w:sz w:val="14"/>
                <w:szCs w:val="14"/>
                <w:color w:val="auto"/>
              </w:rPr>
            </w:pPr>
          </w:p>
        </w:tc>
        <w:tc>
          <w:tcPr>
            <w:tcW w:w="8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7.4</w:t>
            </w:r>
          </w:p>
        </w:tc>
        <w:tc>
          <w:tcPr>
            <w:tcW w:w="11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7.8</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8.5</w:t>
            </w:r>
          </w:p>
        </w:tc>
        <w:tc>
          <w:tcPr>
            <w:tcW w:w="5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8.9</w:t>
            </w:r>
          </w:p>
        </w:tc>
        <w:tc>
          <w:tcPr>
            <w:tcW w:w="0" w:type="dxa"/>
            <w:vAlign w:val="bottom"/>
          </w:tcPr>
          <w:p>
            <w:pPr>
              <w:spacing w:after="0"/>
              <w:rPr>
                <w:sz w:val="1"/>
                <w:szCs w:val="1"/>
                <w:color w:val="auto"/>
              </w:rPr>
            </w:pPr>
          </w:p>
        </w:tc>
      </w:tr>
      <w:tr>
        <w:trPr>
          <w:trHeight w:val="245"/>
        </w:trPr>
        <w:tc>
          <w:tcPr>
            <w:tcW w:w="3760" w:type="dxa"/>
            <w:vAlign w:val="bottom"/>
          </w:tcPr>
          <w:p>
            <w:pPr>
              <w:spacing w:after="0"/>
              <w:rPr>
                <w:sz w:val="21"/>
                <w:szCs w:val="21"/>
                <w:color w:val="auto"/>
              </w:rPr>
            </w:pP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9.0x</w:t>
            </w:r>
          </w:p>
        </w:tc>
        <w:tc>
          <w:tcPr>
            <w:tcW w:w="140" w:type="dxa"/>
            <w:vAlign w:val="bottom"/>
          </w:tcPr>
          <w:p>
            <w:pPr>
              <w:spacing w:after="0"/>
              <w:rPr>
                <w:sz w:val="21"/>
                <w:szCs w:val="21"/>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5"/>
                <w:szCs w:val="15"/>
                <w:color w:val="auto"/>
              </w:rPr>
              <w:t>7.5</w:t>
            </w:r>
          </w:p>
        </w:tc>
        <w:tc>
          <w:tcPr>
            <w:tcW w:w="1140" w:type="dxa"/>
            <w:vAlign w:val="bottom"/>
          </w:tcPr>
          <w:p>
            <w:pPr>
              <w:ind w:left="580"/>
              <w:spacing w:after="0"/>
              <w:rPr>
                <w:sz w:val="20"/>
                <w:szCs w:val="20"/>
                <w:color w:val="auto"/>
              </w:rPr>
            </w:pPr>
            <w:r>
              <w:rPr>
                <w:rFonts w:ascii="Courier New" w:cs="Courier New" w:eastAsia="Courier New" w:hAnsi="Courier New"/>
                <w:sz w:val="15"/>
                <w:szCs w:val="15"/>
                <w:color w:val="auto"/>
              </w:rPr>
              <w:t>7.9</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8.3</w:t>
            </w: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rPr>
              <w:t>8.6</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Implied Deal Value per Existing CBS Share:</w:t>
      </w:r>
    </w:p>
    <w:tbl>
      <w:tblPr>
        <w:tblLayout w:type="fixed"/>
        <w:tblInd w:w="2800" w:type="dxa"/>
        <w:tblCellMar>
          <w:top w:w="0" w:type="dxa"/>
          <w:left w:w="0" w:type="dxa"/>
          <w:bottom w:w="0" w:type="dxa"/>
          <w:right w:w="0" w:type="dxa"/>
        </w:tblCellMar>
      </w:tblPr>
      <w:tr>
        <w:trPr>
          <w:trHeight w:val="166"/>
        </w:trPr>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60" w:type="dxa"/>
            <w:vAlign w:val="bottom"/>
            <w:gridSpan w:val="2"/>
          </w:tcPr>
          <w:p>
            <w:pPr>
              <w:jc w:val="right"/>
              <w:ind w:right="247"/>
              <w:spacing w:after="0" w:line="167" w:lineRule="exact"/>
              <w:rPr>
                <w:sz w:val="20"/>
                <w:szCs w:val="20"/>
                <w:color w:val="auto"/>
              </w:rPr>
            </w:pPr>
            <w:r>
              <w:rPr>
                <w:rFonts w:ascii="Courier New" w:cs="Courier New" w:eastAsia="Courier New" w:hAnsi="Courier New"/>
                <w:sz w:val="15"/>
                <w:szCs w:val="15"/>
                <w:color w:val="auto"/>
              </w:rPr>
              <w:t>CBS Multiple</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280" w:type="dxa"/>
            <w:vAlign w:val="bottom"/>
          </w:tcPr>
          <w:p>
            <w:pPr>
              <w:spacing w:after="0"/>
              <w:rPr>
                <w:sz w:val="22"/>
                <w:szCs w:val="22"/>
                <w:color w:val="auto"/>
              </w:rPr>
            </w:pPr>
          </w:p>
        </w:tc>
        <w:tc>
          <w:tcPr>
            <w:tcW w:w="7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7.0x</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7.0x</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7.5x</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8.0x</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8.5x</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9.0x</w:t>
            </w:r>
          </w:p>
        </w:tc>
        <w:tc>
          <w:tcPr>
            <w:tcW w:w="0" w:type="dxa"/>
            <w:vAlign w:val="bottom"/>
          </w:tcPr>
          <w:p>
            <w:pPr>
              <w:spacing w:after="0"/>
              <w:rPr>
                <w:sz w:val="1"/>
                <w:szCs w:val="1"/>
                <w:color w:val="auto"/>
              </w:rPr>
            </w:pPr>
          </w:p>
        </w:tc>
      </w:tr>
      <w:tr>
        <w:trPr>
          <w:trHeight w:val="168"/>
        </w:trPr>
        <w:tc>
          <w:tcPr>
            <w:tcW w:w="12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$275</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$283</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68"/>
        </w:trPr>
        <w:tc>
          <w:tcPr>
            <w:tcW w:w="1280" w:type="dxa"/>
            <w:vAlign w:val="bottom"/>
            <w:vMerge w:val="restart"/>
          </w:tcPr>
          <w:p>
            <w:pPr>
              <w:spacing w:after="0"/>
              <w:rPr>
                <w:sz w:val="20"/>
                <w:szCs w:val="20"/>
                <w:color w:val="auto"/>
              </w:rPr>
            </w:pPr>
            <w:r>
              <w:rPr>
                <w:rFonts w:ascii="Courier New" w:cs="Courier New" w:eastAsia="Courier New" w:hAnsi="Courier New"/>
                <w:sz w:val="15"/>
                <w:szCs w:val="15"/>
                <w:color w:val="auto"/>
              </w:rPr>
              <w:t>QVC Multiple</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7.5x</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270</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278</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286</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w:t>
            </w:r>
          </w:p>
        </w:tc>
        <w:tc>
          <w:tcPr>
            <w:tcW w:w="0" w:type="dxa"/>
            <w:vAlign w:val="bottom"/>
          </w:tcPr>
          <w:p>
            <w:pPr>
              <w:spacing w:after="0"/>
              <w:rPr>
                <w:sz w:val="1"/>
                <w:szCs w:val="1"/>
                <w:color w:val="auto"/>
              </w:rPr>
            </w:pPr>
          </w:p>
        </w:tc>
      </w:tr>
      <w:tr>
        <w:trPr>
          <w:trHeight w:val="168"/>
        </w:trPr>
        <w:tc>
          <w:tcPr>
            <w:tcW w:w="1280" w:type="dxa"/>
            <w:vAlign w:val="bottom"/>
            <w:vMerge w:val="continue"/>
          </w:tcPr>
          <w:p>
            <w:pPr>
              <w:spacing w:after="0"/>
              <w:rPr>
                <w:sz w:val="14"/>
                <w:szCs w:val="14"/>
                <w:color w:val="auto"/>
              </w:rPr>
            </w:pP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8.0x</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273</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290</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w:t>
            </w:r>
          </w:p>
        </w:tc>
        <w:tc>
          <w:tcPr>
            <w:tcW w:w="0" w:type="dxa"/>
            <w:vAlign w:val="bottom"/>
          </w:tcPr>
          <w:p>
            <w:pPr>
              <w:spacing w:after="0"/>
              <w:rPr>
                <w:sz w:val="1"/>
                <w:szCs w:val="1"/>
                <w:color w:val="auto"/>
              </w:rPr>
            </w:pP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8.5x</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276</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293</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301</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310</w:t>
            </w:r>
          </w:p>
        </w:tc>
        <w:tc>
          <w:tcPr>
            <w:tcW w:w="0" w:type="dxa"/>
            <w:vAlign w:val="bottom"/>
          </w:tcPr>
          <w:p>
            <w:pPr>
              <w:spacing w:after="0"/>
              <w:rPr>
                <w:sz w:val="1"/>
                <w:szCs w:val="1"/>
                <w:color w:val="auto"/>
              </w:rPr>
            </w:pPr>
          </w:p>
        </w:tc>
      </w:tr>
      <w:tr>
        <w:trPr>
          <w:trHeight w:val="245"/>
        </w:trPr>
        <w:tc>
          <w:tcPr>
            <w:tcW w:w="1280" w:type="dxa"/>
            <w:vAlign w:val="bottom"/>
          </w:tcPr>
          <w:p>
            <w:pPr>
              <w:spacing w:after="0"/>
              <w:rPr>
                <w:sz w:val="21"/>
                <w:szCs w:val="21"/>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5"/>
                <w:szCs w:val="15"/>
                <w:color w:val="auto"/>
              </w:rPr>
              <w:t>9.0x</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279</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287</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296</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Implied Deal Value per Existing QVC Share:</w:t>
      </w:r>
    </w:p>
    <w:tbl>
      <w:tblPr>
        <w:tblLayout w:type="fixed"/>
        <w:tblInd w:w="280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gridSpan w:val="2"/>
          </w:tcPr>
          <w:p>
            <w:pPr>
              <w:jc w:val="right"/>
              <w:ind w:right="447"/>
              <w:spacing w:after="0" w:line="167" w:lineRule="exact"/>
              <w:rPr>
                <w:sz w:val="20"/>
                <w:szCs w:val="20"/>
                <w:color w:val="auto"/>
              </w:rPr>
            </w:pPr>
            <w:r>
              <w:rPr>
                <w:rFonts w:ascii="Courier New" w:cs="Courier New" w:eastAsia="Courier New" w:hAnsi="Courier New"/>
                <w:sz w:val="15"/>
                <w:szCs w:val="15"/>
                <w:color w:val="auto"/>
              </w:rPr>
              <w:t>CBS Multiple</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8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7.0x</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7.0x</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7.5x</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8.0x</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8.5x</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9.0x</w:t>
            </w:r>
          </w:p>
        </w:tc>
        <w:tc>
          <w:tcPr>
            <w:tcW w:w="0" w:type="dxa"/>
            <w:vAlign w:val="bottom"/>
          </w:tcPr>
          <w:p>
            <w:pPr>
              <w:spacing w:after="0"/>
              <w:rPr>
                <w:sz w:val="1"/>
                <w:szCs w:val="1"/>
                <w:color w:val="auto"/>
              </w:rPr>
            </w:pPr>
          </w:p>
        </w:tc>
      </w:tr>
      <w:tr>
        <w:trPr>
          <w:trHeight w:val="168"/>
        </w:trPr>
        <w:tc>
          <w:tcPr>
            <w:tcW w:w="1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1240" w:type="dxa"/>
            <w:vAlign w:val="bottom"/>
            <w:vMerge w:val="restart"/>
          </w:tcPr>
          <w:p>
            <w:pPr>
              <w:spacing w:after="0"/>
              <w:rPr>
                <w:sz w:val="20"/>
                <w:szCs w:val="20"/>
                <w:color w:val="auto"/>
              </w:rPr>
            </w:pPr>
            <w:r>
              <w:rPr>
                <w:rFonts w:ascii="Courier New" w:cs="Courier New" w:eastAsia="Courier New" w:hAnsi="Courier New"/>
                <w:sz w:val="15"/>
                <w:szCs w:val="15"/>
                <w:color w:val="auto"/>
              </w:rPr>
              <w:t>QVC Multiple</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7.5x</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68"/>
        </w:trPr>
        <w:tc>
          <w:tcPr>
            <w:tcW w:w="1240" w:type="dxa"/>
            <w:vAlign w:val="bottom"/>
            <w:vMerge w:val="continue"/>
          </w:tcPr>
          <w:p>
            <w:pPr>
              <w:spacing w:after="0"/>
              <w:rPr>
                <w:sz w:val="14"/>
                <w:szCs w:val="14"/>
                <w:color w:val="auto"/>
              </w:rPr>
            </w:pP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8.0x</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8.5x</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9.0x</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5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1994E EBITDA ($MM)(1)</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rPr>
              <w:t>CBS</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73.2%</w:t>
            </w: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168"/>
        </w:trPr>
        <w:tc>
          <w:tcPr>
            <w:tcW w:w="2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0"/>
                <w:szCs w:val="20"/>
                <w:color w:val="auto"/>
              </w:rPr>
            </w:pPr>
            <w:r>
              <w:rPr>
                <w:rFonts w:ascii="Courier New" w:cs="Courier New" w:eastAsia="Courier New" w:hAnsi="Courier New"/>
                <w:sz w:val="15"/>
                <w:szCs w:val="15"/>
                <w:color w:val="auto"/>
                <w:w w:val="96"/>
              </w:rPr>
              <w:t>Newco before Synergies $</w:t>
            </w:r>
          </w:p>
        </w:tc>
        <w:tc>
          <w:tcPr>
            <w:tcW w:w="180" w:type="dxa"/>
            <w:vAlign w:val="bottom"/>
          </w:tcPr>
          <w:p>
            <w:pPr>
              <w:spacing w:after="0"/>
              <w:rPr>
                <w:sz w:val="21"/>
                <w:szCs w:val="21"/>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721</w:t>
            </w: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100" w:type="dxa"/>
            <w:vAlign w:val="bottom"/>
          </w:tcPr>
          <w:p>
            <w:pPr>
              <w:spacing w:after="0"/>
              <w:rPr>
                <w:sz w:val="20"/>
                <w:szCs w:val="20"/>
                <w:color w:val="auto"/>
              </w:rPr>
            </w:pPr>
            <w:r>
              <w:rPr>
                <w:rFonts w:ascii="Courier New" w:cs="Courier New" w:eastAsia="Courier New" w:hAnsi="Courier New"/>
                <w:sz w:val="15"/>
                <w:szCs w:val="15"/>
                <w:color w:val="auto"/>
              </w:rPr>
              <w:t>Synergies (2)</w:t>
            </w:r>
          </w:p>
        </w:tc>
        <w:tc>
          <w:tcPr>
            <w:tcW w:w="180" w:type="dxa"/>
            <w:vAlign w:val="bottom"/>
          </w:tcPr>
          <w:p>
            <w:pPr>
              <w:spacing w:after="0"/>
              <w:rPr>
                <w:sz w:val="22"/>
                <w:szCs w:val="22"/>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Newco after Synergies  $</w:t>
            </w:r>
          </w:p>
        </w:tc>
        <w:tc>
          <w:tcPr>
            <w:tcW w:w="18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724</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DLJ and Oppenheimer for CBS and QVC, respectively.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Synergies derived from Wachtell.</w:t>
      </w:r>
    </w:p>
    <w:p>
      <w:pPr>
        <w:spacing w:after="0" w:line="335" w:lineRule="exact"/>
        <w:rPr>
          <w:sz w:val="20"/>
          <w:szCs w:val="20"/>
          <w:color w:val="auto"/>
        </w:rPr>
      </w:pPr>
    </w:p>
    <w:p>
      <w:pPr>
        <w:ind w:left="3780"/>
        <w:spacing w:after="0"/>
        <w:tabs>
          <w:tab w:leader="none" w:pos="524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0239"/>
          </w:cols>
          <w:pgMar w:left="220" w:top="26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2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III. Analysis of CBS Deal(cont'd)</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Trading History</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jc w:val="center"/>
        <w:ind w:right="3319"/>
        <w:spacing w:after="0" w:line="238" w:lineRule="auto"/>
        <w:rPr>
          <w:sz w:val="20"/>
          <w:szCs w:val="20"/>
          <w:color w:val="auto"/>
        </w:rPr>
      </w:pPr>
      <w:r>
        <w:rPr>
          <w:rFonts w:ascii="Courier New" w:cs="Courier New" w:eastAsia="Courier New" w:hAnsi="Courier New"/>
          <w:sz w:val="15"/>
          <w:szCs w:val="15"/>
          <w:color w:val="auto"/>
        </w:rPr>
        <w:t>QVC and CBS</w:t>
      </w:r>
    </w:p>
    <w:p>
      <w:pPr>
        <w:ind w:left="2460"/>
        <w:spacing w:after="0" w:line="237" w:lineRule="auto"/>
        <w:rPr>
          <w:sz w:val="20"/>
          <w:szCs w:val="20"/>
          <w:color w:val="auto"/>
        </w:rPr>
      </w:pPr>
      <w:r>
        <w:rPr>
          <w:rFonts w:ascii="Courier New" w:cs="Courier New" w:eastAsia="Courier New" w:hAnsi="Courier New"/>
          <w:sz w:val="15"/>
          <w:szCs w:val="15"/>
          <w:color w:val="auto"/>
        </w:rPr>
        <w:t>From 6/28/94 to 7/11/94</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 Week Perspective</w:t>
      </w:r>
    </w:p>
    <w:p>
      <w:pPr>
        <w:spacing w:after="0" w:line="140" w:lineRule="exact"/>
        <w:rPr>
          <w:sz w:val="20"/>
          <w:szCs w:val="20"/>
          <w:color w:val="auto"/>
        </w:rPr>
      </w:pPr>
    </w:p>
    <w:p>
      <w:pPr>
        <w:ind w:right="3499"/>
        <w:spacing w:after="0" w:line="298" w:lineRule="auto"/>
        <w:rPr>
          <w:sz w:val="20"/>
          <w:szCs w:val="20"/>
          <w:color w:val="auto"/>
        </w:rPr>
      </w:pPr>
      <w:r>
        <w:rPr>
          <w:rFonts w:ascii="Courier New" w:cs="Courier New" w:eastAsia="Courier New" w:hAnsi="Courier New"/>
          <w:sz w:val="14"/>
          <w:szCs w:val="14"/>
          <w:color w:val="auto"/>
        </w:rPr>
        <w:t>Chart III describes the Stock trading history of QVC and CBS from 6/28/94 through 7/11/94. The chart shows that the per Share stock price of QVC ranged from $32.75 on 6/29/94 and $38.00 on 6/30/94, and that the Share price of CBS ranged from $259.00 on 6/28/94 and $313.00 on 6/30/94, as follows: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2220" w:type="dxa"/>
            <w:vAlign w:val="bottom"/>
          </w:tcPr>
          <w:p>
            <w:pPr>
              <w:ind w:left="1260"/>
              <w:spacing w:after="0"/>
              <w:rPr>
                <w:sz w:val="20"/>
                <w:szCs w:val="20"/>
                <w:color w:val="auto"/>
              </w:rPr>
            </w:pPr>
            <w:r>
              <w:rPr>
                <w:rFonts w:ascii="Courier New" w:cs="Courier New" w:eastAsia="Courier New" w:hAnsi="Courier New"/>
                <w:sz w:val="15"/>
                <w:szCs w:val="15"/>
                <w:color w:val="auto"/>
              </w:rPr>
              <w:t>QVC</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6"/>
              </w:rPr>
              <w:t>CBS</w:t>
            </w: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Date</w:t>
            </w:r>
          </w:p>
        </w:tc>
        <w:tc>
          <w:tcPr>
            <w:tcW w:w="2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 Per</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Price Per</w:t>
            </w:r>
          </w:p>
        </w:tc>
        <w:tc>
          <w:tcPr>
            <w:tcW w:w="0" w:type="dxa"/>
            <w:vAlign w:val="bottom"/>
          </w:tcPr>
          <w:p>
            <w:pPr>
              <w:spacing w:after="0"/>
              <w:rPr>
                <w:sz w:val="1"/>
                <w:szCs w:val="1"/>
                <w:color w:val="auto"/>
              </w:rPr>
            </w:pPr>
          </w:p>
        </w:tc>
      </w:tr>
      <w:tr>
        <w:trPr>
          <w:trHeight w:val="168"/>
        </w:trPr>
        <w:tc>
          <w:tcPr>
            <w:tcW w:w="1720" w:type="dxa"/>
            <w:vAlign w:val="bottom"/>
            <w:vMerge w:val="continue"/>
          </w:tcPr>
          <w:p>
            <w:pPr>
              <w:spacing w:after="0"/>
              <w:rPr>
                <w:sz w:val="14"/>
                <w:szCs w:val="14"/>
                <w:color w:val="auto"/>
              </w:rPr>
            </w:pPr>
          </w:p>
        </w:tc>
        <w:tc>
          <w:tcPr>
            <w:tcW w:w="2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Share</w:t>
            </w:r>
          </w:p>
        </w:tc>
        <w:tc>
          <w:tcPr>
            <w:tcW w:w="11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Share</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20" w:type="dxa"/>
            <w:vAlign w:val="bottom"/>
          </w:tcPr>
          <w:p>
            <w:pPr>
              <w:ind w:left="126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6/28/94</w:t>
            </w:r>
          </w:p>
        </w:tc>
        <w:tc>
          <w:tcPr>
            <w:tcW w:w="2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$32.750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$259.000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6/29/94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32.375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263.000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6/30/94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313.000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7/01/94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37.750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307.000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7/05/94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310.000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7/06/94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310.250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7/07/94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37.000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308.500</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7/08/94</w:t>
            </w:r>
          </w:p>
        </w:tc>
        <w:tc>
          <w:tcPr>
            <w:tcW w:w="2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36.250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303.875</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7/11/94</w:t>
            </w:r>
          </w:p>
        </w:tc>
        <w:tc>
          <w:tcPr>
            <w:tcW w:w="2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35.750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tabs>
          <w:tab w:leader="none" w:pos="524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0239"/>
          </w:cols>
          <w:pgMar w:left="220" w:top="26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26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 Valuation of QVC</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OPERATION OVERVIEW</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ind w:left="280" w:right="3399" w:hanging="270"/>
        <w:spacing w:after="0" w:line="307" w:lineRule="auto"/>
        <w:tabs>
          <w:tab w:leader="none" w:pos="1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Largest television shopping retailer in the world, operating 24 hours per day.</w:t>
      </w:r>
    </w:p>
    <w:p>
      <w:pPr>
        <w:spacing w:after="0" w:line="4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Launched in 1986, had 1993 revenues of $1.2 billion.</w:t>
      </w:r>
    </w:p>
    <w:p>
      <w:pPr>
        <w:spacing w:after="0" w:line="166" w:lineRule="exact"/>
        <w:rPr>
          <w:rFonts w:ascii="Courier New" w:cs="Courier New" w:eastAsia="Courier New" w:hAnsi="Courier New"/>
          <w:sz w:val="15"/>
          <w:szCs w:val="15"/>
          <w:color w:val="auto"/>
        </w:rPr>
      </w:pPr>
    </w:p>
    <w:p>
      <w:pPr>
        <w:ind w:left="280" w:right="3939" w:hanging="270"/>
        <w:spacing w:after="0" w:line="344" w:lineRule="auto"/>
        <w:tabs>
          <w:tab w:leader="none" w:pos="1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Reaches 50 million homes in the U.S., representing 80% of all cable television subscribers.</w:t>
      </w:r>
    </w:p>
    <w:p>
      <w:pPr>
        <w:spacing w:after="0" w:line="17"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addition to the "Primary Channel", new ventures include:</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LAUNCHED IN 1993</w:t>
      </w:r>
    </w:p>
    <w:p>
      <w:pPr>
        <w:spacing w:after="0" w:line="23" w:lineRule="exact"/>
        <w:rPr>
          <w:sz w:val="20"/>
          <w:szCs w:val="20"/>
          <w:color w:val="auto"/>
        </w:rPr>
      </w:pPr>
    </w:p>
    <w:p>
      <w:pPr>
        <w:ind w:left="540" w:hanging="268"/>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with BSkyB for a U.K. shopping channel.</w:t>
      </w:r>
    </w:p>
    <w:p>
      <w:pPr>
        <w:ind w:left="540" w:hanging="268"/>
        <w:spacing w:after="0"/>
        <w:tabs>
          <w:tab w:leader="none" w:pos="54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JV with Grupo Televisa for a shopping channel in Mexico.</w:t>
      </w:r>
    </w:p>
    <w:p>
      <w:pPr>
        <w:spacing w:after="0" w:line="140"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 BE LAUNCHED IN 1994</w:t>
      </w:r>
    </w:p>
    <w:p>
      <w:pPr>
        <w:spacing w:after="0" w:line="23" w:lineRule="exact"/>
        <w:rPr>
          <w:sz w:val="20"/>
          <w:szCs w:val="20"/>
          <w:color w:val="auto"/>
        </w:rPr>
      </w:pPr>
    </w:p>
    <w:p>
      <w:pPr>
        <w:ind w:left="540" w:hanging="268"/>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Q2 - a more upscale shopping channel broadcasting on weekends.</w:t>
      </w:r>
    </w:p>
    <w:p>
      <w:pPr>
        <w:ind w:left="540" w:right="3579" w:hanging="268"/>
        <w:spacing w:after="0" w:line="307"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onQ - a fashion-oriented shopping channel broadcasting on weekdays and geared toward a younger audience.</w:t>
      </w:r>
    </w:p>
    <w:p>
      <w:pPr>
        <w:spacing w:after="0" w:line="4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TO BE LAUNCHED IN 1994</w:t>
      </w:r>
    </w:p>
    <w:p>
      <w:pPr>
        <w:spacing w:after="0" w:line="24" w:lineRule="exact"/>
        <w:rPr>
          <w:sz w:val="20"/>
          <w:szCs w:val="20"/>
          <w:color w:val="auto"/>
        </w:rPr>
      </w:pPr>
    </w:p>
    <w:p>
      <w:pPr>
        <w:ind w:left="540" w:hanging="268"/>
        <w:spacing w:after="0"/>
        <w:tabs>
          <w:tab w:leader="none" w:pos="5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Q-online a computer on-line shopping service.</w:t>
      </w:r>
    </w:p>
    <w:p>
      <w:pPr>
        <w:spacing w:after="0" w:line="140"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SUMMARY FINANCIAL DATA ($MM):</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FISCAL YEAR</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1990</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1994E</w:t>
            </w:r>
          </w:p>
        </w:tc>
      </w:tr>
      <w:tr>
        <w:trPr>
          <w:trHeight w:val="245"/>
        </w:trPr>
        <w:tc>
          <w:tcPr>
            <w:tcW w:w="2940" w:type="dxa"/>
            <w:vAlign w:val="bottom"/>
          </w:tcPr>
          <w:p>
            <w:pPr>
              <w:spacing w:after="0"/>
              <w:rPr>
                <w:sz w:val="21"/>
                <w:szCs w:val="21"/>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259"/>
        </w:trPr>
        <w:tc>
          <w:tcPr>
            <w:tcW w:w="2940" w:type="dxa"/>
            <w:vAlign w:val="bottom"/>
          </w:tcPr>
          <w:p>
            <w:pPr>
              <w:jc w:val="right"/>
              <w:ind w:right="2167"/>
              <w:spacing w:after="0"/>
              <w:rPr>
                <w:sz w:val="20"/>
                <w:szCs w:val="20"/>
                <w:color w:val="auto"/>
              </w:rPr>
            </w:pPr>
            <w:r>
              <w:rPr>
                <w:rFonts w:ascii="Courier New" w:cs="Courier New" w:eastAsia="Courier New" w:hAnsi="Courier New"/>
                <w:sz w:val="15"/>
                <w:szCs w:val="15"/>
                <w:color w:val="auto"/>
                <w:w w:val="94"/>
              </w:rPr>
              <w:t>Revenues</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453</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776</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1,222</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1,386</w:t>
            </w:r>
          </w:p>
        </w:tc>
      </w:tr>
      <w:tr>
        <w:trPr>
          <w:trHeight w:val="245"/>
        </w:trPr>
        <w:tc>
          <w:tcPr>
            <w:tcW w:w="294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Growth</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134.6%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71.2%</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w:t>
            </w:r>
          </w:p>
        </w:tc>
      </w:tr>
      <w:tr>
        <w:trPr>
          <w:trHeight w:val="259"/>
        </w:trPr>
        <w:tc>
          <w:tcPr>
            <w:tcW w:w="2940" w:type="dxa"/>
            <w:vAlign w:val="bottom"/>
          </w:tcPr>
          <w:p>
            <w:pPr>
              <w:jc w:val="right"/>
              <w:ind w:right="2327"/>
              <w:spacing w:after="0"/>
              <w:rPr>
                <w:sz w:val="20"/>
                <w:szCs w:val="20"/>
                <w:color w:val="auto"/>
              </w:rPr>
            </w:pPr>
            <w:r>
              <w:rPr>
                <w:rFonts w:ascii="Courier New" w:cs="Courier New" w:eastAsia="Courier New" w:hAnsi="Courier New"/>
                <w:sz w:val="15"/>
                <w:szCs w:val="15"/>
                <w:color w:val="auto"/>
                <w:w w:val="96"/>
              </w:rPr>
              <w:t>EBITDA</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193</w:t>
            </w:r>
          </w:p>
        </w:tc>
      </w:tr>
      <w:tr>
        <w:trPr>
          <w:trHeight w:val="168"/>
        </w:trPr>
        <w:tc>
          <w:tcPr>
            <w:tcW w:w="294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Margin</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245"/>
        </w:trPr>
        <w:tc>
          <w:tcPr>
            <w:tcW w:w="294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Growth</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160.8%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25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Lazard Freres &amp; Co.</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6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IV. Valuation of QVC (cont'd)</w:t>
      </w:r>
    </w:p>
    <w:p>
      <w:pPr>
        <w:spacing w:after="0" w:line="24" w:lineRule="exact"/>
        <w:rPr>
          <w:sz w:val="20"/>
          <w:szCs w:val="20"/>
          <w:color w:val="auto"/>
        </w:rPr>
      </w:pPr>
    </w:p>
    <w:p>
      <w:pPr>
        <w:ind w:left="180" w:hanging="170"/>
        <w:spacing w:after="0"/>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Summary Valuation Results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gridSpan w:val="2"/>
            <w:vMerge w:val="restart"/>
          </w:tcPr>
          <w:p>
            <w:pPr>
              <w:jc w:val="right"/>
              <w:ind w:right="987"/>
              <w:spacing w:after="0"/>
              <w:rPr>
                <w:sz w:val="20"/>
                <w:szCs w:val="20"/>
                <w:color w:val="auto"/>
              </w:rPr>
            </w:pPr>
            <w:r>
              <w:rPr>
                <w:rFonts w:ascii="Courier New" w:cs="Courier New" w:eastAsia="Courier New" w:hAnsi="Courier New"/>
                <w:sz w:val="15"/>
                <w:szCs w:val="15"/>
                <w:color w:val="auto"/>
              </w:rPr>
              <w:t>Unlevered DCF Values per Share:</w:t>
            </w:r>
          </w:p>
        </w:tc>
        <w:tc>
          <w:tcPr>
            <w:tcW w:w="18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8.0x EBITDA</w:t>
            </w:r>
          </w:p>
        </w:tc>
        <w:tc>
          <w:tcPr>
            <w:tcW w:w="2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9.0x EBITDA</w:t>
            </w:r>
          </w:p>
        </w:tc>
        <w:tc>
          <w:tcPr>
            <w:tcW w:w="0" w:type="dxa"/>
            <w:vAlign w:val="bottom"/>
          </w:tcPr>
          <w:p>
            <w:pPr>
              <w:spacing w:after="0"/>
              <w:rPr>
                <w:sz w:val="1"/>
                <w:szCs w:val="1"/>
                <w:color w:val="auto"/>
              </w:rPr>
            </w:pPr>
          </w:p>
        </w:tc>
      </w:tr>
      <w:tr>
        <w:trPr>
          <w:trHeight w:val="168"/>
        </w:trPr>
        <w:tc>
          <w:tcPr>
            <w:tcW w:w="4560" w:type="dxa"/>
            <w:vAlign w:val="bottom"/>
            <w:gridSpan w:val="2"/>
            <w:vMerge w:val="continue"/>
          </w:tcPr>
          <w:p>
            <w:pPr>
              <w:spacing w:after="0"/>
              <w:rPr>
                <w:sz w:val="14"/>
                <w:szCs w:val="14"/>
                <w:color w:val="auto"/>
              </w:rPr>
            </w:pPr>
          </w:p>
        </w:tc>
        <w:tc>
          <w:tcPr>
            <w:tcW w:w="18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Exit Multiple</w:t>
            </w:r>
          </w:p>
        </w:tc>
        <w:tc>
          <w:tcPr>
            <w:tcW w:w="2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Exit Multiple</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2"/>
                <w:szCs w:val="22"/>
                <w:color w:val="auto"/>
              </w:rPr>
            </w:pPr>
          </w:p>
        </w:tc>
        <w:tc>
          <w:tcPr>
            <w:tcW w:w="1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Discount Rate:</w:t>
            </w:r>
          </w:p>
        </w:tc>
        <w:tc>
          <w:tcPr>
            <w:tcW w:w="114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245"/>
        </w:trPr>
        <w:tc>
          <w:tcPr>
            <w:tcW w:w="2680" w:type="dxa"/>
            <w:vAlign w:val="bottom"/>
            <w:vMerge w:val="restart"/>
          </w:tcPr>
          <w:p>
            <w:pPr>
              <w:jc w:val="center"/>
              <w:ind w:right="407"/>
              <w:spacing w:after="0"/>
              <w:rPr>
                <w:sz w:val="20"/>
                <w:szCs w:val="20"/>
                <w:color w:val="auto"/>
              </w:rPr>
            </w:pPr>
            <w:r>
              <w:rPr>
                <w:rFonts w:ascii="Courier New" w:cs="Courier New" w:eastAsia="Courier New" w:hAnsi="Courier New"/>
                <w:sz w:val="15"/>
                <w:szCs w:val="15"/>
                <w:color w:val="auto"/>
                <w:w w:val="97"/>
              </w:rPr>
              <w:t>Revenue Growth:</w:t>
            </w:r>
          </w:p>
        </w:tc>
        <w:tc>
          <w:tcPr>
            <w:tcW w:w="1880" w:type="dxa"/>
            <w:vAlign w:val="bottom"/>
          </w:tcPr>
          <w:p>
            <w:pPr>
              <w:spacing w:after="0"/>
              <w:rPr>
                <w:sz w:val="21"/>
                <w:szCs w:val="21"/>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68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$ 38.60</w:t>
            </w:r>
          </w:p>
        </w:tc>
        <w:tc>
          <w:tcPr>
            <w:tcW w:w="7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w w:val="91"/>
              </w:rPr>
              <w:t>$ 37.09</w:t>
            </w:r>
          </w:p>
        </w:tc>
        <w:tc>
          <w:tcPr>
            <w:tcW w:w="14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$ 42.25</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$ 40.58</w:t>
            </w:r>
          </w:p>
        </w:tc>
        <w:tc>
          <w:tcPr>
            <w:tcW w:w="0" w:type="dxa"/>
            <w:vAlign w:val="bottom"/>
          </w:tcPr>
          <w:p>
            <w:pPr>
              <w:spacing w:after="0"/>
              <w:rPr>
                <w:sz w:val="1"/>
                <w:szCs w:val="1"/>
                <w:color w:val="auto"/>
              </w:rPr>
            </w:pPr>
          </w:p>
        </w:tc>
      </w:tr>
      <w:tr>
        <w:trPr>
          <w:trHeight w:val="168"/>
        </w:trPr>
        <w:tc>
          <w:tcPr>
            <w:tcW w:w="26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10.0%</w:t>
            </w:r>
          </w:p>
        </w:tc>
        <w:tc>
          <w:tcPr>
            <w:tcW w:w="18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12.5%</w:t>
            </w:r>
          </w:p>
        </w:tc>
        <w:tc>
          <w:tcPr>
            <w:tcW w:w="1880" w:type="dxa"/>
            <w:vAlign w:val="bottom"/>
          </w:tcPr>
          <w:p>
            <w:pPr>
              <w:spacing w:after="0"/>
              <w:rPr>
                <w:sz w:val="14"/>
                <w:szCs w:val="14"/>
                <w:color w:val="auto"/>
              </w:rPr>
            </w:pPr>
          </w:p>
        </w:tc>
        <w:tc>
          <w:tcPr>
            <w:tcW w:w="11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47.54</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45.66</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50.02</w:t>
            </w:r>
          </w:p>
        </w:tc>
        <w:tc>
          <w:tcPr>
            <w:tcW w:w="0" w:type="dxa"/>
            <w:vAlign w:val="bottom"/>
          </w:tcPr>
          <w:p>
            <w:pPr>
              <w:spacing w:after="0"/>
              <w:rPr>
                <w:sz w:val="1"/>
                <w:szCs w:val="1"/>
                <w:color w:val="auto"/>
              </w:rPr>
            </w:pPr>
          </w:p>
        </w:tc>
      </w:tr>
      <w:tr>
        <w:trPr>
          <w:trHeight w:val="245"/>
        </w:trPr>
        <w:tc>
          <w:tcPr>
            <w:tcW w:w="268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15.0%</w:t>
            </w:r>
          </w:p>
        </w:tc>
        <w:tc>
          <w:tcPr>
            <w:tcW w:w="1880" w:type="dxa"/>
            <w:vAlign w:val="bottom"/>
          </w:tcPr>
          <w:p>
            <w:pPr>
              <w:spacing w:after="0"/>
              <w:rPr>
                <w:sz w:val="21"/>
                <w:szCs w:val="21"/>
                <w:color w:val="auto"/>
              </w:rPr>
            </w:pPr>
          </w:p>
        </w:tc>
        <w:tc>
          <w:tcPr>
            <w:tcW w:w="11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57.07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54.82</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62.63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60.14</w:t>
            </w:r>
          </w:p>
        </w:tc>
        <w:tc>
          <w:tcPr>
            <w:tcW w:w="0" w:type="dxa"/>
            <w:vAlign w:val="bottom"/>
          </w:tcPr>
          <w:p>
            <w:pPr>
              <w:spacing w:after="0"/>
              <w:rPr>
                <w:sz w:val="1"/>
                <w:szCs w:val="1"/>
                <w:color w:val="auto"/>
              </w:rPr>
            </w:pPr>
          </w:p>
        </w:tc>
      </w:tr>
      <w:tr>
        <w:trPr>
          <w:trHeight w:val="427"/>
        </w:trPr>
        <w:tc>
          <w:tcPr>
            <w:tcW w:w="2680" w:type="dxa"/>
            <w:vAlign w:val="bottom"/>
          </w:tcPr>
          <w:p>
            <w:pPr>
              <w:spacing w:after="0"/>
              <w:rPr>
                <w:sz w:val="20"/>
                <w:szCs w:val="20"/>
                <w:color w:val="auto"/>
              </w:rPr>
            </w:pPr>
            <w:r>
              <w:rPr>
                <w:rFonts w:ascii="Courier New" w:cs="Courier New" w:eastAsia="Courier New" w:hAnsi="Courier New"/>
                <w:sz w:val="15"/>
                <w:szCs w:val="15"/>
                <w:color w:val="auto"/>
              </w:rPr>
              <w:t>Equity IRR(1):</w:t>
            </w: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Leveraged Pre-Tax IRR</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Purchase Price per Share</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$ 40.00</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$ 45.00</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$ 50.00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$ 55.00</w:t>
            </w:r>
          </w:p>
        </w:tc>
        <w:tc>
          <w:tcPr>
            <w:tcW w:w="0" w:type="dxa"/>
            <w:vAlign w:val="bottom"/>
          </w:tcPr>
          <w:p>
            <w:pPr>
              <w:spacing w:after="0"/>
              <w:rPr>
                <w:sz w:val="1"/>
                <w:szCs w:val="1"/>
                <w:color w:val="auto"/>
              </w:rPr>
            </w:pPr>
          </w:p>
        </w:tc>
      </w:tr>
      <w:tr>
        <w:trPr>
          <w:trHeight w:val="168"/>
        </w:trPr>
        <w:tc>
          <w:tcPr>
            <w:tcW w:w="268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EBITDA Exit Multiple</w:t>
            </w:r>
          </w:p>
        </w:tc>
        <w:tc>
          <w:tcPr>
            <w:tcW w:w="1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8.0x</w:t>
            </w:r>
          </w:p>
        </w:tc>
        <w:tc>
          <w:tcPr>
            <w:tcW w:w="1140" w:type="dxa"/>
            <w:vAlign w:val="bottom"/>
            <w:vMerge w:val="restart"/>
          </w:tcPr>
          <w:p>
            <w:pPr>
              <w:jc w:val="right"/>
              <w:ind w:right="288"/>
              <w:spacing w:after="0"/>
              <w:rPr>
                <w:sz w:val="20"/>
                <w:szCs w:val="20"/>
                <w:color w:val="auto"/>
              </w:rPr>
            </w:pP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27.8%</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31.5%</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34.8%</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114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37.8%</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30.3%</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20.4%</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579" w:hanging="350"/>
        <w:spacing w:after="0" w:line="307" w:lineRule="auto"/>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$1.1 billion equity investment including the value of QVC shares already owned by Comcast.</w:t>
      </w:r>
    </w:p>
    <w:p>
      <w:pPr>
        <w:spacing w:after="0" w:line="44"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Lazard Freres &amp; Co.</w:t>
      </w:r>
    </w:p>
    <w:p>
      <w:pPr>
        <w:spacing w:after="0" w:line="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6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IV. Valuation of QVC (cont'd)</w:t>
      </w:r>
    </w:p>
    <w:p>
      <w:pPr>
        <w:spacing w:after="0" w:line="24" w:lineRule="exact"/>
        <w:rPr>
          <w:sz w:val="20"/>
          <w:szCs w:val="20"/>
          <w:color w:val="auto"/>
        </w:rPr>
      </w:pPr>
    </w:p>
    <w:p>
      <w:pPr>
        <w:ind w:left="180" w:hanging="170"/>
        <w:spacing w:after="0"/>
        <w:tabs>
          <w:tab w:leader="none" w:pos="1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Projections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Summary Projection Assumptions(1)</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1999</w:t>
            </w:r>
          </w:p>
        </w:tc>
        <w:tc>
          <w:tcPr>
            <w:tcW w:w="16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CAGR</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600" w:type="dxa"/>
            <w:vAlign w:val="bottom"/>
          </w:tcPr>
          <w:p>
            <w:pPr>
              <w:spacing w:after="0"/>
              <w:rPr>
                <w:sz w:val="20"/>
                <w:szCs w:val="20"/>
                <w:color w:val="auto"/>
              </w:rPr>
            </w:pPr>
            <w:r>
              <w:rPr>
                <w:rFonts w:ascii="Courier New" w:cs="Courier New" w:eastAsia="Courier New" w:hAnsi="Courier New"/>
                <w:sz w:val="15"/>
                <w:szCs w:val="15"/>
                <w:color w:val="auto"/>
              </w:rPr>
              <w:t>- - Revenue</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80.3%</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80.3%</w:t>
            </w:r>
          </w:p>
        </w:tc>
        <w:tc>
          <w:tcPr>
            <w:tcW w:w="1660" w:type="dxa"/>
            <w:vAlign w:val="bottom"/>
            <w:vMerge w:val="restart"/>
          </w:tcPr>
          <w:p>
            <w:pPr>
              <w:jc w:val="right"/>
              <w:ind w:right="1067"/>
              <w:spacing w:after="0"/>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QVC Homes as % of Cable Television Subscribers</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QVC Customers as % of QVC "Homes"</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w:t>
            </w:r>
          </w:p>
        </w:tc>
        <w:tc>
          <w:tcPr>
            <w:tcW w:w="16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Avg. Annual Revenue per Customer</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$485</w:t>
            </w:r>
          </w:p>
        </w:tc>
        <w:tc>
          <w:tcPr>
            <w:tcW w:w="16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 - Expense</w:t>
            </w:r>
          </w:p>
        </w:tc>
        <w:tc>
          <w:tcPr>
            <w:tcW w:w="11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40.0%</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40.0%</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Margin</w:t>
            </w: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Variable Cost as % of Revenue</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14.0%</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   Increase of $20MM in 1994 for</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additional overhead related to</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launching of Q2/onQ channels and</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staffing for international joint</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ventures. Thereafter, G&amp;A increases</w:t>
            </w:r>
          </w:p>
        </w:tc>
        <w:tc>
          <w:tcPr>
            <w:tcW w:w="0" w:type="dxa"/>
            <w:vAlign w:val="bottom"/>
          </w:tcPr>
          <w:p>
            <w:pPr>
              <w:spacing w:after="0"/>
              <w:rPr>
                <w:sz w:val="1"/>
                <w:szCs w:val="1"/>
                <w:color w:val="auto"/>
              </w:rPr>
            </w:pPr>
          </w:p>
        </w:tc>
      </w:tr>
      <w:tr>
        <w:trPr>
          <w:trHeight w:val="168"/>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 - Credit Card Income</w:t>
            </w:r>
          </w:p>
        </w:tc>
        <w:tc>
          <w:tcPr>
            <w:tcW w:w="21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$15MM annually.</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38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   0.6% of revenue based on actual</w:t>
            </w:r>
          </w:p>
        </w:tc>
        <w:tc>
          <w:tcPr>
            <w:tcW w:w="0" w:type="dxa"/>
            <w:vAlign w:val="bottom"/>
          </w:tcPr>
          <w:p>
            <w:pPr>
              <w:spacing w:after="0"/>
              <w:rPr>
                <w:sz w:val="1"/>
                <w:szCs w:val="1"/>
                <w:color w:val="auto"/>
              </w:rPr>
            </w:pPr>
          </w:p>
        </w:tc>
      </w:tr>
      <w:tr>
        <w:trPr>
          <w:trHeight w:val="168"/>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 - Capital Expenditures</w:t>
            </w:r>
          </w:p>
        </w:tc>
        <w:tc>
          <w:tcPr>
            <w:tcW w:w="214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prior experience.</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38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6"/>
              </w:rPr>
              <w:t>--   2% of revenue based on actual prior</w:t>
            </w:r>
          </w:p>
        </w:tc>
        <w:tc>
          <w:tcPr>
            <w:tcW w:w="0" w:type="dxa"/>
            <w:vAlign w:val="bottom"/>
          </w:tcPr>
          <w:p>
            <w:pPr>
              <w:spacing w:after="0"/>
              <w:rPr>
                <w:sz w:val="1"/>
                <w:szCs w:val="1"/>
                <w:color w:val="auto"/>
              </w:rPr>
            </w:pPr>
          </w:p>
        </w:tc>
      </w:tr>
      <w:tr>
        <w:trPr>
          <w:trHeight w:val="245"/>
        </w:trPr>
        <w:tc>
          <w:tcPr>
            <w:tcW w:w="4600" w:type="dxa"/>
            <w:vAlign w:val="bottom"/>
            <w:vMerge w:val="restart"/>
          </w:tcPr>
          <w:p>
            <w:pPr>
              <w:spacing w:after="0"/>
              <w:rPr>
                <w:sz w:val="20"/>
                <w:szCs w:val="20"/>
                <w:color w:val="auto"/>
              </w:rPr>
            </w:pPr>
            <w:r>
              <w:rPr>
                <w:rFonts w:ascii="Courier New" w:cs="Courier New" w:eastAsia="Courier New" w:hAnsi="Courier New"/>
                <w:sz w:val="15"/>
                <w:szCs w:val="15"/>
                <w:color w:val="auto"/>
              </w:rPr>
              <w:t>- - Other</w:t>
            </w:r>
          </w:p>
        </w:tc>
        <w:tc>
          <w:tcPr>
            <w:tcW w:w="21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experience.</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600" w:type="dxa"/>
            <w:vAlign w:val="bottom"/>
            <w:vMerge w:val="continue"/>
          </w:tcPr>
          <w:p>
            <w:pPr>
              <w:spacing w:after="0"/>
              <w:rPr>
                <w:sz w:val="7"/>
                <w:szCs w:val="7"/>
                <w:color w:val="auto"/>
              </w:rPr>
            </w:pPr>
          </w:p>
        </w:tc>
        <w:tc>
          <w:tcPr>
            <w:tcW w:w="3800" w:type="dxa"/>
            <w:vAlign w:val="bottom"/>
            <w:gridSpan w:val="3"/>
            <w:vMerge w:val="restart"/>
          </w:tcPr>
          <w:p>
            <w:pPr>
              <w:ind w:left="140"/>
              <w:spacing w:after="0"/>
              <w:rPr>
                <w:sz w:val="20"/>
                <w:szCs w:val="20"/>
                <w:color w:val="auto"/>
              </w:rPr>
            </w:pPr>
            <w:r>
              <w:rPr>
                <w:rFonts w:ascii="Courier New" w:cs="Courier New" w:eastAsia="Courier New" w:hAnsi="Courier New"/>
                <w:sz w:val="15"/>
                <w:szCs w:val="15"/>
                <w:color w:val="auto"/>
              </w:rPr>
              <w:t>--   Tax rate = 42%; however deferred</w:t>
            </w: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Taxes</w:t>
            </w:r>
          </w:p>
        </w:tc>
        <w:tc>
          <w:tcPr>
            <w:tcW w:w="3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14"/>
                <w:szCs w:val="14"/>
                <w:color w:val="auto"/>
              </w:rPr>
            </w:pP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until 1997. Assumes $80MM of inside</w:t>
            </w:r>
          </w:p>
        </w:tc>
        <w:tc>
          <w:tcPr>
            <w:tcW w:w="0" w:type="dxa"/>
            <w:vAlign w:val="bottom"/>
          </w:tcPr>
          <w:p>
            <w:pPr>
              <w:spacing w:after="0"/>
              <w:rPr>
                <w:sz w:val="1"/>
                <w:szCs w:val="1"/>
                <w:color w:val="auto"/>
              </w:rPr>
            </w:pPr>
          </w:p>
        </w:tc>
      </w:tr>
      <w:tr>
        <w:trPr>
          <w:trHeight w:val="168"/>
        </w:trPr>
        <w:tc>
          <w:tcPr>
            <w:tcW w:w="46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Q2 Launch</w:t>
            </w:r>
          </w:p>
        </w:tc>
        <w:tc>
          <w:tcPr>
            <w:tcW w:w="118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basis.</w:t>
            </w: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3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8"/>
              </w:rPr>
              <w:t>--   $30MM in carriage fees spent in each</w:t>
            </w:r>
          </w:p>
        </w:tc>
        <w:tc>
          <w:tcPr>
            <w:tcW w:w="0" w:type="dxa"/>
            <w:vAlign w:val="bottom"/>
          </w:tcPr>
          <w:p>
            <w:pPr>
              <w:spacing w:after="0"/>
              <w:rPr>
                <w:sz w:val="1"/>
                <w:szCs w:val="1"/>
                <w:color w:val="auto"/>
              </w:rPr>
            </w:pPr>
          </w:p>
        </w:tc>
      </w:tr>
      <w:tr>
        <w:trPr>
          <w:trHeight w:val="168"/>
        </w:trPr>
        <w:tc>
          <w:tcPr>
            <w:tcW w:w="46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Joint Ventures</w:t>
            </w:r>
          </w:p>
        </w:tc>
        <w:tc>
          <w:tcPr>
            <w:tcW w:w="380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of the years 1995 and 1996.</w:t>
            </w:r>
          </w:p>
        </w:tc>
        <w:tc>
          <w:tcPr>
            <w:tcW w:w="0" w:type="dxa"/>
            <w:vAlign w:val="bottom"/>
          </w:tcPr>
          <w:p>
            <w:pPr>
              <w:spacing w:after="0"/>
              <w:rPr>
                <w:sz w:val="1"/>
                <w:szCs w:val="1"/>
                <w:color w:val="auto"/>
              </w:rPr>
            </w:pPr>
          </w:p>
        </w:tc>
      </w:tr>
      <w:tr>
        <w:trPr>
          <w:trHeight w:val="168"/>
        </w:trPr>
        <w:tc>
          <w:tcPr>
            <w:tcW w:w="4600" w:type="dxa"/>
            <w:vAlign w:val="bottom"/>
            <w:vMerge w:val="continue"/>
          </w:tcPr>
          <w:p>
            <w:pPr>
              <w:spacing w:after="0"/>
              <w:rPr>
                <w:sz w:val="14"/>
                <w:szCs w:val="14"/>
                <w:color w:val="auto"/>
              </w:rPr>
            </w:pPr>
          </w:p>
        </w:tc>
        <w:tc>
          <w:tcPr>
            <w:tcW w:w="3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   Valued at cost of $50MM in 1999.</w:t>
            </w:r>
          </w:p>
        </w:tc>
        <w:tc>
          <w:tcPr>
            <w:tcW w:w="0" w:type="dxa"/>
            <w:vAlign w:val="bottom"/>
          </w:tcPr>
          <w:p>
            <w:pPr>
              <w:spacing w:after="0"/>
              <w:rPr>
                <w:sz w:val="1"/>
                <w:szCs w:val="1"/>
                <w:color w:val="auto"/>
              </w:rPr>
            </w:pPr>
          </w:p>
        </w:tc>
      </w:tr>
      <w:tr>
        <w:trPr>
          <w:trHeight w:val="168"/>
        </w:trPr>
        <w:tc>
          <w:tcPr>
            <w:tcW w:w="4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Affiliation Agreements</w:t>
            </w:r>
          </w:p>
        </w:tc>
        <w:tc>
          <w:tcPr>
            <w:tcW w:w="38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   Assumes existing MSO's continue</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1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carriage.</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360" w:right="3579" w:hanging="350"/>
        <w:spacing w:after="0" w:line="307" w:lineRule="auto"/>
        <w:tabs>
          <w:tab w:leader="none" w:pos="3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prepared by Comcast management based upon publicly available information.</w:t>
      </w:r>
    </w:p>
    <w:p>
      <w:pPr>
        <w:spacing w:after="0" w:line="44"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Lazard Freres &amp; Co.</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6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IV. Valuation of QVC (cont'd)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Projections (cont'd)</w:t>
      </w:r>
    </w:p>
    <w:p>
      <w:pPr>
        <w:spacing w:after="0" w:line="2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245"/>
        </w:trPr>
        <w:tc>
          <w:tcPr>
            <w:tcW w:w="2680" w:type="dxa"/>
            <w:vAlign w:val="bottom"/>
          </w:tcPr>
          <w:p>
            <w:pPr>
              <w:spacing w:after="0"/>
              <w:rPr>
                <w:sz w:val="21"/>
                <w:szCs w:val="21"/>
                <w:color w:val="auto"/>
              </w:rPr>
            </w:pPr>
          </w:p>
        </w:tc>
        <w:tc>
          <w:tcPr>
            <w:tcW w:w="18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Executive Summary</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2680" w:type="dxa"/>
            <w:vAlign w:val="bottom"/>
          </w:tcPr>
          <w:p>
            <w:pPr>
              <w:spacing w:after="0"/>
              <w:rPr>
                <w:sz w:val="24"/>
                <w:szCs w:val="24"/>
                <w:color w:val="auto"/>
              </w:rPr>
            </w:pPr>
          </w:p>
        </w:tc>
        <w:tc>
          <w:tcPr>
            <w:tcW w:w="2100" w:type="dxa"/>
            <w:vAlign w:val="bottom"/>
            <w:gridSpan w:val="3"/>
          </w:tcPr>
          <w:p>
            <w:pPr>
              <w:ind w:left="1100"/>
              <w:spacing w:after="0"/>
              <w:rPr>
                <w:sz w:val="20"/>
                <w:szCs w:val="20"/>
                <w:color w:val="auto"/>
              </w:rPr>
            </w:pPr>
            <w:r>
              <w:rPr>
                <w:rFonts w:ascii="Courier New" w:cs="Courier New" w:eastAsia="Courier New" w:hAnsi="Courier New"/>
                <w:sz w:val="15"/>
                <w:szCs w:val="15"/>
                <w:color w:val="auto"/>
                <w:w w:val="98"/>
              </w:rPr>
              <w:t>(Amounts in</w:t>
            </w:r>
          </w:p>
        </w:tc>
        <w:tc>
          <w:tcPr>
            <w:tcW w:w="118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Millions)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Preliminary</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6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2"/>
              </w:rPr>
              <w:t>Actual</w:t>
            </w: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Projection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40" w:type="dxa"/>
            <w:vAlign w:val="bottom"/>
            <w:gridSpan w:val="2"/>
            <w:vMerge w:val="restart"/>
          </w:tcPr>
          <w:p>
            <w:pPr>
              <w:ind w:left="1100"/>
              <w:spacing w:after="0"/>
              <w:rPr>
                <w:sz w:val="20"/>
                <w:szCs w:val="20"/>
                <w:color w:val="auto"/>
              </w:rPr>
            </w:pPr>
            <w:r>
              <w:rPr>
                <w:rFonts w:ascii="Courier New" w:cs="Courier New" w:eastAsia="Courier New" w:hAnsi="Courier New"/>
                <w:sz w:val="7"/>
                <w:szCs w:val="7"/>
                <w:color w:val="auto"/>
                <w:vertAlign w:val="subscript"/>
              </w:rPr>
              <w:t>1991</w:t>
            </w:r>
            <w:r>
              <w:rPr>
                <w:rFonts w:ascii="Courier New" w:cs="Courier New" w:eastAsia="Courier New" w:hAnsi="Courier New"/>
                <w:sz w:val="4"/>
                <w:szCs w:val="4"/>
                <w:color w:val="auto"/>
              </w:rPr>
              <w:t>-------------------------</w:t>
            </w:r>
          </w:p>
        </w:tc>
        <w:tc>
          <w:tcPr>
            <w:tcW w:w="56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1992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88"/>
              </w:rPr>
              <w:t>1993</w:t>
            </w: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tcPr>
          <w:p>
            <w:pPr>
              <w:ind w:left="220"/>
              <w:spacing w:after="0"/>
              <w:rPr>
                <w:sz w:val="20"/>
                <w:szCs w:val="20"/>
                <w:color w:val="auto"/>
              </w:rPr>
            </w:pPr>
            <w:r>
              <w:rPr>
                <w:rFonts w:ascii="Courier New" w:cs="Courier New" w:eastAsia="Courier New" w:hAnsi="Courier New"/>
                <w:sz w:val="1"/>
                <w:szCs w:val="1"/>
                <w:color w:val="auto"/>
                <w:w w:val="82"/>
              </w:rPr>
              <w:t>----------------</w:t>
            </w:r>
          </w:p>
        </w:tc>
        <w:tc>
          <w:tcPr>
            <w:tcW w:w="6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88"/>
              </w:rPr>
              <w:t>1995</w:t>
            </w:r>
          </w:p>
        </w:tc>
        <w:tc>
          <w:tcPr>
            <w:tcW w:w="70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$ 922</w:t>
            </w:r>
          </w:p>
        </w:tc>
        <w:tc>
          <w:tcPr>
            <w:tcW w:w="3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$1,071</w:t>
            </w:r>
          </w:p>
        </w:tc>
        <w:tc>
          <w:tcPr>
            <w:tcW w:w="30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$1,222</w:t>
            </w:r>
          </w:p>
        </w:tc>
        <w:tc>
          <w:tcPr>
            <w:tcW w:w="300" w:type="dxa"/>
            <w:vAlign w:val="bottom"/>
          </w:tcPr>
          <w:p>
            <w:pPr>
              <w:spacing w:after="0"/>
              <w:rPr>
                <w:sz w:val="22"/>
                <w:szCs w:val="22"/>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$1,386</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$1,565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$1,762</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COGS</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832</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1,057</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555</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w:t>
            </w: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705</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w:t>
            </w: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247</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G&amp;A</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w:t>
            </w: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195</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Cash Flow</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$ 131</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c>
          <w:tcPr>
            <w:tcW w:w="3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$ 193</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263</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credit card income</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Operating Cash Flow</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$ 134</w:t>
            </w:r>
          </w:p>
        </w:tc>
        <w:tc>
          <w:tcPr>
            <w:tcW w:w="320" w:type="dxa"/>
            <w:vAlign w:val="bottom"/>
          </w:tcPr>
          <w:p>
            <w:pPr>
              <w:spacing w:after="0"/>
              <w:rPr>
                <w:sz w:val="14"/>
                <w:szCs w:val="14"/>
                <w:color w:val="auto"/>
              </w:rPr>
            </w:pP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3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273</w:t>
            </w: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41.9%</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40.8%</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40.0%</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16.0%</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13.9%</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14.5%</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Growth</w:t>
            </w: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25.3%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18.4%</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17.8%</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00" w:type="dxa"/>
            <w:vAlign w:val="bottom"/>
          </w:tcPr>
          <w:p>
            <w:pPr>
              <w:spacing w:after="0"/>
              <w:rPr>
                <w:sz w:val="21"/>
                <w:szCs w:val="21"/>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21"/>
                <w:szCs w:val="21"/>
                <w:color w:val="auto"/>
              </w:rPr>
            </w:pPr>
          </w:p>
        </w:tc>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$35</w:t>
            </w:r>
          </w:p>
        </w:tc>
        <w:tc>
          <w:tcPr>
            <w:tcW w:w="0" w:type="dxa"/>
            <w:vAlign w:val="bottom"/>
          </w:tcPr>
          <w:p>
            <w:pPr>
              <w:spacing w:after="0"/>
              <w:rPr>
                <w:sz w:val="1"/>
                <w:szCs w:val="1"/>
                <w:color w:val="auto"/>
              </w:rPr>
            </w:pPr>
          </w:p>
        </w:tc>
      </w:tr>
      <w:tr>
        <w:trPr>
          <w:trHeight w:val="764"/>
        </w:trPr>
        <w:tc>
          <w:tcPr>
            <w:tcW w:w="2680" w:type="dxa"/>
            <w:vAlign w:val="bottom"/>
          </w:tcPr>
          <w:p>
            <w:pPr>
              <w:spacing w:after="0"/>
              <w:rPr>
                <w:sz w:val="24"/>
                <w:szCs w:val="24"/>
                <w:color w:val="auto"/>
              </w:rPr>
            </w:pPr>
          </w:p>
        </w:tc>
        <w:tc>
          <w:tcPr>
            <w:tcW w:w="3580" w:type="dxa"/>
            <w:vAlign w:val="bottom"/>
            <w:gridSpan w:val="8"/>
          </w:tcPr>
          <w:p>
            <w:pPr>
              <w:jc w:val="right"/>
              <w:ind w:right="147"/>
              <w:spacing w:after="0"/>
              <w:rPr>
                <w:sz w:val="20"/>
                <w:szCs w:val="20"/>
                <w:color w:val="auto"/>
              </w:rPr>
            </w:pPr>
            <w:r>
              <w:rPr>
                <w:rFonts w:ascii="Courier New" w:cs="Courier New" w:eastAsia="Courier New" w:hAnsi="Courier New"/>
                <w:sz w:val="15"/>
                <w:szCs w:val="15"/>
                <w:color w:val="auto"/>
              </w:rPr>
              <w:t>Preliminary Projection</w:t>
            </w: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Annual Growth</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2100" w:type="dxa"/>
            <w:vAlign w:val="bottom"/>
            <w:gridSpan w:val="3"/>
            <w:vMerge w:val="restart"/>
          </w:tcPr>
          <w:p>
            <w:pPr>
              <w:jc w:val="right"/>
              <w:spacing w:after="0"/>
              <w:rPr>
                <w:sz w:val="20"/>
                <w:szCs w:val="20"/>
                <w:color w:val="auto"/>
              </w:rPr>
            </w:pPr>
            <w:r>
              <w:rPr>
                <w:rFonts w:ascii="Courier New" w:cs="Courier New" w:eastAsia="Courier New" w:hAnsi="Courier New"/>
                <w:sz w:val="15"/>
                <w:szCs w:val="15"/>
                <w:color w:val="auto"/>
                <w:w w:val="74"/>
              </w:rPr>
              <w:t>--------------------------</w:t>
            </w:r>
            <w:r>
              <w:rPr>
                <w:rFonts w:ascii="Courier New" w:cs="Courier New" w:eastAsia="Courier New" w:hAnsi="Courier New"/>
                <w:sz w:val="29"/>
                <w:szCs w:val="29"/>
                <w:color w:val="auto"/>
                <w:w w:val="74"/>
                <w:vertAlign w:val="subscript"/>
              </w:rPr>
              <w:t>1997</w:t>
            </w:r>
          </w:p>
        </w:tc>
        <w:tc>
          <w:tcPr>
            <w:tcW w:w="60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4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1999</w:t>
            </w:r>
          </w:p>
        </w:tc>
        <w:tc>
          <w:tcPr>
            <w:tcW w:w="2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91-93</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93-94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94-99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$1,978</w:t>
            </w:r>
          </w:p>
        </w:tc>
        <w:tc>
          <w:tcPr>
            <w:tcW w:w="26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$2,215</w:t>
            </w: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$2,478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13.4%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12.3%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COGS</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1,187</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1,329</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1,487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15.0%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791</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886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991</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Variable</w:t>
            </w:r>
          </w:p>
        </w:tc>
        <w:tc>
          <w:tcPr>
            <w:tcW w:w="152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277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347</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15.0%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G&amp;A</w:t>
            </w:r>
          </w:p>
        </w:tc>
        <w:tc>
          <w:tcPr>
            <w:tcW w:w="152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210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225</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240</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24.3%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Cash Flow</w:t>
            </w:r>
          </w:p>
        </w:tc>
        <w:tc>
          <w:tcPr>
            <w:tcW w:w="152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304</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351</w:t>
            </w:r>
          </w:p>
        </w:tc>
        <w:tc>
          <w:tcPr>
            <w:tcW w:w="1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credit card income</w:t>
            </w:r>
          </w:p>
        </w:tc>
        <w:tc>
          <w:tcPr>
            <w:tcW w:w="152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55.4%</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13.4%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12.3%</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Adjusted Operating Cash Flow</w:t>
            </w:r>
          </w:p>
        </w:tc>
        <w:tc>
          <w:tcPr>
            <w:tcW w:w="1520" w:type="dxa"/>
            <w:vAlign w:val="bottom"/>
            <w:vMerge w:val="restart"/>
          </w:tcPr>
          <w:p>
            <w:pPr>
              <w:jc w:val="right"/>
              <w:spacing w:after="0"/>
              <w:rPr>
                <w:sz w:val="20"/>
                <w:szCs w:val="20"/>
                <w:color w:val="auto"/>
              </w:rPr>
            </w:pPr>
            <w:r>
              <w:rPr>
                <w:rFonts w:ascii="Courier New" w:cs="Courier New" w:eastAsia="Courier New" w:hAnsi="Courier New"/>
                <w:sz w:val="29"/>
                <w:szCs w:val="29"/>
                <w:color w:val="auto"/>
                <w:vertAlign w:val="subscript"/>
              </w:rPr>
              <w:t>$</w:t>
            </w:r>
            <w:r>
              <w:rPr>
                <w:rFonts w:ascii="Courier New" w:cs="Courier New" w:eastAsia="Courier New" w:hAnsi="Courier New"/>
                <w:sz w:val="15"/>
                <w:szCs w:val="15"/>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316</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364</w:t>
            </w:r>
          </w:p>
        </w:tc>
        <w:tc>
          <w:tcPr>
            <w:tcW w:w="14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418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15.8%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restart"/>
          </w:tcPr>
          <w:p>
            <w:pPr>
              <w:spacing w:after="0"/>
              <w:rPr>
                <w:sz w:val="20"/>
                <w:szCs w:val="20"/>
                <w:color w:val="auto"/>
              </w:rPr>
            </w:pPr>
            <w:r>
              <w:rPr>
                <w:rFonts w:ascii="Courier New" w:cs="Courier New" w:eastAsia="Courier New" w:hAnsi="Courier New"/>
                <w:sz w:val="15"/>
                <w:szCs w:val="15"/>
                <w:color w:val="auto"/>
              </w:rPr>
              <w:t>Gross Margin</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vMerge w:val="continue"/>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15.8%</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Growth</w:t>
            </w: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15.7%</w:t>
            </w:r>
          </w:p>
        </w:tc>
        <w:tc>
          <w:tcPr>
            <w:tcW w:w="26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14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15.2%</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5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$40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2680" w:type="dxa"/>
            <w:vAlign w:val="bottom"/>
          </w:tcPr>
          <w:p>
            <w:pPr>
              <w:spacing w:after="0"/>
              <w:rPr>
                <w:sz w:val="24"/>
                <w:szCs w:val="24"/>
                <w:color w:val="auto"/>
              </w:rPr>
            </w:pPr>
          </w:p>
        </w:tc>
        <w:tc>
          <w:tcPr>
            <w:tcW w:w="1520" w:type="dxa"/>
            <w:vAlign w:val="bottom"/>
          </w:tcPr>
          <w:p>
            <w:pPr>
              <w:jc w:val="right"/>
              <w:ind w:right="529"/>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40" w:type="dxa"/>
            <w:vAlign w:val="bottom"/>
            <w:gridSpan w:val="5"/>
          </w:tcPr>
          <w:p>
            <w:pPr>
              <w:jc w:val="right"/>
              <w:ind w:right="227"/>
              <w:spacing w:after="0"/>
              <w:rPr>
                <w:sz w:val="20"/>
                <w:szCs w:val="20"/>
                <w:color w:val="auto"/>
              </w:rPr>
            </w:pPr>
            <w:r>
              <w:rPr>
                <w:rFonts w:ascii="Courier New" w:cs="Courier New" w:eastAsia="Courier New" w:hAnsi="Courier New"/>
                <w:sz w:val="15"/>
                <w:szCs w:val="15"/>
                <w:color w:val="auto"/>
              </w:rPr>
              <w:t>Lazard Freres &amp; Co.</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14</w:t>
      </w:r>
    </w:p>
    <w:p>
      <w:pPr>
        <w:spacing w:after="0" w:line="2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IV. Valuation of QVC (cont'd)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PROJECTIONS (cont'd)</w:t>
      </w:r>
    </w:p>
    <w:p>
      <w:pPr>
        <w:spacing w:after="0" w:line="2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245"/>
        </w:trPr>
        <w:tc>
          <w:tcPr>
            <w:tcW w:w="4340" w:type="dxa"/>
            <w:vAlign w:val="bottom"/>
          </w:tcPr>
          <w:p>
            <w:pPr>
              <w:ind w:left="2640"/>
              <w:spacing w:after="0"/>
              <w:rPr>
                <w:sz w:val="20"/>
                <w:szCs w:val="20"/>
                <w:color w:val="auto"/>
              </w:rPr>
            </w:pPr>
            <w:r>
              <w:rPr>
                <w:rFonts w:ascii="Courier New" w:cs="Courier New" w:eastAsia="Courier New" w:hAnsi="Courier New"/>
                <w:sz w:val="15"/>
                <w:szCs w:val="15"/>
                <w:color w:val="auto"/>
              </w:rPr>
              <w:t>Cash Flow Summary</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(Amounts in Millions)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Cash Flow</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300" w:type="dxa"/>
            <w:vAlign w:val="bottom"/>
          </w:tcPr>
          <w:p>
            <w:pPr>
              <w:spacing w:after="0"/>
              <w:rPr>
                <w:sz w:val="14"/>
                <w:szCs w:val="14"/>
                <w:color w:val="auto"/>
              </w:rPr>
            </w:pPr>
          </w:p>
        </w:tc>
        <w:tc>
          <w:tcPr>
            <w:tcW w:w="80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w w:val="94"/>
              </w:rPr>
              <w:t>2 Months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w:t>
            </w:r>
          </w:p>
        </w:tc>
        <w:tc>
          <w:tcPr>
            <w:tcW w:w="3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 from Joint Ventures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 Q2 Launch</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Liability (Deferred until 1997)</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Free Cash Flow</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300" w:type="dxa"/>
            <w:vAlign w:val="bottom"/>
          </w:tcPr>
          <w:p>
            <w:pPr>
              <w:spacing w:after="0"/>
              <w:rPr>
                <w:sz w:val="14"/>
                <w:szCs w:val="14"/>
                <w:color w:val="auto"/>
              </w:rPr>
            </w:pPr>
          </w:p>
        </w:tc>
        <w:tc>
          <w:tcPr>
            <w:tcW w:w="2200" w:type="dxa"/>
            <w:vAlign w:val="bottom"/>
            <w:gridSpan w:val="5"/>
            <w:vMerge w:val="restart"/>
          </w:tcPr>
          <w:p>
            <w:pPr>
              <w:ind w:left="100"/>
              <w:spacing w:after="0"/>
              <w:rPr>
                <w:sz w:val="20"/>
                <w:szCs w:val="20"/>
                <w:color w:val="auto"/>
              </w:rPr>
            </w:pPr>
            <w:r>
              <w:rPr>
                <w:rFonts w:ascii="Courier New" w:cs="Courier New" w:eastAsia="Courier New" w:hAnsi="Courier New"/>
                <w:sz w:val="15"/>
                <w:szCs w:val="15"/>
                <w:color w:val="auto"/>
              </w:rPr>
              <w:t>4.4 x Run-rate Adj. OCF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Debt Inc (Dec)</w:t>
            </w:r>
          </w:p>
        </w:tc>
        <w:tc>
          <w:tcPr>
            <w:tcW w:w="30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300" w:type="dxa"/>
            <w:vAlign w:val="bottom"/>
          </w:tcPr>
          <w:p>
            <w:pPr>
              <w:spacing w:after="0"/>
              <w:rPr>
                <w:sz w:val="14"/>
                <w:szCs w:val="14"/>
                <w:color w:val="auto"/>
              </w:rPr>
            </w:pPr>
          </w:p>
        </w:tc>
        <w:tc>
          <w:tcPr>
            <w:tcW w:w="220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0.9 x Run-rate Adj. OCF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3"/>
              </w:rPr>
              <w:t>1,148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300" w:type="dxa"/>
            <w:vAlign w:val="bottom"/>
          </w:tcPr>
          <w:p>
            <w:pPr>
              <w:spacing w:after="0"/>
              <w:rPr>
                <w:sz w:val="14"/>
                <w:szCs w:val="14"/>
                <w:color w:val="auto"/>
              </w:rPr>
            </w:pPr>
          </w:p>
        </w:tc>
        <w:tc>
          <w:tcPr>
            <w:tcW w:w="5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10.3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Price: X Run-rate Adj. OCF</w:t>
            </w: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(2,242)</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Transaction Fees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Ending Working Capital</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Capitalization:</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950</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Debt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Debt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1,148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Capitalization</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$ 2,298</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Bank Debt to Operating Cash Flow</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Debt to Operating Cash Flow</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Coverage (OCF/Int Exp)</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Service Coverage (OCF/Int+Debt Serv)</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Annual Bank Debt Amortization</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Cumulative Bank Debt Amortization</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4"/>
        </w:trPr>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5"/>
              </w:rPr>
              <w:t>Preliminary Projection</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3980" w:type="dxa"/>
            <w:vAlign w:val="bottom"/>
            <w:gridSpan w:val="11"/>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1997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1998</w:t>
            </w:r>
          </w:p>
        </w:tc>
        <w:tc>
          <w:tcPr>
            <w:tcW w:w="100" w:type="dxa"/>
            <w:vAlign w:val="bottom"/>
          </w:tcPr>
          <w:p>
            <w:pPr>
              <w:spacing w:after="0"/>
              <w:rPr>
                <w:sz w:val="14"/>
                <w:szCs w:val="14"/>
                <w:color w:val="auto"/>
              </w:rPr>
            </w:pP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1999</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spacing w:after="0"/>
              <w:rPr>
                <w:sz w:val="21"/>
                <w:szCs w:val="21"/>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7"/>
          </w:tcPr>
          <w:p>
            <w:pPr>
              <w:jc w:val="right"/>
              <w:ind w:right="27"/>
              <w:spacing w:after="0"/>
              <w:rPr>
                <w:sz w:val="20"/>
                <w:szCs w:val="20"/>
                <w:color w:val="auto"/>
              </w:rPr>
            </w:pPr>
            <w:r>
              <w:rPr>
                <w:rFonts w:ascii="Courier New" w:cs="Courier New" w:eastAsia="Courier New" w:hAnsi="Courier New"/>
                <w:sz w:val="15"/>
                <w:szCs w:val="15"/>
                <w:color w:val="auto"/>
                <w:w w:val="99"/>
              </w:rPr>
              <w:t>------   ------   -------</w:t>
            </w:r>
          </w:p>
        </w:tc>
        <w:tc>
          <w:tcPr>
            <w:tcW w:w="0" w:type="dxa"/>
            <w:vAlign w:val="bottom"/>
          </w:tcPr>
          <w:p>
            <w:pPr>
              <w:spacing w:after="0"/>
              <w:rPr>
                <w:sz w:val="1"/>
                <w:szCs w:val="1"/>
                <w:color w:val="auto"/>
              </w:rPr>
            </w:pPr>
          </w:p>
        </w:tc>
      </w:tr>
      <w:tr>
        <w:trPr>
          <w:trHeight w:val="259"/>
        </w:trPr>
        <w:tc>
          <w:tcPr>
            <w:tcW w:w="434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236</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273</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316</w:t>
            </w:r>
          </w:p>
        </w:tc>
        <w:tc>
          <w:tcPr>
            <w:tcW w:w="80" w:type="dxa"/>
            <w:vAlign w:val="bottom"/>
          </w:tcPr>
          <w:p>
            <w:pPr>
              <w:spacing w:after="0"/>
              <w:rPr>
                <w:sz w:val="22"/>
                <w:szCs w:val="22"/>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364</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418</w:t>
            </w:r>
          </w:p>
        </w:tc>
        <w:tc>
          <w:tcPr>
            <w:tcW w:w="88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$ 1,607</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Cash Flow</w:t>
            </w:r>
          </w:p>
        </w:tc>
        <w:tc>
          <w:tcPr>
            <w:tcW w:w="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Working Capital</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1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 from Joint Ventures</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Fund Q2 Launch</w:t>
            </w:r>
          </w:p>
        </w:tc>
        <w:tc>
          <w:tcPr>
            <w:tcW w:w="30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(106)</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Liability (Deferred until 1997)</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(415)</w:t>
            </w: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Free Cash Flow</w:t>
            </w:r>
          </w:p>
        </w:tc>
        <w:tc>
          <w:tcPr>
            <w:tcW w:w="300" w:type="dxa"/>
            <w:vAlign w:val="bottom"/>
          </w:tcPr>
          <w:p>
            <w:pPr>
              <w:jc w:val="right"/>
              <w:spacing w:after="0"/>
              <w:rPr>
                <w:sz w:val="20"/>
                <w:szCs w:val="20"/>
                <w:color w:val="auto"/>
              </w:rPr>
            </w:pPr>
            <w:r>
              <w:rPr>
                <w:rFonts w:ascii="Courier New" w:cs="Courier New" w:eastAsia="Courier New" w:hAnsi="Courier New"/>
                <w:sz w:val="11"/>
                <w:szCs w:val="11"/>
                <w:color w:val="auto"/>
                <w:w w:val="70"/>
              </w:rPr>
              <w:t>------</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154</w:t>
            </w:r>
          </w:p>
        </w:tc>
        <w:tc>
          <w:tcPr>
            <w:tcW w:w="860" w:type="dxa"/>
            <w:vAlign w:val="bottom"/>
            <w:gridSpan w:val="2"/>
            <w:vMerge w:val="continue"/>
          </w:tcPr>
          <w:p>
            <w:pPr>
              <w:spacing w:after="0"/>
              <w:rPr>
                <w:sz w:val="14"/>
                <w:szCs w:val="14"/>
                <w:color w:val="auto"/>
              </w:rPr>
            </w:pP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w:t>
            </w:r>
          </w:p>
        </w:tc>
        <w:tc>
          <w:tcPr>
            <w:tcW w:w="0" w:type="dxa"/>
            <w:vAlign w:val="bottom"/>
          </w:tcPr>
          <w:p>
            <w:pPr>
              <w:spacing w:after="0"/>
              <w:rPr>
                <w:sz w:val="1"/>
                <w:szCs w:val="1"/>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w:t>
            </w:r>
          </w:p>
        </w:tc>
        <w:tc>
          <w:tcPr>
            <w:tcW w:w="3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(120)</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(155)</w:t>
            </w:r>
          </w:p>
        </w:tc>
        <w:tc>
          <w:tcPr>
            <w:tcW w:w="440" w:type="dxa"/>
            <w:vAlign w:val="bottom"/>
          </w:tcPr>
          <w:p>
            <w:pPr>
              <w:spacing w:after="0"/>
              <w:rPr>
                <w:sz w:val="14"/>
                <w:szCs w:val="14"/>
                <w:color w:val="auto"/>
              </w:rPr>
            </w:pPr>
          </w:p>
        </w:tc>
        <w:tc>
          <w:tcPr>
            <w:tcW w:w="4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520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Debt Inc (Dec)</w:t>
            </w: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3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(95)</w:t>
            </w:r>
          </w:p>
        </w:tc>
        <w:tc>
          <w:tcPr>
            <w:tcW w:w="180" w:type="dxa"/>
            <w:vAlign w:val="bottom"/>
          </w:tcPr>
          <w:p>
            <w:pPr>
              <w:spacing w:after="0"/>
              <w:rPr>
                <w:sz w:val="14"/>
                <w:szCs w:val="14"/>
                <w:color w:val="auto"/>
              </w:rPr>
            </w:pPr>
          </w:p>
        </w:tc>
        <w:tc>
          <w:tcPr>
            <w:tcW w:w="6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(85)</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w:t>
            </w:r>
          </w:p>
        </w:tc>
        <w:tc>
          <w:tcPr>
            <w:tcW w:w="44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(444)</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1,148</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Price: X Run-rate Adj. OCF</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(2,242)</w:t>
            </w: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Transaction Fees</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2"/>
              </w:rPr>
              <w:t>------</w:t>
            </w:r>
          </w:p>
        </w:tc>
        <w:tc>
          <w:tcPr>
            <w:tcW w:w="620" w:type="dxa"/>
            <w:vAlign w:val="bottom"/>
            <w:gridSpan w:val="2"/>
            <w:vMerge w:val="restart"/>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Ending Working Capital</w:t>
            </w: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vertAlign w:val="subscript"/>
              </w:rPr>
              <w:t>$</w:t>
            </w:r>
            <w:r>
              <w:rPr>
                <w:rFonts w:ascii="Courier New" w:cs="Courier New" w:eastAsia="Courier New" w:hAnsi="Courier New"/>
                <w:sz w:val="9"/>
                <w:szCs w:val="9"/>
                <w:color w:val="auto"/>
                <w:w w:val="73"/>
              </w:rPr>
              <w:t>------</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86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45"/>
        </w:trPr>
        <w:tc>
          <w:tcPr>
            <w:tcW w:w="4340" w:type="dxa"/>
            <w:vAlign w:val="bottom"/>
            <w:vMerge w:val="restart"/>
          </w:tcPr>
          <w:p>
            <w:pPr>
              <w:spacing w:after="0"/>
              <w:rPr>
                <w:sz w:val="20"/>
                <w:szCs w:val="20"/>
                <w:color w:val="auto"/>
              </w:rPr>
            </w:pPr>
            <w:r>
              <w:rPr>
                <w:rFonts w:ascii="Courier New" w:cs="Courier New" w:eastAsia="Courier New" w:hAnsi="Courier New"/>
                <w:sz w:val="15"/>
                <w:szCs w:val="15"/>
                <w:color w:val="auto"/>
              </w:rPr>
              <w:t>Capitalization:</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7"/>
          </w:tcPr>
          <w:p>
            <w:pPr>
              <w:jc w:val="right"/>
              <w:ind w:right="27"/>
              <w:spacing w:after="0"/>
              <w:rPr>
                <w:sz w:val="20"/>
                <w:szCs w:val="20"/>
                <w:color w:val="auto"/>
              </w:rPr>
            </w:pPr>
            <w:r>
              <w:rPr>
                <w:rFonts w:ascii="Courier New" w:cs="Courier New" w:eastAsia="Courier New" w:hAnsi="Courier New"/>
                <w:sz w:val="15"/>
                <w:szCs w:val="15"/>
                <w:color w:val="auto"/>
                <w:w w:val="99"/>
              </w:rPr>
              <w:t>======   ======   =======</w:t>
            </w:r>
          </w:p>
        </w:tc>
        <w:tc>
          <w:tcPr>
            <w:tcW w:w="0" w:type="dxa"/>
            <w:vAlign w:val="bottom"/>
          </w:tcPr>
          <w:p>
            <w:pPr>
              <w:spacing w:after="0"/>
              <w:rPr>
                <w:sz w:val="1"/>
                <w:szCs w:val="1"/>
                <w:color w:val="auto"/>
              </w:rPr>
            </w:pPr>
          </w:p>
        </w:tc>
      </w:tr>
      <w:tr>
        <w:trPr>
          <w:trHeight w:val="91"/>
        </w:trPr>
        <w:tc>
          <w:tcPr>
            <w:tcW w:w="4340" w:type="dxa"/>
            <w:vAlign w:val="bottom"/>
            <w:vMerge w:val="continue"/>
          </w:tcPr>
          <w:p>
            <w:pPr>
              <w:spacing w:after="0"/>
              <w:rPr>
                <w:sz w:val="7"/>
                <w:szCs w:val="7"/>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900</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795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795</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675</w:t>
            </w:r>
          </w:p>
        </w:tc>
        <w:tc>
          <w:tcPr>
            <w:tcW w:w="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520</w:t>
            </w: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Debt</w:t>
            </w:r>
          </w:p>
        </w:tc>
        <w:tc>
          <w:tcPr>
            <w:tcW w:w="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Debt</w:t>
            </w:r>
          </w:p>
        </w:tc>
        <w:tc>
          <w:tcPr>
            <w:tcW w:w="300" w:type="dxa"/>
            <w:vAlign w:val="bottom"/>
          </w:tcPr>
          <w:p>
            <w:pPr>
              <w:jc w:val="right"/>
              <w:spacing w:after="0"/>
              <w:rPr>
                <w:sz w:val="20"/>
                <w:szCs w:val="20"/>
                <w:color w:val="auto"/>
              </w:rPr>
            </w:pPr>
            <w:r>
              <w:rPr>
                <w:rFonts w:ascii="Courier New" w:cs="Courier New" w:eastAsia="Courier New" w:hAnsi="Courier New"/>
                <w:sz w:val="11"/>
                <w:szCs w:val="11"/>
                <w:color w:val="auto"/>
                <w:w w:val="70"/>
              </w:rPr>
              <w:t>------</w:t>
            </w:r>
          </w:p>
        </w:tc>
        <w:tc>
          <w:tcPr>
            <w:tcW w:w="5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3"/>
              </w:rPr>
              <w:t>1,100</w:t>
            </w: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875</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1,148</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1,148</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1,148</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1,148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 Capitalization</w:t>
            </w:r>
          </w:p>
        </w:tc>
        <w:tc>
          <w:tcPr>
            <w:tcW w:w="840" w:type="dxa"/>
            <w:vAlign w:val="bottom"/>
            <w:gridSpan w:val="2"/>
            <w:vMerge w:val="restart"/>
          </w:tcPr>
          <w:p>
            <w:pPr>
              <w:jc w:val="right"/>
              <w:ind w:right="27"/>
              <w:spacing w:after="0"/>
              <w:rPr>
                <w:sz w:val="20"/>
                <w:szCs w:val="20"/>
                <w:color w:val="auto"/>
              </w:rPr>
            </w:pPr>
            <w:r>
              <w:rPr>
                <w:rFonts w:ascii="Courier New" w:cs="Courier New" w:eastAsia="Courier New" w:hAnsi="Courier New"/>
                <w:sz w:val="23"/>
                <w:szCs w:val="23"/>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2,248</w:t>
            </w: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$2,143</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$2,143</w:t>
            </w:r>
          </w:p>
        </w:tc>
        <w:tc>
          <w:tcPr>
            <w:tcW w:w="80" w:type="dxa"/>
            <w:vAlign w:val="bottom"/>
          </w:tcPr>
          <w:p>
            <w:pPr>
              <w:spacing w:after="0"/>
              <w:rPr>
                <w:sz w:val="14"/>
                <w:szCs w:val="14"/>
                <w:color w:val="auto"/>
              </w:rPr>
            </w:pP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$2,023</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$1,868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Bank Debt to Operating Cash Flow</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Debt to Operating Cash Flow</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Coverage (OCF/Int Exp)</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n/m</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Service Coverage (OCF/Int+Debt Serv)</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Annual Bank Debt Amortization</w:t>
            </w:r>
          </w:p>
        </w:tc>
        <w:tc>
          <w:tcPr>
            <w:tcW w:w="30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14"/>
                <w:szCs w:val="14"/>
                <w:color w:val="auto"/>
              </w:rPr>
            </w:pP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11.1%</w:t>
            </w:r>
          </w:p>
        </w:tc>
        <w:tc>
          <w:tcPr>
            <w:tcW w:w="1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12.6%</w:t>
            </w:r>
          </w:p>
        </w:tc>
        <w:tc>
          <w:tcPr>
            <w:tcW w:w="1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16.3%</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Cumulative Bank Debt Amortization</w:t>
            </w:r>
          </w:p>
        </w:tc>
        <w:tc>
          <w:tcPr>
            <w:tcW w:w="300" w:type="dxa"/>
            <w:vAlign w:val="bottom"/>
          </w:tcPr>
          <w:p>
            <w:pPr>
              <w:spacing w:after="0"/>
              <w:rPr>
                <w:sz w:val="21"/>
                <w:szCs w:val="21"/>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c>
          <w:tcPr>
            <w:tcW w:w="260" w:type="dxa"/>
            <w:vAlign w:val="bottom"/>
          </w:tcPr>
          <w:p>
            <w:pPr>
              <w:spacing w:after="0"/>
              <w:rPr>
                <w:sz w:val="21"/>
                <w:szCs w:val="21"/>
                <w:color w:val="auto"/>
              </w:rPr>
            </w:pPr>
          </w:p>
        </w:tc>
        <w:tc>
          <w:tcPr>
            <w:tcW w:w="6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16.3%</w:t>
            </w:r>
          </w:p>
        </w:tc>
        <w:tc>
          <w:tcPr>
            <w:tcW w:w="180" w:type="dxa"/>
            <w:vAlign w:val="bottom"/>
          </w:tcPr>
          <w:p>
            <w:pPr>
              <w:spacing w:after="0"/>
              <w:rPr>
                <w:sz w:val="21"/>
                <w:szCs w:val="21"/>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28.9%</w:t>
            </w:r>
          </w:p>
        </w:tc>
        <w:tc>
          <w:tcPr>
            <w:tcW w:w="100" w:type="dxa"/>
            <w:vAlign w:val="bottom"/>
          </w:tcPr>
          <w:p>
            <w:pPr>
              <w:spacing w:after="0"/>
              <w:rPr>
                <w:sz w:val="21"/>
                <w:szCs w:val="21"/>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45.3%</w:t>
            </w: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4340" w:type="dxa"/>
            <w:vAlign w:val="bottom"/>
          </w:tcPr>
          <w:p>
            <w:pPr>
              <w:ind w:left="3420"/>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5"/>
              </w:rPr>
              <w:t>Lazard Freres &amp; Co.</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461"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15</w:t>
      </w:r>
    </w:p>
    <w:p>
      <w:pPr>
        <w:spacing w:after="0" w:line="24" w:lineRule="exact"/>
        <w:rPr>
          <w:sz w:val="20"/>
          <w:szCs w:val="20"/>
          <w:color w:val="auto"/>
        </w:rPr>
      </w:pPr>
    </w:p>
    <w:p>
      <w:pPr>
        <w:ind w:left="180" w:hanging="170"/>
        <w:spacing w:after="0"/>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Projections (cont'd)</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ind w:left="2540"/>
        <w:spacing w:after="0" w:line="237" w:lineRule="auto"/>
        <w:rPr>
          <w:sz w:val="20"/>
          <w:szCs w:val="20"/>
          <w:color w:val="auto"/>
        </w:rPr>
      </w:pPr>
      <w:r>
        <w:rPr>
          <w:rFonts w:ascii="Courier New" w:cs="Courier New" w:eastAsia="Courier New" w:hAnsi="Courier New"/>
          <w:sz w:val="15"/>
          <w:szCs w:val="15"/>
          <w:color w:val="auto"/>
        </w:rPr>
        <w:t>Valuation Assumptions</w:t>
      </w:r>
    </w:p>
    <w:p>
      <w:pPr>
        <w:ind w:left="2800"/>
        <w:spacing w:after="0"/>
        <w:rPr>
          <w:sz w:val="20"/>
          <w:szCs w:val="20"/>
          <w:color w:val="auto"/>
        </w:rPr>
      </w:pPr>
      <w:r>
        <w:rPr>
          <w:rFonts w:ascii="Courier New" w:cs="Courier New" w:eastAsia="Courier New" w:hAnsi="Courier New"/>
          <w:sz w:val="15"/>
          <w:szCs w:val="15"/>
          <w:color w:val="auto"/>
        </w:rPr>
        <w:t>(Revenue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Actual</w:t>
            </w:r>
          </w:p>
        </w:tc>
        <w:tc>
          <w:tcPr>
            <w:tcW w:w="880" w:type="dxa"/>
            <w:vAlign w:val="bottom"/>
          </w:tcPr>
          <w:p>
            <w:pPr>
              <w:spacing w:after="0"/>
              <w:rPr>
                <w:sz w:val="14"/>
                <w:szCs w:val="14"/>
                <w:color w:val="auto"/>
              </w:rPr>
            </w:pPr>
          </w:p>
        </w:tc>
        <w:tc>
          <w:tcPr>
            <w:tcW w:w="10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Estimated</w:t>
            </w:r>
          </w:p>
        </w:tc>
        <w:tc>
          <w:tcPr>
            <w:tcW w:w="880" w:type="dxa"/>
            <w:vAlign w:val="bottom"/>
          </w:tcPr>
          <w:p>
            <w:pPr>
              <w:spacing w:after="0"/>
              <w:rPr>
                <w:sz w:val="14"/>
                <w:szCs w:val="14"/>
                <w:color w:val="auto"/>
              </w:rPr>
            </w:pPr>
          </w:p>
        </w:tc>
        <w:tc>
          <w:tcPr>
            <w:tcW w:w="24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Preliminary Projection</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REVENUE DETAIL:</w:t>
            </w:r>
          </w:p>
        </w:tc>
        <w:tc>
          <w:tcPr>
            <w:tcW w:w="7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8"/>
                <w:vertAlign w:val="subscript"/>
              </w:rPr>
              <w:t>1991</w:t>
            </w:r>
            <w:r>
              <w:rPr>
                <w:rFonts w:ascii="Courier New" w:cs="Courier New" w:eastAsia="Courier New" w:hAnsi="Courier New"/>
                <w:sz w:val="4"/>
                <w:szCs w:val="4"/>
                <w:color w:val="auto"/>
                <w:w w:val="98"/>
              </w:rPr>
              <w:t>------------------------</w:t>
            </w: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1992</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1993</w:t>
            </w:r>
          </w:p>
        </w:tc>
        <w:tc>
          <w:tcPr>
            <w:tcW w:w="1080" w:type="dxa"/>
            <w:vAlign w:val="bottom"/>
            <w:vMerge w:val="continue"/>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vertAlign w:val="subscript"/>
              </w:rPr>
              <w:t>1995</w:t>
            </w:r>
            <w:r>
              <w:rPr>
                <w:rFonts w:ascii="Courier New" w:cs="Courier New" w:eastAsia="Courier New" w:hAnsi="Courier New"/>
                <w:sz w:val="4"/>
                <w:szCs w:val="4"/>
                <w:color w:val="auto"/>
                <w:w w:val="75"/>
              </w:rPr>
              <w:t>-------------------------------------------</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88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78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CATV Subscribers</w:t>
            </w:r>
          </w:p>
        </w:tc>
        <w:tc>
          <w:tcPr>
            <w:tcW w:w="70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53.4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57.1</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58.8</w:t>
            </w:r>
          </w:p>
        </w:tc>
        <w:tc>
          <w:tcPr>
            <w:tcW w:w="88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60.4</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QVC "Homes"</w:t>
            </w:r>
          </w:p>
        </w:tc>
        <w:tc>
          <w:tcPr>
            <w:tcW w:w="7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39.2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47.2</w:t>
            </w:r>
          </w:p>
        </w:tc>
        <w:tc>
          <w:tcPr>
            <w:tcW w:w="88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48.4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QVC Homes as % of CATV Subs</w:t>
            </w:r>
          </w:p>
        </w:tc>
        <w:tc>
          <w:tcPr>
            <w:tcW w:w="70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73.4%</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80.3%</w:t>
            </w:r>
          </w:p>
        </w:tc>
        <w:tc>
          <w:tcPr>
            <w:tcW w:w="88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80.3%</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80.3%</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QVC Customers</w:t>
            </w:r>
          </w:p>
        </w:tc>
        <w:tc>
          <w:tcPr>
            <w:tcW w:w="7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QVC Customers as % of QVC Homes</w:t>
            </w:r>
          </w:p>
        </w:tc>
        <w:tc>
          <w:tcPr>
            <w:tcW w:w="70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7.9%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c>
          <w:tcPr>
            <w:tcW w:w="88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8.7%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Avg Annual Revenue/Home</w:t>
            </w:r>
          </w:p>
        </w:tc>
        <w:tc>
          <w:tcPr>
            <w:tcW w:w="7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$27.55</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$29.82</w:t>
            </w:r>
          </w:p>
        </w:tc>
        <w:tc>
          <w:tcPr>
            <w:tcW w:w="88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$32.74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$43.04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$47.05</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Avg Annual Revenue/Customer</w:t>
            </w:r>
          </w:p>
        </w:tc>
        <w:tc>
          <w:tcPr>
            <w:tcW w:w="7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$327.47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$341.87</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$362.38</w:t>
            </w:r>
          </w:p>
        </w:tc>
        <w:tc>
          <w:tcPr>
            <w:tcW w:w="88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$384.12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$407.17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$431.60</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$457.49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$484.94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70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$922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$1,071</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$1,386</w:t>
            </w:r>
          </w:p>
        </w:tc>
        <w:tc>
          <w:tcPr>
            <w:tcW w:w="880" w:type="dxa"/>
            <w:vAlign w:val="bottom"/>
          </w:tcPr>
          <w:p>
            <w:pPr>
              <w:jc w:val="right"/>
              <w:ind w:right="112"/>
              <w:spacing w:after="0" w:line="168" w:lineRule="exact"/>
              <w:rPr>
                <w:sz w:val="20"/>
                <w:szCs w:val="20"/>
                <w:color w:val="auto"/>
              </w:rPr>
            </w:pPr>
            <w:r>
              <w:rPr>
                <w:rFonts w:ascii="Courier New" w:cs="Courier New" w:eastAsia="Courier New" w:hAnsi="Courier New"/>
                <w:sz w:val="15"/>
                <w:szCs w:val="15"/>
                <w:color w:val="auto"/>
              </w:rPr>
              <w:t>$1,565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$2,478</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1"/>
                <w:szCs w:val="21"/>
                <w:color w:val="auto"/>
              </w:rPr>
            </w:pPr>
          </w:p>
        </w:tc>
        <w:tc>
          <w:tcPr>
            <w:tcW w:w="700" w:type="dxa"/>
            <w:vAlign w:val="bottom"/>
          </w:tcPr>
          <w:p>
            <w:pPr>
              <w:jc w:val="right"/>
              <w:ind w:right="192"/>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12"/>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Annual Growth</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80" w:type="dxa"/>
            <w:vAlign w:val="bottom"/>
            <w:vMerge w:val="restart"/>
          </w:tcPr>
          <w:p>
            <w:pPr>
              <w:spacing w:after="0"/>
              <w:rPr>
                <w:sz w:val="20"/>
                <w:szCs w:val="20"/>
                <w:color w:val="auto"/>
              </w:rPr>
            </w:pPr>
            <w:r>
              <w:rPr>
                <w:rFonts w:ascii="Courier New" w:cs="Courier New" w:eastAsia="Courier New" w:hAnsi="Courier New"/>
                <w:sz w:val="15"/>
                <w:szCs w:val="15"/>
                <w:color w:val="auto"/>
              </w:rPr>
              <w:t>REVENUE DETAIL:</w:t>
            </w: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980" w:type="dxa"/>
            <w:vAlign w:val="bottom"/>
            <w:vMerge w:val="continue"/>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91-93</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93-94</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94-99</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CATV Subscribers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QVC "Homes"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QVC Homes as % of CATV Sub</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QVC Customers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6.8%</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QVC Customers as % of QVC Homes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Avg Annual Revenue/Home</w:t>
            </w:r>
          </w:p>
        </w:tc>
        <w:tc>
          <w:tcPr>
            <w:tcW w:w="920" w:type="dxa"/>
            <w:vAlign w:val="bottom"/>
          </w:tcPr>
          <w:p>
            <w:pPr>
              <w:spacing w:after="0"/>
              <w:rPr>
                <w:sz w:val="14"/>
                <w:szCs w:val="14"/>
                <w:color w:val="auto"/>
              </w:rPr>
            </w:pP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Avg Annual Revenue/Customer</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15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6.0%</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245"/>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920" w:type="dxa"/>
            <w:vAlign w:val="bottom"/>
            <w:vMerge w:val="continue"/>
          </w:tcPr>
          <w:p>
            <w:pPr>
              <w:spacing w:after="0"/>
              <w:rPr>
                <w:sz w:val="21"/>
                <w:szCs w:val="21"/>
                <w:color w:val="auto"/>
              </w:rPr>
            </w:pPr>
          </w:p>
        </w:tc>
        <w:tc>
          <w:tcPr>
            <w:tcW w:w="15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20"/>
          </w:cols>
          <w:pgMar w:left="220" w:top="261" w:right="1259" w:bottom="1440" w:gutter="0" w:footer="0" w:header="0"/>
        </w:sectPr>
      </w:pPr>
    </w:p>
    <w:p>
      <w:pPr>
        <w:spacing w:after="0" w:line="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1% point change in "QVC Customers as % of QVC Homes" changes the price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by $4.80.</w:t>
      </w:r>
    </w:p>
    <w:p>
      <w:pPr>
        <w:spacing w:after="0" w:line="237" w:lineRule="auto"/>
        <w:rPr>
          <w:sz w:val="20"/>
          <w:szCs w:val="20"/>
          <w:color w:val="auto"/>
        </w:rPr>
      </w:pPr>
      <w:r>
        <w:rPr>
          <w:rFonts w:ascii="Courier New" w:cs="Courier New" w:eastAsia="Courier New" w:hAnsi="Courier New"/>
          <w:sz w:val="15"/>
          <w:szCs w:val="15"/>
          <w:color w:val="auto"/>
        </w:rPr>
        <w:t>A 1% point change in "Avg Annual Revenue/Customer" growth changes the</w:t>
      </w:r>
    </w:p>
    <w:p>
      <w:pPr>
        <w:spacing w:after="0"/>
        <w:rPr>
          <w:sz w:val="20"/>
          <w:szCs w:val="20"/>
          <w:color w:val="auto"/>
        </w:rPr>
      </w:pPr>
      <w:r>
        <w:rPr>
          <w:rFonts w:ascii="Courier New" w:cs="Courier New" w:eastAsia="Courier New" w:hAnsi="Courier New"/>
          <w:sz w:val="15"/>
          <w:szCs w:val="15"/>
          <w:color w:val="auto"/>
        </w:rPr>
        <w:t>purchase price per share by $2.50.</w:t>
      </w:r>
    </w:p>
    <w:p>
      <w:pPr>
        <w:spacing w:after="0" w:line="200" w:lineRule="exact"/>
        <w:rPr>
          <w:sz w:val="20"/>
          <w:szCs w:val="20"/>
          <w:color w:val="auto"/>
        </w:rPr>
      </w:pPr>
    </w:p>
    <w:p>
      <w:pPr>
        <w:sectPr>
          <w:pgSz w:w="11900" w:h="16838" w:orient="portrait"/>
          <w:cols w:equalWidth="0" w:num="2">
            <w:col w:w="440" w:space="180"/>
            <w:col w:w="9800"/>
          </w:cols>
          <w:pgMar w:left="220" w:top="261" w:right="1259" w:bottom="1440" w:gutter="0" w:footer="0" w:header="0"/>
          <w:type w:val="continuous"/>
        </w:sectPr>
      </w:pPr>
    </w:p>
    <w:p>
      <w:pPr>
        <w:spacing w:after="0" w:line="277"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Lazard Freres &amp; Co.</w:t>
      </w:r>
    </w:p>
    <w:p>
      <w:pPr>
        <w:sectPr>
          <w:pgSz w:w="11900" w:h="16838" w:orient="portrait"/>
          <w:cols w:equalWidth="0" w:num="2">
            <w:col w:w="4540" w:space="720"/>
            <w:col w:w="5160"/>
          </w:cols>
          <w:pgMar w:left="220" w:top="261" w:right="1259"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16</w:t>
      </w:r>
    </w:p>
    <w:p>
      <w:pPr>
        <w:spacing w:after="0" w:line="24" w:lineRule="exact"/>
        <w:rPr>
          <w:sz w:val="20"/>
          <w:szCs w:val="20"/>
          <w:color w:val="auto"/>
        </w:rPr>
      </w:pPr>
    </w:p>
    <w:p>
      <w:pPr>
        <w:ind w:left="180" w:hanging="170"/>
        <w:spacing w:after="0"/>
        <w:tabs>
          <w:tab w:leader="none" w:pos="1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Projections (cont'd)</w:t>
      </w:r>
    </w:p>
    <w:p>
      <w:pPr>
        <w:spacing w:after="0" w:line="2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ind w:left="2540"/>
        <w:spacing w:after="0" w:line="237" w:lineRule="auto"/>
        <w:rPr>
          <w:sz w:val="20"/>
          <w:szCs w:val="20"/>
          <w:color w:val="auto"/>
        </w:rPr>
      </w:pPr>
      <w:r>
        <w:rPr>
          <w:rFonts w:ascii="Courier New" w:cs="Courier New" w:eastAsia="Courier New" w:hAnsi="Courier New"/>
          <w:sz w:val="15"/>
          <w:szCs w:val="15"/>
          <w:color w:val="auto"/>
        </w:rPr>
        <w:t>Valuation Assumptions</w:t>
      </w:r>
    </w:p>
    <w:tbl>
      <w:tblPr>
        <w:tblLayout w:type="fixed"/>
        <w:tblInd w:w="0" w:type="dxa"/>
        <w:tblCellMar>
          <w:top w:w="0" w:type="dxa"/>
          <w:left w:w="0" w:type="dxa"/>
          <w:bottom w:w="0" w:type="dxa"/>
          <w:right w:w="0" w:type="dxa"/>
        </w:tblCellMar>
      </w:tblPr>
      <w:tr>
        <w:trPr>
          <w:trHeight w:val="245"/>
        </w:trPr>
        <w:tc>
          <w:tcPr>
            <w:tcW w:w="46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(Expense Detail)</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3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Actual</w:t>
            </w:r>
          </w:p>
        </w:tc>
        <w:tc>
          <w:tcPr>
            <w:tcW w:w="84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Estimated</w:t>
            </w:r>
          </w:p>
        </w:tc>
        <w:tc>
          <w:tcPr>
            <w:tcW w:w="880" w:type="dxa"/>
            <w:vAlign w:val="bottom"/>
          </w:tcPr>
          <w:p>
            <w:pPr>
              <w:spacing w:after="0"/>
              <w:rPr>
                <w:sz w:val="24"/>
                <w:szCs w:val="24"/>
                <w:color w:val="auto"/>
              </w:rPr>
            </w:pPr>
          </w:p>
        </w:tc>
        <w:tc>
          <w:tcPr>
            <w:tcW w:w="266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Preliminary Projection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EXPENSE DETAIL:</w:t>
            </w:r>
          </w:p>
        </w:tc>
        <w:tc>
          <w:tcPr>
            <w:tcW w:w="22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continue"/>
          </w:tcPr>
          <w:p>
            <w:pPr>
              <w:spacing w:after="0"/>
              <w:rPr>
                <w:sz w:val="14"/>
                <w:szCs w:val="14"/>
                <w:color w:val="auto"/>
              </w:rPr>
            </w:pPr>
          </w:p>
        </w:tc>
        <w:tc>
          <w:tcPr>
            <w:tcW w:w="434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1991</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240" w:type="dxa"/>
            <w:vAlign w:val="bottom"/>
          </w:tcPr>
          <w:p>
            <w:pPr>
              <w:ind w:left="100"/>
              <w:spacing w:after="0"/>
              <w:rPr>
                <w:sz w:val="20"/>
                <w:szCs w:val="20"/>
                <w:color w:val="auto"/>
              </w:rPr>
            </w:pPr>
            <w:r>
              <w:rPr>
                <w:rFonts w:ascii="Courier New" w:cs="Courier New" w:eastAsia="Courier New" w:hAnsi="Courier New"/>
                <w:sz w:val="15"/>
                <w:szCs w:val="15"/>
                <w:color w:val="auto"/>
              </w:rPr>
              <w:t>COGS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$534.6</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$621.9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$723.3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$1,056.9</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$1,186.7</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$1,486.5</w:t>
            </w:r>
          </w:p>
        </w:tc>
        <w:tc>
          <w:tcPr>
            <w:tcW w:w="0" w:type="dxa"/>
            <w:vAlign w:val="bottom"/>
          </w:tcPr>
          <w:p>
            <w:pPr>
              <w:spacing w:after="0"/>
              <w:rPr>
                <w:sz w:val="1"/>
                <w:szCs w:val="1"/>
                <w:color w:val="auto"/>
              </w:rPr>
            </w:pPr>
          </w:p>
        </w:tc>
      </w:tr>
      <w:tr>
        <w:trPr>
          <w:trHeight w:val="245"/>
        </w:trPr>
        <w:tc>
          <w:tcPr>
            <w:tcW w:w="32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Variable Costs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56.4</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60.1</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63.4</w:t>
            </w: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Order Processing/Customer Service</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Commissions and license fees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 card processing fee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Variable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196.9</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219.2</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246.6</w:t>
            </w:r>
          </w:p>
        </w:tc>
        <w:tc>
          <w:tcPr>
            <w:tcW w:w="9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276.9</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310.1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346.9</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160.4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171.2</w:t>
            </w: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General &amp; Administrative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34.0</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43.2</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50.3</w:t>
            </w: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and marketing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Data processing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Broadcasting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Merchandising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Occupancy costs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G&amp;A</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165.0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180.0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195.0</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210.0</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225.0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240.0</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123.6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132.7</w:t>
            </w: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 EXPENSE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$905.9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$1,027.2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$1,193.7</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$1,338.4</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$1,498.5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$1,673.6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$1,864.3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$2,073.4</w:t>
            </w:r>
          </w:p>
        </w:tc>
        <w:tc>
          <w:tcPr>
            <w:tcW w:w="0" w:type="dxa"/>
            <w:vAlign w:val="bottom"/>
          </w:tcPr>
          <w:p>
            <w:pPr>
              <w:spacing w:after="0"/>
              <w:rPr>
                <w:sz w:val="1"/>
                <w:szCs w:val="1"/>
                <w:color w:val="auto"/>
              </w:rPr>
            </w:pPr>
          </w:p>
        </w:tc>
      </w:tr>
      <w:tr>
        <w:trPr>
          <w:trHeight w:val="245"/>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COMMON SIZE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58.0%</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58.1%</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59.2%</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60.0%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60.0%</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60.0%</w:t>
            </w:r>
          </w:p>
        </w:tc>
        <w:tc>
          <w:tcPr>
            <w:tcW w:w="0" w:type="dxa"/>
            <w:vAlign w:val="bottom"/>
          </w:tcPr>
          <w:p>
            <w:pPr>
              <w:spacing w:after="0"/>
              <w:rPr>
                <w:sz w:val="1"/>
                <w:szCs w:val="1"/>
                <w:color w:val="auto"/>
              </w:rPr>
            </w:pPr>
          </w:p>
        </w:tc>
      </w:tr>
      <w:tr>
        <w:trPr>
          <w:trHeight w:val="168"/>
        </w:trPr>
        <w:tc>
          <w:tcPr>
            <w:tcW w:w="32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COGS</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Variable Costs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6.1%</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5.6%</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Order Processing/Customer Service</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Commissions and license fees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 card processing fee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Variable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14.0%</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14.0%</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14.0%</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General &amp; Administrative</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240" w:type="dxa"/>
            <w:vAlign w:val="bottom"/>
            <w:vMerge w:val="continue"/>
          </w:tcPr>
          <w:p>
            <w:pPr>
              <w:spacing w:after="0"/>
              <w:rPr>
                <w:sz w:val="7"/>
                <w:szCs w:val="7"/>
                <w:color w:val="auto"/>
              </w:rPr>
            </w:pP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3.7%</w:t>
            </w:r>
          </w:p>
        </w:tc>
        <w:tc>
          <w:tcPr>
            <w:tcW w:w="7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4.0%</w:t>
            </w:r>
          </w:p>
        </w:tc>
        <w:tc>
          <w:tcPr>
            <w:tcW w:w="8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1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and marketing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Data processing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Broadcasting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Merchandising</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Occupancy costs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G&amp;A</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11.5%</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11.1%</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10.2%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TOTAL EXPENSE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85.7%</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86.1%</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84.6%</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83.7%</w:t>
            </w:r>
          </w:p>
        </w:tc>
        <w:tc>
          <w:tcPr>
            <w:tcW w:w="0" w:type="dxa"/>
            <w:vAlign w:val="bottom"/>
          </w:tcPr>
          <w:p>
            <w:pPr>
              <w:spacing w:after="0"/>
              <w:rPr>
                <w:sz w:val="1"/>
                <w:szCs w:val="1"/>
                <w:color w:val="auto"/>
              </w:rPr>
            </w:pPr>
          </w:p>
        </w:tc>
      </w:tr>
      <w:tr>
        <w:trPr>
          <w:trHeight w:val="168"/>
        </w:trPr>
        <w:tc>
          <w:tcPr>
            <w:tcW w:w="3240" w:type="dxa"/>
            <w:vAlign w:val="bottom"/>
            <w:vMerge w:val="restart"/>
          </w:tcPr>
          <w:p>
            <w:pPr>
              <w:spacing w:after="0"/>
              <w:rPr>
                <w:sz w:val="20"/>
                <w:szCs w:val="20"/>
                <w:color w:val="auto"/>
              </w:rPr>
            </w:pPr>
            <w:r>
              <w:rPr>
                <w:rFonts w:ascii="Courier New" w:cs="Courier New" w:eastAsia="Courier New" w:hAnsi="Courier New"/>
                <w:sz w:val="15"/>
                <w:szCs w:val="15"/>
                <w:color w:val="auto"/>
              </w:rPr>
              <w:t>OCF Margin</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240" w:type="dxa"/>
            <w:vAlign w:val="bottom"/>
            <w:vMerge w:val="continue"/>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15.4%</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60" w:type="dxa"/>
            <w:vAlign w:val="bottom"/>
            <w:gridSpan w:val="2"/>
          </w:tcPr>
          <w:p>
            <w:pPr>
              <w:jc w:val="center"/>
              <w:ind w:right="1467"/>
              <w:spacing w:after="0"/>
              <w:rPr>
                <w:sz w:val="20"/>
                <w:szCs w:val="20"/>
                <w:color w:val="auto"/>
              </w:rPr>
            </w:pPr>
            <w:r>
              <w:rPr>
                <w:rFonts w:ascii="Courier New" w:cs="Courier New" w:eastAsia="Courier New" w:hAnsi="Courier New"/>
                <w:sz w:val="15"/>
                <w:szCs w:val="15"/>
                <w:color w:val="auto"/>
                <w:w w:val="97"/>
              </w:rPr>
              <w:t>Annual Growth</w:t>
            </w:r>
          </w:p>
        </w:tc>
        <w:tc>
          <w:tcPr>
            <w:tcW w:w="0" w:type="dxa"/>
            <w:vAlign w:val="bottom"/>
          </w:tcPr>
          <w:p>
            <w:pPr>
              <w:spacing w:after="0"/>
              <w:rPr>
                <w:sz w:val="1"/>
                <w:szCs w:val="1"/>
                <w:color w:val="auto"/>
              </w:rPr>
            </w:pPr>
          </w:p>
        </w:tc>
      </w:tr>
      <w:tr>
        <w:trPr>
          <w:trHeight w:val="168"/>
        </w:trPr>
        <w:tc>
          <w:tcPr>
            <w:tcW w:w="34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COGS</w:t>
            </w:r>
          </w:p>
        </w:tc>
        <w:tc>
          <w:tcPr>
            <w:tcW w:w="350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91-93</w:t>
            </w:r>
          </w:p>
        </w:tc>
        <w:tc>
          <w:tcPr>
            <w:tcW w:w="9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93-94</w:t>
            </w:r>
          </w:p>
        </w:tc>
        <w:tc>
          <w:tcPr>
            <w:tcW w:w="18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94-99</w:t>
            </w:r>
          </w:p>
        </w:tc>
        <w:tc>
          <w:tcPr>
            <w:tcW w:w="0" w:type="dxa"/>
            <w:vAlign w:val="bottom"/>
          </w:tcPr>
          <w:p>
            <w:pPr>
              <w:spacing w:after="0"/>
              <w:rPr>
                <w:sz w:val="1"/>
                <w:szCs w:val="1"/>
                <w:color w:val="auto"/>
              </w:rPr>
            </w:pPr>
          </w:p>
        </w:tc>
      </w:tr>
      <w:tr>
        <w:trPr>
          <w:trHeight w:val="245"/>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Variable Costs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Order Processing/Customer Service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15.0%</w:t>
            </w:r>
          </w:p>
        </w:tc>
        <w:tc>
          <w:tcPr>
            <w:tcW w:w="18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Commissions and license fees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Provision for doubtful accounts</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Credit card processing fee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8.5%</w:t>
            </w:r>
          </w:p>
        </w:tc>
        <w:tc>
          <w:tcPr>
            <w:tcW w:w="960" w:type="dxa"/>
            <w:vAlign w:val="bottom"/>
            <w:vMerge w:val="restart"/>
          </w:tcPr>
          <w:p>
            <w:pPr>
              <w:jc w:val="center"/>
              <w:ind w:left="207"/>
              <w:spacing w:after="0"/>
              <w:rPr>
                <w:sz w:val="20"/>
                <w:szCs w:val="20"/>
                <w:color w:val="auto"/>
              </w:rPr>
            </w:pPr>
            <w:r>
              <w:rPr>
                <w:rFonts w:ascii="Courier New" w:cs="Courier New" w:eastAsia="Courier New" w:hAnsi="Courier New"/>
                <w:sz w:val="15"/>
                <w:szCs w:val="15"/>
                <w:color w:val="auto"/>
                <w:w w:val="97"/>
              </w:rPr>
              <w:t>15.0%</w:t>
            </w:r>
          </w:p>
        </w:tc>
        <w:tc>
          <w:tcPr>
            <w:tcW w:w="180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12.0%</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Variable</w:t>
            </w:r>
          </w:p>
        </w:tc>
        <w:tc>
          <w:tcPr>
            <w:tcW w:w="7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 &amp; Administrative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Administrative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and marketing</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Data processing</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Broadcasting</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Merchandising</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Occupancy costs</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9.5%</w:t>
            </w:r>
          </w:p>
        </w:tc>
        <w:tc>
          <w:tcPr>
            <w:tcW w:w="960" w:type="dxa"/>
            <w:vAlign w:val="bottom"/>
            <w:vMerge w:val="restart"/>
          </w:tcPr>
          <w:p>
            <w:pPr>
              <w:jc w:val="center"/>
              <w:ind w:left="207"/>
              <w:spacing w:after="0"/>
              <w:rPr>
                <w:sz w:val="20"/>
                <w:szCs w:val="20"/>
                <w:color w:val="auto"/>
              </w:rPr>
            </w:pPr>
            <w:r>
              <w:rPr>
                <w:rFonts w:ascii="Courier New" w:cs="Courier New" w:eastAsia="Courier New" w:hAnsi="Courier New"/>
                <w:sz w:val="15"/>
                <w:szCs w:val="15"/>
                <w:color w:val="auto"/>
                <w:w w:val="97"/>
              </w:rPr>
              <w:t>24.3%</w:t>
            </w:r>
          </w:p>
        </w:tc>
        <w:tc>
          <w:tcPr>
            <w:tcW w:w="1800" w:type="dxa"/>
            <w:vAlign w:val="bottom"/>
            <w:vMerge w:val="restart"/>
          </w:tcPr>
          <w:p>
            <w:pPr>
              <w:jc w:val="right"/>
              <w:ind w:right="887"/>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G&amp;A</w:t>
            </w:r>
          </w:p>
        </w:tc>
        <w:tc>
          <w:tcPr>
            <w:tcW w:w="7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TOTAL EXPENSE</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c>
          <w:tcPr>
            <w:tcW w:w="96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16.2%</w:t>
            </w:r>
          </w:p>
        </w:tc>
        <w:tc>
          <w:tcPr>
            <w:tcW w:w="18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w:t>
            </w:r>
          </w:p>
        </w:tc>
        <w:tc>
          <w:tcPr>
            <w:tcW w:w="18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5"/>
        </w:trPr>
        <w:tc>
          <w:tcPr>
            <w:tcW w:w="3420" w:type="dxa"/>
            <w:vAlign w:val="bottom"/>
          </w:tcPr>
          <w:p>
            <w:pPr>
              <w:ind w:left="2200"/>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Lazard Freres &amp; Co.</w:t>
            </w:r>
          </w:p>
        </w:tc>
        <w:tc>
          <w:tcPr>
            <w:tcW w:w="0" w:type="dxa"/>
            <w:vAlign w:val="bottom"/>
          </w:tcPr>
          <w:p>
            <w:pPr>
              <w:spacing w:after="0"/>
              <w:rPr>
                <w:sz w:val="1"/>
                <w:szCs w:val="1"/>
                <w:color w:val="auto"/>
              </w:rPr>
            </w:pPr>
          </w:p>
        </w:tc>
      </w:tr>
    </w:tbl>
    <w:p>
      <w:pPr>
        <w:sectPr>
          <w:pgSz w:w="11900" w:h="16838" w:orient="portrait"/>
          <w:cols w:equalWidth="0" w:num="1">
            <w:col w:w="10860"/>
          </w:cols>
          <w:pgMar w:left="220" w:top="261" w:right="819" w:bottom="293"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180" w:hanging="170"/>
        <w:spacing w:after="0"/>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2"/>
          </w:tcPr>
          <w:p>
            <w:pPr>
              <w:ind w:left="2380"/>
              <w:spacing w:after="0"/>
              <w:rPr>
                <w:sz w:val="20"/>
                <w:szCs w:val="20"/>
                <w:color w:val="auto"/>
              </w:rPr>
            </w:pPr>
            <w:r>
              <w:rPr>
                <w:rFonts w:ascii="Courier New" w:cs="Courier New" w:eastAsia="Courier New" w:hAnsi="Courier New"/>
                <w:sz w:val="15"/>
                <w:szCs w:val="15"/>
                <w:color w:val="auto"/>
                <w:w w:val="98"/>
              </w:rPr>
              <w:t>Analysis at</w:t>
            </w:r>
          </w:p>
        </w:tc>
        <w:tc>
          <w:tcPr>
            <w:tcW w:w="18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Various Prices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260" w:type="dxa"/>
            <w:vAlign w:val="bottom"/>
            <w:gridSpan w:val="5"/>
          </w:tcPr>
          <w:p>
            <w:pPr>
              <w:ind w:left="23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Price per Share</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$35.00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$40.00</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$42.50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$45.00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$47.50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$50.00</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$52.50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$55.00</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Prem./(Disc.) to 6/27/94 Price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$33.25</w:t>
            </w:r>
          </w:p>
        </w:tc>
        <w:tc>
          <w:tcPr>
            <w:tcW w:w="300" w:type="dxa"/>
            <w:vAlign w:val="bottom"/>
          </w:tcPr>
          <w:p>
            <w:pPr>
              <w:spacing w:after="0"/>
              <w:rPr>
                <w:sz w:val="22"/>
                <w:szCs w:val="22"/>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65.4%</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Prem./(Disc.) to 52 Week High</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$71.50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(51.0%)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0" w:type="dxa"/>
            <w:vAlign w:val="bottom"/>
          </w:tcPr>
          <w:p>
            <w:pPr>
              <w:spacing w:after="0"/>
              <w:rPr>
                <w:sz w:val="1"/>
                <w:szCs w:val="1"/>
                <w:color w:val="auto"/>
              </w:rPr>
            </w:pPr>
          </w:p>
        </w:tc>
      </w:tr>
      <w:tr>
        <w:trPr>
          <w:trHeight w:val="245"/>
        </w:trPr>
        <w:tc>
          <w:tcPr>
            <w:tcW w:w="2800" w:type="dxa"/>
            <w:vAlign w:val="bottom"/>
          </w:tcPr>
          <w:p>
            <w:pPr>
              <w:spacing w:after="0"/>
              <w:rPr>
                <w:sz w:val="20"/>
                <w:szCs w:val="20"/>
                <w:color w:val="auto"/>
              </w:rPr>
            </w:pPr>
            <w:r>
              <w:rPr>
                <w:rFonts w:ascii="Courier New" w:cs="Courier New" w:eastAsia="Courier New" w:hAnsi="Courier New"/>
                <w:sz w:val="15"/>
                <w:szCs w:val="15"/>
                <w:color w:val="auto"/>
              </w:rPr>
              <w:t>Prem./(Disc.) to 52 Week Low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$30.38</w:t>
            </w:r>
          </w:p>
        </w:tc>
        <w:tc>
          <w:tcPr>
            <w:tcW w:w="300" w:type="dxa"/>
            <w:vAlign w:val="bottom"/>
          </w:tcPr>
          <w:p>
            <w:pPr>
              <w:spacing w:after="0"/>
              <w:rPr>
                <w:sz w:val="21"/>
                <w:szCs w:val="21"/>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31.7%</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39.9%</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81.1%</w:t>
            </w:r>
          </w:p>
        </w:tc>
        <w:tc>
          <w:tcPr>
            <w:tcW w:w="0" w:type="dxa"/>
            <w:vAlign w:val="bottom"/>
          </w:tcPr>
          <w:p>
            <w:pPr>
              <w:spacing w:after="0"/>
              <w:rPr>
                <w:sz w:val="1"/>
                <w:szCs w:val="1"/>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96"/>
              </w:rPr>
              <w:t>Fully Diluted Shares Outstanding</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55.8</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55.8</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55.8</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55.8</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Adjusted Market Value(1)</w:t>
            </w:r>
          </w:p>
        </w:tc>
        <w:tc>
          <w:tcPr>
            <w:tcW w:w="580" w:type="dxa"/>
            <w:vAlign w:val="bottom"/>
          </w:tcPr>
          <w:p>
            <w:pPr>
              <w:spacing w:after="0"/>
              <w:rPr>
                <w:sz w:val="22"/>
                <w:szCs w:val="22"/>
                <w:color w:val="auto"/>
              </w:rPr>
            </w:pPr>
          </w:p>
        </w:tc>
        <w:tc>
          <w:tcPr>
            <w:tcW w:w="10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$1,662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$1,802</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$1,941</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$2,081</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$2,360</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$2,500</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$2,639</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$2,779</w:t>
            </w: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Subtract: Cash</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c>
          <w:tcPr>
            <w:tcW w:w="0" w:type="dxa"/>
            <w:vAlign w:val="bottom"/>
          </w:tcPr>
          <w:p>
            <w:pPr>
              <w:spacing w:after="0"/>
              <w:rPr>
                <w:sz w:val="1"/>
                <w:szCs w:val="1"/>
                <w:color w:val="auto"/>
              </w:rPr>
            </w:pPr>
          </w:p>
        </w:tc>
      </w:tr>
      <w:tr>
        <w:trPr>
          <w:trHeight w:val="168"/>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Market Capitalization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$1,575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$1,715</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$1,854</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$2,273</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$2,413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$2,552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$2,692</w:t>
            </w:r>
          </w:p>
        </w:tc>
        <w:tc>
          <w:tcPr>
            <w:tcW w:w="0" w:type="dxa"/>
            <w:vAlign w:val="bottom"/>
          </w:tcPr>
          <w:p>
            <w:pPr>
              <w:spacing w:after="0"/>
              <w:rPr>
                <w:sz w:val="1"/>
                <w:szCs w:val="1"/>
                <w:color w:val="auto"/>
              </w:rPr>
            </w:pPr>
          </w:p>
        </w:tc>
      </w:tr>
      <w:tr>
        <w:trPr>
          <w:trHeight w:val="245"/>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rPr>
              <w:t>Market Capitalization as</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28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 Multiple of:</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$1,245</w:t>
            </w:r>
          </w:p>
        </w:tc>
        <w:tc>
          <w:tcPr>
            <w:tcW w:w="300" w:type="dxa"/>
            <w:vAlign w:val="bottom"/>
          </w:tcPr>
          <w:p>
            <w:pPr>
              <w:spacing w:after="0"/>
              <w:rPr>
                <w:sz w:val="14"/>
                <w:szCs w:val="14"/>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1.3x</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1.5x</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1.6x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1.7x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1.8x</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1.9x</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2.0x</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2.2x</w:t>
            </w: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LTM</w:t>
            </w:r>
          </w:p>
        </w:tc>
        <w:tc>
          <w:tcPr>
            <w:tcW w:w="580" w:type="dxa"/>
            <w:vAlign w:val="bottom"/>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1,386</w:t>
            </w:r>
          </w:p>
        </w:tc>
        <w:tc>
          <w:tcPr>
            <w:tcW w:w="300" w:type="dxa"/>
            <w:vAlign w:val="bottom"/>
            <w:vMerge w:val="continue"/>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45"/>
        </w:trPr>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rPr>
              <w:t>1995E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1,565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EBITDA</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195</w:t>
            </w:r>
          </w:p>
        </w:tc>
        <w:tc>
          <w:tcPr>
            <w:tcW w:w="30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8.1x</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8.8x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9.5x</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10.2x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10.9x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11.6x</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12.4x</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13.1x</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13.8x</w:t>
            </w: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LTM</w:t>
            </w:r>
          </w:p>
        </w:tc>
        <w:tc>
          <w:tcPr>
            <w:tcW w:w="580" w:type="dxa"/>
            <w:vAlign w:val="bottom"/>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300" w:type="dxa"/>
            <w:vAlign w:val="bottom"/>
            <w:vMerge w:val="continue"/>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8.9</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9.6</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c>
          <w:tcPr>
            <w:tcW w:w="0" w:type="dxa"/>
            <w:vAlign w:val="bottom"/>
          </w:tcPr>
          <w:p>
            <w:pPr>
              <w:spacing w:after="0"/>
              <w:rPr>
                <w:sz w:val="1"/>
                <w:szCs w:val="1"/>
                <w:color w:val="auto"/>
              </w:rPr>
            </w:pPr>
          </w:p>
        </w:tc>
      </w:tr>
      <w:tr>
        <w:trPr>
          <w:trHeight w:val="245"/>
        </w:trPr>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rPr>
              <w:t>1995E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0" w:type="dxa"/>
            <w:vAlign w:val="bottom"/>
          </w:tcPr>
          <w:p>
            <w:pPr>
              <w:spacing w:after="0"/>
              <w:rPr>
                <w:sz w:val="1"/>
                <w:szCs w:val="1"/>
                <w:color w:val="auto"/>
              </w:rPr>
            </w:pPr>
          </w:p>
        </w:tc>
      </w:tr>
      <w:tr>
        <w:trPr>
          <w:trHeight w:val="259"/>
        </w:trPr>
        <w:tc>
          <w:tcPr>
            <w:tcW w:w="2800" w:type="dxa"/>
            <w:vAlign w:val="bottom"/>
          </w:tcPr>
          <w:p>
            <w:pPr>
              <w:spacing w:after="0"/>
              <w:rPr>
                <w:sz w:val="20"/>
                <w:szCs w:val="20"/>
                <w:color w:val="auto"/>
              </w:rPr>
            </w:pPr>
            <w:r>
              <w:rPr>
                <w:rFonts w:ascii="Courier New" w:cs="Courier New" w:eastAsia="Courier New" w:hAnsi="Courier New"/>
                <w:sz w:val="15"/>
                <w:szCs w:val="15"/>
                <w:color w:val="auto"/>
              </w:rPr>
              <w:t>EBIT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153</w:t>
            </w:r>
          </w:p>
        </w:tc>
        <w:tc>
          <w:tcPr>
            <w:tcW w:w="300" w:type="dxa"/>
            <w:vAlign w:val="bottom"/>
          </w:tcPr>
          <w:p>
            <w:pPr>
              <w:spacing w:after="0"/>
              <w:rPr>
                <w:sz w:val="22"/>
                <w:szCs w:val="22"/>
                <w:color w:val="auto"/>
              </w:rPr>
            </w:pP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10.3x</w:t>
            </w:r>
          </w:p>
        </w:tc>
        <w:tc>
          <w:tcPr>
            <w:tcW w:w="8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11.2x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12.1x</w:t>
            </w: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13.1x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14.0x</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14.9x</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15.8x</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16.7x</w:t>
            </w:r>
          </w:p>
        </w:tc>
        <w:tc>
          <w:tcPr>
            <w:tcW w:w="8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17.6x</w:t>
            </w: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LTM</w:t>
            </w:r>
          </w:p>
        </w:tc>
        <w:tc>
          <w:tcPr>
            <w:tcW w:w="580" w:type="dxa"/>
            <w:vAlign w:val="bottom"/>
            <w:vMerge w:val="continue"/>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1994E</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vMerge w:val="continue"/>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12.5</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17.3</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0" w:type="dxa"/>
            <w:vAlign w:val="bottom"/>
          </w:tcPr>
          <w:p>
            <w:pPr>
              <w:spacing w:after="0"/>
              <w:rPr>
                <w:sz w:val="1"/>
                <w:szCs w:val="1"/>
                <w:color w:val="auto"/>
              </w:rPr>
            </w:pPr>
          </w:p>
        </w:tc>
      </w:tr>
      <w:tr>
        <w:trPr>
          <w:trHeight w:val="245"/>
        </w:trPr>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rPr>
              <w:t>1995E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181</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10.2</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13.3</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Market Value as a Multiple of:</w:t>
      </w:r>
    </w:p>
    <w:p>
      <w:pPr>
        <w:spacing w:after="0" w:line="23" w:lineRule="exact"/>
        <w:rPr>
          <w:sz w:val="20"/>
          <w:szCs w:val="20"/>
          <w:color w:val="auto"/>
        </w:rPr>
      </w:pPr>
    </w:p>
    <w:p>
      <w:pPr>
        <w:ind w:left="180" w:hanging="170"/>
        <w:spacing w:after="0"/>
        <w:tabs>
          <w:tab w:leader="none" w:pos="1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w:t>
      </w:r>
    </w:p>
    <w:tbl>
      <w:tblPr>
        <w:tblLayout w:type="fixed"/>
        <w:tblInd w:w="360" w:type="dxa"/>
        <w:tblCellMar>
          <w:top w:w="0" w:type="dxa"/>
          <w:left w:w="0" w:type="dxa"/>
          <w:bottom w:w="0" w:type="dxa"/>
          <w:right w:w="0" w:type="dxa"/>
        </w:tblCellMar>
      </w:tblPr>
      <w:tr>
        <w:trPr>
          <w:trHeight w:val="143"/>
        </w:trPr>
        <w:tc>
          <w:tcPr>
            <w:tcW w:w="1580" w:type="dxa"/>
            <w:vAlign w:val="bottom"/>
          </w:tcPr>
          <w:p>
            <w:pPr>
              <w:spacing w:after="0" w:line="143" w:lineRule="exact"/>
              <w:rPr>
                <w:sz w:val="20"/>
                <w:szCs w:val="20"/>
                <w:color w:val="auto"/>
              </w:rPr>
            </w:pPr>
            <w:r>
              <w:rPr>
                <w:rFonts w:ascii="Courier New" w:cs="Courier New" w:eastAsia="Courier New" w:hAnsi="Courier New"/>
                <w:sz w:val="15"/>
                <w:szCs w:val="15"/>
                <w:color w:val="auto"/>
              </w:rPr>
              <w:t>LTM</w:t>
            </w:r>
          </w:p>
        </w:tc>
        <w:tc>
          <w:tcPr>
            <w:tcW w:w="1440" w:type="dxa"/>
            <w:vAlign w:val="bottom"/>
          </w:tcPr>
          <w:p>
            <w:pPr>
              <w:jc w:val="right"/>
              <w:spacing w:after="0" w:line="143" w:lineRule="exact"/>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ind w:right="107"/>
              <w:spacing w:after="0" w:line="143" w:lineRule="exact"/>
              <w:rPr>
                <w:sz w:val="20"/>
                <w:szCs w:val="20"/>
                <w:color w:val="auto"/>
              </w:rPr>
            </w:pPr>
            <w:r>
              <w:rPr>
                <w:rFonts w:ascii="Courier New" w:cs="Courier New" w:eastAsia="Courier New" w:hAnsi="Courier New"/>
                <w:sz w:val="15"/>
                <w:szCs w:val="15"/>
                <w:color w:val="auto"/>
              </w:rPr>
              <w:t>33.4x</w:t>
            </w:r>
          </w:p>
        </w:tc>
        <w:tc>
          <w:tcPr>
            <w:tcW w:w="880" w:type="dxa"/>
            <w:vAlign w:val="bottom"/>
          </w:tcPr>
          <w:p>
            <w:pPr>
              <w:ind w:left="180"/>
              <w:spacing w:after="0" w:line="143" w:lineRule="exact"/>
              <w:rPr>
                <w:sz w:val="20"/>
                <w:szCs w:val="20"/>
                <w:color w:val="auto"/>
              </w:rPr>
            </w:pPr>
            <w:r>
              <w:rPr>
                <w:rFonts w:ascii="Courier New" w:cs="Courier New" w:eastAsia="Courier New" w:hAnsi="Courier New"/>
                <w:sz w:val="15"/>
                <w:szCs w:val="15"/>
                <w:color w:val="auto"/>
              </w:rPr>
              <w:t>36.2x</w:t>
            </w:r>
          </w:p>
        </w:tc>
        <w:tc>
          <w:tcPr>
            <w:tcW w:w="920" w:type="dxa"/>
            <w:vAlign w:val="bottom"/>
          </w:tcPr>
          <w:p>
            <w:pPr>
              <w:ind w:left="260"/>
              <w:spacing w:after="0" w:line="143" w:lineRule="exact"/>
              <w:rPr>
                <w:sz w:val="20"/>
                <w:szCs w:val="20"/>
                <w:color w:val="auto"/>
              </w:rPr>
            </w:pPr>
            <w:r>
              <w:rPr>
                <w:rFonts w:ascii="Courier New" w:cs="Courier New" w:eastAsia="Courier New" w:hAnsi="Courier New"/>
                <w:sz w:val="15"/>
                <w:szCs w:val="15"/>
                <w:color w:val="auto"/>
              </w:rPr>
              <w:t>39.0x</w:t>
            </w:r>
          </w:p>
        </w:tc>
        <w:tc>
          <w:tcPr>
            <w:tcW w:w="880" w:type="dxa"/>
            <w:vAlign w:val="bottom"/>
          </w:tcPr>
          <w:p>
            <w:pPr>
              <w:ind w:left="220"/>
              <w:spacing w:after="0" w:line="143" w:lineRule="exact"/>
              <w:rPr>
                <w:sz w:val="20"/>
                <w:szCs w:val="20"/>
                <w:color w:val="auto"/>
              </w:rPr>
            </w:pPr>
            <w:r>
              <w:rPr>
                <w:rFonts w:ascii="Courier New" w:cs="Courier New" w:eastAsia="Courier New" w:hAnsi="Courier New"/>
                <w:sz w:val="15"/>
                <w:szCs w:val="15"/>
                <w:color w:val="auto"/>
              </w:rPr>
              <w:t>41.8x</w:t>
            </w:r>
          </w:p>
        </w:tc>
        <w:tc>
          <w:tcPr>
            <w:tcW w:w="860" w:type="dxa"/>
            <w:vAlign w:val="bottom"/>
          </w:tcPr>
          <w:p>
            <w:pPr>
              <w:ind w:left="200"/>
              <w:spacing w:after="0" w:line="143" w:lineRule="exact"/>
              <w:rPr>
                <w:sz w:val="20"/>
                <w:szCs w:val="20"/>
                <w:color w:val="auto"/>
              </w:rPr>
            </w:pPr>
            <w:r>
              <w:rPr>
                <w:rFonts w:ascii="Courier New" w:cs="Courier New" w:eastAsia="Courier New" w:hAnsi="Courier New"/>
                <w:sz w:val="15"/>
                <w:szCs w:val="15"/>
                <w:color w:val="auto"/>
              </w:rPr>
              <w:t>44.6x</w:t>
            </w:r>
          </w:p>
        </w:tc>
        <w:tc>
          <w:tcPr>
            <w:tcW w:w="880" w:type="dxa"/>
            <w:vAlign w:val="bottom"/>
          </w:tcPr>
          <w:p>
            <w:pPr>
              <w:ind w:left="220"/>
              <w:spacing w:after="0" w:line="143" w:lineRule="exact"/>
              <w:rPr>
                <w:sz w:val="20"/>
                <w:szCs w:val="20"/>
                <w:color w:val="auto"/>
              </w:rPr>
            </w:pPr>
            <w:r>
              <w:rPr>
                <w:rFonts w:ascii="Courier New" w:cs="Courier New" w:eastAsia="Courier New" w:hAnsi="Courier New"/>
                <w:sz w:val="15"/>
                <w:szCs w:val="15"/>
                <w:color w:val="auto"/>
              </w:rPr>
              <w:t>47.4x</w:t>
            </w:r>
          </w:p>
        </w:tc>
        <w:tc>
          <w:tcPr>
            <w:tcW w:w="920" w:type="dxa"/>
            <w:vAlign w:val="bottom"/>
          </w:tcPr>
          <w:p>
            <w:pPr>
              <w:ind w:left="220"/>
              <w:spacing w:after="0" w:line="143" w:lineRule="exact"/>
              <w:rPr>
                <w:sz w:val="20"/>
                <w:szCs w:val="20"/>
                <w:color w:val="auto"/>
              </w:rPr>
            </w:pPr>
            <w:r>
              <w:rPr>
                <w:rFonts w:ascii="Courier New" w:cs="Courier New" w:eastAsia="Courier New" w:hAnsi="Courier New"/>
                <w:sz w:val="15"/>
                <w:szCs w:val="15"/>
                <w:color w:val="auto"/>
              </w:rPr>
              <w:t>50.2x</w:t>
            </w:r>
          </w:p>
        </w:tc>
        <w:tc>
          <w:tcPr>
            <w:tcW w:w="880" w:type="dxa"/>
            <w:vAlign w:val="bottom"/>
          </w:tcPr>
          <w:p>
            <w:pPr>
              <w:ind w:left="260"/>
              <w:spacing w:after="0" w:line="143" w:lineRule="exact"/>
              <w:rPr>
                <w:sz w:val="20"/>
                <w:szCs w:val="20"/>
                <w:color w:val="auto"/>
              </w:rPr>
            </w:pPr>
            <w:r>
              <w:rPr>
                <w:rFonts w:ascii="Courier New" w:cs="Courier New" w:eastAsia="Courier New" w:hAnsi="Courier New"/>
                <w:sz w:val="15"/>
                <w:szCs w:val="15"/>
                <w:color w:val="auto"/>
              </w:rPr>
              <w:t>53.0x</w:t>
            </w:r>
          </w:p>
        </w:tc>
        <w:tc>
          <w:tcPr>
            <w:tcW w:w="600" w:type="dxa"/>
            <w:vAlign w:val="bottom"/>
          </w:tcPr>
          <w:p>
            <w:pPr>
              <w:ind w:left="160"/>
              <w:spacing w:after="0" w:line="143" w:lineRule="exact"/>
              <w:rPr>
                <w:sz w:val="20"/>
                <w:szCs w:val="20"/>
                <w:color w:val="auto"/>
              </w:rPr>
            </w:pPr>
            <w:r>
              <w:rPr>
                <w:rFonts w:ascii="Courier New" w:cs="Courier New" w:eastAsia="Courier New" w:hAnsi="Courier New"/>
                <w:sz w:val="15"/>
                <w:szCs w:val="15"/>
                <w:color w:val="auto"/>
                <w:w w:val="93"/>
              </w:rPr>
              <w:t>55.9x</w:t>
            </w: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rPr>
              <w:t>1994E</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(2) 24.0</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26.0</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28.0</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30.0</w:t>
            </w:r>
          </w:p>
        </w:tc>
        <w:tc>
          <w:tcPr>
            <w:tcW w:w="860" w:type="dxa"/>
            <w:vAlign w:val="bottom"/>
          </w:tcPr>
          <w:p>
            <w:pPr>
              <w:ind w:left="200"/>
              <w:spacing w:after="0"/>
              <w:rPr>
                <w:sz w:val="20"/>
                <w:szCs w:val="20"/>
                <w:color w:val="auto"/>
              </w:rPr>
            </w:pPr>
            <w:r>
              <w:rPr>
                <w:rFonts w:ascii="Courier New" w:cs="Courier New" w:eastAsia="Courier New" w:hAnsi="Courier New"/>
                <w:sz w:val="15"/>
                <w:szCs w:val="15"/>
                <w:color w:val="auto"/>
              </w:rPr>
              <w:t>32.0</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34.0</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36.0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38.0</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40.0</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 w:lineRule="exact"/>
        <w:rPr>
          <w:sz w:val="20"/>
          <w:szCs w:val="20"/>
          <w:color w:val="auto"/>
        </w:rPr>
      </w:pPr>
    </w:p>
    <w:p>
      <w:pPr>
        <w:ind w:left="440" w:hanging="430"/>
        <w:spacing w:after="0"/>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Deducts option and warrant proceeds of $292.0 million.</w:t>
      </w:r>
    </w:p>
    <w:p>
      <w:pPr>
        <w:ind w:left="440" w:hanging="430"/>
        <w:spacing w:after="0" w:line="237" w:lineRule="auto"/>
        <w:tabs>
          <w:tab w:leader="none" w:pos="4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for projected data: Concast; 1994E and 1995E refer to the years</w:t>
      </w:r>
    </w:p>
    <w:p>
      <w:pPr>
        <w:ind w:left="440"/>
        <w:spacing w:after="0" w:line="238" w:lineRule="auto"/>
        <w:rPr>
          <w:sz w:val="20"/>
          <w:szCs w:val="20"/>
          <w:color w:val="auto"/>
        </w:rPr>
      </w:pPr>
      <w:r>
        <w:rPr>
          <w:rFonts w:ascii="Courier New" w:cs="Courier New" w:eastAsia="Courier New" w:hAnsi="Courier New"/>
          <w:sz w:val="15"/>
          <w:szCs w:val="15"/>
          <w:color w:val="auto"/>
        </w:rPr>
        <w:t>ended 1/1/95 and 1/1/96 respectively.</w:t>
      </w:r>
    </w:p>
    <w:p>
      <w:pPr>
        <w:spacing w:after="0"/>
        <w:tabs>
          <w:tab w:leader="none" w:pos="600" w:val="left"/>
        </w:tabs>
        <w:rPr>
          <w:sz w:val="20"/>
          <w:szCs w:val="20"/>
          <w:color w:val="auto"/>
        </w:rPr>
      </w:pPr>
      <w:r>
        <w:rPr>
          <w:rFonts w:ascii="Courier New" w:cs="Courier New" w:eastAsia="Courier New" w:hAnsi="Courier New"/>
          <w:sz w:val="15"/>
          <w:szCs w:val="15"/>
          <w:color w:val="auto"/>
        </w:rPr>
        <w:t>Note:</w:t>
        <w:tab/>
        <w:t>LTM numbers are for the period ending 4/30/94.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80"/>
        <w:spacing w:after="0"/>
        <w:tabs>
          <w:tab w:leader="none" w:pos="5240"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1300"/>
          </w:cols>
          <w:pgMar w:left="220" w:top="261" w:right="379"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18</w:t>
      </w:r>
    </w:p>
    <w:p>
      <w:pPr>
        <w:spacing w:after="0" w:line="335" w:lineRule="exact"/>
        <w:rPr>
          <w:sz w:val="20"/>
          <w:szCs w:val="20"/>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2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Trading History</w:t>
      </w:r>
    </w:p>
    <w:p>
      <w:pPr>
        <w:spacing w:after="0" w:line="2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3340"/>
        <w:spacing w:after="0" w:line="237" w:lineRule="auto"/>
        <w:rPr>
          <w:sz w:val="20"/>
          <w:szCs w:val="20"/>
          <w:color w:val="auto"/>
        </w:rPr>
      </w:pPr>
      <w:r>
        <w:rPr>
          <w:rFonts w:ascii="Courier New" w:cs="Courier New" w:eastAsia="Courier New" w:hAnsi="Courier New"/>
          <w:sz w:val="15"/>
          <w:szCs w:val="15"/>
          <w:color w:val="auto"/>
        </w:rPr>
        <w:t>QVC</w:t>
      </w:r>
    </w:p>
    <w:p>
      <w:pPr>
        <w:ind w:left="2540"/>
        <w:spacing w:after="0" w:line="238" w:lineRule="auto"/>
        <w:rPr>
          <w:sz w:val="20"/>
          <w:szCs w:val="20"/>
          <w:color w:val="auto"/>
        </w:rPr>
      </w:pPr>
      <w:r>
        <w:rPr>
          <w:rFonts w:ascii="Courier New" w:cs="Courier New" w:eastAsia="Courier New" w:hAnsi="Courier New"/>
          <w:sz w:val="15"/>
          <w:szCs w:val="15"/>
          <w:color w:val="auto"/>
        </w:rPr>
        <w:t>From 7/2/93 to 7/11/94</w:t>
      </w:r>
    </w:p>
    <w:p>
      <w:pPr>
        <w:ind w:left="2720"/>
        <w:spacing w:after="0"/>
        <w:rPr>
          <w:sz w:val="20"/>
          <w:szCs w:val="20"/>
          <w:color w:val="auto"/>
        </w:rPr>
      </w:pPr>
      <w:r>
        <w:rPr>
          <w:rFonts w:ascii="Courier New" w:cs="Courier New" w:eastAsia="Courier New" w:hAnsi="Courier New"/>
          <w:sz w:val="15"/>
          <w:szCs w:val="15"/>
          <w:color w:val="auto"/>
        </w:rPr>
        <w:t>1 Year Perspective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3679" w:firstLine="700"/>
        <w:spacing w:after="0" w:line="290" w:lineRule="auto"/>
        <w:rPr>
          <w:sz w:val="20"/>
          <w:szCs w:val="20"/>
          <w:color w:val="auto"/>
        </w:rPr>
      </w:pPr>
      <w:r>
        <w:rPr>
          <w:rFonts w:ascii="Courier New" w:cs="Courier New" w:eastAsia="Courier New" w:hAnsi="Courier New"/>
          <w:sz w:val="15"/>
          <w:szCs w:val="15"/>
          <w:color w:val="auto"/>
        </w:rPr>
        <w:t>The chart describes that QVC stock trading history for the one year period between 7/2/93 and 9/11/94. The per share daily closing price of QVC stock on the selected dates was as follows.</w:t>
      </w:r>
    </w:p>
    <w:p>
      <w:pPr>
        <w:spacing w:after="0" w:line="55"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1760" w:type="dxa"/>
            <w:vAlign w:val="bottom"/>
            <w:vMerge w:val="restart"/>
          </w:tcPr>
          <w:p>
            <w:pPr>
              <w:jc w:val="right"/>
              <w:ind w:right="1327"/>
              <w:spacing w:after="0"/>
              <w:rPr>
                <w:sz w:val="20"/>
                <w:szCs w:val="20"/>
                <w:color w:val="auto"/>
              </w:rPr>
            </w:pPr>
            <w:r>
              <w:rPr>
                <w:rFonts w:ascii="Courier New" w:cs="Courier New" w:eastAsia="Courier New" w:hAnsi="Courier New"/>
                <w:sz w:val="15"/>
                <w:szCs w:val="15"/>
                <w:color w:val="auto"/>
                <w:w w:val="94"/>
              </w:rPr>
              <w:t>Date</w:t>
            </w:r>
          </w:p>
        </w:tc>
        <w:tc>
          <w:tcPr>
            <w:tcW w:w="1840" w:type="dxa"/>
            <w:vAlign w:val="bottom"/>
          </w:tcPr>
          <w:p>
            <w:pPr>
              <w:ind w:left="1040"/>
              <w:spacing w:after="0"/>
              <w:rPr>
                <w:sz w:val="20"/>
                <w:szCs w:val="20"/>
                <w:color w:val="auto"/>
              </w:rPr>
            </w:pPr>
            <w:r>
              <w:rPr>
                <w:rFonts w:ascii="Courier New" w:cs="Courier New" w:eastAsia="Courier New" w:hAnsi="Courier New"/>
                <w:sz w:val="15"/>
                <w:szCs w:val="15"/>
                <w:color w:val="auto"/>
                <w:w w:val="96"/>
              </w:rPr>
              <w:t>QVC Price</w:t>
            </w:r>
          </w:p>
        </w:tc>
        <w:tc>
          <w:tcPr>
            <w:tcW w:w="0" w:type="dxa"/>
            <w:vAlign w:val="bottom"/>
          </w:tcPr>
          <w:p>
            <w:pPr>
              <w:spacing w:after="0"/>
              <w:rPr>
                <w:sz w:val="1"/>
                <w:szCs w:val="1"/>
                <w:color w:val="auto"/>
              </w:rPr>
            </w:pPr>
          </w:p>
        </w:tc>
      </w:tr>
      <w:tr>
        <w:trPr>
          <w:trHeight w:val="168"/>
        </w:trPr>
        <w:tc>
          <w:tcPr>
            <w:tcW w:w="1760" w:type="dxa"/>
            <w:vAlign w:val="bottom"/>
            <w:vMerge w:val="continue"/>
          </w:tcPr>
          <w:p>
            <w:pPr>
              <w:spacing w:after="0"/>
              <w:rPr>
                <w:sz w:val="14"/>
                <w:szCs w:val="14"/>
                <w:color w:val="auto"/>
              </w:rPr>
            </w:pP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w w:val="96"/>
              </w:rPr>
              <w:t>Per Share</w:t>
            </w:r>
          </w:p>
        </w:tc>
        <w:tc>
          <w:tcPr>
            <w:tcW w:w="0" w:type="dxa"/>
            <w:vAlign w:val="bottom"/>
          </w:tcPr>
          <w:p>
            <w:pPr>
              <w:spacing w:after="0"/>
              <w:rPr>
                <w:sz w:val="1"/>
                <w:szCs w:val="1"/>
                <w:color w:val="auto"/>
              </w:rPr>
            </w:pPr>
          </w:p>
        </w:tc>
      </w:tr>
      <w:tr>
        <w:trPr>
          <w:trHeight w:val="245"/>
        </w:trPr>
        <w:tc>
          <w:tcPr>
            <w:tcW w:w="176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4"/>
              </w:rPr>
              <w:t>----</w:t>
            </w:r>
          </w:p>
        </w:tc>
        <w:tc>
          <w:tcPr>
            <w:tcW w:w="1840" w:type="dxa"/>
            <w:vAlign w:val="bottom"/>
          </w:tcPr>
          <w:p>
            <w:pPr>
              <w:ind w:left="1040"/>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176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7/2/93</w:t>
            </w:r>
          </w:p>
        </w:tc>
        <w:tc>
          <w:tcPr>
            <w:tcW w:w="1840" w:type="dxa"/>
            <w:vAlign w:val="bottom"/>
          </w:tcPr>
          <w:p>
            <w:pPr>
              <w:ind w:left="1040"/>
              <w:spacing w:after="0"/>
              <w:rPr>
                <w:sz w:val="20"/>
                <w:szCs w:val="20"/>
                <w:color w:val="auto"/>
              </w:rPr>
            </w:pPr>
            <w:r>
              <w:rPr>
                <w:rFonts w:ascii="Courier New" w:cs="Courier New" w:eastAsia="Courier New" w:hAnsi="Courier New"/>
                <w:sz w:val="15"/>
                <w:szCs w:val="15"/>
                <w:color w:val="auto"/>
              </w:rPr>
              <w:t>61.50</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8/20/93</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65.25</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10/08/93</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56.50</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4"/>
              </w:rPr>
              <w:t>12/03/93</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46.25</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1/21/94</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44.00</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3/11/94</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40.875</w:t>
            </w:r>
          </w:p>
        </w:tc>
        <w:tc>
          <w:tcPr>
            <w:tcW w:w="0" w:type="dxa"/>
            <w:vAlign w:val="bottom"/>
          </w:tcPr>
          <w:p>
            <w:pPr>
              <w:spacing w:after="0"/>
              <w:rPr>
                <w:sz w:val="1"/>
                <w:szCs w:val="1"/>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4/29/94</w:t>
            </w:r>
          </w:p>
        </w:tc>
        <w:tc>
          <w:tcPr>
            <w:tcW w:w="184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35.625</w:t>
            </w:r>
          </w:p>
        </w:tc>
        <w:tc>
          <w:tcPr>
            <w:tcW w:w="0" w:type="dxa"/>
            <w:vAlign w:val="bottom"/>
          </w:tcPr>
          <w:p>
            <w:pPr>
              <w:spacing w:after="0"/>
              <w:rPr>
                <w:sz w:val="1"/>
                <w:szCs w:val="1"/>
                <w:color w:val="auto"/>
              </w:rPr>
            </w:pPr>
          </w:p>
        </w:tc>
      </w:tr>
      <w:tr>
        <w:trPr>
          <w:trHeight w:val="245"/>
        </w:trPr>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6/17/94</w:t>
            </w:r>
          </w:p>
        </w:tc>
        <w:tc>
          <w:tcPr>
            <w:tcW w:w="1840" w:type="dxa"/>
            <w:vAlign w:val="bottom"/>
          </w:tcPr>
          <w:p>
            <w:pPr>
              <w:ind w:left="1040"/>
              <w:spacing w:after="0"/>
              <w:rPr>
                <w:sz w:val="20"/>
                <w:szCs w:val="20"/>
                <w:color w:val="auto"/>
              </w:rPr>
            </w:pPr>
            <w:r>
              <w:rPr>
                <w:rFonts w:ascii="Courier New" w:cs="Courier New" w:eastAsia="Courier New" w:hAnsi="Courier New"/>
                <w:sz w:val="15"/>
                <w:szCs w:val="15"/>
                <w:color w:val="auto"/>
              </w:rPr>
              <w:t>34.00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340"/>
        <w:spacing w:after="0"/>
        <w:tabs>
          <w:tab w:leader="none" w:pos="524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0239"/>
          </w:cols>
          <w:pgMar w:left="220" w:top="26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22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Stock Trading History</w:t>
      </w:r>
    </w:p>
    <w:p>
      <w:pPr>
        <w:spacing w:after="0" w:line="2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3340"/>
        <w:spacing w:after="0" w:line="237" w:lineRule="auto"/>
        <w:rPr>
          <w:sz w:val="20"/>
          <w:szCs w:val="20"/>
          <w:color w:val="auto"/>
        </w:rPr>
      </w:pPr>
      <w:r>
        <w:rPr>
          <w:rFonts w:ascii="Courier New" w:cs="Courier New" w:eastAsia="Courier New" w:hAnsi="Courier New"/>
          <w:sz w:val="15"/>
          <w:szCs w:val="15"/>
          <w:color w:val="auto"/>
        </w:rPr>
        <w:t>QVC</w:t>
      </w:r>
    </w:p>
    <w:p>
      <w:pPr>
        <w:ind w:left="2540"/>
        <w:spacing w:after="0" w:line="238" w:lineRule="auto"/>
        <w:rPr>
          <w:sz w:val="20"/>
          <w:szCs w:val="20"/>
          <w:color w:val="auto"/>
        </w:rPr>
      </w:pPr>
      <w:r>
        <w:rPr>
          <w:rFonts w:ascii="Courier New" w:cs="Courier New" w:eastAsia="Courier New" w:hAnsi="Courier New"/>
          <w:sz w:val="15"/>
          <w:szCs w:val="15"/>
          <w:color w:val="auto"/>
        </w:rPr>
        <w:t>From 7/7/89 to 7/11/94</w:t>
      </w:r>
    </w:p>
    <w:p>
      <w:pPr>
        <w:ind w:left="2720"/>
        <w:spacing w:after="0"/>
        <w:rPr>
          <w:sz w:val="20"/>
          <w:szCs w:val="20"/>
          <w:color w:val="auto"/>
        </w:rPr>
      </w:pPr>
      <w:r>
        <w:rPr>
          <w:rFonts w:ascii="Courier New" w:cs="Courier New" w:eastAsia="Courier New" w:hAnsi="Courier New"/>
          <w:sz w:val="15"/>
          <w:szCs w:val="15"/>
          <w:color w:val="auto"/>
        </w:rPr>
        <w:t>5 Year Perspective</w:t>
      </w:r>
    </w:p>
    <w:p>
      <w:pPr>
        <w:spacing w:after="0" w:line="140" w:lineRule="exact"/>
        <w:rPr>
          <w:sz w:val="20"/>
          <w:szCs w:val="20"/>
          <w:color w:val="auto"/>
        </w:rPr>
      </w:pPr>
    </w:p>
    <w:p>
      <w:pPr>
        <w:jc w:val="both"/>
        <w:ind w:right="3679"/>
        <w:spacing w:after="0" w:line="290" w:lineRule="auto"/>
        <w:rPr>
          <w:sz w:val="20"/>
          <w:szCs w:val="20"/>
          <w:color w:val="auto"/>
        </w:rPr>
      </w:pPr>
      <w:r>
        <w:rPr>
          <w:rFonts w:ascii="Courier New" w:cs="Courier New" w:eastAsia="Courier New" w:hAnsi="Courier New"/>
          <w:sz w:val="15"/>
          <w:szCs w:val="15"/>
          <w:color w:val="auto"/>
        </w:rPr>
        <w:t>The chart describes the QVC stock trading history for the five year period between 7/7/89 and 4/22/94. The per share closing price of QVC stock on the selected dates was as follows:</w:t>
      </w:r>
    </w:p>
    <w:p>
      <w:pPr>
        <w:spacing w:after="0" w:line="200" w:lineRule="exact"/>
        <w:rPr>
          <w:sz w:val="20"/>
          <w:szCs w:val="20"/>
          <w:color w:val="auto"/>
        </w:rPr>
      </w:pPr>
    </w:p>
    <w:p>
      <w:pPr>
        <w:spacing w:after="0" w:line="360"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640" w:type="dxa"/>
            <w:vAlign w:val="bottom"/>
            <w:vMerge w:val="restart"/>
          </w:tcPr>
          <w:p>
            <w:pPr>
              <w:jc w:val="right"/>
              <w:ind w:right="2127"/>
              <w:spacing w:after="0"/>
              <w:rPr>
                <w:sz w:val="20"/>
                <w:szCs w:val="20"/>
                <w:color w:val="auto"/>
              </w:rPr>
            </w:pPr>
            <w:r>
              <w:rPr>
                <w:rFonts w:ascii="Courier New" w:cs="Courier New" w:eastAsia="Courier New" w:hAnsi="Courier New"/>
                <w:sz w:val="15"/>
                <w:szCs w:val="15"/>
                <w:color w:val="auto"/>
              </w:rPr>
              <w:t>Date</w:t>
            </w:r>
          </w:p>
        </w:tc>
        <w:tc>
          <w:tcPr>
            <w:tcW w:w="2880" w:type="dxa"/>
            <w:vAlign w:val="bottom"/>
          </w:tcPr>
          <w:p>
            <w:pPr>
              <w:ind w:left="340"/>
              <w:spacing w:after="0"/>
              <w:rPr>
                <w:sz w:val="20"/>
                <w:szCs w:val="20"/>
                <w:color w:val="auto"/>
              </w:rPr>
            </w:pPr>
            <w:r>
              <w:rPr>
                <w:rFonts w:ascii="Courier New" w:cs="Courier New" w:eastAsia="Courier New" w:hAnsi="Courier New"/>
                <w:sz w:val="15"/>
                <w:szCs w:val="15"/>
                <w:color w:val="auto"/>
              </w:rPr>
              <w:t>QVC Price</w:t>
            </w: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28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45"/>
        </w:trPr>
        <w:tc>
          <w:tcPr>
            <w:tcW w:w="2640" w:type="dxa"/>
            <w:vAlign w:val="bottom"/>
          </w:tcPr>
          <w:p>
            <w:pPr>
              <w:jc w:val="right"/>
              <w:ind w:right="1867"/>
              <w:spacing w:after="0"/>
              <w:rPr>
                <w:sz w:val="20"/>
                <w:szCs w:val="20"/>
                <w:color w:val="auto"/>
              </w:rPr>
            </w:pPr>
            <w:r>
              <w:rPr>
                <w:rFonts w:ascii="Courier New" w:cs="Courier New" w:eastAsia="Courier New" w:hAnsi="Courier New"/>
                <w:sz w:val="15"/>
                <w:szCs w:val="15"/>
                <w:color w:val="auto"/>
                <w:w w:val="94"/>
              </w:rPr>
              <w:t>--------</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64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7/07/89</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17.875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4"/>
              </w:rPr>
              <w:t>12/29/89</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16.50</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rPr>
              <w:t>6/22/90</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12.625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4"/>
              </w:rPr>
              <w:t>12/14/90</w:t>
            </w:r>
          </w:p>
        </w:tc>
        <w:tc>
          <w:tcPr>
            <w:tcW w:w="28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4.25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rPr>
              <w:t>6/07/91</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11.875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4"/>
              </w:rPr>
              <w:t>11/29/91</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13.375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rPr>
              <w:t>5/22/92</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21.50</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4"/>
              </w:rPr>
              <w:t>11/13/92</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23.125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rPr>
              <w:t>5/07/93</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55.625</w:t>
            </w:r>
          </w:p>
        </w:tc>
        <w:tc>
          <w:tcPr>
            <w:tcW w:w="0" w:type="dxa"/>
            <w:vAlign w:val="bottom"/>
          </w:tcPr>
          <w:p>
            <w:pPr>
              <w:spacing w:after="0"/>
              <w:rPr>
                <w:sz w:val="1"/>
                <w:szCs w:val="1"/>
                <w:color w:val="auto"/>
              </w:rPr>
            </w:pPr>
          </w:p>
        </w:tc>
      </w:tr>
      <w:tr>
        <w:trPr>
          <w:trHeight w:val="168"/>
        </w:trPr>
        <w:tc>
          <w:tcPr>
            <w:tcW w:w="2640" w:type="dxa"/>
            <w:vAlign w:val="bottom"/>
          </w:tcPr>
          <w:p>
            <w:pPr>
              <w:jc w:val="right"/>
              <w:ind w:right="1867"/>
              <w:spacing w:after="0" w:line="168" w:lineRule="exact"/>
              <w:rPr>
                <w:sz w:val="20"/>
                <w:szCs w:val="20"/>
                <w:color w:val="auto"/>
              </w:rPr>
            </w:pPr>
            <w:r>
              <w:rPr>
                <w:rFonts w:ascii="Courier New" w:cs="Courier New" w:eastAsia="Courier New" w:hAnsi="Courier New"/>
                <w:sz w:val="15"/>
                <w:szCs w:val="15"/>
                <w:color w:val="auto"/>
                <w:w w:val="94"/>
              </w:rPr>
              <w:t>10/29/93</w:t>
            </w:r>
          </w:p>
        </w:tc>
        <w:tc>
          <w:tcPr>
            <w:tcW w:w="2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55.75</w:t>
            </w:r>
          </w:p>
        </w:tc>
        <w:tc>
          <w:tcPr>
            <w:tcW w:w="0" w:type="dxa"/>
            <w:vAlign w:val="bottom"/>
          </w:tcPr>
          <w:p>
            <w:pPr>
              <w:spacing w:after="0"/>
              <w:rPr>
                <w:sz w:val="1"/>
                <w:szCs w:val="1"/>
                <w:color w:val="auto"/>
              </w:rPr>
            </w:pPr>
          </w:p>
        </w:tc>
      </w:tr>
      <w:tr>
        <w:trPr>
          <w:trHeight w:val="245"/>
        </w:trPr>
        <w:tc>
          <w:tcPr>
            <w:tcW w:w="2640" w:type="dxa"/>
            <w:vAlign w:val="bottom"/>
          </w:tcPr>
          <w:p>
            <w:pPr>
              <w:jc w:val="right"/>
              <w:ind w:right="1867"/>
              <w:spacing w:after="0"/>
              <w:rPr>
                <w:sz w:val="20"/>
                <w:szCs w:val="20"/>
                <w:color w:val="auto"/>
              </w:rPr>
            </w:pPr>
            <w:r>
              <w:rPr>
                <w:rFonts w:ascii="Courier New" w:cs="Courier New" w:eastAsia="Courier New" w:hAnsi="Courier New"/>
                <w:sz w:val="15"/>
                <w:szCs w:val="15"/>
                <w:color w:val="auto"/>
              </w:rPr>
              <w:t>4/22/94</w:t>
            </w:r>
          </w:p>
        </w:tc>
        <w:tc>
          <w:tcPr>
            <w:tcW w:w="2880" w:type="dxa"/>
            <w:vAlign w:val="bottom"/>
          </w:tcPr>
          <w:p>
            <w:pPr>
              <w:ind w:left="440"/>
              <w:spacing w:after="0"/>
              <w:rPr>
                <w:sz w:val="20"/>
                <w:szCs w:val="20"/>
                <w:color w:val="auto"/>
              </w:rPr>
            </w:pPr>
            <w:r>
              <w:rPr>
                <w:rFonts w:ascii="Courier New" w:cs="Courier New" w:eastAsia="Courier New" w:hAnsi="Courier New"/>
                <w:sz w:val="15"/>
                <w:szCs w:val="15"/>
                <w:color w:val="auto"/>
              </w:rPr>
              <w:t>37.35</w:t>
            </w:r>
          </w:p>
        </w:tc>
        <w:tc>
          <w:tcPr>
            <w:tcW w:w="0" w:type="dxa"/>
            <w:vAlign w:val="bottom"/>
          </w:tcPr>
          <w:p>
            <w:pPr>
              <w:spacing w:after="0"/>
              <w:rPr>
                <w:sz w:val="1"/>
                <w:szCs w:val="1"/>
                <w:color w:val="auto"/>
              </w:rPr>
            </w:pPr>
          </w:p>
        </w:tc>
      </w:tr>
      <w:tr>
        <w:trPr>
          <w:trHeight w:val="673"/>
        </w:trPr>
        <w:tc>
          <w:tcPr>
            <w:tcW w:w="2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c>
          <w:tcPr>
            <w:tcW w:w="2880" w:type="dxa"/>
            <w:vAlign w:val="bottom"/>
          </w:tcPr>
          <w:p>
            <w:pPr>
              <w:ind w:left="1220"/>
              <w:spacing w:after="0"/>
              <w:rPr>
                <w:sz w:val="20"/>
                <w:szCs w:val="20"/>
                <w:color w:val="auto"/>
              </w:rPr>
            </w:pPr>
            <w:r>
              <w:rPr>
                <w:rFonts w:ascii="Courier New" w:cs="Courier New" w:eastAsia="Courier New" w:hAnsi="Courier New"/>
                <w:sz w:val="15"/>
                <w:szCs w:val="15"/>
                <w:color w:val="auto"/>
                <w:w w:val="95"/>
              </w:rPr>
              <w:t>Lazard Freres &amp; Co.</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20</w:t>
      </w:r>
    </w:p>
    <w:p>
      <w:pPr>
        <w:spacing w:after="0" w:line="24" w:lineRule="exact"/>
        <w:rPr>
          <w:sz w:val="20"/>
          <w:szCs w:val="20"/>
          <w:color w:val="auto"/>
        </w:rPr>
      </w:pPr>
    </w:p>
    <w:p>
      <w:pPr>
        <w:ind w:left="180" w:hanging="170"/>
        <w:spacing w:after="0"/>
        <w:tabs>
          <w:tab w:leader="none" w:pos="1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40" w:lineRule="exact"/>
        <w:rPr>
          <w:rFonts w:ascii="Courier New" w:cs="Courier New" w:eastAsia="Courier New" w:hAnsi="Courier New"/>
          <w:sz w:val="15"/>
          <w:szCs w:val="15"/>
          <w:color w:val="auto"/>
        </w:rPr>
      </w:pPr>
    </w:p>
    <w:p>
      <w:pPr>
        <w:ind w:left="22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IV.  Valuation of QVC (cont'd)</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Comparable Companies Summary</w:t>
      </w:r>
    </w:p>
    <w:p>
      <w:pPr>
        <w:spacing w:after="0" w:line="2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14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BET</w:t>
            </w:r>
          </w:p>
        </w:tc>
        <w:tc>
          <w:tcPr>
            <w:tcW w:w="11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CUC</w:t>
            </w:r>
          </w:p>
        </w:tc>
        <w:tc>
          <w:tcPr>
            <w:tcW w:w="1260" w:type="dxa"/>
            <w:vAlign w:val="bottom"/>
            <w:vMerge w:val="restart"/>
          </w:tcPr>
          <w:p>
            <w:pPr>
              <w:jc w:val="center"/>
              <w:ind w:right="147"/>
              <w:spacing w:after="0"/>
              <w:rPr>
                <w:sz w:val="20"/>
                <w:szCs w:val="20"/>
                <w:color w:val="auto"/>
              </w:rPr>
            </w:pPr>
            <w:r>
              <w:rPr>
                <w:rFonts w:ascii="Courier New" w:cs="Courier New" w:eastAsia="Courier New" w:hAnsi="Courier New"/>
                <w:sz w:val="15"/>
                <w:szCs w:val="15"/>
                <w:color w:val="auto"/>
                <w:w w:val="95"/>
              </w:rPr>
              <w:t>Gaylord</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Home</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Int'l Family</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QVC</w:t>
            </w: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Shopping</w:t>
            </w:r>
          </w:p>
        </w:tc>
        <w:tc>
          <w:tcPr>
            <w:tcW w:w="17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Entertainment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Network</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1"/>
                <w:szCs w:val="21"/>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5"/>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Ticker</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BTV</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CU</w:t>
            </w:r>
          </w:p>
        </w:tc>
        <w:tc>
          <w:tcPr>
            <w:tcW w:w="1260" w:type="dxa"/>
            <w:vAlign w:val="bottom"/>
          </w:tcPr>
          <w:p>
            <w:pPr>
              <w:jc w:val="center"/>
              <w:ind w:right="147"/>
              <w:spacing w:after="0"/>
              <w:rPr>
                <w:sz w:val="20"/>
                <w:szCs w:val="20"/>
                <w:color w:val="auto"/>
              </w:rPr>
            </w:pPr>
            <w:r>
              <w:rPr>
                <w:rFonts w:ascii="Courier New" w:cs="Courier New" w:eastAsia="Courier New" w:hAnsi="Courier New"/>
                <w:sz w:val="15"/>
                <w:szCs w:val="15"/>
                <w:color w:val="auto"/>
              </w:rPr>
              <w:t>GET</w:t>
            </w: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HSN</w:t>
            </w:r>
          </w:p>
        </w:tc>
        <w:tc>
          <w:tcPr>
            <w:tcW w:w="17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FAM</w:t>
            </w:r>
          </w:p>
        </w:tc>
        <w:tc>
          <w:tcPr>
            <w:tcW w:w="1200" w:type="dxa"/>
            <w:vAlign w:val="bottom"/>
          </w:tcPr>
          <w:p>
            <w:pPr>
              <w:ind w:left="580"/>
              <w:spacing w:after="0"/>
              <w:rPr>
                <w:sz w:val="20"/>
                <w:szCs w:val="20"/>
                <w:color w:val="auto"/>
              </w:rPr>
            </w:pPr>
            <w:r>
              <w:rPr>
                <w:rFonts w:ascii="Courier New" w:cs="Courier New" w:eastAsia="Courier New" w:hAnsi="Courier New"/>
                <w:sz w:val="15"/>
                <w:szCs w:val="15"/>
                <w:color w:val="auto"/>
              </w:rPr>
              <w:t>QVCN</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Latest Quarter End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04/30/94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04/30/94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03/31/94</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03/31/94</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03/31/94</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04/30/94</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Latest Fiscal Year End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07/31/93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01/31/94</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12/31/93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12/31/93</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12/31/93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01/31/94</w:t>
            </w:r>
          </w:p>
        </w:tc>
        <w:tc>
          <w:tcPr>
            <w:tcW w:w="0" w:type="dxa"/>
            <w:vAlign w:val="bottom"/>
          </w:tcPr>
          <w:p>
            <w:pPr>
              <w:spacing w:after="0"/>
              <w:rPr>
                <w:sz w:val="1"/>
                <w:szCs w:val="1"/>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Price @ 7/11/94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$26.63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$23.25</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$11.13</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$16.00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$35.75</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Shares Outstanding - Fully Diluted</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115.7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87.4</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95.2</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55.9</w:t>
            </w:r>
          </w:p>
        </w:tc>
        <w:tc>
          <w:tcPr>
            <w:tcW w:w="0" w:type="dxa"/>
            <w:vAlign w:val="bottom"/>
          </w:tcPr>
          <w:p>
            <w:pPr>
              <w:spacing w:after="0"/>
              <w:rPr>
                <w:sz w:val="1"/>
                <w:szCs w:val="1"/>
                <w:color w:val="auto"/>
              </w:rPr>
            </w:pPr>
          </w:p>
        </w:tc>
      </w:tr>
      <w:tr>
        <w:trPr>
          <w:trHeight w:val="245"/>
        </w:trPr>
        <w:tc>
          <w:tcPr>
            <w:tcW w:w="3160" w:type="dxa"/>
            <w:vAlign w:val="bottom"/>
          </w:tcPr>
          <w:p>
            <w:pPr>
              <w:spacing w:after="0"/>
              <w:rPr>
                <w:sz w:val="20"/>
                <w:szCs w:val="20"/>
                <w:color w:val="auto"/>
              </w:rPr>
            </w:pPr>
            <w:r>
              <w:rPr>
                <w:rFonts w:ascii="Courier New" w:cs="Courier New" w:eastAsia="Courier New" w:hAnsi="Courier New"/>
                <w:sz w:val="15"/>
                <w:szCs w:val="15"/>
                <w:color w:val="auto"/>
              </w:rPr>
              <w:t>Shares Outstanding - Primary</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20.5</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113.6</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87.3</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93.9</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Market Value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$309.7</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$3,051.8</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$2,030.1</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$1,049.2</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$535.5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$1.706.2</w:t>
            </w: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Net Debt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( 14.4)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357.8</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66.6</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68"/>
        </w:trPr>
        <w:tc>
          <w:tcPr>
            <w:tcW w:w="3160" w:type="dxa"/>
            <w:vAlign w:val="bottom"/>
            <w:vMerge w:val="restart"/>
          </w:tcPr>
          <w:p>
            <w:pPr>
              <w:spacing w:after="0"/>
              <w:rPr>
                <w:sz w:val="20"/>
                <w:szCs w:val="20"/>
                <w:color w:val="auto"/>
              </w:rPr>
            </w:pPr>
            <w:r>
              <w:rPr>
                <w:rFonts w:ascii="Courier New" w:cs="Courier New" w:eastAsia="Courier New" w:hAnsi="Courier New"/>
                <w:sz w:val="15"/>
                <w:szCs w:val="15"/>
                <w:color w:val="auto"/>
              </w:rPr>
              <w:t>Market Capitalization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3160" w:type="dxa"/>
            <w:vAlign w:val="bottom"/>
            <w:vMerge w:val="continue"/>
          </w:tcPr>
          <w:p>
            <w:pPr>
              <w:spacing w:after="0"/>
              <w:rPr>
                <w:sz w:val="21"/>
                <w:szCs w:val="21"/>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$295.3</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$2,931.7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$2,387.9</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$1,115.8</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$622.5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$1,696.1</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Market Capitalization To:</w:t>
            </w: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3.2x</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3.2x</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3.8x</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1.0x</w:t>
            </w:r>
          </w:p>
        </w:tc>
        <w:tc>
          <w:tcPr>
            <w:tcW w:w="17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2.9x</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1.4x</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LTM Revenue</w:t>
            </w: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+ 1 E Revenue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0.9x</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2.7x</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1.2x</w:t>
            </w:r>
          </w:p>
        </w:tc>
        <w:tc>
          <w:tcPr>
            <w:tcW w:w="0" w:type="dxa"/>
            <w:vAlign w:val="bottom"/>
          </w:tcPr>
          <w:p>
            <w:pPr>
              <w:spacing w:after="0"/>
              <w:rPr>
                <w:sz w:val="1"/>
                <w:szCs w:val="1"/>
                <w:color w:val="auto"/>
              </w:rPr>
            </w:pPr>
          </w:p>
        </w:tc>
      </w:tr>
      <w:tr>
        <w:trPr>
          <w:trHeight w:val="245"/>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LFY + 2 E Revenue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2.6x</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2.4x</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0.8x</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2.4x</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1.1x</w:t>
            </w:r>
          </w:p>
        </w:tc>
        <w:tc>
          <w:tcPr>
            <w:tcW w:w="0" w:type="dxa"/>
            <w:vAlign w:val="bottom"/>
          </w:tcPr>
          <w:p>
            <w:pPr>
              <w:spacing w:after="0"/>
              <w:rPr>
                <w:sz w:val="1"/>
                <w:szCs w:val="1"/>
                <w:color w:val="auto"/>
              </w:rPr>
            </w:pPr>
          </w:p>
        </w:tc>
      </w:tr>
      <w:tr>
        <w:trPr>
          <w:trHeight w:val="259"/>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LTM EBITDA</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9.5x</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16.0x</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25.5x</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20.2x</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8.7x</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+ 1 E EBITDA</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11.5x</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8.8x</w:t>
            </w:r>
          </w:p>
        </w:tc>
        <w:tc>
          <w:tcPr>
            <w:tcW w:w="0" w:type="dxa"/>
            <w:vAlign w:val="bottom"/>
          </w:tcPr>
          <w:p>
            <w:pPr>
              <w:spacing w:after="0"/>
              <w:rPr>
                <w:sz w:val="1"/>
                <w:szCs w:val="1"/>
                <w:color w:val="auto"/>
              </w:rPr>
            </w:pPr>
          </w:p>
        </w:tc>
      </w:tr>
      <w:tr>
        <w:trPr>
          <w:trHeight w:val="245"/>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LFY + 2 E EBITDA</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8.0x</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6.6x</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7.5x</w:t>
            </w:r>
          </w:p>
        </w:tc>
        <w:tc>
          <w:tcPr>
            <w:tcW w:w="0" w:type="dxa"/>
            <w:vAlign w:val="bottom"/>
          </w:tcPr>
          <w:p>
            <w:pPr>
              <w:spacing w:after="0"/>
              <w:rPr>
                <w:sz w:val="1"/>
                <w:szCs w:val="1"/>
                <w:color w:val="auto"/>
              </w:rPr>
            </w:pPr>
          </w:p>
        </w:tc>
      </w:tr>
      <w:tr>
        <w:trPr>
          <w:trHeight w:val="259"/>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LTM EBIT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11.1x</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18.6x</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49.1x</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27.3x</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11.1x</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+ 1 E EBIT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15.9x</w:t>
            </w: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11.5x</w:t>
            </w:r>
          </w:p>
        </w:tc>
        <w:tc>
          <w:tcPr>
            <w:tcW w:w="0" w:type="dxa"/>
            <w:vAlign w:val="bottom"/>
          </w:tcPr>
          <w:p>
            <w:pPr>
              <w:spacing w:after="0"/>
              <w:rPr>
                <w:sz w:val="1"/>
                <w:szCs w:val="1"/>
                <w:color w:val="auto"/>
              </w:rPr>
            </w:pPr>
          </w:p>
        </w:tc>
      </w:tr>
      <w:tr>
        <w:trPr>
          <w:trHeight w:val="245"/>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LFY + 2 E EBIT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9.9x</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12.9x</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7.8x</w:t>
            </w:r>
          </w:p>
        </w:tc>
        <w:tc>
          <w:tcPr>
            <w:tcW w:w="17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9.4x</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0"/>
                <w:szCs w:val="20"/>
                <w:color w:val="auto"/>
              </w:rPr>
            </w:pPr>
            <w:r>
              <w:rPr>
                <w:rFonts w:ascii="Courier New" w:cs="Courier New" w:eastAsia="Courier New" w:hAnsi="Courier New"/>
                <w:sz w:val="15"/>
                <w:szCs w:val="15"/>
                <w:color w:val="auto"/>
              </w:rPr>
              <w:t>P/E:</w:t>
            </w:r>
          </w:p>
        </w:tc>
        <w:tc>
          <w:tcPr>
            <w:tcW w:w="1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19.2x</w:t>
            </w:r>
          </w:p>
        </w:tc>
        <w:tc>
          <w:tcPr>
            <w:tcW w:w="11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32.1x</w:t>
            </w:r>
          </w:p>
        </w:tc>
        <w:tc>
          <w:tcPr>
            <w:tcW w:w="12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30.6x</w:t>
            </w:r>
          </w:p>
        </w:tc>
        <w:tc>
          <w:tcPr>
            <w:tcW w:w="13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139.1x</w:t>
            </w:r>
          </w:p>
        </w:tc>
        <w:tc>
          <w:tcPr>
            <w:tcW w:w="17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48.5x</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39.3x</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LTM</w:t>
            </w: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+ 1 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27.2x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24.7x</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17.6x</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+ 2 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12.4x</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14.0x</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LFY + 1 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18.7x</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26.9x</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25.8x</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22.7x</w:t>
            </w:r>
          </w:p>
        </w:tc>
        <w:tc>
          <w:tcPr>
            <w:tcW w:w="1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31.4x</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26.5x</w:t>
            </w:r>
          </w:p>
        </w:tc>
        <w:tc>
          <w:tcPr>
            <w:tcW w:w="0" w:type="dxa"/>
            <w:vAlign w:val="bottom"/>
          </w:tcPr>
          <w:p>
            <w:pPr>
              <w:spacing w:after="0"/>
              <w:rPr>
                <w:sz w:val="1"/>
                <w:szCs w:val="1"/>
                <w:color w:val="auto"/>
              </w:rPr>
            </w:pPr>
          </w:p>
        </w:tc>
      </w:tr>
      <w:tr>
        <w:trPr>
          <w:trHeight w:val="245"/>
        </w:trPr>
        <w:tc>
          <w:tcPr>
            <w:tcW w:w="3160" w:type="dxa"/>
            <w:vAlign w:val="bottom"/>
          </w:tcPr>
          <w:p>
            <w:pPr>
              <w:ind w:left="180"/>
              <w:spacing w:after="0"/>
              <w:rPr>
                <w:sz w:val="20"/>
                <w:szCs w:val="20"/>
                <w:color w:val="auto"/>
              </w:rPr>
            </w:pPr>
            <w:r>
              <w:rPr>
                <w:rFonts w:ascii="Courier New" w:cs="Courier New" w:eastAsia="Courier New" w:hAnsi="Courier New"/>
                <w:sz w:val="15"/>
                <w:szCs w:val="15"/>
                <w:color w:val="auto"/>
              </w:rPr>
              <w:t>LFY + 2 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15.1x</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21.5x</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21.7x</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12.4x</w:t>
            </w:r>
          </w:p>
        </w:tc>
        <w:tc>
          <w:tcPr>
            <w:tcW w:w="17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16.3x</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18.4x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80"/>
        <w:spacing w:after="0"/>
        <w:tabs>
          <w:tab w:leader="none" w:pos="524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1040"/>
          </w:cols>
          <w:pgMar w:left="220" w:top="261" w:right="639"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21</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V. Summary of Recent Research Reports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80" w:type="dxa"/>
            <w:vAlign w:val="bottom"/>
            <w:gridSpan w:val="7"/>
          </w:tcPr>
          <w:p>
            <w:pPr>
              <w:spacing w:after="0"/>
              <w:rPr>
                <w:sz w:val="20"/>
                <w:szCs w:val="20"/>
                <w:color w:val="auto"/>
              </w:rPr>
            </w:pPr>
            <w:r>
              <w:rPr>
                <w:rFonts w:ascii="Courier New" w:cs="Courier New" w:eastAsia="Courier New" w:hAnsi="Courier New"/>
                <w:sz w:val="15"/>
                <w:szCs w:val="15"/>
                <w:color w:val="auto"/>
              </w:rPr>
              <w:t>- --------------------------------------------------------------------------------</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6"/>
              </w:rPr>
              <w:t>Cash Flow</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Estimate/</w:t>
            </w:r>
          </w:p>
        </w:tc>
        <w:tc>
          <w:tcPr>
            <w:tcW w:w="1740" w:type="dxa"/>
            <w:vAlign w:val="bottom"/>
            <w:gridSpan w:val="2"/>
            <w:vMerge w:val="restart"/>
          </w:tcPr>
          <w:p>
            <w:pPr>
              <w:ind w:left="400"/>
              <w:spacing w:after="0"/>
              <w:rPr>
                <w:sz w:val="20"/>
                <w:szCs w:val="20"/>
                <w:color w:val="auto"/>
              </w:rPr>
            </w:pPr>
            <w:r>
              <w:rPr>
                <w:rFonts w:ascii="Courier New" w:cs="Courier New" w:eastAsia="Courier New" w:hAnsi="Courier New"/>
                <w:sz w:val="15"/>
                <w:szCs w:val="15"/>
                <w:color w:val="auto"/>
              </w:rPr>
              <w:t>EPS Estimate/</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Growth Over</w:t>
            </w:r>
          </w:p>
        </w:tc>
        <w:tc>
          <w:tcPr>
            <w:tcW w:w="1740" w:type="dxa"/>
            <w:vAlign w:val="bottom"/>
            <w:gridSpan w:val="2"/>
            <w:vMerge w:val="continue"/>
          </w:tcPr>
          <w:p>
            <w:pPr>
              <w:spacing w:after="0"/>
              <w:rPr>
                <w:sz w:val="14"/>
                <w:szCs w:val="14"/>
                <w:color w:val="auto"/>
              </w:rPr>
            </w:pPr>
          </w:p>
        </w:tc>
        <w:tc>
          <w:tcPr>
            <w:tcW w:w="1580" w:type="dxa"/>
            <w:vAlign w:val="bottom"/>
            <w:gridSpan w:val="2"/>
            <w:vMerge w:val="restart"/>
          </w:tcPr>
          <w:p>
            <w:pPr>
              <w:jc w:val="right"/>
              <w:ind w:right="307"/>
              <w:spacing w:after="0"/>
              <w:rPr>
                <w:sz w:val="20"/>
                <w:szCs w:val="20"/>
                <w:color w:val="auto"/>
              </w:rPr>
            </w:pPr>
            <w:r>
              <w:rPr>
                <w:rFonts w:ascii="Courier New" w:cs="Courier New" w:eastAsia="Courier New" w:hAnsi="Courier New"/>
                <w:sz w:val="15"/>
                <w:szCs w:val="15"/>
                <w:color w:val="auto"/>
              </w:rPr>
              <w:t>Projected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Prior Year/</w:t>
            </w:r>
          </w:p>
        </w:tc>
        <w:tc>
          <w:tcPr>
            <w:tcW w:w="174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Growth Over</w:t>
            </w:r>
          </w:p>
        </w:tc>
        <w:tc>
          <w:tcPr>
            <w:tcW w:w="15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Stock</w:t>
            </w:r>
          </w:p>
        </w:tc>
        <w:tc>
          <w:tcPr>
            <w:tcW w:w="1800" w:type="dxa"/>
            <w:vAlign w:val="bottom"/>
          </w:tcPr>
          <w:p>
            <w:pPr>
              <w:spacing w:after="0"/>
              <w:rPr>
                <w:sz w:val="14"/>
                <w:szCs w:val="14"/>
                <w:color w:val="auto"/>
              </w:rPr>
            </w:pP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Margin</w:t>
            </w:r>
          </w:p>
        </w:tc>
        <w:tc>
          <w:tcPr>
            <w:tcW w:w="660" w:type="dxa"/>
            <w:vAlign w:val="bottom"/>
          </w:tcPr>
          <w:p>
            <w:pPr>
              <w:spacing w:after="0"/>
              <w:rPr>
                <w:sz w:val="14"/>
                <w:szCs w:val="14"/>
                <w:color w:val="auto"/>
              </w:rPr>
            </w:pP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Prior Year</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1994 Mult.</w:t>
            </w:r>
          </w:p>
        </w:tc>
        <w:tc>
          <w:tcPr>
            <w:tcW w:w="12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1994E Target</w:t>
            </w: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Firm</w:t>
            </w:r>
          </w:p>
        </w:tc>
        <w:tc>
          <w:tcPr>
            <w:tcW w:w="8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Date</w:t>
            </w:r>
          </w:p>
        </w:tc>
        <w:tc>
          <w:tcPr>
            <w:tcW w:w="740" w:type="dxa"/>
            <w:vAlign w:val="bottom"/>
            <w:vMerge w:val="continue"/>
          </w:tcPr>
          <w:p>
            <w:pPr>
              <w:spacing w:after="0"/>
              <w:rPr>
                <w:sz w:val="14"/>
                <w:szCs w:val="14"/>
                <w:color w:val="auto"/>
              </w:rPr>
            </w:pPr>
          </w:p>
        </w:tc>
        <w:tc>
          <w:tcPr>
            <w:tcW w:w="18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Recommendation</w:t>
            </w:r>
          </w:p>
        </w:tc>
        <w:tc>
          <w:tcPr>
            <w:tcW w:w="960" w:type="dxa"/>
            <w:vAlign w:val="bottom"/>
            <w:vMerge w:val="restart"/>
          </w:tcPr>
          <w:p>
            <w:pPr>
              <w:spacing w:after="0"/>
              <w:rPr>
                <w:sz w:val="20"/>
                <w:szCs w:val="20"/>
                <w:color w:val="auto"/>
              </w:rPr>
            </w:pPr>
            <w:r>
              <w:rPr>
                <w:rFonts w:ascii="Courier New" w:cs="Courier New" w:eastAsia="Courier New" w:hAnsi="Courier New"/>
                <w:sz w:val="20"/>
                <w:szCs w:val="20"/>
                <w:color w:val="auto"/>
                <w:w w:val="71"/>
                <w:vertAlign w:val="subscript"/>
              </w:rPr>
              <w:t>1994</w:t>
            </w:r>
            <w:r>
              <w:rPr>
                <w:rFonts w:ascii="Courier New" w:cs="Courier New" w:eastAsia="Courier New" w:hAnsi="Courier New"/>
                <w:sz w:val="11"/>
                <w:szCs w:val="11"/>
                <w:color w:val="auto"/>
                <w:w w:val="71"/>
              </w:rPr>
              <w:t>---------------</w:t>
            </w:r>
          </w:p>
        </w:tc>
        <w:tc>
          <w:tcPr>
            <w:tcW w:w="6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1995</w:t>
            </w:r>
          </w:p>
        </w:tc>
        <w:tc>
          <w:tcPr>
            <w:tcW w:w="17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7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Price</w:t>
            </w:r>
          </w:p>
        </w:tc>
        <w:tc>
          <w:tcPr>
            <w:tcW w:w="18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EBITDA</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P/E</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 Price</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Oppenheimer &amp; Co.</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06/24/94</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rPr>
              <w:t>$33.25</w:t>
            </w: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Special Research</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$190</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$232</w:t>
            </w:r>
          </w:p>
        </w:tc>
        <w:tc>
          <w:tcPr>
            <w:tcW w:w="8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w:t>
            </w: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8.75x</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26.6x</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$46.26</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Series Recommended</w:t>
            </w:r>
          </w:p>
        </w:tc>
        <w:tc>
          <w:tcPr>
            <w:tcW w:w="96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(3%)</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0" w:type="dxa"/>
            <w:vAlign w:val="bottom"/>
          </w:tcPr>
          <w:p>
            <w:pPr>
              <w:ind w:left="60"/>
              <w:spacing w:after="0"/>
              <w:rPr>
                <w:sz w:val="20"/>
                <w:szCs w:val="20"/>
                <w:color w:val="auto"/>
              </w:rPr>
            </w:pPr>
            <w:r>
              <w:rPr>
                <w:rFonts w:ascii="Courier New" w:cs="Courier New" w:eastAsia="Courier New" w:hAnsi="Courier New"/>
                <w:sz w:val="15"/>
                <w:szCs w:val="15"/>
                <w:color w:val="auto"/>
              </w:rPr>
              <w:t>List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Comments:</w:t>
      </w:r>
    </w:p>
    <w:p>
      <w:pPr>
        <w:spacing w:after="0" w:line="24" w:lineRule="exact"/>
        <w:rPr>
          <w:sz w:val="20"/>
          <w:szCs w:val="20"/>
          <w:color w:val="auto"/>
        </w:rPr>
      </w:pPr>
    </w:p>
    <w:p>
      <w:pPr>
        <w:ind w:left="360" w:right="4300" w:hanging="350"/>
        <w:spacing w:after="0" w:line="254" w:lineRule="auto"/>
        <w:tabs>
          <w:tab w:leader="none" w:pos="3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Believe strong growth will come from investments in talent and growth opportunities (e.g., international expansion, additional domestic channels).</w:t>
      </w:r>
    </w:p>
    <w:p>
      <w:pPr>
        <w:ind w:left="360" w:right="4640" w:hanging="350"/>
        <w:spacing w:after="0" w:line="23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Also see positives in QVC's distribution, brand value and credibility of service, and good inventory control.</w:t>
      </w:r>
    </w:p>
    <w:p>
      <w:pPr>
        <w:ind w:left="360" w:right="4820" w:hanging="350"/>
        <w:spacing w:after="0" w:line="23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View competition to be several years down the road and belive QVC will defend its turf vigorously.</w:t>
      </w:r>
    </w:p>
    <w:p>
      <w:pPr>
        <w:ind w:left="360" w:hanging="350"/>
        <w:spacing w:after="0" w:line="23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revenue increase: 1994 = 13%, 1995 = 15%.</w:t>
      </w:r>
    </w:p>
    <w:p>
      <w:pPr>
        <w:ind w:left="360" w:hanging="350"/>
        <w:spacing w:after="0"/>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cash flow growth in 1996 = 24%.</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CS First Boston</w:t>
            </w:r>
          </w:p>
        </w:tc>
        <w:tc>
          <w:tcPr>
            <w:tcW w:w="13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$213</w:t>
            </w:r>
          </w:p>
        </w:tc>
        <w:tc>
          <w:tcPr>
            <w:tcW w:w="8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$252</w:t>
            </w:r>
          </w:p>
        </w:tc>
        <w:tc>
          <w:tcPr>
            <w:tcW w:w="9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$1.30</w:t>
            </w:r>
          </w:p>
        </w:tc>
        <w:tc>
          <w:tcPr>
            <w:tcW w:w="11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$1.70</w:t>
            </w:r>
          </w:p>
        </w:tc>
        <w:tc>
          <w:tcPr>
            <w:tcW w:w="7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24.2x</w:t>
            </w:r>
          </w:p>
        </w:tc>
        <w:tc>
          <w:tcPr>
            <w:tcW w:w="5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---------------05/20/94  $31.50  Hold</w:t>
            </w:r>
          </w:p>
        </w:tc>
        <w:tc>
          <w:tcPr>
            <w:tcW w:w="13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8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w:t>
            </w: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80" w:type="dxa"/>
            <w:vAlign w:val="bottom"/>
          </w:tcPr>
          <w:p>
            <w:pPr>
              <w:spacing w:after="0"/>
              <w:rPr>
                <w:sz w:val="21"/>
                <w:szCs w:val="21"/>
                <w:color w:val="auto"/>
              </w:rPr>
            </w:pPr>
          </w:p>
        </w:tc>
        <w:tc>
          <w:tcPr>
            <w:tcW w:w="13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Comments:</w:t>
      </w:r>
    </w:p>
    <w:p>
      <w:pPr>
        <w:spacing w:after="0" w:line="24" w:lineRule="exact"/>
        <w:rPr>
          <w:sz w:val="20"/>
          <w:szCs w:val="20"/>
          <w:color w:val="auto"/>
        </w:rPr>
      </w:pPr>
    </w:p>
    <w:p>
      <w:pPr>
        <w:ind w:left="360" w:right="5700" w:hanging="350"/>
        <w:spacing w:after="0" w:line="23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Recently downgraded due to growing uncertainty regarding the company's future growth prospects.</w:t>
      </w:r>
    </w:p>
    <w:p>
      <w:pPr>
        <w:ind w:left="360" w:hanging="350"/>
        <w:spacing w:after="0" w:line="23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Recognize competition coming.</w:t>
      </w:r>
    </w:p>
    <w:p>
      <w:pPr>
        <w:ind w:left="360" w:right="4460" w:hanging="350"/>
        <w:spacing w:after="0" w:line="23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limited appeal of the current programming and merchandise offering, so applaud the establishment of Q2.</w:t>
      </w:r>
    </w:p>
    <w:p>
      <w:pPr>
        <w:ind w:left="360" w:hanging="350"/>
        <w:spacing w:after="0" w:line="23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Believe the whole field of TV shopping was overhyped last year.</w:t>
      </w:r>
    </w:p>
    <w:p>
      <w:pPr>
        <w:ind w:left="360" w:right="4900" w:hanging="350"/>
        <w:spacing w:after="0" w:line="237"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keeping things in perspective since many other retail concepts (e.g., Wal-Mart) growing as fast or faster.</w:t>
      </w:r>
    </w:p>
    <w:p>
      <w:pPr>
        <w:ind w:left="360" w:hanging="350"/>
        <w:spacing w:after="0"/>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revenue increases: 1994 = 10%, 1995 =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380"/>
        <w:spacing w:after="0"/>
        <w:tabs>
          <w:tab w:leader="none" w:pos="524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1300"/>
          </w:cols>
          <w:pgMar w:left="220" w:top="261" w:right="379"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22</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0" w:lineRule="exact"/>
        <w:rPr>
          <w:sz w:val="20"/>
          <w:szCs w:val="20"/>
          <w:color w:val="auto"/>
        </w:rPr>
      </w:pPr>
    </w:p>
    <w:p>
      <w:pPr>
        <w:ind w:left="1400"/>
        <w:spacing w:after="0"/>
        <w:tabs>
          <w:tab w:leader="none" w:pos="1740" w:val="left"/>
        </w:tabs>
        <w:rPr>
          <w:sz w:val="20"/>
          <w:szCs w:val="20"/>
          <w:color w:val="auto"/>
        </w:rPr>
      </w:pPr>
      <w:r>
        <w:rPr>
          <w:rFonts w:ascii="Courier New" w:cs="Courier New" w:eastAsia="Courier New" w:hAnsi="Courier New"/>
          <w:sz w:val="15"/>
          <w:szCs w:val="15"/>
          <w:color w:val="auto"/>
        </w:rPr>
        <w:t>V.</w:t>
        <w:tab/>
        <w:t>Summary of Recent Research Reports (cont'd)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20" w:type="dxa"/>
            <w:vAlign w:val="bottom"/>
            <w:gridSpan w:val="7"/>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Cash Flow</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Estimate/</w:t>
            </w:r>
          </w:p>
        </w:tc>
        <w:tc>
          <w:tcPr>
            <w:tcW w:w="1700" w:type="dxa"/>
            <w:vAlign w:val="bottom"/>
            <w:gridSpan w:val="2"/>
            <w:vMerge w:val="restart"/>
          </w:tcPr>
          <w:p>
            <w:pPr>
              <w:ind w:left="360"/>
              <w:spacing w:after="0"/>
              <w:rPr>
                <w:sz w:val="20"/>
                <w:szCs w:val="20"/>
                <w:color w:val="auto"/>
              </w:rPr>
            </w:pPr>
            <w:r>
              <w:rPr>
                <w:rFonts w:ascii="Courier New" w:cs="Courier New" w:eastAsia="Courier New" w:hAnsi="Courier New"/>
                <w:sz w:val="15"/>
                <w:szCs w:val="15"/>
                <w:color w:val="auto"/>
              </w:rPr>
              <w:t>EPS Estimate/</w:t>
            </w: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Growth Over</w:t>
            </w:r>
          </w:p>
        </w:tc>
        <w:tc>
          <w:tcPr>
            <w:tcW w:w="1700" w:type="dxa"/>
            <w:vAlign w:val="bottom"/>
            <w:gridSpan w:val="2"/>
            <w:vMerge w:val="continue"/>
          </w:tcPr>
          <w:p>
            <w:pPr>
              <w:spacing w:after="0"/>
              <w:rPr>
                <w:sz w:val="14"/>
                <w:szCs w:val="14"/>
                <w:color w:val="auto"/>
              </w:rPr>
            </w:pPr>
          </w:p>
        </w:tc>
        <w:tc>
          <w:tcPr>
            <w:tcW w:w="1580" w:type="dxa"/>
            <w:vAlign w:val="bottom"/>
            <w:gridSpan w:val="2"/>
            <w:vMerge w:val="restart"/>
          </w:tcPr>
          <w:p>
            <w:pPr>
              <w:jc w:val="right"/>
              <w:ind w:right="307"/>
              <w:spacing w:after="0"/>
              <w:rPr>
                <w:sz w:val="20"/>
                <w:szCs w:val="20"/>
                <w:color w:val="auto"/>
              </w:rPr>
            </w:pPr>
            <w:r>
              <w:rPr>
                <w:rFonts w:ascii="Courier New" w:cs="Courier New" w:eastAsia="Courier New" w:hAnsi="Courier New"/>
                <w:sz w:val="15"/>
                <w:szCs w:val="15"/>
                <w:color w:val="auto"/>
              </w:rPr>
              <w:t>Projected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Prior Year/</w:t>
            </w:r>
          </w:p>
        </w:tc>
        <w:tc>
          <w:tcPr>
            <w:tcW w:w="17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Growth Over</w:t>
            </w:r>
          </w:p>
        </w:tc>
        <w:tc>
          <w:tcPr>
            <w:tcW w:w="158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Stock</w:t>
            </w:r>
          </w:p>
        </w:tc>
        <w:tc>
          <w:tcPr>
            <w:tcW w:w="1620" w:type="dxa"/>
            <w:vAlign w:val="bottom"/>
          </w:tcPr>
          <w:p>
            <w:pPr>
              <w:spacing w:after="0"/>
              <w:rPr>
                <w:sz w:val="14"/>
                <w:szCs w:val="14"/>
                <w:color w:val="auto"/>
              </w:rPr>
            </w:pPr>
          </w:p>
        </w:tc>
        <w:tc>
          <w:tcPr>
            <w:tcW w:w="11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2"/>
              </w:rPr>
              <w:t>Margin</w:t>
            </w:r>
          </w:p>
        </w:tc>
        <w:tc>
          <w:tcPr>
            <w:tcW w:w="700" w:type="dxa"/>
            <w:vAlign w:val="bottom"/>
          </w:tcPr>
          <w:p>
            <w:pPr>
              <w:spacing w:after="0"/>
              <w:rPr>
                <w:sz w:val="14"/>
                <w:szCs w:val="14"/>
                <w:color w:val="auto"/>
              </w:rPr>
            </w:pPr>
          </w:p>
        </w:tc>
        <w:tc>
          <w:tcPr>
            <w:tcW w:w="17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Prior Year</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1994 Mult.</w:t>
            </w:r>
          </w:p>
        </w:tc>
        <w:tc>
          <w:tcPr>
            <w:tcW w:w="12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1994E Target</w:t>
            </w:r>
          </w:p>
        </w:tc>
        <w:tc>
          <w:tcPr>
            <w:tcW w:w="0" w:type="dxa"/>
            <w:vAlign w:val="bottom"/>
          </w:tcPr>
          <w:p>
            <w:pPr>
              <w:spacing w:after="0"/>
              <w:rPr>
                <w:sz w:val="1"/>
                <w:szCs w:val="1"/>
                <w:color w:val="auto"/>
              </w:rPr>
            </w:pPr>
          </w:p>
        </w:tc>
      </w:tr>
      <w:tr>
        <w:trPr>
          <w:trHeight w:val="168"/>
        </w:trPr>
        <w:tc>
          <w:tcPr>
            <w:tcW w:w="1720" w:type="dxa"/>
            <w:vAlign w:val="bottom"/>
            <w:vMerge w:val="restart"/>
          </w:tcPr>
          <w:p>
            <w:pPr>
              <w:spacing w:after="0"/>
              <w:rPr>
                <w:sz w:val="20"/>
                <w:szCs w:val="20"/>
                <w:color w:val="auto"/>
              </w:rPr>
            </w:pPr>
            <w:r>
              <w:rPr>
                <w:rFonts w:ascii="Courier New" w:cs="Courier New" w:eastAsia="Courier New" w:hAnsi="Courier New"/>
                <w:sz w:val="15"/>
                <w:szCs w:val="15"/>
                <w:color w:val="auto"/>
              </w:rPr>
              <w:t>Firm</w:t>
            </w:r>
          </w:p>
        </w:tc>
        <w:tc>
          <w:tcPr>
            <w:tcW w:w="7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Date</w:t>
            </w:r>
          </w:p>
        </w:tc>
        <w:tc>
          <w:tcPr>
            <w:tcW w:w="780" w:type="dxa"/>
            <w:vAlign w:val="bottom"/>
            <w:vMerge w:val="continue"/>
          </w:tcPr>
          <w:p>
            <w:pPr>
              <w:spacing w:after="0"/>
              <w:rPr>
                <w:sz w:val="14"/>
                <w:szCs w:val="14"/>
                <w:color w:val="auto"/>
              </w:rPr>
            </w:pPr>
          </w:p>
        </w:tc>
        <w:tc>
          <w:tcPr>
            <w:tcW w:w="162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Recommendation</w:t>
            </w:r>
          </w:p>
        </w:tc>
        <w:tc>
          <w:tcPr>
            <w:tcW w:w="1140" w:type="dxa"/>
            <w:vAlign w:val="bottom"/>
            <w:vMerge w:val="restart"/>
          </w:tcPr>
          <w:p>
            <w:pPr>
              <w:ind w:left="180"/>
              <w:spacing w:after="0"/>
              <w:rPr>
                <w:sz w:val="20"/>
                <w:szCs w:val="20"/>
                <w:color w:val="auto"/>
              </w:rPr>
            </w:pPr>
            <w:r>
              <w:rPr>
                <w:rFonts w:ascii="Courier New" w:cs="Courier New" w:eastAsia="Courier New" w:hAnsi="Courier New"/>
                <w:sz w:val="20"/>
                <w:szCs w:val="20"/>
                <w:color w:val="auto"/>
                <w:w w:val="71"/>
                <w:vertAlign w:val="subscript"/>
              </w:rPr>
              <w:t>1994</w:t>
            </w:r>
            <w:r>
              <w:rPr>
                <w:rFonts w:ascii="Courier New" w:cs="Courier New" w:eastAsia="Courier New" w:hAnsi="Courier New"/>
                <w:sz w:val="11"/>
                <w:szCs w:val="11"/>
                <w:color w:val="auto"/>
                <w:w w:val="71"/>
              </w:rPr>
              <w:t>---------------</w:t>
            </w:r>
          </w:p>
        </w:tc>
        <w:tc>
          <w:tcPr>
            <w:tcW w:w="7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4"/>
              </w:rPr>
              <w:t>1995</w:t>
            </w:r>
          </w:p>
        </w:tc>
        <w:tc>
          <w:tcPr>
            <w:tcW w:w="17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Price</w:t>
            </w:r>
          </w:p>
        </w:tc>
        <w:tc>
          <w:tcPr>
            <w:tcW w:w="16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1994</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EBITDA</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P/E</w:t>
            </w:r>
          </w:p>
        </w:tc>
        <w:tc>
          <w:tcPr>
            <w:tcW w:w="12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Stock Price</w:t>
            </w: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9"/>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Courier New" w:cs="Courier New" w:eastAsia="Courier New" w:hAnsi="Courier New"/>
                <w:sz w:val="15"/>
                <w:szCs w:val="15"/>
                <w:color w:val="auto"/>
              </w:rPr>
              <w:t>Kemper Securities</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04/7/94</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$40.00</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Hold/High Risk</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$212</w:t>
            </w: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$1.40</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28.6x</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4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14"/>
                <w:szCs w:val="14"/>
                <w:color w:val="auto"/>
              </w:rPr>
            </w:pPr>
          </w:p>
        </w:tc>
        <w:tc>
          <w:tcPr>
            <w:tcW w:w="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Key Comments:</w:t>
      </w:r>
    </w:p>
    <w:p>
      <w:pPr>
        <w:spacing w:after="0" w:line="166" w:lineRule="exact"/>
        <w:rPr>
          <w:sz w:val="20"/>
          <w:szCs w:val="20"/>
          <w:color w:val="auto"/>
        </w:rPr>
      </w:pPr>
    </w:p>
    <w:p>
      <w:pPr>
        <w:ind w:left="360" w:right="4900" w:hanging="350"/>
        <w:spacing w:after="0" w:line="249"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 from other video home shopping retailers (e.g., Spiegel, Macy's, CUC with Cablevision and Continental, CUC with Time Warner, MTV, and the RBOC's).</w:t>
      </w:r>
    </w:p>
    <w:p>
      <w:pPr>
        <w:spacing w:after="0" w:line="1" w:lineRule="exact"/>
        <w:rPr>
          <w:rFonts w:ascii="Courier New" w:cs="Courier New" w:eastAsia="Courier New" w:hAnsi="Courier New"/>
          <w:sz w:val="15"/>
          <w:szCs w:val="15"/>
          <w:color w:val="auto"/>
        </w:rPr>
      </w:pPr>
    </w:p>
    <w:p>
      <w:pPr>
        <w:ind w:left="360" w:right="5600" w:hanging="350"/>
        <w:spacing w:after="0" w:line="237" w:lineRule="auto"/>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Channel capacity has provided some protection, though see the constraint fading over the next few years.</w:t>
      </w:r>
    </w:p>
    <w:p>
      <w:pPr>
        <w:ind w:left="360" w:hanging="350"/>
        <w:spacing w:after="0"/>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revenue increases 1994 = 14%, 1995 =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40"/>
        <w:spacing w:after="0"/>
        <w:tabs>
          <w:tab w:leader="none" w:pos="524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4"/>
          <w:szCs w:val="14"/>
          <w:color w:val="auto"/>
        </w:rPr>
        <w:t>Lazard Freres &amp; Co.</w:t>
      </w:r>
    </w:p>
    <w:p>
      <w:pPr>
        <w:sectPr>
          <w:pgSz w:w="11900" w:h="16838" w:orient="portrait"/>
          <w:cols w:equalWidth="0" w:num="1">
            <w:col w:w="11300"/>
          </w:cols>
          <w:pgMar w:left="220" w:top="261" w:right="379"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Exhibit (b)(2)</w:t>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LAZARD FRERES &amp; CO.</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One Rockefeller Plaza</w:t>
      </w:r>
    </w:p>
    <w:p>
      <w:pPr>
        <w:ind w:left="280"/>
        <w:spacing w:after="0" w:line="237" w:lineRule="auto"/>
        <w:rPr>
          <w:sz w:val="20"/>
          <w:szCs w:val="20"/>
          <w:color w:val="auto"/>
        </w:rPr>
      </w:pPr>
      <w:r>
        <w:rPr>
          <w:rFonts w:ascii="Courier New" w:cs="Courier New" w:eastAsia="Courier New" w:hAnsi="Courier New"/>
          <w:sz w:val="15"/>
          <w:szCs w:val="15"/>
          <w:color w:val="auto"/>
        </w:rPr>
        <w:t>New York, N.Y. 10020</w:t>
      </w:r>
    </w:p>
    <w:p>
      <w:pPr>
        <w:ind w:left="980"/>
        <w:spacing w:after="0" w:line="238" w:lineRule="auto"/>
        <w:rPr>
          <w:sz w:val="20"/>
          <w:szCs w:val="20"/>
          <w:color w:val="auto"/>
        </w:rPr>
      </w:pPr>
      <w:r>
        <w:rPr>
          <w:rFonts w:ascii="Courier New" w:cs="Courier New" w:eastAsia="Courier New" w:hAnsi="Courier New"/>
          <w:sz w:val="15"/>
          <w:szCs w:val="15"/>
          <w:color w:val="auto"/>
        </w:rPr>
        <w:t>---</w:t>
      </w:r>
    </w:p>
    <w:p>
      <w:pPr>
        <w:ind w:left="180"/>
        <w:spacing w:after="0" w:line="237" w:lineRule="auto"/>
        <w:rPr>
          <w:sz w:val="20"/>
          <w:szCs w:val="20"/>
          <w:color w:val="auto"/>
        </w:rPr>
      </w:pPr>
      <w:r>
        <w:rPr>
          <w:rFonts w:ascii="Courier New" w:cs="Courier New" w:eastAsia="Courier New" w:hAnsi="Courier New"/>
          <w:sz w:val="15"/>
          <w:szCs w:val="15"/>
          <w:color w:val="auto"/>
        </w:rPr>
        <w:t>Telephone (212) 632-6000</w:t>
      </w:r>
    </w:p>
    <w:p>
      <w:pPr>
        <w:ind w:left="180"/>
        <w:spacing w:after="0" w:line="238" w:lineRule="auto"/>
        <w:rPr>
          <w:sz w:val="20"/>
          <w:szCs w:val="20"/>
          <w:color w:val="auto"/>
        </w:rPr>
      </w:pPr>
      <w:r>
        <w:rPr>
          <w:rFonts w:ascii="Courier New" w:cs="Courier New" w:eastAsia="Courier New" w:hAnsi="Courier New"/>
          <w:sz w:val="15"/>
          <w:szCs w:val="15"/>
          <w:color w:val="auto"/>
        </w:rPr>
        <w:t>Facsimile (212) 632-6060</w:t>
      </w:r>
    </w:p>
    <w:p>
      <w:pPr>
        <w:ind w:left="5960"/>
        <w:spacing w:after="0"/>
        <w:rPr>
          <w:sz w:val="20"/>
          <w:szCs w:val="20"/>
          <w:color w:val="auto"/>
        </w:rPr>
      </w:pPr>
      <w:r>
        <w:rPr>
          <w:rFonts w:ascii="Courier New" w:cs="Courier New" w:eastAsia="Courier New" w:hAnsi="Courier New"/>
          <w:sz w:val="15"/>
          <w:szCs w:val="15"/>
          <w:color w:val="auto"/>
        </w:rPr>
        <w:t>NEW YORK</w:t>
      </w:r>
    </w:p>
    <w:p>
      <w:pPr>
        <w:spacing w:after="0" w:line="309"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July 12, 1994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1500 Market Street</w:t>
      </w:r>
    </w:p>
    <w:p>
      <w:pPr>
        <w:spacing w:after="0"/>
        <w:rPr>
          <w:sz w:val="20"/>
          <w:szCs w:val="20"/>
          <w:color w:val="auto"/>
        </w:rPr>
      </w:pPr>
      <w:r>
        <w:rPr>
          <w:rFonts w:ascii="Courier New" w:cs="Courier New" w:eastAsia="Courier New" w:hAnsi="Courier New"/>
          <w:sz w:val="15"/>
          <w:szCs w:val="15"/>
          <w:color w:val="auto"/>
        </w:rPr>
        <w:t>Philadelphia, Pennsylvania 19102-4735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66" w:lineRule="exact"/>
        <w:rPr>
          <w:sz w:val="20"/>
          <w:szCs w:val="20"/>
          <w:color w:val="auto"/>
        </w:rPr>
      </w:pPr>
    </w:p>
    <w:p>
      <w:pPr>
        <w:ind w:right="3399" w:firstLine="612"/>
        <w:spacing w:after="0" w:line="245" w:lineRule="auto"/>
        <w:rPr>
          <w:sz w:val="20"/>
          <w:szCs w:val="20"/>
          <w:color w:val="auto"/>
        </w:rPr>
      </w:pPr>
      <w:r>
        <w:rPr>
          <w:rFonts w:ascii="Courier New" w:cs="Courier New" w:eastAsia="Courier New" w:hAnsi="Courier New"/>
          <w:sz w:val="15"/>
          <w:szCs w:val="15"/>
          <w:color w:val="auto"/>
        </w:rPr>
        <w:t>We understand that Comcast Corporation (the "Company") intends to propose to the Board of Directors of QVC, Inc. ("QVC") that the Company and QVC enter into a definitive merger agreement contemplating an acquisition of QVC by the Company (the "Transaction"), pursuant to the terms of which all of the outstanding shares of common stock and preferred stock of QVC (other than those shares owned by the Company) would be acquired at a price per common share or common share equivalent equal to $37.00 in cash and $7.00 liquidation preference of shares of newly issued 7.50% convertible exchangeable preferred stock of the Company, each share of which will be convertible into shares of the Company's Class A Special Common Stock at $21.00 per share. The Company would reserve the right to substitute cash for some or all of such shares of preferred stock, with the substitution being effected through a reduction of the liquidation preference of the preferred stock on a dollar-for-dollar basis for the amount of cash added.</w:t>
      </w:r>
    </w:p>
    <w:p>
      <w:pPr>
        <w:spacing w:after="0" w:line="95" w:lineRule="exact"/>
        <w:rPr>
          <w:sz w:val="20"/>
          <w:szCs w:val="20"/>
          <w:color w:val="auto"/>
        </w:rPr>
      </w:pPr>
    </w:p>
    <w:p>
      <w:pPr>
        <w:ind w:right="3319" w:firstLine="612"/>
        <w:spacing w:after="0" w:line="290"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Company of the Transaction. In connection with rendering this opinion, we have:</w:t>
      </w:r>
    </w:p>
    <w:p>
      <w:pPr>
        <w:spacing w:after="0" w:line="57" w:lineRule="exact"/>
        <w:rPr>
          <w:sz w:val="20"/>
          <w:szCs w:val="20"/>
          <w:color w:val="auto"/>
        </w:rPr>
      </w:pPr>
    </w:p>
    <w:p>
      <w:pPr>
        <w:ind w:left="2280" w:right="3579" w:hanging="521"/>
        <w:spacing w:after="0" w:line="290" w:lineRule="auto"/>
        <w:tabs>
          <w:tab w:leader="none" w:pos="22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proposed terms of the Transaction as outlined in the form of offer letter to be sent by the Company to QVC;</w:t>
      </w:r>
    </w:p>
    <w:p>
      <w:pPr>
        <w:spacing w:after="0" w:line="56" w:lineRule="exact"/>
        <w:rPr>
          <w:rFonts w:ascii="Courier New" w:cs="Courier New" w:eastAsia="Courier New" w:hAnsi="Courier New"/>
          <w:sz w:val="15"/>
          <w:szCs w:val="15"/>
          <w:color w:val="auto"/>
        </w:rPr>
      </w:pPr>
    </w:p>
    <w:p>
      <w:pPr>
        <w:ind w:left="2280" w:right="3579" w:hanging="609"/>
        <w:spacing w:after="0" w:line="290" w:lineRule="auto"/>
        <w:tabs>
          <w:tab w:leader="none" w:pos="22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historical business and financial information relating to the Company and QVC;</w:t>
      </w:r>
    </w:p>
    <w:p>
      <w:pPr>
        <w:sectPr>
          <w:pgSz w:w="11900" w:h="16838" w:orient="portrait"/>
          <w:cols w:equalWidth="0" w:num="1">
            <w:col w:w="10239"/>
          </w:cols>
          <w:pgMar w:left="220" w:top="115"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2</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July 12, 1994</w:t>
      </w:r>
    </w:p>
    <w:p>
      <w:pPr>
        <w:spacing w:after="0"/>
        <w:rPr>
          <w:sz w:val="20"/>
          <w:szCs w:val="20"/>
          <w:color w:val="auto"/>
        </w:rPr>
      </w:pPr>
      <w:r>
        <w:rPr>
          <w:rFonts w:ascii="Courier New" w:cs="Courier New" w:eastAsia="Courier New" w:hAnsi="Courier New"/>
          <w:sz w:val="15"/>
          <w:szCs w:val="15"/>
          <w:color w:val="auto"/>
        </w:rPr>
        <w:t>Page 2</w:t>
      </w:r>
    </w:p>
    <w:p>
      <w:pPr>
        <w:spacing w:after="0" w:line="140" w:lineRule="exact"/>
        <w:rPr>
          <w:sz w:val="20"/>
          <w:szCs w:val="20"/>
          <w:color w:val="auto"/>
        </w:rPr>
      </w:pPr>
    </w:p>
    <w:p>
      <w:pPr>
        <w:ind w:left="2280" w:right="3399" w:hanging="696"/>
        <w:spacing w:after="0" w:line="298" w:lineRule="auto"/>
        <w:tabs>
          <w:tab w:leader="none" w:pos="22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discussions with the senior management of the Company concerning the Company's objectives in pursuing the Transaction, its intended method of financing the Transaction and certain other matters;</w:t>
      </w:r>
    </w:p>
    <w:p>
      <w:pPr>
        <w:spacing w:after="0" w:line="53" w:lineRule="exact"/>
        <w:rPr>
          <w:rFonts w:ascii="Courier New" w:cs="Courier New" w:eastAsia="Courier New" w:hAnsi="Courier New"/>
          <w:sz w:val="14"/>
          <w:szCs w:val="14"/>
          <w:color w:val="auto"/>
        </w:rPr>
      </w:pPr>
    </w:p>
    <w:p>
      <w:pPr>
        <w:ind w:left="2280" w:right="3399" w:hanging="609"/>
        <w:spacing w:after="0" w:line="273" w:lineRule="auto"/>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information with respect to certain other companies in lines of businesses we believe to be comparable to the businesses of the Company and QVC;</w:t>
      </w:r>
    </w:p>
    <w:p>
      <w:pPr>
        <w:spacing w:after="0" w:line="67" w:lineRule="exact"/>
        <w:rPr>
          <w:rFonts w:ascii="Courier New" w:cs="Courier New" w:eastAsia="Courier New" w:hAnsi="Courier New"/>
          <w:sz w:val="15"/>
          <w:szCs w:val="15"/>
          <w:color w:val="auto"/>
        </w:rPr>
      </w:pPr>
    </w:p>
    <w:p>
      <w:pPr>
        <w:ind w:left="2280" w:right="3319" w:hanging="521"/>
        <w:spacing w:after="0" w:line="264" w:lineRule="auto"/>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recent business combinations involving companies in lines of businesses we believe to be comparable to those of the Company and QVC, and in other industries generally;</w:t>
      </w:r>
    </w:p>
    <w:p>
      <w:pPr>
        <w:spacing w:after="0" w:line="74" w:lineRule="exact"/>
        <w:rPr>
          <w:rFonts w:ascii="Courier New" w:cs="Courier New" w:eastAsia="Courier New" w:hAnsi="Courier New"/>
          <w:sz w:val="15"/>
          <w:szCs w:val="15"/>
          <w:color w:val="auto"/>
        </w:rPr>
      </w:pPr>
    </w:p>
    <w:p>
      <w:pPr>
        <w:ind w:left="2280" w:right="3939" w:hanging="609"/>
        <w:spacing w:after="0" w:line="344" w:lineRule="auto"/>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pro forma financial impact of the Transaction on the Company;</w:t>
      </w:r>
    </w:p>
    <w:p>
      <w:pPr>
        <w:spacing w:after="0" w:line="17" w:lineRule="exact"/>
        <w:rPr>
          <w:rFonts w:ascii="Courier New" w:cs="Courier New" w:eastAsia="Courier New" w:hAnsi="Courier New"/>
          <w:sz w:val="15"/>
          <w:szCs w:val="15"/>
          <w:color w:val="auto"/>
        </w:rPr>
      </w:pPr>
    </w:p>
    <w:p>
      <w:pPr>
        <w:ind w:left="2280" w:right="3759" w:hanging="696"/>
        <w:spacing w:after="0" w:line="290" w:lineRule="auto"/>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stock prices and trading volumes of the Company's common stock and QVC's common stock; and</w:t>
      </w:r>
    </w:p>
    <w:p>
      <w:pPr>
        <w:spacing w:after="0" w:line="56" w:lineRule="exact"/>
        <w:rPr>
          <w:rFonts w:ascii="Courier New" w:cs="Courier New" w:eastAsia="Courier New" w:hAnsi="Courier New"/>
          <w:sz w:val="15"/>
          <w:szCs w:val="15"/>
          <w:color w:val="auto"/>
        </w:rPr>
      </w:pPr>
    </w:p>
    <w:p>
      <w:pPr>
        <w:ind w:left="2280" w:right="3399" w:hanging="783"/>
        <w:spacing w:after="0" w:line="344" w:lineRule="auto"/>
        <w:tabs>
          <w:tab w:leader="none" w:pos="22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studies, analyses and investigations as we deemed appropriate.</w:t>
      </w:r>
    </w:p>
    <w:p>
      <w:pPr>
        <w:spacing w:after="0" w:line="17" w:lineRule="exact"/>
        <w:rPr>
          <w:sz w:val="20"/>
          <w:szCs w:val="20"/>
          <w:color w:val="auto"/>
        </w:rPr>
      </w:pPr>
    </w:p>
    <w:p>
      <w:pPr>
        <w:ind w:right="3319" w:firstLine="787"/>
        <w:spacing w:after="0" w:line="276" w:lineRule="auto"/>
        <w:rPr>
          <w:sz w:val="20"/>
          <w:szCs w:val="20"/>
          <w:color w:val="auto"/>
        </w:rPr>
      </w:pPr>
      <w:r>
        <w:rPr>
          <w:rFonts w:ascii="Courier New" w:cs="Courier New" w:eastAsia="Courier New" w:hAnsi="Courier New"/>
          <w:sz w:val="14"/>
          <w:szCs w:val="14"/>
          <w:color w:val="auto"/>
        </w:rPr>
        <w:t>We have relied upon the accuracy and completeness of the financial and other information concerning the Company and QVC that has been reviewed by us and have not undertaken any independent verification of such information or any independent valuation or appraisal of any of the assets of the Company or QVC. In addition, in connection with rendering this opinion, we have neither reviewed financial forecasts or other nonpublic information prepared or provided by QVC nor conducted discussions with management of QVC.</w:t>
      </w:r>
    </w:p>
    <w:p>
      <w:pPr>
        <w:spacing w:after="0" w:line="69" w:lineRule="exact"/>
        <w:rPr>
          <w:sz w:val="20"/>
          <w:szCs w:val="20"/>
          <w:color w:val="auto"/>
        </w:rPr>
      </w:pPr>
    </w:p>
    <w:p>
      <w:pPr>
        <w:ind w:right="3319" w:firstLine="787"/>
        <w:spacing w:after="0" w:line="273" w:lineRule="auto"/>
        <w:rPr>
          <w:sz w:val="20"/>
          <w:szCs w:val="20"/>
          <w:color w:val="auto"/>
        </w:rPr>
      </w:pPr>
      <w:r>
        <w:rPr>
          <w:rFonts w:ascii="Courier New" w:cs="Courier New" w:eastAsia="Courier New" w:hAnsi="Courier New"/>
          <w:sz w:val="15"/>
          <w:szCs w:val="15"/>
          <w:color w:val="auto"/>
        </w:rPr>
        <w:t>In rendering our opinion, we have assumed that the Transaction will be consummated on the terms described above and that obtaining the necessary regulatory approvals for the Transaction will not have an adverse effect on the Company or QVC or on the financial terms</w:t>
      </w:r>
    </w:p>
    <w:p>
      <w:pPr>
        <w:sectPr>
          <w:pgSz w:w="11900" w:h="16838" w:orient="portrait"/>
          <w:cols w:equalWidth="0" w:num="1">
            <w:col w:w="10239"/>
          </w:cols>
          <w:pgMar w:left="220" w:top="26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July 12, 1994</w:t>
      </w:r>
    </w:p>
    <w:p>
      <w:pPr>
        <w:spacing w:after="0"/>
        <w:rPr>
          <w:sz w:val="20"/>
          <w:szCs w:val="20"/>
          <w:color w:val="auto"/>
        </w:rPr>
      </w:pPr>
      <w:r>
        <w:rPr>
          <w:rFonts w:ascii="Courier New" w:cs="Courier New" w:eastAsia="Courier New" w:hAnsi="Courier New"/>
          <w:sz w:val="15"/>
          <w:szCs w:val="15"/>
          <w:color w:val="auto"/>
        </w:rPr>
        <w:t>Page 3</w:t>
      </w:r>
    </w:p>
    <w:p>
      <w:pPr>
        <w:spacing w:after="0" w:line="140" w:lineRule="exact"/>
        <w:rPr>
          <w:sz w:val="20"/>
          <w:szCs w:val="20"/>
          <w:color w:val="auto"/>
        </w:rPr>
      </w:pPr>
    </w:p>
    <w:p>
      <w:pPr>
        <w:jc w:val="both"/>
        <w:ind w:right="3939"/>
        <w:spacing w:after="0" w:line="290" w:lineRule="auto"/>
        <w:rPr>
          <w:sz w:val="20"/>
          <w:szCs w:val="20"/>
          <w:color w:val="auto"/>
        </w:rPr>
      </w:pPr>
      <w:r>
        <w:rPr>
          <w:rFonts w:ascii="Courier New" w:cs="Courier New" w:eastAsia="Courier New" w:hAnsi="Courier New"/>
          <w:sz w:val="15"/>
          <w:szCs w:val="15"/>
          <w:color w:val="auto"/>
        </w:rPr>
        <w:t>for the Company of the Transaction. Our opinion is necessarily based on economic, monetary, market and other conditions as in effect on, and the information made available to us as of, the date hereof.</w:t>
      </w:r>
    </w:p>
    <w:p>
      <w:pPr>
        <w:spacing w:after="0" w:line="57" w:lineRule="exact"/>
        <w:rPr>
          <w:sz w:val="20"/>
          <w:szCs w:val="20"/>
          <w:color w:val="auto"/>
        </w:rPr>
      </w:pPr>
    </w:p>
    <w:p>
      <w:pPr>
        <w:ind w:right="3319" w:firstLine="525"/>
        <w:spacing w:after="0" w:line="258" w:lineRule="auto"/>
        <w:rPr>
          <w:sz w:val="20"/>
          <w:szCs w:val="20"/>
          <w:color w:val="auto"/>
        </w:rPr>
      </w:pPr>
      <w:r>
        <w:rPr>
          <w:rFonts w:ascii="Courier New" w:cs="Courier New" w:eastAsia="Courier New" w:hAnsi="Courier New"/>
          <w:sz w:val="15"/>
          <w:szCs w:val="15"/>
          <w:color w:val="auto"/>
        </w:rPr>
        <w:t>We are acting as financial advisor to the Company in connection with the Transaction and will receive fees for such services, a substantial portion of which fees are contingent upon the consummation of the Transaction. Our firm has in the past provided and is currently providing investment banking and financial advisory services for the Company and has received fees for rendering such services.</w:t>
      </w:r>
    </w:p>
    <w:p>
      <w:pPr>
        <w:spacing w:after="0" w:line="81" w:lineRule="exact"/>
        <w:rPr>
          <w:sz w:val="20"/>
          <w:szCs w:val="20"/>
          <w:color w:val="auto"/>
        </w:rPr>
      </w:pPr>
    </w:p>
    <w:p>
      <w:pPr>
        <w:ind w:right="3239" w:firstLine="525"/>
        <w:spacing w:after="0" w:line="252" w:lineRule="auto"/>
        <w:rPr>
          <w:sz w:val="20"/>
          <w:szCs w:val="20"/>
          <w:color w:val="auto"/>
        </w:rPr>
      </w:pPr>
      <w:r>
        <w:rPr>
          <w:rFonts w:ascii="Courier New" w:cs="Courier New" w:eastAsia="Courier New" w:hAnsi="Courier New"/>
          <w:sz w:val="15"/>
          <w:szCs w:val="15"/>
          <w:color w:val="auto"/>
        </w:rPr>
        <w:t>Our engagement and the opinion expressed herein are solely for the benefit of the Company's Board of Directors and are not on behalf of, and are not intended to confer rights or remedies upon, QVC, any stockholders of the Company or QVC or any other person other than the Company's Board of Directors. It is understood that, except for inclusion in a proxy statement relating to the Transaction, this letter may not be disclosed or otherwise referred to without our prior written consent, except as may otherwise be required by law or by a court of competent jurisdiction.</w:t>
      </w:r>
    </w:p>
    <w:p>
      <w:pPr>
        <w:spacing w:after="0" w:line="86" w:lineRule="exact"/>
        <w:rPr>
          <w:sz w:val="20"/>
          <w:szCs w:val="20"/>
          <w:color w:val="auto"/>
        </w:rPr>
      </w:pPr>
    </w:p>
    <w:p>
      <w:pPr>
        <w:ind w:right="3399" w:firstLine="525"/>
        <w:spacing w:after="0" w:line="273" w:lineRule="auto"/>
        <w:rPr>
          <w:sz w:val="20"/>
          <w:szCs w:val="20"/>
          <w:color w:val="auto"/>
        </w:rPr>
      </w:pPr>
      <w:r>
        <w:rPr>
          <w:rFonts w:ascii="Courier New" w:cs="Courier New" w:eastAsia="Courier New" w:hAnsi="Courier New"/>
          <w:sz w:val="15"/>
          <w:szCs w:val="15"/>
          <w:color w:val="auto"/>
        </w:rPr>
        <w:t>Based on and subject to the foregoing and such other factors as we deem relevant, we are of the opinion that, as of the date hereof, the consideration to be paid to the stockholders of QVC in connection with the Transaction is fair, from a financial point of view, to the Company.</w:t>
      </w:r>
    </w:p>
    <w:p>
      <w:pPr>
        <w:spacing w:after="0" w:line="23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/s/ Lazard Freres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Lazard Freres &amp; Co.</w:t>
      </w:r>
    </w:p>
    <w:p>
      <w:pPr>
        <w:sectPr>
          <w:pgSz w:w="11900" w:h="16838" w:orient="portrait"/>
          <w:cols w:equalWidth="0" w:num="1">
            <w:col w:w="10239"/>
          </w:cols>
          <w:pgMar w:left="220" w:top="26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(b)(3)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[LETTERHEAD OF]</w:t>
      </w:r>
    </w:p>
    <w:p>
      <w:pPr>
        <w:spacing w:after="0" w:line="2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LAZARD FRERES &amp; CO.</w:t>
      </w:r>
    </w:p>
    <w:p>
      <w:pPr>
        <w:spacing w:after="0" w:line="140"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August 4, 1994</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1500 Market Street</w:t>
      </w:r>
    </w:p>
    <w:p>
      <w:pPr>
        <w:spacing w:after="0"/>
        <w:rPr>
          <w:sz w:val="20"/>
          <w:szCs w:val="20"/>
          <w:color w:val="auto"/>
        </w:rPr>
      </w:pPr>
      <w:r>
        <w:rPr>
          <w:rFonts w:ascii="Courier New" w:cs="Courier New" w:eastAsia="Courier New" w:hAnsi="Courier New"/>
          <w:sz w:val="15"/>
          <w:szCs w:val="15"/>
          <w:color w:val="auto"/>
        </w:rPr>
        <w:t>Philadelphia, Pennsylvania 19102-4735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66" w:lineRule="exact"/>
        <w:rPr>
          <w:sz w:val="20"/>
          <w:szCs w:val="20"/>
          <w:color w:val="auto"/>
        </w:rPr>
      </w:pPr>
    </w:p>
    <w:p>
      <w:pPr>
        <w:ind w:right="3239" w:firstLine="437"/>
        <w:spacing w:after="0" w:line="265" w:lineRule="auto"/>
        <w:rPr>
          <w:sz w:val="20"/>
          <w:szCs w:val="20"/>
          <w:color w:val="auto"/>
        </w:rPr>
      </w:pPr>
      <w:r>
        <w:rPr>
          <w:rFonts w:ascii="Courier New" w:cs="Courier New" w:eastAsia="Courier New" w:hAnsi="Courier New"/>
          <w:sz w:val="14"/>
          <w:szCs w:val="14"/>
          <w:color w:val="auto"/>
        </w:rPr>
        <w:t>We understand that Comcast Corporation (the "Company"), together with Liberty Media Corporation ("Liberty") and Comcast QMerger, Inc., a jointly owned subsidiary of the Company and Liberty ("QVC Holdings"), has entered into a definitive merger agreement with QVC, Inc. ("QVC"), dated the date hereof (the "Merger Agreement"), which provides for the acquisition of QVC by QVC Holdings (the "Transaction"). We understand that the Transaction will be accomplished through a tender offer (the "Offer") by QVC Holdings, or a subsidiary thereof, for all of the outstanding shares of common stock and preferred stock of QVC (other than those shares owned by the Company and Liberty), followed by a merger (the "Merger") of QVC Holdings, or a subsidiary thereof, with and into QVC, with QVC to be the surviving corporation in the Merger. The price to be paid for each share pursuant to the Offer and the Merger is $46.00 per share of common stock and $460.00 per share of preferred stock.</w:t>
      </w:r>
    </w:p>
    <w:p>
      <w:pPr>
        <w:spacing w:after="0" w:line="78" w:lineRule="exact"/>
        <w:rPr>
          <w:sz w:val="20"/>
          <w:szCs w:val="20"/>
          <w:color w:val="auto"/>
        </w:rPr>
      </w:pPr>
    </w:p>
    <w:p>
      <w:pPr>
        <w:jc w:val="both"/>
        <w:ind w:right="3399" w:firstLine="437"/>
        <w:spacing w:after="0" w:line="290"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the Company of the Transaction. In connection with rendering this opinion, we have:</w:t>
      </w:r>
    </w:p>
    <w:p>
      <w:pPr>
        <w:spacing w:after="0" w:line="57" w:lineRule="exact"/>
        <w:rPr>
          <w:sz w:val="20"/>
          <w:szCs w:val="20"/>
          <w:color w:val="auto"/>
        </w:rPr>
      </w:pPr>
    </w:p>
    <w:p>
      <w:pPr>
        <w:ind w:left="700" w:right="4019" w:hanging="253"/>
        <w:spacing w:after="0" w:line="344" w:lineRule="auto"/>
        <w:tabs>
          <w:tab w:leader="none" w:pos="9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Merger Agreement and the financial terms of the Transaction as set forth therein;</w:t>
      </w:r>
    </w:p>
    <w:p>
      <w:pPr>
        <w:spacing w:after="0" w:line="17" w:lineRule="exact"/>
        <w:rPr>
          <w:rFonts w:ascii="Courier New" w:cs="Courier New" w:eastAsia="Courier New" w:hAnsi="Courier New"/>
          <w:sz w:val="15"/>
          <w:szCs w:val="15"/>
          <w:color w:val="auto"/>
        </w:rPr>
      </w:pPr>
    </w:p>
    <w:p>
      <w:pPr>
        <w:ind w:left="700" w:right="3239" w:hanging="253"/>
        <w:spacing w:after="0" w:line="344" w:lineRule="auto"/>
        <w:tabs>
          <w:tab w:leader="none" w:pos="9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historical business and financial information relating to the Company and QVC;</w:t>
      </w:r>
    </w:p>
    <w:p>
      <w:pPr>
        <w:spacing w:after="0" w:line="17" w:lineRule="exact"/>
        <w:rPr>
          <w:rFonts w:ascii="Courier New" w:cs="Courier New" w:eastAsia="Courier New" w:hAnsi="Courier New"/>
          <w:sz w:val="15"/>
          <w:szCs w:val="15"/>
          <w:color w:val="auto"/>
        </w:rPr>
      </w:pPr>
    </w:p>
    <w:p>
      <w:pPr>
        <w:ind w:left="700" w:right="3239" w:hanging="253"/>
        <w:spacing w:after="0" w:line="320" w:lineRule="auto"/>
        <w:tabs>
          <w:tab w:leader="none" w:pos="96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discussions with the senior management of the Company concerning the Company's objectives in pursuing the Transaction, its intended method of financing the Transaction and certain other matters;</w:t>
      </w:r>
    </w:p>
    <w:p>
      <w:pPr>
        <w:spacing w:after="0" w:line="38" w:lineRule="exact"/>
        <w:rPr>
          <w:rFonts w:ascii="Courier New" w:cs="Courier New" w:eastAsia="Courier New" w:hAnsi="Courier New"/>
          <w:sz w:val="14"/>
          <w:szCs w:val="14"/>
          <w:color w:val="auto"/>
        </w:rPr>
      </w:pPr>
    </w:p>
    <w:p>
      <w:pPr>
        <w:ind w:left="700" w:right="3839" w:hanging="253"/>
        <w:spacing w:after="0" w:line="290" w:lineRule="auto"/>
        <w:tabs>
          <w:tab w:leader="none" w:pos="8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publicly available information with respect to certain other companies in lines of businesses we believe to be comparable to the businesses of the Company and QVC;</w:t>
      </w:r>
    </w:p>
    <w:p>
      <w:pPr>
        <w:spacing w:after="0" w:line="56" w:lineRule="exact"/>
        <w:rPr>
          <w:rFonts w:ascii="Courier New" w:cs="Courier New" w:eastAsia="Courier New" w:hAnsi="Courier New"/>
          <w:sz w:val="15"/>
          <w:szCs w:val="15"/>
          <w:color w:val="auto"/>
        </w:rPr>
      </w:pPr>
    </w:p>
    <w:p>
      <w:pPr>
        <w:jc w:val="both"/>
        <w:ind w:left="700" w:right="3399" w:hanging="253"/>
        <w:spacing w:after="0" w:line="320" w:lineRule="auto"/>
        <w:tabs>
          <w:tab w:leader="none" w:pos="8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financial terms of certain recent business combinations involving companies in lines of businesses we believe to be comparable to those of the Company and QVC, and in other industries generally;</w:t>
      </w:r>
    </w:p>
    <w:p>
      <w:pPr>
        <w:spacing w:after="0" w:line="38" w:lineRule="exact"/>
        <w:rPr>
          <w:rFonts w:ascii="Courier New" w:cs="Courier New" w:eastAsia="Courier New" w:hAnsi="Courier New"/>
          <w:sz w:val="14"/>
          <w:szCs w:val="14"/>
          <w:color w:val="auto"/>
        </w:rPr>
      </w:pPr>
    </w:p>
    <w:p>
      <w:pPr>
        <w:ind w:left="700" w:right="3679" w:hanging="253"/>
        <w:spacing w:after="0" w:line="344" w:lineRule="auto"/>
        <w:tabs>
          <w:tab w:leader="none" w:pos="8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pro forma financial impact of the Transaction on the Company;</w:t>
      </w:r>
    </w:p>
    <w:p>
      <w:pPr>
        <w:spacing w:after="0" w:line="17" w:lineRule="exact"/>
        <w:rPr>
          <w:rFonts w:ascii="Courier New" w:cs="Courier New" w:eastAsia="Courier New" w:hAnsi="Courier New"/>
          <w:sz w:val="15"/>
          <w:szCs w:val="15"/>
          <w:color w:val="auto"/>
        </w:rPr>
      </w:pPr>
    </w:p>
    <w:p>
      <w:pPr>
        <w:ind w:left="700" w:right="3759" w:hanging="253"/>
        <w:spacing w:after="0" w:line="344" w:lineRule="auto"/>
        <w:tabs>
          <w:tab w:leader="none" w:pos="9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historical stock prices and trading volumes of the Company's common stock and QVC's common stock; and</w:t>
      </w:r>
    </w:p>
    <w:p>
      <w:pPr>
        <w:spacing w:after="0" w:line="17" w:lineRule="exact"/>
        <w:rPr>
          <w:rFonts w:ascii="Courier New" w:cs="Courier New" w:eastAsia="Courier New" w:hAnsi="Courier New"/>
          <w:sz w:val="15"/>
          <w:szCs w:val="15"/>
          <w:color w:val="auto"/>
        </w:rPr>
      </w:pPr>
    </w:p>
    <w:p>
      <w:pPr>
        <w:ind w:left="700" w:right="3319" w:hanging="253"/>
        <w:spacing w:after="0" w:line="344" w:lineRule="auto"/>
        <w:tabs>
          <w:tab w:leader="none" w:pos="105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such other financial studies, analyses and investigations as we deemed appropriate.</w:t>
      </w:r>
    </w:p>
    <w:p>
      <w:pPr>
        <w:spacing w:after="0" w:line="17" w:lineRule="exact"/>
        <w:rPr>
          <w:sz w:val="20"/>
          <w:szCs w:val="20"/>
          <w:color w:val="auto"/>
        </w:rPr>
      </w:pPr>
    </w:p>
    <w:p>
      <w:pPr>
        <w:ind w:right="3319" w:firstLine="437"/>
        <w:spacing w:after="0" w:line="298" w:lineRule="auto"/>
        <w:rPr>
          <w:sz w:val="20"/>
          <w:szCs w:val="20"/>
          <w:color w:val="auto"/>
        </w:rPr>
      </w:pPr>
      <w:r>
        <w:rPr>
          <w:rFonts w:ascii="Courier New" w:cs="Courier New" w:eastAsia="Courier New" w:hAnsi="Courier New"/>
          <w:sz w:val="14"/>
          <w:szCs w:val="14"/>
          <w:color w:val="auto"/>
        </w:rPr>
        <w:t>We have relied upon the accuracy and completeness of the financial and other information concerning the Company and QVC that has been received by us and have not undertaken any independent verification of such information or any independent valuation or appraisal of any of the assets of the Company or QVC.</w:t>
      </w:r>
    </w:p>
    <w:p>
      <w:pPr>
        <w:sectPr>
          <w:pgSz w:w="11900" w:h="16838" w:orient="portrait"/>
          <w:cols w:equalWidth="0" w:num="1">
            <w:col w:w="10239"/>
          </w:cols>
          <w:pgMar w:left="220" w:top="115"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5"/>
          <w:szCs w:val="15"/>
          <w:color w:val="auto"/>
        </w:rPr>
        <w:t>In rendering our opinion, we have assumed that the Transaction will be consummated on the terms described above and that obtaining the necessary regulatory approvals for the Transaction will not have an adverse effect on the Company or QVC or on the financial terms for the Company of the Transaction. Our opinion is necessarily based on economic, monetary, market and other conditions as in effect on, and the information made available to us as of, the date hereof.</w:t>
      </w:r>
    </w:p>
    <w:p>
      <w:pPr>
        <w:spacing w:after="0" w:line="82"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5"/>
          <w:szCs w:val="15"/>
          <w:color w:val="auto"/>
        </w:rPr>
        <w:t>We are acting as financial advisor to the Company in connection with the Transaction and will receive fees for such services, a substantial portion of which fees are contingent upon the consummation of the Transaction. Our firm has in the past provided and is currently providing investment banking and financial advisory services for the Company and has received fees for rendering such services.</w:t>
      </w:r>
    </w:p>
    <w:p>
      <w:pPr>
        <w:spacing w:after="0" w:line="81" w:lineRule="exact"/>
        <w:rPr>
          <w:sz w:val="20"/>
          <w:szCs w:val="20"/>
          <w:color w:val="auto"/>
        </w:rPr>
      </w:pPr>
    </w:p>
    <w:p>
      <w:pPr>
        <w:ind w:right="3319" w:firstLine="437"/>
        <w:spacing w:after="0" w:line="273" w:lineRule="auto"/>
        <w:rPr>
          <w:sz w:val="20"/>
          <w:szCs w:val="20"/>
          <w:color w:val="auto"/>
        </w:rPr>
      </w:pPr>
      <w:r>
        <w:rPr>
          <w:rFonts w:ascii="Courier New" w:cs="Courier New" w:eastAsia="Courier New" w:hAnsi="Courier New"/>
          <w:sz w:val="14"/>
          <w:szCs w:val="14"/>
          <w:color w:val="auto"/>
        </w:rPr>
        <w:t>Our engagement and the opinion expressed herein are solely for the benefit of the Company's Board of Directors and are not on behalf of, and are not intended to confer rights or remedies upon, QVC or Liberty, any stockholders of the Company, QVC or Liberty, or any other person other than the Company's Board of Directors. It is understood that, except for inclusion in an offer to purchase relating to the Offer, this letter may not be disclosed or otherwise referred to without our prior written consent, except as may otherwise be required by law or by a court of competent jurisdiction.</w:t>
      </w:r>
    </w:p>
    <w:p>
      <w:pPr>
        <w:spacing w:after="0" w:line="71" w:lineRule="exact"/>
        <w:rPr>
          <w:sz w:val="20"/>
          <w:szCs w:val="20"/>
          <w:color w:val="auto"/>
        </w:rPr>
      </w:pPr>
    </w:p>
    <w:p>
      <w:pPr>
        <w:ind w:right="3399" w:firstLine="437"/>
        <w:spacing w:after="0" w:line="273" w:lineRule="auto"/>
        <w:rPr>
          <w:sz w:val="20"/>
          <w:szCs w:val="20"/>
          <w:color w:val="auto"/>
        </w:rPr>
      </w:pPr>
      <w:r>
        <w:rPr>
          <w:rFonts w:ascii="Courier New" w:cs="Courier New" w:eastAsia="Courier New" w:hAnsi="Courier New"/>
          <w:sz w:val="15"/>
          <w:szCs w:val="15"/>
          <w:color w:val="auto"/>
        </w:rPr>
        <w:t>Based on and subject to the foregoing and such other factors as we deem relevant, we are of the opinion that, as of the date hereof, the consideration to be paid to the stockholders of QVC in connection with the Transaction is fair, from a financial point of view, to the Company.</w:t>
      </w:r>
    </w:p>
    <w:p>
      <w:pPr>
        <w:spacing w:after="0" w:line="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Very truly yours,</w:t>
      </w:r>
    </w:p>
    <w:p>
      <w:pPr>
        <w:sectPr>
          <w:pgSz w:w="11900" w:h="16838" w:orient="portrait"/>
          <w:cols w:equalWidth="0" w:num="1">
            <w:col w:w="10239"/>
          </w:cols>
          <w:pgMar w:left="220" w:top="26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(b)(5)</w:t>
      </w:r>
    </w:p>
    <w:p>
      <w:pPr>
        <w:spacing w:after="0" w:line="1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PROJECT QVC</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5"/>
          <w:szCs w:val="15"/>
          <w:color w:val="auto"/>
        </w:rPr>
        <w:t>ALLEN &amp; COMPANY INCORPORATED</w:t>
      </w:r>
      <w:r>
        <w:rPr>
          <w:sz w:val="20"/>
          <w:szCs w:val="20"/>
          <w:color w:val="auto"/>
        </w:rPr>
        <w:tab/>
      </w:r>
      <w:r>
        <w:rPr>
          <w:rFonts w:ascii="Courier New" w:cs="Courier New" w:eastAsia="Courier New" w:hAnsi="Courier New"/>
          <w:sz w:val="14"/>
          <w:szCs w:val="14"/>
          <w:color w:val="auto"/>
        </w:rPr>
        <w:t>AUGUST 4, 1994</w:t>
      </w:r>
    </w:p>
    <w:p>
      <w:pPr>
        <w:sectPr>
          <w:pgSz w:w="11900" w:h="16838" w:orient="portrait"/>
          <w:cols w:equalWidth="0" w:num="1">
            <w:col w:w="10239"/>
          </w:cols>
          <w:pgMar w:left="220" w:top="115"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FAIRNESS OPINION</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line="290" w:lineRule="auto"/>
        <w:rPr>
          <w:sz w:val="20"/>
          <w:szCs w:val="20"/>
          <w:color w:val="auto"/>
        </w:rPr>
      </w:pPr>
      <w:r>
        <w:rPr>
          <w:rFonts w:ascii="Courier New" w:cs="Courier New" w:eastAsia="Courier New" w:hAnsi="Courier New"/>
          <w:sz w:val="15"/>
          <w:szCs w:val="15"/>
          <w:color w:val="auto"/>
        </w:rPr>
        <w:t>REGARDING THE PROPOSED $46 PER SHARE CASH OFFER FOR ALL OF THE OUTSTANDING SHARES OF QVC, INC ("QVC") BY COMCAST CORPORATION ("COMCAST") AND LIBERTY MEDIA CORPORATION ("LIBERTY")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5"/>
          <w:szCs w:val="15"/>
          <w:color w:val="auto"/>
        </w:rPr>
        <w:t>ALLEN &amp; COMPANY INCORPORATED</w:t>
      </w:r>
      <w:r>
        <w:rPr>
          <w:sz w:val="20"/>
          <w:szCs w:val="20"/>
          <w:color w:val="auto"/>
        </w:rPr>
        <w:tab/>
      </w:r>
      <w:r>
        <w:rPr>
          <w:rFonts w:ascii="Courier New" w:cs="Courier New" w:eastAsia="Courier New" w:hAnsi="Courier New"/>
          <w:sz w:val="14"/>
          <w:szCs w:val="14"/>
          <w:color w:val="auto"/>
        </w:rPr>
        <w:t>AUGUST 4, 1994</w:t>
      </w:r>
    </w:p>
    <w:p>
      <w:pPr>
        <w:sectPr>
          <w:pgSz w:w="11900" w:h="16838" w:orient="portrait"/>
          <w:cols w:equalWidth="0" w:num="1">
            <w:col w:w="10239"/>
          </w:cols>
          <w:pgMar w:left="220" w:top="261"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3</w:t>
            </w:r>
          </w:p>
        </w:tc>
        <w:tc>
          <w:tcPr>
            <w:tcW w:w="3820" w:type="dxa"/>
            <w:vAlign w:val="bottom"/>
          </w:tcPr>
          <w:p>
            <w:pPr>
              <w:spacing w:after="0"/>
              <w:rPr>
                <w:sz w:val="14"/>
                <w:szCs w:val="14"/>
                <w:color w:val="auto"/>
              </w:rPr>
            </w:pPr>
          </w:p>
        </w:tc>
        <w:tc>
          <w:tcPr>
            <w:tcW w:w="2480" w:type="dxa"/>
            <w:vAlign w:val="bottom"/>
            <w:vMerge w:val="restart"/>
          </w:tcPr>
          <w:p>
            <w:pPr>
              <w:ind w:left="40"/>
              <w:spacing w:after="0"/>
              <w:rPr>
                <w:sz w:val="20"/>
                <w:szCs w:val="20"/>
                <w:color w:val="auto"/>
              </w:rPr>
            </w:pPr>
            <w:r>
              <w:rPr>
                <w:rFonts w:ascii="Courier New" w:cs="Courier New" w:eastAsia="Courier New" w:hAnsi="Courier New"/>
                <w:sz w:val="15"/>
                <w:szCs w:val="15"/>
                <w:color w:val="auto"/>
                <w:w w:val="96"/>
              </w:rPr>
              <w:t>CONFIDENTIAL  AUGUST 4, 1994</w:t>
            </w:r>
          </w:p>
        </w:tc>
        <w:tc>
          <w:tcPr>
            <w:tcW w:w="0" w:type="dxa"/>
            <w:vAlign w:val="bottom"/>
          </w:tcPr>
          <w:p>
            <w:pPr>
              <w:spacing w:after="0"/>
              <w:rPr>
                <w:sz w:val="1"/>
                <w:szCs w:val="1"/>
                <w:color w:val="auto"/>
              </w:rPr>
            </w:pPr>
          </w:p>
        </w:tc>
      </w:tr>
      <w:tr>
        <w:trPr>
          <w:trHeight w:val="245"/>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PROJECT QVC</w:t>
            </w:r>
          </w:p>
        </w:tc>
        <w:tc>
          <w:tcPr>
            <w:tcW w:w="2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41"/>
        </w:trPr>
        <w:tc>
          <w:tcPr>
            <w:tcW w:w="4520" w:type="dxa"/>
            <w:vAlign w:val="bottom"/>
            <w:gridSpan w:val="2"/>
          </w:tcPr>
          <w:p>
            <w:pPr>
              <w:spacing w:after="0"/>
              <w:rPr>
                <w:sz w:val="20"/>
                <w:szCs w:val="20"/>
                <w:color w:val="auto"/>
              </w:rPr>
            </w:pPr>
            <w:r>
              <w:rPr>
                <w:rFonts w:ascii="Courier New" w:cs="Courier New" w:eastAsia="Courier New" w:hAnsi="Courier New"/>
                <w:sz w:val="15"/>
                <w:szCs w:val="15"/>
                <w:color w:val="auto"/>
              </w:rPr>
              <w:t>TABLE OF CONTENTS</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80" w:type="dxa"/>
            <w:vAlign w:val="bottom"/>
          </w:tcPr>
          <w:p>
            <w:pPr>
              <w:ind w:left="1520"/>
              <w:spacing w:after="0"/>
              <w:rPr>
                <w:sz w:val="20"/>
                <w:szCs w:val="20"/>
                <w:color w:val="auto"/>
              </w:rPr>
            </w:pPr>
            <w:r>
              <w:rPr>
                <w:rFonts w:ascii="Courier New" w:cs="Courier New" w:eastAsia="Courier New" w:hAnsi="Courier New"/>
                <w:sz w:val="15"/>
                <w:szCs w:val="15"/>
                <w:color w:val="auto"/>
              </w:rPr>
              <w:t>Tab</w:t>
            </w:r>
          </w:p>
        </w:tc>
        <w:tc>
          <w:tcPr>
            <w:tcW w:w="0" w:type="dxa"/>
            <w:vAlign w:val="bottom"/>
          </w:tcPr>
          <w:p>
            <w:pPr>
              <w:spacing w:after="0"/>
              <w:rPr>
                <w:sz w:val="1"/>
                <w:szCs w:val="1"/>
                <w:color w:val="auto"/>
              </w:rPr>
            </w:pPr>
          </w:p>
        </w:tc>
      </w:tr>
      <w:tr>
        <w:trPr>
          <w:trHeight w:val="245"/>
        </w:trPr>
        <w:tc>
          <w:tcPr>
            <w:tcW w:w="7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48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Basis of Opinion</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I</w:t>
            </w:r>
          </w:p>
        </w:tc>
        <w:tc>
          <w:tcPr>
            <w:tcW w:w="0" w:type="dxa"/>
            <w:vAlign w:val="bottom"/>
          </w:tcPr>
          <w:p>
            <w:pPr>
              <w:spacing w:after="0"/>
              <w:rPr>
                <w:sz w:val="1"/>
                <w:szCs w:val="1"/>
                <w:color w:val="auto"/>
              </w:rPr>
            </w:pPr>
          </w:p>
        </w:tc>
      </w:tr>
      <w:tr>
        <w:trPr>
          <w:trHeight w:val="336"/>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Description of the Proposed Transaction</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II</w:t>
            </w:r>
          </w:p>
        </w:tc>
        <w:tc>
          <w:tcPr>
            <w:tcW w:w="0" w:type="dxa"/>
            <w:vAlign w:val="bottom"/>
          </w:tcPr>
          <w:p>
            <w:pPr>
              <w:spacing w:after="0"/>
              <w:rPr>
                <w:sz w:val="1"/>
                <w:szCs w:val="1"/>
                <w:color w:val="auto"/>
              </w:rPr>
            </w:pPr>
          </w:p>
        </w:tc>
      </w:tr>
      <w:tr>
        <w:trPr>
          <w:trHeight w:val="259"/>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Analysis of QVC</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III</w:t>
            </w: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Overview of QVC</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Historical Operating Statements</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Projected Operating Statements</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Consolidated Balance Sheet</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Price Performance</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Market Multiple Comparison</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Transaction Analysis</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IV</w:t>
            </w: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Discounted Cash Flow Analysis</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Premium Paid in Proposed Transaction</w:t>
            </w: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w w:val="98"/>
              </w:rPr>
              <w:t>Multiples Paid in Comparable Transactions</w:t>
            </w: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Summary</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V</w:t>
            </w:r>
          </w:p>
        </w:tc>
        <w:tc>
          <w:tcPr>
            <w:tcW w:w="0" w:type="dxa"/>
            <w:vAlign w:val="bottom"/>
          </w:tcPr>
          <w:p>
            <w:pPr>
              <w:spacing w:after="0"/>
              <w:rPr>
                <w:sz w:val="1"/>
                <w:szCs w:val="1"/>
                <w:color w:val="auto"/>
              </w:rPr>
            </w:pPr>
          </w:p>
        </w:tc>
      </w:tr>
      <w:tr>
        <w:trPr>
          <w:trHeight w:val="336"/>
        </w:trPr>
        <w:tc>
          <w:tcPr>
            <w:tcW w:w="4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Conclusion</w:t>
            </w:r>
          </w:p>
        </w:tc>
        <w:tc>
          <w:tcPr>
            <w:tcW w:w="2480" w:type="dxa"/>
            <w:vAlign w:val="bottom"/>
          </w:tcPr>
          <w:p>
            <w:pPr>
              <w:ind w:left="1620"/>
              <w:spacing w:after="0"/>
              <w:rPr>
                <w:sz w:val="20"/>
                <w:szCs w:val="20"/>
                <w:color w:val="auto"/>
              </w:rPr>
            </w:pPr>
            <w:r>
              <w:rPr>
                <w:rFonts w:ascii="Courier New" w:cs="Courier New" w:eastAsia="Courier New" w:hAnsi="Courier New"/>
                <w:sz w:val="15"/>
                <w:szCs w:val="15"/>
                <w:color w:val="auto"/>
              </w:rPr>
              <w:t>VI</w:t>
            </w:r>
          </w:p>
        </w:tc>
        <w:tc>
          <w:tcPr>
            <w:tcW w:w="0" w:type="dxa"/>
            <w:vAlign w:val="bottom"/>
          </w:tcPr>
          <w:p>
            <w:pPr>
              <w:spacing w:after="0"/>
              <w:rPr>
                <w:sz w:val="1"/>
                <w:szCs w:val="1"/>
                <w:color w:val="auto"/>
              </w:rPr>
            </w:pPr>
          </w:p>
        </w:tc>
      </w:tr>
    </w:tbl>
    <w:p>
      <w:pPr>
        <w:sectPr>
          <w:pgSz w:w="11900" w:h="16838" w:orient="portrait"/>
          <w:cols w:equalWidth="0" w:num="1">
            <w:col w:w="10239"/>
          </w:cols>
          <w:pgMar w:left="220" w:top="260"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61"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 QVC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CONFIDENTIAL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4, 1994</w:t>
      </w:r>
    </w:p>
    <w:p>
      <w:pPr>
        <w:spacing w:after="0" w:line="200" w:lineRule="exact"/>
        <w:rPr>
          <w:sz w:val="20"/>
          <w:szCs w:val="20"/>
          <w:color w:val="auto"/>
        </w:rPr>
      </w:pPr>
    </w:p>
    <w:p>
      <w:pPr>
        <w:sectPr>
          <w:pgSz w:w="11900" w:h="16838" w:orient="portrait"/>
          <w:cols w:equalWidth="0" w:num="3">
            <w:col w:w="3840" w:space="720"/>
            <w:col w:w="1040" w:space="180"/>
            <w:col w:w="4459"/>
          </w:cols>
          <w:pgMar w:left="220" w:top="26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OPINION</w:t>
      </w:r>
    </w:p>
    <w:p>
      <w:pPr>
        <w:spacing w:after="0" w:line="33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AMONG OTHER ITEMS WE:</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REVIEWED:</w:t>
      </w:r>
    </w:p>
    <w:p>
      <w:pPr>
        <w:spacing w:after="0" w:line="166" w:lineRule="exact"/>
        <w:rPr>
          <w:sz w:val="20"/>
          <w:szCs w:val="20"/>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Cable Programming and Electronic Retailing Industries</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Prospects and Financial Condition of QVC</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Business Information and Financial Results of QVC</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Non-Public Financial and Operating Results of QVC</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Projections and 1994 Budget Prepared by the Management of QVC</w:t>
      </w:r>
    </w:p>
    <w:p>
      <w:pPr>
        <w:spacing w:after="0" w:line="177" w:lineRule="exact"/>
        <w:rPr>
          <w:rFonts w:ascii="Courier New" w:cs="Courier New" w:eastAsia="Courier New" w:hAnsi="Courier New"/>
          <w:sz w:val="14"/>
          <w:szCs w:val="14"/>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Obtained From Meetings with Senior Management of QVC</w:t>
      </w:r>
    </w:p>
    <w:p>
      <w:pPr>
        <w:spacing w:after="0" w:line="166"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Range of QVC Common Stock</w:t>
      </w:r>
    </w:p>
    <w:p>
      <w:pPr>
        <w:spacing w:after="0" w:line="166" w:lineRule="exact"/>
        <w:rPr>
          <w:rFonts w:ascii="Courier New" w:cs="Courier New" w:eastAsia="Courier New" w:hAnsi="Courier New"/>
          <w:sz w:val="15"/>
          <w:szCs w:val="15"/>
          <w:color w:val="auto"/>
        </w:rPr>
      </w:pPr>
    </w:p>
    <w:p>
      <w:pPr>
        <w:ind w:left="700" w:right="3839" w:hanging="428"/>
        <w:spacing w:after="0" w:line="344" w:lineRule="auto"/>
        <w:tabs>
          <w:tab w:leader="none" w:pos="7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Financial Information of Comparable Companies in the Cable Programming and Specialty Retailing Industries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261"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BASIS OF OPINION</w:t>
      </w:r>
      <w:r>
        <w:rPr>
          <w:sz w:val="20"/>
          <w:szCs w:val="20"/>
          <w:color w:val="auto"/>
        </w:rPr>
        <w:tab/>
      </w:r>
      <w:r>
        <w:rPr>
          <w:rFonts w:ascii="Courier New" w:cs="Courier New" w:eastAsia="Courier New" w:hAnsi="Courier New"/>
          <w:sz w:val="14"/>
          <w:szCs w:val="14"/>
          <w:color w:val="auto"/>
        </w:rPr>
        <w:t>(CONTINUED)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REVIEWED (Continued):</w:t>
      </w:r>
    </w:p>
    <w:p>
      <w:pPr>
        <w:spacing w:after="0" w:line="166" w:lineRule="exact"/>
        <w:rPr>
          <w:sz w:val="20"/>
          <w:szCs w:val="20"/>
          <w:color w:val="auto"/>
        </w:rPr>
      </w:pPr>
    </w:p>
    <w:p>
      <w:pPr>
        <w:ind w:left="880" w:right="3579" w:hanging="433"/>
        <w:spacing w:after="0" w:line="344" w:lineRule="auto"/>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Financial and Transaction Information Related to Comparable Mergers and Acquisitions</w:t>
      </w:r>
    </w:p>
    <w:p>
      <w:pPr>
        <w:spacing w:after="0" w:line="1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the Merger Agreement and Related Documents</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ANALYZED:</w:t>
      </w:r>
    </w:p>
    <w:p>
      <w:pPr>
        <w:spacing w:after="0" w:line="166" w:lineRule="exact"/>
        <w:rPr>
          <w:sz w:val="20"/>
          <w:szCs w:val="20"/>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Proposed Transaction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QVC's Present Condition and Prospects</w:t>
      </w:r>
    </w:p>
    <w:p>
      <w:pPr>
        <w:spacing w:after="0" w:line="166" w:lineRule="exact"/>
        <w:rPr>
          <w:rFonts w:ascii="Courier New" w:cs="Courier New" w:eastAsia="Courier New" w:hAnsi="Courier New"/>
          <w:sz w:val="15"/>
          <w:szCs w:val="15"/>
          <w:color w:val="auto"/>
        </w:rPr>
      </w:pPr>
    </w:p>
    <w:p>
      <w:pPr>
        <w:ind w:left="880" w:right="3759" w:hanging="433"/>
        <w:spacing w:after="0" w:line="34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History of QVC's Common Stock Related to Selected Public Announcements Regarding the Company</w:t>
      </w:r>
    </w:p>
    <w:p>
      <w:pPr>
        <w:spacing w:after="0" w:line="17" w:lineRule="exact"/>
        <w:rPr>
          <w:rFonts w:ascii="Courier New" w:cs="Courier New" w:eastAsia="Courier New" w:hAnsi="Courier New"/>
          <w:sz w:val="15"/>
          <w:szCs w:val="15"/>
          <w:color w:val="auto"/>
        </w:rPr>
      </w:pPr>
    </w:p>
    <w:p>
      <w:pPr>
        <w:ind w:left="880" w:right="3399" w:hanging="433"/>
        <w:spacing w:after="0" w:line="34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History of QVC's Common Stock Compared to that of Comparable Companies and Other Market Indices</w:t>
      </w:r>
    </w:p>
    <w:p>
      <w:pPr>
        <w:spacing w:after="0" w:line="17" w:lineRule="exact"/>
        <w:rPr>
          <w:rFonts w:ascii="Courier New" w:cs="Courier New" w:eastAsia="Courier New" w:hAnsi="Courier New"/>
          <w:sz w:val="15"/>
          <w:szCs w:val="15"/>
          <w:color w:val="auto"/>
        </w:rPr>
      </w:pPr>
    </w:p>
    <w:p>
      <w:pPr>
        <w:ind w:left="880" w:right="3759" w:hanging="433"/>
        <w:spacing w:after="0" w:line="34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Price and Market Multiples of QVC Compared to those of Selected Cable Programmers and Selected Specialty Retailers</w:t>
      </w:r>
    </w:p>
    <w:p>
      <w:pPr>
        <w:spacing w:after="0" w:line="17" w:lineRule="exact"/>
        <w:rPr>
          <w:rFonts w:ascii="Courier New" w:cs="Courier New" w:eastAsia="Courier New" w:hAnsi="Courier New"/>
          <w:sz w:val="15"/>
          <w:szCs w:val="15"/>
          <w:color w:val="auto"/>
        </w:rPr>
      </w:pPr>
    </w:p>
    <w:p>
      <w:pPr>
        <w:ind w:left="880" w:right="3319" w:hanging="433"/>
        <w:spacing w:after="0" w:line="34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Cash Flow Value Per Share of QVC Based on Management's Financial Forecast</w:t>
      </w:r>
    </w:p>
    <w:p>
      <w:pPr>
        <w:spacing w:after="0" w:line="17" w:lineRule="exact"/>
        <w:rPr>
          <w:rFonts w:ascii="Courier New" w:cs="Courier New" w:eastAsia="Courier New" w:hAnsi="Courier New"/>
          <w:sz w:val="15"/>
          <w:szCs w:val="15"/>
          <w:color w:val="auto"/>
        </w:rPr>
      </w:pPr>
    </w:p>
    <w:p>
      <w:pPr>
        <w:ind w:left="880" w:right="3319" w:hanging="433"/>
        <w:spacing w:after="0" w:line="34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Premiums and Multiples Paid in Comparable All Cash and Cash and Stock Transactions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39"/>
          </w:cols>
          <w:pgMar w:left="220" w:top="26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PROPOSED TRANSACTION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right="3399" w:hanging="433"/>
        <w:spacing w:after="0" w:line="290"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Transaction Is in the Form of a Tender Offer for a Majority of the Common Stock of QVC with a Subsequent Merger for the Same Consideration</w:t>
      </w:r>
    </w:p>
    <w:p>
      <w:pPr>
        <w:spacing w:after="0" w:line="56" w:lineRule="exact"/>
        <w:rPr>
          <w:rFonts w:ascii="Courier New" w:cs="Courier New" w:eastAsia="Courier New" w:hAnsi="Courier New"/>
          <w:sz w:val="15"/>
          <w:szCs w:val="15"/>
          <w:color w:val="auto"/>
        </w:rPr>
      </w:pPr>
    </w:p>
    <w:p>
      <w:pPr>
        <w:ind w:left="880" w:right="3399" w:hanging="433"/>
        <w:spacing w:after="0" w:line="34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Common Stock, Other Than Comcast and Liberty, Are Offered $46 Per Share in Cash</w:t>
      </w:r>
    </w:p>
    <w:p>
      <w:pPr>
        <w:spacing w:after="0" w:line="17" w:lineRule="exact"/>
        <w:rPr>
          <w:rFonts w:ascii="Courier New" w:cs="Courier New" w:eastAsia="Courier New" w:hAnsi="Courier New"/>
          <w:sz w:val="15"/>
          <w:szCs w:val="15"/>
          <w:color w:val="auto"/>
        </w:rPr>
      </w:pPr>
    </w:p>
    <w:p>
      <w:pPr>
        <w:ind w:left="880" w:right="3939" w:hanging="433"/>
        <w:spacing w:after="0" w:line="34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Convertible Preferred Stock, Other Than Comcast and Liberty, Will Receive $460 Per Share in Cash</w:t>
      </w:r>
    </w:p>
    <w:p>
      <w:pPr>
        <w:spacing w:after="0" w:line="17" w:lineRule="exact"/>
        <w:rPr>
          <w:rFonts w:ascii="Courier New" w:cs="Courier New" w:eastAsia="Courier New" w:hAnsi="Courier New"/>
          <w:sz w:val="15"/>
          <w:szCs w:val="15"/>
          <w:color w:val="auto"/>
        </w:rPr>
      </w:pPr>
    </w:p>
    <w:p>
      <w:pPr>
        <w:ind w:left="880" w:right="3399" w:hanging="433"/>
        <w:spacing w:after="0" w:line="34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QVC Options Are Cashed Out at $46 Per Share Net of Their Exercise Price</w:t>
      </w:r>
    </w:p>
    <w:p>
      <w:pPr>
        <w:spacing w:after="0" w:line="17" w:lineRule="exact"/>
        <w:rPr>
          <w:rFonts w:ascii="Courier New" w:cs="Courier New" w:eastAsia="Courier New" w:hAnsi="Courier New"/>
          <w:sz w:val="15"/>
          <w:szCs w:val="15"/>
          <w:color w:val="auto"/>
        </w:rPr>
      </w:pPr>
    </w:p>
    <w:p>
      <w:pPr>
        <w:ind w:left="880" w:right="4379" w:hanging="433"/>
        <w:spacing w:after="0" w:line="34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Values All Of QVC's Outstanding Shares at Approximately $2.6 Billion</w:t>
      </w:r>
    </w:p>
    <w:p>
      <w:pPr>
        <w:spacing w:after="0" w:line="17" w:lineRule="exact"/>
        <w:rPr>
          <w:rFonts w:ascii="Courier New" w:cs="Courier New" w:eastAsia="Courier New" w:hAnsi="Courier New"/>
          <w:sz w:val="15"/>
          <w:szCs w:val="15"/>
          <w:color w:val="auto"/>
        </w:rPr>
      </w:pPr>
    </w:p>
    <w:p>
      <w:pPr>
        <w:ind w:left="880" w:right="3759" w:hanging="433"/>
        <w:spacing w:after="0" w:line="344"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Proceeds to Shareholders, Other Than Comcast and Liberty, Is Approximately $1.4 Billion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39"/>
          </w:cols>
          <w:pgMar w:left="220" w:top="26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tabs>
          <w:tab w:leader="none" w:pos="4460" w:val="left"/>
          <w:tab w:leader="none" w:pos="568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QVC</w:t>
      </w:r>
    </w:p>
    <w:p>
      <w:pPr>
        <w:spacing w:after="0" w:line="166" w:lineRule="exact"/>
        <w:rPr>
          <w:sz w:val="20"/>
          <w:szCs w:val="20"/>
          <w:color w:val="auto"/>
        </w:rPr>
      </w:pPr>
    </w:p>
    <w:p>
      <w:pPr>
        <w:jc w:val="both"/>
        <w:ind w:left="700" w:right="3399" w:hanging="428"/>
        <w:spacing w:after="0" w:line="290"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Cable Television Shopping Company with Budgeted 1994 Revenues of $1.4 Billion, Operating Income of $154 Million and Operating Cash Flow of $202 Million</w:t>
      </w:r>
    </w:p>
    <w:p>
      <w:pPr>
        <w:spacing w:after="0" w:line="56" w:lineRule="exact"/>
        <w:rPr>
          <w:rFonts w:ascii="Courier New" w:cs="Courier New" w:eastAsia="Courier New" w:hAnsi="Courier New"/>
          <w:sz w:val="15"/>
          <w:szCs w:val="15"/>
          <w:color w:val="auto"/>
        </w:rPr>
      </w:pPr>
    </w:p>
    <w:p>
      <w:pPr>
        <w:ind w:left="700" w:right="3759" w:hanging="428"/>
        <w:spacing w:after="0" w:line="344"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$1.6 Billion as of June 29, 1994, Prior to QVC/CBS Merger Announcement</w:t>
      </w:r>
    </w:p>
    <w:p>
      <w:pPr>
        <w:spacing w:after="0" w:line="17"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New Domestic Shopping Services, Q2 and onQ, Launched in May 1994</w:t>
      </w:r>
    </w:p>
    <w:p>
      <w:pPr>
        <w:spacing w:after="0" w:line="166" w:lineRule="exact"/>
        <w:rPr>
          <w:rFonts w:ascii="Courier New" w:cs="Courier New" w:eastAsia="Courier New" w:hAnsi="Courier New"/>
          <w:sz w:val="15"/>
          <w:szCs w:val="15"/>
          <w:color w:val="auto"/>
        </w:rPr>
      </w:pPr>
    </w:p>
    <w:p>
      <w:pPr>
        <w:ind w:left="700" w:right="3319" w:hanging="428"/>
        <w:spacing w:after="0" w:line="255"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Joint Ventures with BSkyB in the United Kingdom and Grupo Televisa in Mexico</w:t>
      </w:r>
    </w:p>
    <w:p>
      <w:pPr>
        <w:spacing w:after="0" w:line="1" w:lineRule="exact"/>
        <w:rPr>
          <w:rFonts w:ascii="Courier New" w:cs="Courier New" w:eastAsia="Courier New" w:hAnsi="Courier New"/>
          <w:sz w:val="15"/>
          <w:szCs w:val="15"/>
          <w:color w:val="auto"/>
        </w:rPr>
      </w:pPr>
    </w:p>
    <w:p>
      <w:pPr>
        <w:ind w:left="1140" w:hanging="431"/>
        <w:spacing w:after="0" w:line="237" w:lineRule="auto"/>
        <w:tabs>
          <w:tab w:leader="none" w:pos="11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Opportunity to Expand Customer Base and Increase Sales</w:t>
      </w:r>
    </w:p>
    <w:p>
      <w:pPr>
        <w:ind w:left="1140" w:right="3239" w:hanging="431"/>
        <w:spacing w:after="0" w:line="307" w:lineRule="auto"/>
        <w:tabs>
          <w:tab w:leader="none" w:pos="114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Challenge to Penetrate Market through Limited Cable Infrastructure, Especially in the UK</w:t>
      </w:r>
    </w:p>
    <w:p>
      <w:pPr>
        <w:spacing w:after="0" w:line="43" w:lineRule="exact"/>
        <w:rPr>
          <w:rFonts w:ascii="Courier New" w:cs="Courier New" w:eastAsia="Courier New" w:hAnsi="Courier New"/>
          <w:sz w:val="15"/>
          <w:szCs w:val="15"/>
          <w:color w:val="auto"/>
        </w:rPr>
      </w:pPr>
    </w:p>
    <w:p>
      <w:pPr>
        <w:ind w:left="700" w:right="3499" w:hanging="428"/>
        <w:spacing w:after="0" w:line="344"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Incurred a $34.8 Million Charge in the Fourth Quarter of 1993 from Expenses in the Paramount Takeover Battle</w:t>
      </w:r>
    </w:p>
    <w:p>
      <w:pPr>
        <w:spacing w:after="0" w:line="17" w:lineRule="exact"/>
        <w:rPr>
          <w:rFonts w:ascii="Courier New" w:cs="Courier New" w:eastAsia="Courier New" w:hAnsi="Courier New"/>
          <w:sz w:val="15"/>
          <w:szCs w:val="15"/>
          <w:color w:val="auto"/>
        </w:rPr>
      </w:pPr>
    </w:p>
    <w:p>
      <w:pPr>
        <w:ind w:left="700" w:right="3679" w:hanging="428"/>
        <w:spacing w:after="0" w:line="344"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Opportunity for Growth in the Near Term from Increasing Acceptance of Home Shopping Industry</w:t>
      </w:r>
    </w:p>
    <w:p>
      <w:pPr>
        <w:spacing w:after="0" w:line="17" w:lineRule="exact"/>
        <w:rPr>
          <w:rFonts w:ascii="Courier New" w:cs="Courier New" w:eastAsia="Courier New" w:hAnsi="Courier New"/>
          <w:sz w:val="15"/>
          <w:szCs w:val="15"/>
          <w:color w:val="auto"/>
        </w:rPr>
      </w:pPr>
    </w:p>
    <w:p>
      <w:pPr>
        <w:ind w:left="700" w:hanging="428"/>
        <w:spacing w:after="0"/>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Challenge of Increasing Competition in the Home Shopping Industry</w:t>
      </w:r>
    </w:p>
    <w:p>
      <w:pPr>
        <w:spacing w:after="0" w:line="24" w:lineRule="exact"/>
        <w:rPr>
          <w:rFonts w:ascii="Courier New" w:cs="Courier New" w:eastAsia="Courier New" w:hAnsi="Courier New"/>
          <w:sz w:val="15"/>
          <w:szCs w:val="15"/>
          <w:color w:val="auto"/>
        </w:rPr>
      </w:pPr>
    </w:p>
    <w:p>
      <w:pPr>
        <w:ind w:left="1320" w:right="3399" w:hanging="611"/>
        <w:spacing w:after="0" w:line="307" w:lineRule="auto"/>
        <w:tabs>
          <w:tab w:leader="none" w:pos="132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Entrants to the Market May Include Macy's, Spiegel, and the S Channel</w:t>
      </w:r>
    </w:p>
    <w:p>
      <w:pPr>
        <w:spacing w:after="0" w:line="43" w:lineRule="exact"/>
        <w:rPr>
          <w:rFonts w:ascii="Courier New" w:cs="Courier New" w:eastAsia="Courier New" w:hAnsi="Courier New"/>
          <w:sz w:val="15"/>
          <w:szCs w:val="15"/>
          <w:color w:val="auto"/>
        </w:rPr>
      </w:pPr>
    </w:p>
    <w:p>
      <w:pPr>
        <w:ind w:left="700" w:right="3319" w:hanging="428"/>
        <w:spacing w:after="0" w:line="344" w:lineRule="auto"/>
        <w:tabs>
          <w:tab w:leader="none" w:pos="7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Decreasing Growth Rate of Base Business Has Raised Concern About Future Prospects for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39"/>
          </w:cols>
          <w:pgMar w:left="220" w:top="26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tabs>
          <w:tab w:leader="none" w:pos="4460" w:val="left"/>
          <w:tab w:leader="none" w:pos="568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HISTORICAL OPERATING STATEMENTS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10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Actual</w:t>
            </w:r>
          </w:p>
        </w:tc>
        <w:tc>
          <w:tcPr>
            <w:tcW w:w="960" w:type="dxa"/>
            <w:vAlign w:val="bottom"/>
          </w:tcPr>
          <w:p>
            <w:pPr>
              <w:spacing w:after="0"/>
              <w:rPr>
                <w:sz w:val="14"/>
                <w:szCs w:val="14"/>
                <w:color w:val="auto"/>
              </w:rPr>
            </w:pPr>
          </w:p>
        </w:tc>
        <w:tc>
          <w:tcPr>
            <w:tcW w:w="78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Budget</w:t>
            </w:r>
          </w:p>
        </w:tc>
        <w:tc>
          <w:tcPr>
            <w:tcW w:w="0" w:type="dxa"/>
            <w:vAlign w:val="bottom"/>
          </w:tcPr>
          <w:p>
            <w:pPr>
              <w:spacing w:after="0"/>
              <w:rPr>
                <w:sz w:val="1"/>
                <w:szCs w:val="1"/>
                <w:color w:val="auto"/>
              </w:rPr>
            </w:pPr>
          </w:p>
        </w:tc>
      </w:tr>
      <w:tr>
        <w:trPr>
          <w:trHeight w:val="168"/>
        </w:trPr>
        <w:tc>
          <w:tcPr>
            <w:tcW w:w="14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1990</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4"/>
              </w:rPr>
              <w:t>1991</w:t>
            </w:r>
          </w:p>
        </w:tc>
        <w:tc>
          <w:tcPr>
            <w:tcW w:w="14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1992</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4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Net Sales</w:t>
            </w:r>
          </w:p>
        </w:tc>
        <w:tc>
          <w:tcPr>
            <w:tcW w:w="1180" w:type="dxa"/>
            <w:vAlign w:val="bottom"/>
          </w:tcPr>
          <w:p>
            <w:pPr>
              <w:spacing w:after="0"/>
              <w:rPr>
                <w:sz w:val="14"/>
                <w:szCs w:val="14"/>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$776</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$922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$1,367</w:t>
            </w:r>
          </w:p>
        </w:tc>
      </w:tr>
      <w:tr>
        <w:trPr>
          <w:trHeight w:val="245"/>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Growth</w:t>
            </w:r>
          </w:p>
        </w:tc>
        <w:tc>
          <w:tcPr>
            <w:tcW w:w="1180" w:type="dxa"/>
            <w:vAlign w:val="bottom"/>
          </w:tcPr>
          <w:p>
            <w:pPr>
              <w:spacing w:after="0"/>
              <w:rPr>
                <w:sz w:val="21"/>
                <w:szCs w:val="21"/>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71.2%</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18.8%</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84</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259"/>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Cash Flow</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76</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131</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245"/>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Growth</w:t>
            </w:r>
          </w:p>
        </w:tc>
        <w:tc>
          <w:tcPr>
            <w:tcW w:w="1180" w:type="dxa"/>
            <w:vAlign w:val="bottom"/>
          </w:tcPr>
          <w:p>
            <w:pPr>
              <w:spacing w:after="0"/>
              <w:rPr>
                <w:sz w:val="21"/>
                <w:szCs w:val="21"/>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96.3%</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73.2%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36"/>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Free Cash</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Flow *</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125</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25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Net Income *</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245"/>
        </w:trPr>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Growth</w:t>
            </w:r>
          </w:p>
        </w:tc>
        <w:tc>
          <w:tcPr>
            <w:tcW w:w="1180" w:type="dxa"/>
            <w:vAlign w:val="bottom"/>
          </w:tcPr>
          <w:p>
            <w:pPr>
              <w:spacing w:after="0"/>
              <w:rPr>
                <w:sz w:val="21"/>
                <w:szCs w:val="21"/>
                <w:color w:val="auto"/>
              </w:rPr>
            </w:pP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NM</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NM</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179.5%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336"/>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 Share *</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($0.98)</w:t>
            </w: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$0.62</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bl>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4"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costs of Paramount tender offer of $35 million in 1993.</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13" w:lineRule="exact"/>
        <w:rPr>
          <w:rFonts w:ascii="Courier New" w:cs="Courier New" w:eastAsia="Courier New" w:hAnsi="Courier New"/>
          <w:sz w:val="15"/>
          <w:szCs w:val="15"/>
          <w:color w:val="auto"/>
        </w:rPr>
      </w:pPr>
    </w:p>
    <w:p>
      <w:pPr>
        <w:ind w:left="3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Page 5</w:t>
      </w:r>
    </w:p>
    <w:p>
      <w:pPr>
        <w:sectPr>
          <w:pgSz w:w="11900" w:h="16838" w:orient="portrait"/>
          <w:cols w:equalWidth="0" w:num="1">
            <w:col w:w="10239"/>
          </w:cols>
          <w:pgMar w:left="220" w:top="26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PROJECTED OPERATING STATEMENTS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8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6"/>
              </w:rPr>
              <w:t>Budget</w:t>
            </w: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Projected</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80" w:type="dxa"/>
            <w:vAlign w:val="bottom"/>
            <w:vMerge w:val="continue"/>
          </w:tcPr>
          <w:p>
            <w:pPr>
              <w:spacing w:after="0"/>
              <w:rPr>
                <w:sz w:val="14"/>
                <w:szCs w:val="14"/>
                <w:color w:val="auto"/>
              </w:rPr>
            </w:pPr>
          </w:p>
        </w:tc>
        <w:tc>
          <w:tcPr>
            <w:tcW w:w="524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94"/>
        </w:trPr>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60" w:type="dxa"/>
            <w:vAlign w:val="bottom"/>
          </w:tcPr>
          <w:p>
            <w:pPr>
              <w:spacing w:after="0"/>
              <w:rPr>
                <w:sz w:val="14"/>
                <w:szCs w:val="14"/>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$1,367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$1,621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$2,052</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$2,421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$2,785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$3,202</w:t>
            </w:r>
          </w:p>
        </w:tc>
        <w:tc>
          <w:tcPr>
            <w:tcW w:w="0" w:type="dxa"/>
            <w:vAlign w:val="bottom"/>
          </w:tcPr>
          <w:p>
            <w:pPr>
              <w:spacing w:after="0"/>
              <w:rPr>
                <w:sz w:val="1"/>
                <w:szCs w:val="1"/>
                <w:color w:val="auto"/>
              </w:rPr>
            </w:pPr>
          </w:p>
        </w:tc>
      </w:tr>
      <w:tr>
        <w:trPr>
          <w:trHeight w:val="245"/>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Growth</w:t>
            </w:r>
          </w:p>
        </w:tc>
        <w:tc>
          <w:tcPr>
            <w:tcW w:w="96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18.0%</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366</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516</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Cash Flow</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425</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499</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586</w:t>
            </w:r>
          </w:p>
        </w:tc>
        <w:tc>
          <w:tcPr>
            <w:tcW w:w="0" w:type="dxa"/>
            <w:vAlign w:val="bottom"/>
          </w:tcPr>
          <w:p>
            <w:pPr>
              <w:spacing w:after="0"/>
              <w:rPr>
                <w:sz w:val="1"/>
                <w:szCs w:val="1"/>
                <w:color w:val="auto"/>
              </w:rPr>
            </w:pPr>
          </w:p>
        </w:tc>
      </w:tr>
      <w:tr>
        <w:trPr>
          <w:trHeight w:val="245"/>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Growth</w:t>
            </w:r>
          </w:p>
        </w:tc>
        <w:tc>
          <w:tcPr>
            <w:tcW w:w="96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36.1%</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19.3%</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17.5%</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259"/>
        </w:trPr>
        <w:tc>
          <w:tcPr>
            <w:tcW w:w="840" w:type="dxa"/>
            <w:vAlign w:val="bottom"/>
          </w:tcPr>
          <w:p>
            <w:pPr>
              <w:spacing w:after="0"/>
              <w:rPr>
                <w:sz w:val="20"/>
                <w:szCs w:val="20"/>
                <w:color w:val="auto"/>
              </w:rPr>
            </w:pPr>
            <w:r>
              <w:rPr>
                <w:rFonts w:ascii="Courier New" w:cs="Courier New" w:eastAsia="Courier New" w:hAnsi="Courier New"/>
                <w:sz w:val="15"/>
                <w:szCs w:val="15"/>
                <w:color w:val="auto"/>
              </w:rPr>
              <w:t>Operating</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Cash Flow,</w:t>
            </w: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8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Not Including</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219</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266</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356</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425</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499</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586</w:t>
            </w:r>
          </w:p>
        </w:tc>
        <w:tc>
          <w:tcPr>
            <w:tcW w:w="0" w:type="dxa"/>
            <w:vAlign w:val="bottom"/>
          </w:tcPr>
          <w:p>
            <w:pPr>
              <w:spacing w:after="0"/>
              <w:rPr>
                <w:sz w:val="1"/>
                <w:szCs w:val="1"/>
                <w:color w:val="auto"/>
              </w:rPr>
            </w:pPr>
          </w:p>
        </w:tc>
      </w:tr>
      <w:tr>
        <w:trPr>
          <w:trHeight w:val="245"/>
        </w:trPr>
        <w:tc>
          <w:tcPr>
            <w:tcW w:w="1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Q2 Startup Costs</w:t>
            </w:r>
          </w:p>
        </w:tc>
        <w:tc>
          <w:tcPr>
            <w:tcW w:w="9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Free Cash</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Flow</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c>
          <w:tcPr>
            <w:tcW w:w="0" w:type="dxa"/>
            <w:vAlign w:val="bottom"/>
          </w:tcPr>
          <w:p>
            <w:pPr>
              <w:spacing w:after="0"/>
              <w:rPr>
                <w:sz w:val="1"/>
                <w:szCs w:val="1"/>
                <w:color w:val="auto"/>
              </w:rPr>
            </w:pPr>
          </w:p>
        </w:tc>
      </w:tr>
      <w:tr>
        <w:trPr>
          <w:trHeight w:val="259"/>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189</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c>
          <w:tcPr>
            <w:tcW w:w="0" w:type="dxa"/>
            <w:vAlign w:val="bottom"/>
          </w:tcPr>
          <w:p>
            <w:pPr>
              <w:spacing w:after="0"/>
              <w:rPr>
                <w:sz w:val="1"/>
                <w:szCs w:val="1"/>
                <w:color w:val="auto"/>
              </w:rPr>
            </w:pPr>
          </w:p>
        </w:tc>
      </w:tr>
      <w:tr>
        <w:trPr>
          <w:trHeight w:val="245"/>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Growth</w:t>
            </w:r>
          </w:p>
        </w:tc>
        <w:tc>
          <w:tcPr>
            <w:tcW w:w="960" w:type="dxa"/>
            <w:vAlign w:val="bottom"/>
          </w:tcPr>
          <w:p>
            <w:pPr>
              <w:spacing w:after="0"/>
              <w:rPr>
                <w:sz w:val="21"/>
                <w:szCs w:val="21"/>
                <w:color w:val="auto"/>
              </w:rPr>
            </w:pP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59.8%</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23.1%</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259"/>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w:t>
            </w:r>
          </w:p>
        </w:tc>
        <w:tc>
          <w:tcPr>
            <w:tcW w:w="9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$1.33</w:t>
            </w:r>
          </w:p>
        </w:tc>
        <w:tc>
          <w:tcPr>
            <w:tcW w:w="114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$3.12</w:t>
            </w:r>
          </w:p>
        </w:tc>
        <w:tc>
          <w:tcPr>
            <w:tcW w:w="10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$3.84</w:t>
            </w:r>
          </w:p>
        </w:tc>
        <w:tc>
          <w:tcPr>
            <w:tcW w:w="11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$4.64</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45"/>
        </w:trPr>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9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39"/>
          </w:cols>
          <w:pgMar w:left="220" w:top="26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spacing w:after="0"/>
        <w:tabs>
          <w:tab w:leader="none" w:pos="4460" w:val="left"/>
          <w:tab w:leader="none" w:pos="568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CONSOLIDATED BALANCE SHEET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April 30,</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LIABILITIES &amp;</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April 30,</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45"/>
        </w:trPr>
        <w:tc>
          <w:tcPr>
            <w:tcW w:w="40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7"/>
              </w:rPr>
              <w:t>=========================================</w:t>
            </w:r>
          </w:p>
        </w:tc>
        <w:tc>
          <w:tcPr>
            <w:tcW w:w="4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Cash and Marketable Securities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Debt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170</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Other Current Liabilities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Taxes and Other</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67</w:t>
            </w:r>
          </w:p>
        </w:tc>
        <w:tc>
          <w:tcPr>
            <w:tcW w:w="350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Total Current Liabilities</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720" w:type="dxa"/>
            <w:vAlign w:val="bottom"/>
            <w:vMerge w:val="continue"/>
          </w:tcPr>
          <w:p>
            <w:pPr>
              <w:spacing w:after="0"/>
              <w:rPr>
                <w:sz w:val="21"/>
                <w:szCs w:val="21"/>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414</w:t>
            </w:r>
          </w:p>
        </w:tc>
        <w:tc>
          <w:tcPr>
            <w:tcW w:w="3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Net Property Plant &amp; Equipment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Long-Term Debt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Cable TV Distribution Rights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w:t>
            </w:r>
          </w:p>
        </w:tc>
        <w:tc>
          <w:tcPr>
            <w:tcW w:w="3500" w:type="dxa"/>
            <w:vAlign w:val="bottom"/>
          </w:tcPr>
          <w:p>
            <w:pPr>
              <w:ind w:left="440"/>
              <w:spacing w:after="0"/>
              <w:rPr>
                <w:sz w:val="20"/>
                <w:szCs w:val="20"/>
                <w:color w:val="auto"/>
              </w:rPr>
            </w:pPr>
            <w:r>
              <w:rPr>
                <w:rFonts w:ascii="Courier New" w:cs="Courier New" w:eastAsia="Courier New" w:hAnsi="Courier New"/>
                <w:sz w:val="15"/>
                <w:szCs w:val="15"/>
                <w:color w:val="auto"/>
              </w:rPr>
              <w:t>Shareholders' Equity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0" w:type="dxa"/>
            <w:vAlign w:val="bottom"/>
          </w:tcPr>
          <w:p>
            <w:pPr>
              <w:spacing w:after="0"/>
              <w:rPr>
                <w:sz w:val="1"/>
                <w:szCs w:val="1"/>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249</w:t>
            </w:r>
          </w:p>
        </w:tc>
        <w:tc>
          <w:tcPr>
            <w:tcW w:w="3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w:t>
            </w:r>
          </w:p>
        </w:tc>
        <w:tc>
          <w:tcPr>
            <w:tcW w:w="3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Total Liabilities &amp; Shareholders'</w:t>
            </w:r>
          </w:p>
        </w:tc>
        <w:tc>
          <w:tcPr>
            <w:tcW w:w="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$872</w:t>
            </w:r>
          </w:p>
        </w:tc>
        <w:tc>
          <w:tcPr>
            <w:tcW w:w="0" w:type="dxa"/>
            <w:vAlign w:val="bottom"/>
          </w:tcPr>
          <w:p>
            <w:pPr>
              <w:spacing w:after="0"/>
              <w:rPr>
                <w:sz w:val="1"/>
                <w:szCs w:val="1"/>
                <w:color w:val="auto"/>
              </w:rPr>
            </w:pPr>
          </w:p>
        </w:tc>
      </w:tr>
      <w:tr>
        <w:trPr>
          <w:trHeight w:val="168"/>
        </w:trPr>
        <w:tc>
          <w:tcPr>
            <w:tcW w:w="2720" w:type="dxa"/>
            <w:vAlign w:val="bottom"/>
            <w:vMerge w:val="continue"/>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$872</w:t>
            </w:r>
          </w:p>
        </w:tc>
        <w:tc>
          <w:tcPr>
            <w:tcW w:w="35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720" w:type="dxa"/>
            <w:vAlign w:val="bottom"/>
          </w:tcPr>
          <w:p>
            <w:pPr>
              <w:spacing w:after="0"/>
              <w:rPr>
                <w:sz w:val="21"/>
                <w:szCs w:val="21"/>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500" w:type="dxa"/>
            <w:vAlign w:val="bottom"/>
          </w:tcPr>
          <w:p>
            <w:pPr>
              <w:ind w:left="600"/>
              <w:spacing w:after="0"/>
              <w:rPr>
                <w:sz w:val="20"/>
                <w:szCs w:val="20"/>
                <w:color w:val="auto"/>
              </w:rPr>
            </w:pPr>
            <w:r>
              <w:rPr>
                <w:rFonts w:ascii="Courier New" w:cs="Courier New" w:eastAsia="Courier New" w:hAnsi="Courier New"/>
                <w:sz w:val="15"/>
                <w:szCs w:val="15"/>
                <w:color w:val="auto"/>
              </w:rPr>
              <w:t>Equity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39"/>
          </w:cols>
          <w:pgMar w:left="220" w:top="26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COMMON STOCK PRICE PERFORMANCE</w:t>
      </w:r>
    </w:p>
    <w:p>
      <w:pPr>
        <w:spacing w:after="0" w:line="335" w:lineRule="exact"/>
        <w:rPr>
          <w:sz w:val="20"/>
          <w:szCs w:val="20"/>
          <w:color w:val="auto"/>
        </w:rPr>
      </w:pPr>
    </w:p>
    <w:p>
      <w:pPr>
        <w:ind w:left="1240" w:hanging="443"/>
        <w:spacing w:after="0"/>
        <w:tabs>
          <w:tab w:leader="none" w:pos="12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and Trading Volume Data</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Reaction to Selected Public Announcements</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Behavior Compared to:</w:t>
      </w:r>
    </w:p>
    <w:p>
      <w:pPr>
        <w:spacing w:after="0" w:line="24" w:lineRule="exact"/>
        <w:rPr>
          <w:rFonts w:ascii="Courier New" w:cs="Courier New" w:eastAsia="Courier New" w:hAnsi="Courier New"/>
          <w:sz w:val="15"/>
          <w:szCs w:val="15"/>
          <w:color w:val="auto"/>
        </w:rPr>
      </w:pPr>
    </w:p>
    <w:p>
      <w:pPr>
        <w:ind w:left="1840" w:hanging="606"/>
        <w:spacing w:after="0" w:line="237" w:lineRule="auto"/>
        <w:tabs>
          <w:tab w:leader="none" w:pos="18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S&amp;P 500</w:t>
      </w:r>
    </w:p>
    <w:p>
      <w:pPr>
        <w:ind w:left="1840" w:hanging="606"/>
        <w:spacing w:after="0" w:line="237" w:lineRule="auto"/>
        <w:tabs>
          <w:tab w:leader="none" w:pos="18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Index of Cable Programming Companies</w:t>
      </w:r>
    </w:p>
    <w:p>
      <w:pPr>
        <w:ind w:left="1840" w:hanging="606"/>
        <w:spacing w:after="0"/>
        <w:tabs>
          <w:tab w:leader="none" w:pos="184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Index of Specialty Retail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39"/>
          </w:cols>
          <w:pgMar w:left="220" w:top="26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COMMON STOCK PRICE AND TRADING VOLUME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[GRAPHICAL MATERIAL]</w:t>
      </w:r>
    </w:p>
    <w:p>
      <w:pPr>
        <w:spacing w:after="0" w:line="166" w:lineRule="exact"/>
        <w:rPr>
          <w:sz w:val="20"/>
          <w:szCs w:val="20"/>
          <w:color w:val="auto"/>
        </w:rPr>
      </w:pPr>
    </w:p>
    <w:p>
      <w:pPr>
        <w:ind w:left="700" w:right="4379" w:hanging="261"/>
        <w:spacing w:after="0" w:line="344" w:lineRule="auto"/>
        <w:rPr>
          <w:sz w:val="20"/>
          <w:szCs w:val="20"/>
          <w:color w:val="auto"/>
        </w:rPr>
      </w:pPr>
      <w:r>
        <w:rPr>
          <w:rFonts w:ascii="Courier New" w:cs="Courier New" w:eastAsia="Courier New" w:hAnsi="Courier New"/>
          <w:sz w:val="15"/>
          <w:szCs w:val="15"/>
          <w:color w:val="auto"/>
        </w:rPr>
        <w:t>Daily closing price and volume traded of QVC Common Stock from 01/01/92 to 08/02/94.</w:t>
      </w:r>
    </w:p>
    <w:p>
      <w:pPr>
        <w:spacing w:after="0" w:line="1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dates are highlighted:</w:t>
      </w:r>
    </w:p>
    <w:p>
      <w:pPr>
        <w:spacing w:after="0" w:line="166" w:lineRule="exact"/>
        <w:rPr>
          <w:sz w:val="20"/>
          <w:szCs w:val="20"/>
          <w:color w:val="auto"/>
        </w:rPr>
      </w:pPr>
    </w:p>
    <w:p>
      <w:pPr>
        <w:ind w:left="440" w:hanging="430"/>
        <w:spacing w:after="0"/>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12/10/92  Diller buys $25 MM stake</w:t>
      </w:r>
    </w:p>
    <w:p>
      <w:pPr>
        <w:spacing w:after="0" w:line="24" w:lineRule="exact"/>
        <w:rPr>
          <w:rFonts w:ascii="Courier New" w:cs="Courier New" w:eastAsia="Courier New" w:hAnsi="Courier New"/>
          <w:sz w:val="15"/>
          <w:szCs w:val="15"/>
          <w:color w:val="auto"/>
        </w:rPr>
      </w:pPr>
    </w:p>
    <w:p>
      <w:pPr>
        <w:ind w:left="440" w:right="5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on 12/11/92: $37.13, up 12.5%, Volume 2,636,600 Shares)</w:t>
      </w:r>
    </w:p>
    <w:p>
      <w:pPr>
        <w:ind w:left="440" w:hanging="430"/>
        <w:spacing w:after="0" w:line="237"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01/19/93  Diller joins QVC</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$41.00, Volume 599,600 Shares)</w:t>
      </w:r>
    </w:p>
    <w:p>
      <w:pPr>
        <w:ind w:left="440" w:right="5679" w:hanging="430"/>
        <w:spacing w:after="0" w:line="254" w:lineRule="auto"/>
        <w:tabs>
          <w:tab w:leader="none" w:pos="44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07/12/93 Plans to merge with HSN announced (Closing Price $67.75, Volume 1,870,100 Shares)</w:t>
      </w:r>
    </w:p>
    <w:p>
      <w:pPr>
        <w:ind w:left="440" w:right="5239" w:hanging="430"/>
        <w:spacing w:after="0" w:line="237"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09/20/93 - 02/15/94 Paramount takeover battle (Closing Price on 09/20/93: $56.00, Volume 1,353,800 Shares)</w:t>
      </w:r>
    </w:p>
    <w:p>
      <w:pPr>
        <w:spacing w:after="0" w:line="1" w:lineRule="exact"/>
        <w:rPr>
          <w:rFonts w:ascii="Courier New" w:cs="Courier New" w:eastAsia="Courier New" w:hAnsi="Courier New"/>
          <w:sz w:val="15"/>
          <w:szCs w:val="15"/>
          <w:color w:val="auto"/>
        </w:rPr>
      </w:pPr>
    </w:p>
    <w:p>
      <w:pPr>
        <w:ind w:left="440" w:right="5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on 02/15/94: $50.25, Volume 2,666,700 Shares)</w:t>
      </w:r>
    </w:p>
    <w:p>
      <w:pPr>
        <w:ind w:left="440" w:hanging="430"/>
        <w:spacing w:after="0" w:line="237"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6/30/94  QVC - CBS Merger announced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$38.00, Volume 1,709,500 Shares)</w:t>
      </w:r>
    </w:p>
    <w:p>
      <w:pPr>
        <w:ind w:left="440" w:hanging="430"/>
        <w:spacing w:after="0" w:line="237" w:lineRule="auto"/>
        <w:tabs>
          <w:tab w:leader="none" w:pos="44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07/12/94  Comcast bids for QVC</w:t>
      </w:r>
    </w:p>
    <w:p>
      <w:pPr>
        <w:ind w:left="440" w:right="533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on 7/13/94: $42.00, Volume 7,314,000 Shares)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39"/>
          </w:cols>
          <w:pgMar w:left="220" w:top="26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COMMON STOCK PRICE PERFORMANCE VERSUS MARKET INDICES</w:t>
      </w:r>
    </w:p>
    <w:p>
      <w:pPr>
        <w:spacing w:after="0" w:line="33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[GRAPHICAL MATERIAL]</w:t>
      </w:r>
    </w:p>
    <w:p>
      <w:pPr>
        <w:spacing w:after="0" w:line="166" w:lineRule="exact"/>
        <w:rPr>
          <w:sz w:val="20"/>
          <w:szCs w:val="20"/>
          <w:color w:val="auto"/>
        </w:rPr>
      </w:pPr>
    </w:p>
    <w:p>
      <w:pPr>
        <w:jc w:val="both"/>
        <w:ind w:left="1500" w:right="3679" w:hanging="261"/>
        <w:spacing w:after="0" w:line="320" w:lineRule="auto"/>
        <w:rPr>
          <w:sz w:val="20"/>
          <w:szCs w:val="20"/>
          <w:color w:val="auto"/>
        </w:rPr>
      </w:pPr>
      <w:r>
        <w:rPr>
          <w:rFonts w:ascii="Courier New" w:cs="Courier New" w:eastAsia="Courier New" w:hAnsi="Courier New"/>
          <w:sz w:val="14"/>
          <w:szCs w:val="14"/>
          <w:color w:val="auto"/>
        </w:rPr>
        <w:t>Weekly Indexed comparison of QVC Common Stock closing prices versus S&amp;P 500 Index, Cable Programming Company Index, and Specialty Retail Company Index from 01/01/92 to 08/02/94.</w:t>
      </w:r>
    </w:p>
    <w:p>
      <w:pPr>
        <w:spacing w:after="0" w:line="38" w:lineRule="exact"/>
        <w:rPr>
          <w:sz w:val="20"/>
          <w:szCs w:val="20"/>
          <w:color w:val="auto"/>
        </w:rPr>
      </w:pPr>
    </w:p>
    <w:p>
      <w:pPr>
        <w:ind w:left="1500" w:right="3399" w:hanging="261"/>
        <w:spacing w:after="0" w:line="344" w:lineRule="auto"/>
        <w:rPr>
          <w:sz w:val="20"/>
          <w:szCs w:val="20"/>
          <w:color w:val="auto"/>
        </w:rPr>
      </w:pPr>
      <w:r>
        <w:rPr>
          <w:rFonts w:ascii="Courier New" w:cs="Courier New" w:eastAsia="Courier New" w:hAnsi="Courier New"/>
          <w:sz w:val="15"/>
          <w:szCs w:val="15"/>
          <w:color w:val="auto"/>
        </w:rPr>
        <w:t>Cable Programming Company Index is comprised of: GET, FAM, TBS.A and TBS.B.</w:t>
      </w:r>
    </w:p>
    <w:p>
      <w:pPr>
        <w:spacing w:after="0" w:line="17" w:lineRule="exact"/>
        <w:rPr>
          <w:sz w:val="20"/>
          <w:szCs w:val="20"/>
          <w:color w:val="auto"/>
        </w:rPr>
      </w:pPr>
    </w:p>
    <w:p>
      <w:pPr>
        <w:ind w:left="1500" w:right="3319" w:hanging="261"/>
        <w:spacing w:after="0" w:line="344" w:lineRule="auto"/>
        <w:rPr>
          <w:sz w:val="20"/>
          <w:szCs w:val="20"/>
          <w:color w:val="auto"/>
        </w:rPr>
      </w:pPr>
      <w:r>
        <w:rPr>
          <w:rFonts w:ascii="Courier New" w:cs="Courier New" w:eastAsia="Courier New" w:hAnsi="Courier New"/>
          <w:sz w:val="15"/>
          <w:szCs w:val="15"/>
          <w:color w:val="auto"/>
        </w:rPr>
        <w:t>Specialty Retail Company Index is comprised of: BV, HD, LOW, MES, PCCW and TOY.</w:t>
      </w:r>
    </w:p>
    <w:p>
      <w:pPr>
        <w:spacing w:after="0" w:line="1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All indices are market capitalization 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39"/>
          </w:cols>
          <w:pgMar w:left="220" w:top="26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QVC COMMON STOCK TRADING PERFORMANCE AND MARKET REACTION TO SELECTED PUBLIC ANNOUNCEMENTS</w:t>
      </w:r>
    </w:p>
    <w:p>
      <w:pPr>
        <w:spacing w:after="0" w:line="17" w:lineRule="exact"/>
        <w:rPr>
          <w:sz w:val="20"/>
          <w:szCs w:val="20"/>
          <w:color w:val="auto"/>
        </w:rPr>
      </w:pPr>
    </w:p>
    <w:p>
      <w:pPr>
        <w:ind w:left="1500" w:hanging="703"/>
        <w:spacing w:after="0"/>
        <w:tabs>
          <w:tab w:leader="none" w:pos="1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Is Freely and Actively Traded on NASDAQ</w:t>
      </w:r>
    </w:p>
    <w:p>
      <w:pPr>
        <w:spacing w:after="0" w:line="166" w:lineRule="exact"/>
        <w:rPr>
          <w:rFonts w:ascii="Courier New" w:cs="Courier New" w:eastAsia="Courier New" w:hAnsi="Courier New"/>
          <w:sz w:val="15"/>
          <w:szCs w:val="15"/>
          <w:color w:val="auto"/>
        </w:rPr>
      </w:pPr>
    </w:p>
    <w:p>
      <w:pPr>
        <w:jc w:val="both"/>
        <w:ind w:left="1500" w:right="3499" w:hanging="703"/>
        <w:spacing w:after="0" w:line="381" w:lineRule="auto"/>
        <w:tabs>
          <w:tab w:leader="none" w:pos="15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QVC Common Stock Traded in the Range of $37.25 to $72.50 for the Year 1993 with an Average Daily Volume of 466,794 Shares</w:t>
      </w:r>
    </w:p>
    <w:p>
      <w:pPr>
        <w:spacing w:after="0" w:line="1" w:lineRule="exact"/>
        <w:rPr>
          <w:rFonts w:ascii="Courier New" w:cs="Courier New" w:eastAsia="Courier New" w:hAnsi="Courier New"/>
          <w:sz w:val="14"/>
          <w:szCs w:val="14"/>
          <w:color w:val="auto"/>
        </w:rPr>
      </w:pPr>
    </w:p>
    <w:p>
      <w:pPr>
        <w:ind w:left="1500" w:right="3319" w:hanging="703"/>
        <w:spacing w:after="0" w:line="273" w:lineRule="auto"/>
        <w:tabs>
          <w:tab w:leader="none" w:pos="1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Traded in the Range of $30.00 to $51.50 from January 1, 1994 to June 29, 1994, the Day Prior to the QVC/CBS Merger Announcement, with an Average Daily Volume of 553,890 Shares</w:t>
      </w:r>
    </w:p>
    <w:p>
      <w:pPr>
        <w:spacing w:after="0" w:line="67" w:lineRule="exact"/>
        <w:rPr>
          <w:rFonts w:ascii="Courier New" w:cs="Courier New" w:eastAsia="Courier New" w:hAnsi="Courier New"/>
          <w:sz w:val="15"/>
          <w:szCs w:val="15"/>
          <w:color w:val="auto"/>
        </w:rPr>
      </w:pPr>
    </w:p>
    <w:p>
      <w:pPr>
        <w:ind w:left="1500" w:right="3319" w:hanging="703"/>
        <w:spacing w:after="0" w:line="298" w:lineRule="auto"/>
        <w:tabs>
          <w:tab w:leader="none" w:pos="15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June 30, 1994 to July 12, 1994, the Trading Day Prior to the Announcement of the Comcast Offer, QVC Common Stock Traded in the Range of $35.75 to $38.00 with an Average Daily Volume of 688,125 Shares and an Average Price of $36.73 Per Share</w:t>
      </w:r>
    </w:p>
    <w:p>
      <w:pPr>
        <w:spacing w:after="0" w:line="53" w:lineRule="exact"/>
        <w:rPr>
          <w:rFonts w:ascii="Courier New" w:cs="Courier New" w:eastAsia="Courier New" w:hAnsi="Courier New"/>
          <w:sz w:val="14"/>
          <w:szCs w:val="14"/>
          <w:color w:val="auto"/>
        </w:rPr>
      </w:pPr>
    </w:p>
    <w:p>
      <w:pPr>
        <w:jc w:val="both"/>
        <w:ind w:left="1500" w:right="3399" w:hanging="703"/>
        <w:spacing w:after="0" w:line="320" w:lineRule="auto"/>
        <w:tabs>
          <w:tab w:leader="none" w:pos="15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July 13, 1994 to August 2, 1994, QVC Common Stock Traded in the Range of $42.00 to $46.00 with an Average Daily Volume of 1,244,253 Shares and an Average Price of $44.78 Per Share</w:t>
      </w:r>
    </w:p>
    <w:p>
      <w:pPr>
        <w:spacing w:after="0" w:line="38" w:lineRule="exact"/>
        <w:rPr>
          <w:rFonts w:ascii="Courier New" w:cs="Courier New" w:eastAsia="Courier New" w:hAnsi="Courier New"/>
          <w:sz w:val="14"/>
          <w:szCs w:val="14"/>
          <w:color w:val="auto"/>
        </w:rPr>
      </w:pPr>
    </w:p>
    <w:p>
      <w:pPr>
        <w:ind w:left="1500" w:right="3319" w:hanging="703"/>
        <w:spacing w:after="0" w:line="290" w:lineRule="auto"/>
        <w:tabs>
          <w:tab w:leader="none" w:pos="15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Trading Patterns for QVC Common Stock Were Not in Line with an Index of Comparable Companies from December 1992 through August 1994</w:t>
      </w:r>
    </w:p>
    <w:p>
      <w:pPr>
        <w:spacing w:after="0" w:line="22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39"/>
          </w:cols>
          <w:pgMar w:left="220" w:top="26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tabs>
          <w:tab w:leader="none" w:pos="3840" w:val="left"/>
          <w:tab w:leader="none" w:pos="50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QVC COMMON STOCK TRADING PERFORMANCE AND MARKET REACTION TO SELECTED PUBLIC ANNOUNCEMENTS (CONTINUED)</w:t>
      </w:r>
    </w:p>
    <w:p>
      <w:pPr>
        <w:spacing w:after="0" w:line="17" w:lineRule="exact"/>
        <w:rPr>
          <w:sz w:val="20"/>
          <w:szCs w:val="20"/>
          <w:color w:val="auto"/>
        </w:rPr>
      </w:pPr>
    </w:p>
    <w:p>
      <w:pPr>
        <w:ind w:left="1500" w:right="3399" w:hanging="703"/>
        <w:spacing w:after="0" w:line="290"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December 1992, when Barry Diller Became Associated with the Company, through August 1993, QVC Stock Had a Spectacular Period of Price Appreciation</w:t>
      </w:r>
    </w:p>
    <w:p>
      <w:pPr>
        <w:spacing w:after="0" w:line="56" w:lineRule="exact"/>
        <w:rPr>
          <w:rFonts w:ascii="Courier New" w:cs="Courier New" w:eastAsia="Courier New" w:hAnsi="Courier New"/>
          <w:sz w:val="15"/>
          <w:szCs w:val="15"/>
          <w:color w:val="auto"/>
        </w:rPr>
      </w:pPr>
    </w:p>
    <w:p>
      <w:pPr>
        <w:ind w:left="1500" w:right="3319" w:hanging="703"/>
        <w:spacing w:after="0" w:line="255"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September 1993 through February 1994, QVC Stock Was Influenced by the Company's Participation in the Paramount Takeover Battle, Announcements of New Competitors Entering the Home Shopping Industry, Perceived Slowdown in Growth of the Company's Base Business, Start Up Costs of Q2 and Concern About the Company's Involvement in International Joint Ventures</w:t>
      </w:r>
    </w:p>
    <w:p>
      <w:pPr>
        <w:spacing w:after="0" w:line="81" w:lineRule="exact"/>
        <w:rPr>
          <w:rFonts w:ascii="Courier New" w:cs="Courier New" w:eastAsia="Courier New" w:hAnsi="Courier New"/>
          <w:sz w:val="15"/>
          <w:szCs w:val="15"/>
          <w:color w:val="auto"/>
        </w:rPr>
      </w:pPr>
    </w:p>
    <w:p>
      <w:pPr>
        <w:ind w:left="1500" w:right="3399" w:hanging="703"/>
        <w:spacing w:after="0" w:line="290"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June 30, 1994, There Has Been Speculative Activity in QVC Stock Prompted by the QVC/CBS Merger Announcement and the Announcement of the Comcast Offer</w:t>
      </w:r>
    </w:p>
    <w:p>
      <w:pPr>
        <w:spacing w:after="0" w:line="56" w:lineRule="exact"/>
        <w:rPr>
          <w:rFonts w:ascii="Courier New" w:cs="Courier New" w:eastAsia="Courier New" w:hAnsi="Courier New"/>
          <w:sz w:val="15"/>
          <w:szCs w:val="15"/>
          <w:color w:val="auto"/>
        </w:rPr>
      </w:pPr>
    </w:p>
    <w:p>
      <w:pPr>
        <w:ind w:left="1500" w:right="3399" w:hanging="703"/>
        <w:spacing w:after="0" w:line="273" w:lineRule="auto"/>
        <w:tabs>
          <w:tab w:leader="none" w:pos="15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of $44.25 as of August 2, 1994 Reflected a Speculative Takeover Premium Due to the Comcast/Liberty Offer and Speculation Regarding Other Bidders and a QVC Self-Tender</w:t>
      </w:r>
    </w:p>
    <w:p>
      <w:pPr>
        <w:spacing w:after="0" w:line="67" w:lineRule="exact"/>
        <w:rPr>
          <w:rFonts w:ascii="Courier New" w:cs="Courier New" w:eastAsia="Courier New" w:hAnsi="Courier New"/>
          <w:sz w:val="15"/>
          <w:szCs w:val="15"/>
          <w:color w:val="auto"/>
        </w:rPr>
      </w:pPr>
    </w:p>
    <w:p>
      <w:pPr>
        <w:ind w:left="1500" w:right="3579" w:hanging="703"/>
        <w:spacing w:after="0" w:line="320" w:lineRule="auto"/>
        <w:tabs>
          <w:tab w:leader="none" w:pos="15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QVC Common Stock Price of $36.00 as of July 12, 1994, the Trading Day Prior to the Announcement of the Comcast Offer, Reflected a Premium Due to the Proposed Merger with CBS</w:t>
      </w:r>
    </w:p>
    <w:p>
      <w:pPr>
        <w:spacing w:after="0" w:line="38" w:lineRule="exact"/>
        <w:rPr>
          <w:rFonts w:ascii="Courier New" w:cs="Courier New" w:eastAsia="Courier New" w:hAnsi="Courier New"/>
          <w:sz w:val="14"/>
          <w:szCs w:val="14"/>
          <w:color w:val="auto"/>
        </w:rPr>
      </w:pPr>
    </w:p>
    <w:p>
      <w:pPr>
        <w:ind w:left="1500" w:right="3319" w:hanging="703"/>
        <w:spacing w:after="0" w:line="298" w:lineRule="auto"/>
        <w:tabs>
          <w:tab w:leader="none" w:pos="150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Twenty Trading Days Prior to June 30, 1994, the Date of the QVC/CBS Merger Announcement, QVC Common Stock Traded in the Range of $32.38 to $36.00 with an Average Daily Volume of 185,560 Shares and an Average Price of $33.83 Per Share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39"/>
          </w:cols>
          <w:pgMar w:left="220" w:top="26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79"/>
        <w:spacing w:after="0" w:line="344" w:lineRule="auto"/>
        <w:rPr>
          <w:sz w:val="20"/>
          <w:szCs w:val="20"/>
          <w:color w:val="auto"/>
        </w:rPr>
      </w:pPr>
      <w:r>
        <w:rPr>
          <w:rFonts w:ascii="Courier New" w:cs="Courier New" w:eastAsia="Courier New" w:hAnsi="Courier New"/>
          <w:sz w:val="15"/>
          <w:szCs w:val="15"/>
          <w:color w:val="auto"/>
        </w:rPr>
        <w:t>QVC COMMON STOCK TRADING PERFORMANCE AND MARKET REACTION TO SELECTED PUBLIC ANNOUNCEMENTS (CONTINUED)</w:t>
      </w:r>
    </w:p>
    <w:p>
      <w:pPr>
        <w:spacing w:after="0" w:line="17" w:lineRule="exact"/>
        <w:rPr>
          <w:sz w:val="20"/>
          <w:szCs w:val="20"/>
          <w:color w:val="auto"/>
        </w:rPr>
      </w:pPr>
    </w:p>
    <w:p>
      <w:pPr>
        <w:ind w:left="1500" w:right="3399" w:hanging="703"/>
        <w:spacing w:after="0" w:line="298" w:lineRule="auto"/>
        <w:tabs>
          <w:tab w:leader="none" w:pos="150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Ten Trading Days Prior to June 30, 1994, the Date of the QVC/CBS Merger Announcement, QVC Common Stock Traded in the Range of $32.38 to $34.00 with an Average Daily Volume of 153,690 Shares and an Average Price of $33.26 Per Share</w:t>
      </w:r>
    </w:p>
    <w:p>
      <w:pPr>
        <w:spacing w:after="0" w:line="53" w:lineRule="exact"/>
        <w:rPr>
          <w:rFonts w:ascii="Courier New" w:cs="Courier New" w:eastAsia="Courier New" w:hAnsi="Courier New"/>
          <w:sz w:val="14"/>
          <w:szCs w:val="14"/>
          <w:color w:val="auto"/>
        </w:rPr>
      </w:pPr>
    </w:p>
    <w:p>
      <w:pPr>
        <w:ind w:left="1500" w:right="3319" w:hanging="703"/>
        <w:spacing w:after="0" w:line="290" w:lineRule="auto"/>
        <w:tabs>
          <w:tab w:leader="none" w:pos="15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as of June 29, 1994, the Day Prior to the QVC/CBS Merger Announcement, Closed at $32.38 Per Share and in Our Opinion Was a Representative Price for that Security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39"/>
          </w:cols>
          <w:pgMar w:left="220" w:top="26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MARKET MULTIPLE COMPARISON</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COMPARED QVC TO:</w:t>
      </w:r>
    </w:p>
    <w:p>
      <w:pPr>
        <w:spacing w:after="0" w:line="335" w:lineRule="exact"/>
        <w:rPr>
          <w:sz w:val="20"/>
          <w:szCs w:val="20"/>
          <w:color w:val="auto"/>
        </w:rPr>
      </w:pPr>
    </w:p>
    <w:p>
      <w:pPr>
        <w:ind w:left="1240" w:hanging="443"/>
        <w:spacing w:after="0"/>
        <w:tabs>
          <w:tab w:leader="none" w:pos="12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Shopping Network, Inc.</w:t>
      </w:r>
    </w:p>
    <w:p>
      <w:pPr>
        <w:spacing w:after="0" w:line="166"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Publicly-Traded Cable Programming Companies</w:t>
      </w:r>
    </w:p>
    <w:p>
      <w:pPr>
        <w:spacing w:after="0" w:line="24" w:lineRule="exact"/>
        <w:rPr>
          <w:rFonts w:ascii="Courier New" w:cs="Courier New" w:eastAsia="Courier New" w:hAnsi="Courier New"/>
          <w:sz w:val="15"/>
          <w:szCs w:val="15"/>
          <w:color w:val="auto"/>
        </w:rPr>
      </w:pP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Gaylord Entertainment Company</w:t>
      </w: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International Family Entertainment, Inc.</w:t>
      </w:r>
    </w:p>
    <w:p>
      <w:pPr>
        <w:ind w:left="1680" w:hanging="446"/>
        <w:spacing w:after="0"/>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Turner Broadcasting System, Inc.</w:t>
      </w:r>
    </w:p>
    <w:p>
      <w:pPr>
        <w:spacing w:after="0" w:line="140"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Publicly-Traded Specialty Retail Companies</w:t>
      </w:r>
    </w:p>
    <w:p>
      <w:pPr>
        <w:spacing w:after="0" w:line="24" w:lineRule="exact"/>
        <w:rPr>
          <w:rFonts w:ascii="Courier New" w:cs="Courier New" w:eastAsia="Courier New" w:hAnsi="Courier New"/>
          <w:sz w:val="15"/>
          <w:szCs w:val="15"/>
          <w:color w:val="auto"/>
        </w:rPr>
      </w:pP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Blockbuster Entertainment Corporation</w:t>
      </w: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Home Depot, Inc.</w:t>
      </w: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Lowe's Companies, Inc.</w:t>
      </w: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Melville Corporation</w:t>
      </w:r>
    </w:p>
    <w:p>
      <w:pPr>
        <w:ind w:left="1680" w:hanging="446"/>
        <w:spacing w:after="0" w:line="237" w:lineRule="auto"/>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Price/Costco, Inc.</w:t>
      </w:r>
    </w:p>
    <w:p>
      <w:pPr>
        <w:ind w:left="1680" w:hanging="446"/>
        <w:spacing w:after="0"/>
        <w:tabs>
          <w:tab w:leader="none" w:pos="16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Toys 'R' Us,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39"/>
          </w:cols>
          <w:pgMar w:left="220" w:top="26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18</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MARKET MULTIPLE COMPARISON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MARKET CAPITALIZATION TO LTM SALES (1)</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2840" w:type="dxa"/>
            <w:vAlign w:val="bottom"/>
          </w:tcPr>
          <w:p>
            <w:pPr>
              <w:spacing w:after="0"/>
              <w:rPr>
                <w:sz w:val="20"/>
                <w:szCs w:val="20"/>
                <w:color w:val="auto"/>
              </w:rPr>
            </w:pPr>
            <w:r>
              <w:rPr>
                <w:rFonts w:ascii="Courier New" w:cs="Courier New" w:eastAsia="Courier New" w:hAnsi="Courier New"/>
                <w:sz w:val="15"/>
                <w:szCs w:val="15"/>
                <w:color w:val="auto"/>
              </w:rPr>
              <w:t>[TABLE REPLACES BAR CHART]</w:t>
            </w:r>
          </w:p>
        </w:tc>
        <w:tc>
          <w:tcPr>
            <w:tcW w:w="1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596"/>
        </w:trPr>
        <w:tc>
          <w:tcPr>
            <w:tcW w:w="2840" w:type="dxa"/>
            <w:vAlign w:val="bottom"/>
          </w:tcPr>
          <w:p>
            <w:pPr>
              <w:spacing w:after="0"/>
              <w:rPr>
                <w:sz w:val="24"/>
                <w:szCs w:val="24"/>
                <w:color w:val="auto"/>
              </w:rPr>
            </w:pPr>
          </w:p>
        </w:tc>
        <w:tc>
          <w:tcPr>
            <w:tcW w:w="21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As of 06/29/94</w:t>
            </w:r>
          </w:p>
        </w:tc>
        <w:tc>
          <w:tcPr>
            <w:tcW w:w="206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As of 07/12/94</w:t>
            </w:r>
          </w:p>
        </w:tc>
        <w:tc>
          <w:tcPr>
            <w:tcW w:w="18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As of 08/02/94(2)</w:t>
            </w:r>
          </w:p>
        </w:tc>
      </w:tr>
      <w:tr>
        <w:trPr>
          <w:trHeight w:val="245"/>
        </w:trPr>
        <w:tc>
          <w:tcPr>
            <w:tcW w:w="2840" w:type="dxa"/>
            <w:vAlign w:val="bottom"/>
          </w:tcPr>
          <w:p>
            <w:pPr>
              <w:spacing w:after="0"/>
              <w:rPr>
                <w:sz w:val="21"/>
                <w:szCs w:val="21"/>
                <w:color w:val="auto"/>
              </w:rPr>
            </w:pPr>
          </w:p>
        </w:tc>
        <w:tc>
          <w:tcPr>
            <w:tcW w:w="2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w:t>
            </w:r>
          </w:p>
        </w:tc>
        <w:tc>
          <w:tcPr>
            <w:tcW w:w="206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18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5"/>
              </w:rPr>
              <w:t>-----------------</w:t>
            </w:r>
          </w:p>
        </w:tc>
      </w:tr>
      <w:tr>
        <w:trPr>
          <w:trHeight w:val="259"/>
        </w:trPr>
        <w:tc>
          <w:tcPr>
            <w:tcW w:w="284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132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4"/>
              </w:rPr>
              <w:t>1.26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32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1.40</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Programming Companies</w:t>
            </w:r>
          </w:p>
        </w:tc>
        <w:tc>
          <w:tcPr>
            <w:tcW w:w="1320" w:type="dxa"/>
            <w:vAlign w:val="bottom"/>
          </w:tcPr>
          <w:p>
            <w:pPr>
              <w:jc w:val="center"/>
              <w:ind w:left="787"/>
              <w:spacing w:after="0" w:line="168" w:lineRule="exact"/>
              <w:rPr>
                <w:sz w:val="20"/>
                <w:szCs w:val="20"/>
                <w:color w:val="auto"/>
              </w:rPr>
            </w:pPr>
            <w:r>
              <w:rPr>
                <w:rFonts w:ascii="Courier New" w:cs="Courier New" w:eastAsia="Courier New" w:hAnsi="Courier New"/>
                <w:sz w:val="15"/>
                <w:szCs w:val="15"/>
                <w:color w:val="auto"/>
                <w:w w:val="94"/>
              </w:rPr>
              <w:t>3.22</w:t>
            </w:r>
          </w:p>
        </w:tc>
        <w:tc>
          <w:tcPr>
            <w:tcW w:w="8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c>
          <w:tcPr>
            <w:tcW w:w="1320" w:type="dxa"/>
            <w:vAlign w:val="bottom"/>
          </w:tcPr>
          <w:p>
            <w:pPr>
              <w:jc w:val="center"/>
              <w:ind w:left="807"/>
              <w:spacing w:after="0" w:line="168" w:lineRule="exact"/>
              <w:rPr>
                <w:sz w:val="20"/>
                <w:szCs w:val="20"/>
                <w:color w:val="auto"/>
              </w:rPr>
            </w:pPr>
            <w:r>
              <w:rPr>
                <w:rFonts w:ascii="Courier New" w:cs="Courier New" w:eastAsia="Courier New" w:hAnsi="Courier New"/>
                <w:sz w:val="15"/>
                <w:szCs w:val="15"/>
                <w:color w:val="auto"/>
                <w:w w:val="99"/>
              </w:rPr>
              <w:t>3.17</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r>
      <w:tr>
        <w:trPr>
          <w:trHeight w:val="245"/>
        </w:trPr>
        <w:tc>
          <w:tcPr>
            <w:tcW w:w="2840" w:type="dxa"/>
            <w:vAlign w:val="bottom"/>
          </w:tcPr>
          <w:p>
            <w:pPr>
              <w:spacing w:after="0"/>
              <w:rPr>
                <w:sz w:val="20"/>
                <w:szCs w:val="20"/>
                <w:color w:val="auto"/>
              </w:rPr>
            </w:pPr>
            <w:r>
              <w:rPr>
                <w:rFonts w:ascii="Courier New" w:cs="Courier New" w:eastAsia="Courier New" w:hAnsi="Courier New"/>
                <w:sz w:val="15"/>
                <w:szCs w:val="15"/>
                <w:color w:val="auto"/>
              </w:rPr>
              <w:t>Specialty Retail Companies</w:t>
            </w:r>
          </w:p>
        </w:tc>
        <w:tc>
          <w:tcPr>
            <w:tcW w:w="1320" w:type="dxa"/>
            <w:vAlign w:val="bottom"/>
          </w:tcPr>
          <w:p>
            <w:pPr>
              <w:jc w:val="center"/>
              <w:ind w:left="787"/>
              <w:spacing w:after="0"/>
              <w:rPr>
                <w:sz w:val="20"/>
                <w:szCs w:val="20"/>
                <w:color w:val="auto"/>
              </w:rPr>
            </w:pPr>
            <w:r>
              <w:rPr>
                <w:rFonts w:ascii="Courier New" w:cs="Courier New" w:eastAsia="Courier New" w:hAnsi="Courier New"/>
                <w:sz w:val="15"/>
                <w:szCs w:val="15"/>
                <w:color w:val="auto"/>
                <w:w w:val="94"/>
              </w:rPr>
              <w:t>1.24</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32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1.27</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bl>
    <w:p>
      <w:pPr>
        <w:spacing w:after="0" w:line="91" w:lineRule="exact"/>
        <w:rPr>
          <w:sz w:val="20"/>
          <w:szCs w:val="20"/>
          <w:color w:val="auto"/>
        </w:rPr>
      </w:pPr>
    </w:p>
    <w:p>
      <w:pPr>
        <w:ind w:left="1500" w:right="3319" w:hanging="353"/>
        <w:spacing w:after="0" w:line="249" w:lineRule="auto"/>
        <w:tabs>
          <w:tab w:leader="none" w:pos="15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multiples are average multiples for each group. See detail in Common Stock Comparison analyses located in Exhibits.</w:t>
      </w:r>
    </w:p>
    <w:p>
      <w:pPr>
        <w:spacing w:after="0" w:line="1" w:lineRule="exact"/>
        <w:rPr>
          <w:rFonts w:ascii="Courier New" w:cs="Courier New" w:eastAsia="Courier New" w:hAnsi="Courier New"/>
          <w:sz w:val="15"/>
          <w:szCs w:val="15"/>
          <w:color w:val="auto"/>
        </w:rPr>
      </w:pPr>
    </w:p>
    <w:p>
      <w:pPr>
        <w:ind w:left="1500" w:right="3319" w:hanging="353"/>
        <w:spacing w:after="0" w:line="272" w:lineRule="auto"/>
        <w:tabs>
          <w:tab w:leader="none" w:pos="15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multiple based on offering price of $46.00 per share. All other multiples based on closing stock prices for comparable companies as of 08/02/94.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39"/>
          </w:cols>
          <w:pgMar w:left="220" w:top="26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MARKET MULTIPLE COMPARISON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MARKET CAPITALIZATION TO LTM OPERATING CASH FLOW (1) (3)</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[TABLE REPLACES BAR CHART]</w:t>
      </w:r>
    </w:p>
    <w:p>
      <w:pPr>
        <w:spacing w:after="0" w:line="200" w:lineRule="exact"/>
        <w:rPr>
          <w:sz w:val="20"/>
          <w:szCs w:val="20"/>
          <w:color w:val="auto"/>
        </w:rPr>
      </w:pPr>
    </w:p>
    <w:p>
      <w:pPr>
        <w:spacing w:after="0" w:line="301" w:lineRule="exact"/>
        <w:rPr>
          <w:sz w:val="20"/>
          <w:szCs w:val="20"/>
          <w:color w:val="auto"/>
        </w:rPr>
      </w:pPr>
    </w:p>
    <w:tbl>
      <w:tblPr>
        <w:tblLayout w:type="fixed"/>
        <w:tblInd w:w="98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9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As of 06/29/94</w:t>
            </w:r>
          </w:p>
        </w:tc>
        <w:tc>
          <w:tcPr>
            <w:tcW w:w="17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As of 07/12/94</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As of 08/02/94(2)</w:t>
            </w:r>
          </w:p>
        </w:tc>
      </w:tr>
      <w:tr>
        <w:trPr>
          <w:trHeight w:val="245"/>
        </w:trPr>
        <w:tc>
          <w:tcPr>
            <w:tcW w:w="2740" w:type="dxa"/>
            <w:vAlign w:val="bottom"/>
          </w:tcPr>
          <w:p>
            <w:pPr>
              <w:spacing w:after="0"/>
              <w:rPr>
                <w:sz w:val="21"/>
                <w:szCs w:val="21"/>
                <w:color w:val="auto"/>
              </w:rPr>
            </w:pPr>
          </w:p>
        </w:tc>
        <w:tc>
          <w:tcPr>
            <w:tcW w:w="19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w:t>
            </w:r>
          </w:p>
        </w:tc>
      </w:tr>
      <w:tr>
        <w:trPr>
          <w:trHeight w:val="259"/>
        </w:trPr>
        <w:tc>
          <w:tcPr>
            <w:tcW w:w="274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r>
      <w:tr>
        <w:trPr>
          <w:trHeight w:val="168"/>
        </w:trPr>
        <w:tc>
          <w:tcPr>
            <w:tcW w:w="27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Programming Companies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w:t>
            </w: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x</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x</w:t>
            </w:r>
          </w:p>
        </w:tc>
      </w:tr>
      <w:tr>
        <w:trPr>
          <w:trHeight w:val="245"/>
        </w:trPr>
        <w:tc>
          <w:tcPr>
            <w:tcW w:w="2740" w:type="dxa"/>
            <w:vAlign w:val="bottom"/>
          </w:tcPr>
          <w:p>
            <w:pPr>
              <w:spacing w:after="0"/>
              <w:rPr>
                <w:sz w:val="20"/>
                <w:szCs w:val="20"/>
                <w:color w:val="auto"/>
              </w:rPr>
            </w:pPr>
            <w:r>
              <w:rPr>
                <w:rFonts w:ascii="Courier New" w:cs="Courier New" w:eastAsia="Courier New" w:hAnsi="Courier New"/>
                <w:sz w:val="15"/>
                <w:szCs w:val="15"/>
                <w:color w:val="auto"/>
              </w:rPr>
              <w:t>Specialty Retail Companies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66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r>
    </w:tbl>
    <w:p>
      <w:pPr>
        <w:spacing w:after="0" w:line="259" w:lineRule="exact"/>
        <w:rPr>
          <w:sz w:val="20"/>
          <w:szCs w:val="20"/>
          <w:color w:val="auto"/>
        </w:rPr>
      </w:pPr>
    </w:p>
    <w:p>
      <w:pPr>
        <w:ind w:left="1500" w:right="3319" w:hanging="353"/>
        <w:spacing w:after="0" w:line="249" w:lineRule="auto"/>
        <w:tabs>
          <w:tab w:leader="none" w:pos="15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multiples are average multiples for each group. See detail in Common Stock Comparison analyses located in Exhibits.</w:t>
      </w:r>
    </w:p>
    <w:p>
      <w:pPr>
        <w:spacing w:after="0" w:line="1" w:lineRule="exact"/>
        <w:rPr>
          <w:rFonts w:ascii="Courier New" w:cs="Courier New" w:eastAsia="Courier New" w:hAnsi="Courier New"/>
          <w:sz w:val="15"/>
          <w:szCs w:val="15"/>
          <w:color w:val="auto"/>
        </w:rPr>
      </w:pPr>
    </w:p>
    <w:p>
      <w:pPr>
        <w:ind w:left="1500" w:right="3319" w:hanging="353"/>
        <w:spacing w:after="0" w:line="237" w:lineRule="auto"/>
        <w:tabs>
          <w:tab w:leader="none" w:pos="15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multiple based on offering price of $46.00 per share. All other multiples based on closing stock prices for comparable companies as of 08/02/94.</w:t>
      </w:r>
    </w:p>
    <w:p>
      <w:pPr>
        <w:spacing w:after="0" w:line="1" w:lineRule="exact"/>
        <w:rPr>
          <w:rFonts w:ascii="Courier New" w:cs="Courier New" w:eastAsia="Courier New" w:hAnsi="Courier New"/>
          <w:sz w:val="15"/>
          <w:szCs w:val="15"/>
          <w:color w:val="auto"/>
        </w:rPr>
      </w:pPr>
    </w:p>
    <w:p>
      <w:pPr>
        <w:ind w:left="1500" w:right="3319" w:hanging="353"/>
        <w:spacing w:after="0" w:line="307" w:lineRule="auto"/>
        <w:tabs>
          <w:tab w:leader="none" w:pos="15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Cash Flow known as EBITDA in Common Stock Comparison analyses.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39"/>
          </w:cols>
          <w:pgMar w:left="220" w:top="26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MARKET MULTIPLE COMPARISON</w:t>
      </w:r>
    </w:p>
    <w:p>
      <w:pPr>
        <w:spacing w:after="0" w:line="166"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MARKET VALUE OF EQUITY TO LTM EPS</w:t>
      </w:r>
      <w:r>
        <w:rPr>
          <w:sz w:val="20"/>
          <w:szCs w:val="20"/>
          <w:color w:val="auto"/>
        </w:rPr>
        <w:tab/>
      </w:r>
      <w:r>
        <w:rPr>
          <w:rFonts w:ascii="Courier New" w:cs="Courier New" w:eastAsia="Courier New" w:hAnsi="Courier New"/>
          <w:sz w:val="14"/>
          <w:szCs w:val="14"/>
          <w:color w:val="auto"/>
        </w:rPr>
        <w:t>(1)</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245"/>
        </w:trPr>
        <w:tc>
          <w:tcPr>
            <w:tcW w:w="2840" w:type="dxa"/>
            <w:vAlign w:val="bottom"/>
          </w:tcPr>
          <w:p>
            <w:pPr>
              <w:spacing w:after="0"/>
              <w:rPr>
                <w:sz w:val="20"/>
                <w:szCs w:val="20"/>
                <w:color w:val="auto"/>
              </w:rPr>
            </w:pPr>
            <w:r>
              <w:rPr>
                <w:rFonts w:ascii="Courier New" w:cs="Courier New" w:eastAsia="Courier New" w:hAnsi="Courier New"/>
                <w:sz w:val="15"/>
                <w:szCs w:val="15"/>
                <w:color w:val="auto"/>
              </w:rPr>
              <w:t>[TABLE REPLACES BAR CHART]</w:t>
            </w: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596"/>
        </w:trPr>
        <w:tc>
          <w:tcPr>
            <w:tcW w:w="2840" w:type="dxa"/>
            <w:vAlign w:val="bottom"/>
          </w:tcPr>
          <w:p>
            <w:pPr>
              <w:spacing w:after="0"/>
              <w:rPr>
                <w:sz w:val="24"/>
                <w:szCs w:val="24"/>
                <w:color w:val="auto"/>
              </w:rPr>
            </w:pPr>
          </w:p>
        </w:tc>
        <w:tc>
          <w:tcPr>
            <w:tcW w:w="19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As of 06/29/94</w:t>
            </w: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As of 07/12/94</w:t>
            </w:r>
          </w:p>
        </w:tc>
        <w:tc>
          <w:tcPr>
            <w:tcW w:w="18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As of 08/02/94(2)</w:t>
            </w:r>
          </w:p>
        </w:tc>
      </w:tr>
      <w:tr>
        <w:trPr>
          <w:trHeight w:val="245"/>
        </w:trPr>
        <w:tc>
          <w:tcPr>
            <w:tcW w:w="2840" w:type="dxa"/>
            <w:vAlign w:val="bottom"/>
          </w:tcPr>
          <w:p>
            <w:pPr>
              <w:spacing w:after="0"/>
              <w:rPr>
                <w:sz w:val="21"/>
                <w:szCs w:val="21"/>
                <w:color w:val="auto"/>
              </w:rPr>
            </w:pPr>
          </w:p>
        </w:tc>
        <w:tc>
          <w:tcPr>
            <w:tcW w:w="192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6"/>
              </w:rPr>
              <w:t>-----------------</w:t>
            </w:r>
          </w:p>
        </w:tc>
      </w:tr>
      <w:tr>
        <w:trPr>
          <w:trHeight w:val="259"/>
        </w:trPr>
        <w:tc>
          <w:tcPr>
            <w:tcW w:w="2840" w:type="dxa"/>
            <w:vAlign w:val="bottom"/>
          </w:tcPr>
          <w:p>
            <w:pPr>
              <w:spacing w:after="0"/>
              <w:rPr>
                <w:sz w:val="20"/>
                <w:szCs w:val="20"/>
                <w:color w:val="auto"/>
              </w:rPr>
            </w:pPr>
            <w:r>
              <w:rPr>
                <w:rFonts w:ascii="Courier New" w:cs="Courier New" w:eastAsia="Courier New" w:hAnsi="Courier New"/>
                <w:sz w:val="15"/>
                <w:szCs w:val="15"/>
                <w:color w:val="auto"/>
              </w:rPr>
              <w:t>QVC</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Programming Companies</w:t>
            </w: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w:t>
            </w:r>
          </w:p>
        </w:tc>
        <w:tc>
          <w:tcPr>
            <w:tcW w:w="4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x</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w:t>
            </w: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r>
      <w:tr>
        <w:trPr>
          <w:trHeight w:val="245"/>
        </w:trPr>
        <w:tc>
          <w:tcPr>
            <w:tcW w:w="2840" w:type="dxa"/>
            <w:vAlign w:val="bottom"/>
          </w:tcPr>
          <w:p>
            <w:pPr>
              <w:spacing w:after="0"/>
              <w:rPr>
                <w:sz w:val="20"/>
                <w:szCs w:val="20"/>
                <w:color w:val="auto"/>
              </w:rPr>
            </w:pPr>
            <w:r>
              <w:rPr>
                <w:rFonts w:ascii="Courier New" w:cs="Courier New" w:eastAsia="Courier New" w:hAnsi="Courier New"/>
                <w:sz w:val="15"/>
                <w:szCs w:val="15"/>
                <w:color w:val="auto"/>
              </w:rPr>
              <w:t>Specialty Retail Companies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c>
          <w:tcPr>
            <w:tcW w:w="440" w:type="dxa"/>
            <w:vAlign w:val="bottom"/>
          </w:tcPr>
          <w:p>
            <w:pPr>
              <w:ind w:left="60"/>
              <w:spacing w:after="0"/>
              <w:rPr>
                <w:sz w:val="20"/>
                <w:szCs w:val="20"/>
                <w:color w:val="auto"/>
              </w:rPr>
            </w:pPr>
            <w:r>
              <w:rPr>
                <w:rFonts w:ascii="Courier New" w:cs="Courier New" w:eastAsia="Courier New" w:hAnsi="Courier New"/>
                <w:sz w:val="15"/>
                <w:szCs w:val="15"/>
                <w:color w:val="auto"/>
              </w:rPr>
              <w:t>x</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r>
    </w:tbl>
    <w:p>
      <w:pPr>
        <w:spacing w:after="0" w:line="259" w:lineRule="exact"/>
        <w:rPr>
          <w:sz w:val="20"/>
          <w:szCs w:val="20"/>
          <w:color w:val="auto"/>
        </w:rPr>
      </w:pPr>
    </w:p>
    <w:p>
      <w:pPr>
        <w:ind w:left="1500" w:right="3319" w:hanging="353"/>
        <w:spacing w:after="0" w:line="249" w:lineRule="auto"/>
        <w:tabs>
          <w:tab w:leader="none" w:pos="15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multiples are average multiples for each group. See detail in Common Stock Comparison analyses located in Exhibits.</w:t>
      </w:r>
    </w:p>
    <w:p>
      <w:pPr>
        <w:spacing w:after="0" w:line="1" w:lineRule="exact"/>
        <w:rPr>
          <w:rFonts w:ascii="Courier New" w:cs="Courier New" w:eastAsia="Courier New" w:hAnsi="Courier New"/>
          <w:sz w:val="15"/>
          <w:szCs w:val="15"/>
          <w:color w:val="auto"/>
        </w:rPr>
      </w:pPr>
    </w:p>
    <w:p>
      <w:pPr>
        <w:ind w:left="1500" w:right="3319" w:hanging="353"/>
        <w:spacing w:after="0" w:line="272" w:lineRule="auto"/>
        <w:tabs>
          <w:tab w:leader="none" w:pos="15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multiple based on offering price of $46.00 per share. All other multiples based on closing stock prices for comparable companies as of 08/02/94.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39"/>
          </w:cols>
          <w:pgMar w:left="220" w:top="261"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0"/>
        </w:trPr>
        <w:tc>
          <w:tcPr>
            <w:tcW w:w="276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21</w:t>
            </w:r>
          </w:p>
        </w:tc>
        <w:tc>
          <w:tcPr>
            <w:tcW w:w="4240" w:type="dxa"/>
            <w:vAlign w:val="bottom"/>
            <w:vMerge w:val="restart"/>
          </w:tcPr>
          <w:p>
            <w:pPr>
              <w:ind w:left="1800"/>
              <w:spacing w:after="0"/>
              <w:rPr>
                <w:sz w:val="20"/>
                <w:szCs w:val="20"/>
                <w:color w:val="auto"/>
              </w:rPr>
            </w:pPr>
            <w:r>
              <w:rPr>
                <w:rFonts w:ascii="Courier New" w:cs="Courier New" w:eastAsia="Courier New" w:hAnsi="Courier New"/>
                <w:sz w:val="15"/>
                <w:szCs w:val="15"/>
                <w:color w:val="auto"/>
                <w:w w:val="96"/>
              </w:rPr>
              <w:t>CONFIDENTIAL  AUGUST 4, 1994</w:t>
            </w:r>
          </w:p>
        </w:tc>
        <w:tc>
          <w:tcPr>
            <w:tcW w:w="0" w:type="dxa"/>
            <w:vAlign w:val="bottom"/>
          </w:tcPr>
          <w:p>
            <w:pPr>
              <w:spacing w:after="0"/>
              <w:rPr>
                <w:sz w:val="1"/>
                <w:szCs w:val="1"/>
                <w:color w:val="auto"/>
              </w:rPr>
            </w:pPr>
          </w:p>
        </w:tc>
      </w:tr>
      <w:tr>
        <w:trPr>
          <w:trHeight w:val="245"/>
        </w:trPr>
        <w:tc>
          <w:tcPr>
            <w:tcW w:w="2760" w:type="dxa"/>
            <w:vAlign w:val="bottom"/>
          </w:tcPr>
          <w:p>
            <w:pPr>
              <w:jc w:val="right"/>
              <w:ind w:right="1707"/>
              <w:spacing w:after="0"/>
              <w:rPr>
                <w:sz w:val="20"/>
                <w:szCs w:val="20"/>
                <w:color w:val="auto"/>
              </w:rPr>
            </w:pPr>
            <w:r>
              <w:rPr>
                <w:rFonts w:ascii="Courier New" w:cs="Courier New" w:eastAsia="Courier New" w:hAnsi="Courier New"/>
                <w:sz w:val="15"/>
                <w:szCs w:val="15"/>
                <w:color w:val="auto"/>
                <w:w w:val="96"/>
              </w:rPr>
              <w:t>PROJECT QVC</w:t>
            </w:r>
          </w:p>
        </w:tc>
        <w:tc>
          <w:tcPr>
            <w:tcW w:w="4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QVC MARKET MULTIPLE COMPARISON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Market Value of Equity to 1994E EPS(1)</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[TABLE REPLACES BAR CHART]</w:t>
      </w:r>
    </w:p>
    <w:p>
      <w:pPr>
        <w:spacing w:after="0" w:line="200" w:lineRule="exact"/>
        <w:rPr>
          <w:sz w:val="20"/>
          <w:szCs w:val="20"/>
          <w:color w:val="auto"/>
        </w:rPr>
      </w:pP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As of 06/29/94</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As of 07/12/94</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w w:val="95"/>
              </w:rPr>
              <w:t>As of 08/02/94(2)</w:t>
            </w:r>
          </w:p>
        </w:tc>
      </w:tr>
      <w:tr>
        <w:trPr>
          <w:trHeight w:val="245"/>
        </w:trPr>
        <w:tc>
          <w:tcPr>
            <w:tcW w:w="3160" w:type="dxa"/>
            <w:vAlign w:val="bottom"/>
          </w:tcPr>
          <w:p>
            <w:pPr>
              <w:spacing w:after="0"/>
              <w:rPr>
                <w:sz w:val="21"/>
                <w:szCs w:val="21"/>
                <w:color w:val="auto"/>
              </w:rPr>
            </w:pP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w:t>
            </w:r>
          </w:p>
        </w:tc>
        <w:tc>
          <w:tcPr>
            <w:tcW w:w="14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r>
      <w:tr>
        <w:trPr>
          <w:trHeight w:val="259"/>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rPr>
              <w:t>QVC(3)</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20.2 x</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22.4</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28.7 x</w:t>
            </w:r>
          </w:p>
        </w:tc>
      </w:tr>
      <w:tr>
        <w:trPr>
          <w:trHeight w:val="168"/>
        </w:trPr>
        <w:tc>
          <w:tcPr>
            <w:tcW w:w="31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6"/>
              </w:rPr>
              <w:t>Cable Programming Companies</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19.7 x</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x</w:t>
            </w:r>
          </w:p>
        </w:tc>
        <w:tc>
          <w:tcPr>
            <w:tcW w:w="1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19.0 x</w:t>
            </w:r>
          </w:p>
        </w:tc>
      </w:tr>
      <w:tr>
        <w:trPr>
          <w:trHeight w:val="245"/>
        </w:trPr>
        <w:tc>
          <w:tcPr>
            <w:tcW w:w="3160" w:type="dxa"/>
            <w:vAlign w:val="bottom"/>
          </w:tcPr>
          <w:p>
            <w:pPr>
              <w:ind w:left="800"/>
              <w:spacing w:after="0"/>
              <w:rPr>
                <w:sz w:val="20"/>
                <w:szCs w:val="20"/>
                <w:color w:val="auto"/>
              </w:rPr>
            </w:pPr>
            <w:r>
              <w:rPr>
                <w:rFonts w:ascii="Courier New" w:cs="Courier New" w:eastAsia="Courier New" w:hAnsi="Courier New"/>
                <w:sz w:val="15"/>
                <w:szCs w:val="15"/>
                <w:color w:val="auto"/>
                <w:w w:val="99"/>
              </w:rPr>
              <w:t>Specialty Retail Companies</w:t>
            </w:r>
          </w:p>
        </w:tc>
        <w:tc>
          <w:tcPr>
            <w:tcW w:w="13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18.3 x</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560" w:type="dxa"/>
            <w:vAlign w:val="bottom"/>
          </w:tcPr>
          <w:p>
            <w:pPr>
              <w:ind w:left="440"/>
              <w:spacing w:after="0"/>
              <w:rPr>
                <w:sz w:val="20"/>
                <w:szCs w:val="20"/>
                <w:color w:val="auto"/>
              </w:rPr>
            </w:pPr>
            <w:r>
              <w:rPr>
                <w:rFonts w:ascii="Courier New" w:cs="Courier New" w:eastAsia="Courier New" w:hAnsi="Courier New"/>
                <w:sz w:val="15"/>
                <w:szCs w:val="15"/>
                <w:color w:val="auto"/>
              </w:rPr>
              <w:t>19.0 x</w:t>
            </w:r>
          </w:p>
        </w:tc>
      </w:tr>
      <w:tr>
        <w:trPr>
          <w:trHeight w:val="427"/>
        </w:trPr>
        <w:tc>
          <w:tcPr>
            <w:tcW w:w="5960" w:type="dxa"/>
            <w:vAlign w:val="bottom"/>
            <w:gridSpan w:val="4"/>
          </w:tcPr>
          <w:p>
            <w:pPr>
              <w:spacing w:after="0"/>
              <w:rPr>
                <w:sz w:val="20"/>
                <w:szCs w:val="20"/>
                <w:color w:val="auto"/>
              </w:rPr>
            </w:pPr>
            <w:r>
              <w:rPr>
                <w:rFonts w:ascii="Courier New" w:cs="Courier New" w:eastAsia="Courier New" w:hAnsi="Courier New"/>
                <w:sz w:val="15"/>
                <w:szCs w:val="15"/>
                <w:color w:val="auto"/>
              </w:rPr>
              <w:t>(1)Comparable Company multiples are average multiples for each</w:t>
            </w:r>
          </w:p>
        </w:tc>
        <w:tc>
          <w:tcPr>
            <w:tcW w:w="1560" w:type="dxa"/>
            <w:vAlign w:val="bottom"/>
          </w:tcPr>
          <w:p>
            <w:pPr>
              <w:spacing w:after="0"/>
              <w:rPr>
                <w:sz w:val="24"/>
                <w:szCs w:val="24"/>
                <w:color w:val="auto"/>
              </w:rPr>
            </w:pPr>
          </w:p>
        </w:tc>
      </w:tr>
      <w:tr>
        <w:trPr>
          <w:trHeight w:val="168"/>
        </w:trPr>
        <w:tc>
          <w:tcPr>
            <w:tcW w:w="59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w w:val="99"/>
              </w:rPr>
              <w:t>group.  See detail in Common Stock Comparison analyses located</w:t>
            </w:r>
          </w:p>
        </w:tc>
        <w:tc>
          <w:tcPr>
            <w:tcW w:w="15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Exhibits.</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(2)QVC multiple based on offering price of $46.00 per share.  All</w:t>
            </w:r>
          </w:p>
        </w:tc>
        <w:tc>
          <w:tcPr>
            <w:tcW w:w="1560" w:type="dxa"/>
            <w:vAlign w:val="bottom"/>
          </w:tcPr>
          <w:p>
            <w:pPr>
              <w:spacing w:after="0"/>
              <w:rPr>
                <w:sz w:val="14"/>
                <w:szCs w:val="14"/>
                <w:color w:val="auto"/>
              </w:rPr>
            </w:pPr>
          </w:p>
        </w:tc>
      </w:tr>
      <w:tr>
        <w:trPr>
          <w:trHeight w:val="168"/>
        </w:trPr>
        <w:tc>
          <w:tcPr>
            <w:tcW w:w="59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other multiples based on closing stock prices for comparable</w:t>
            </w:r>
          </w:p>
        </w:tc>
        <w:tc>
          <w:tcPr>
            <w:tcW w:w="1560" w:type="dxa"/>
            <w:vAlign w:val="bottom"/>
          </w:tcPr>
          <w:p>
            <w:pPr>
              <w:spacing w:after="0"/>
              <w:rPr>
                <w:sz w:val="14"/>
                <w:szCs w:val="14"/>
                <w:color w:val="auto"/>
              </w:rPr>
            </w:pPr>
          </w:p>
        </w:tc>
      </w:tr>
      <w:tr>
        <w:trPr>
          <w:trHeight w:val="168"/>
        </w:trPr>
        <w:tc>
          <w:tcPr>
            <w:tcW w:w="3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companies as of 08/02/94.</w:t>
            </w: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59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(3)QVC multiples of 20.2 x, 22.4 x and 28.7 x represent 1994E EPS</w:t>
            </w:r>
          </w:p>
        </w:tc>
        <w:tc>
          <w:tcPr>
            <w:tcW w:w="1560" w:type="dxa"/>
            <w:vAlign w:val="bottom"/>
          </w:tcPr>
          <w:p>
            <w:pPr>
              <w:spacing w:after="0"/>
              <w:rPr>
                <w:sz w:val="14"/>
                <w:szCs w:val="14"/>
                <w:color w:val="auto"/>
              </w:rPr>
            </w:pPr>
          </w:p>
        </w:tc>
      </w:tr>
      <w:tr>
        <w:trPr>
          <w:trHeight w:val="168"/>
        </w:trPr>
        <w:tc>
          <w:tcPr>
            <w:tcW w:w="59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excluding Q2 startup costs as of 06/29/94, 07/12/94 and the</w:t>
            </w:r>
          </w:p>
        </w:tc>
        <w:tc>
          <w:tcPr>
            <w:tcW w:w="1560" w:type="dxa"/>
            <w:vAlign w:val="bottom"/>
          </w:tcPr>
          <w:p>
            <w:pPr>
              <w:spacing w:after="0"/>
              <w:rPr>
                <w:sz w:val="14"/>
                <w:szCs w:val="14"/>
                <w:color w:val="auto"/>
              </w:rPr>
            </w:pPr>
          </w:p>
        </w:tc>
      </w:tr>
      <w:tr>
        <w:trPr>
          <w:trHeight w:val="168"/>
        </w:trPr>
        <w:tc>
          <w:tcPr>
            <w:tcW w:w="596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offering price, respectively.  1994E EPS including Q2 startup</w:t>
            </w:r>
          </w:p>
        </w:tc>
        <w:tc>
          <w:tcPr>
            <w:tcW w:w="1560" w:type="dxa"/>
            <w:vAlign w:val="bottom"/>
          </w:tcPr>
          <w:p>
            <w:pPr>
              <w:spacing w:after="0"/>
              <w:rPr>
                <w:sz w:val="14"/>
                <w:szCs w:val="14"/>
                <w:color w:val="auto"/>
              </w:rPr>
            </w:pPr>
          </w:p>
        </w:tc>
      </w:tr>
      <w:tr>
        <w:trPr>
          <w:trHeight w:val="168"/>
        </w:trPr>
        <w:tc>
          <w:tcPr>
            <w:tcW w:w="52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7"/>
              </w:rPr>
              <w:t>costs results in multiples of 24.2 x, 26.9 x and 34.3 x</w:t>
            </w:r>
          </w:p>
        </w:tc>
        <w:tc>
          <w:tcPr>
            <w:tcW w:w="7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1994E</w:t>
            </w:r>
          </w:p>
        </w:tc>
        <w:tc>
          <w:tcPr>
            <w:tcW w:w="1560" w:type="dxa"/>
            <w:vAlign w:val="bottom"/>
          </w:tcPr>
          <w:p>
            <w:pPr>
              <w:spacing w:after="0"/>
              <w:rPr>
                <w:sz w:val="14"/>
                <w:szCs w:val="14"/>
                <w:color w:val="auto"/>
              </w:rPr>
            </w:pPr>
          </w:p>
        </w:tc>
      </w:tr>
      <w:tr>
        <w:trPr>
          <w:trHeight w:val="168"/>
        </w:trPr>
        <w:tc>
          <w:tcPr>
            <w:tcW w:w="522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EPS as of 06/29/94, 07/12/94 and the offering price,</w:t>
            </w:r>
          </w:p>
        </w:tc>
        <w:tc>
          <w:tcPr>
            <w:tcW w:w="7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45"/>
        </w:trPr>
        <w:tc>
          <w:tcPr>
            <w:tcW w:w="3160" w:type="dxa"/>
            <w:vAlign w:val="bottom"/>
          </w:tcPr>
          <w:p>
            <w:pPr>
              <w:ind w:left="360"/>
              <w:spacing w:after="0"/>
              <w:rPr>
                <w:sz w:val="20"/>
                <w:szCs w:val="20"/>
                <w:color w:val="auto"/>
              </w:rPr>
            </w:pPr>
            <w:r>
              <w:rPr>
                <w:rFonts w:ascii="Courier New" w:cs="Courier New" w:eastAsia="Courier New" w:hAnsi="Courier New"/>
                <w:sz w:val="15"/>
                <w:szCs w:val="15"/>
                <w:color w:val="auto"/>
              </w:rPr>
              <w:t>respectively.</w:t>
            </w:r>
          </w:p>
        </w:tc>
        <w:tc>
          <w:tcPr>
            <w:tcW w:w="1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39"/>
          </w:cols>
          <w:pgMar w:left="220" w:top="259"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QVC MARKET MULTIPLE COMPARISON</w:t>
      </w:r>
    </w:p>
    <w:p>
      <w:pPr>
        <w:spacing w:after="0" w:line="335" w:lineRule="exact"/>
        <w:rPr>
          <w:sz w:val="20"/>
          <w:szCs w:val="20"/>
          <w:color w:val="auto"/>
        </w:rPr>
      </w:pPr>
    </w:p>
    <w:p>
      <w:pPr>
        <w:ind w:left="1680" w:right="3319" w:hanging="883"/>
        <w:spacing w:after="0" w:line="344" w:lineRule="auto"/>
        <w:tabs>
          <w:tab w:leader="none" w:pos="16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QVC Trading Multiples to those of Cable Programming Companies and Specialty Retail Companies</w:t>
      </w:r>
    </w:p>
    <w:p>
      <w:pPr>
        <w:spacing w:after="0" w:line="17" w:lineRule="exact"/>
        <w:rPr>
          <w:rFonts w:ascii="Courier New" w:cs="Courier New" w:eastAsia="Courier New" w:hAnsi="Courier New"/>
          <w:sz w:val="15"/>
          <w:szCs w:val="15"/>
          <w:color w:val="auto"/>
        </w:rPr>
      </w:pPr>
    </w:p>
    <w:p>
      <w:pPr>
        <w:ind w:left="1680" w:right="3579" w:hanging="883"/>
        <w:spacing w:after="0" w:line="344" w:lineRule="auto"/>
        <w:tabs>
          <w:tab w:leader="none" w:pos="16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Dates Considered, QVC Traded at Multiples Closely Related to Specialty Retail Companies</w:t>
      </w:r>
    </w:p>
    <w:p>
      <w:pPr>
        <w:spacing w:after="0" w:line="17" w:lineRule="exact"/>
        <w:rPr>
          <w:rFonts w:ascii="Courier New" w:cs="Courier New" w:eastAsia="Courier New" w:hAnsi="Courier New"/>
          <w:sz w:val="15"/>
          <w:szCs w:val="15"/>
          <w:color w:val="auto"/>
        </w:rPr>
      </w:pPr>
    </w:p>
    <w:p>
      <w:pPr>
        <w:ind w:left="1680" w:right="3499" w:hanging="883"/>
        <w:spacing w:after="0" w:line="273" w:lineRule="auto"/>
        <w:tabs>
          <w:tab w:leader="none" w:pos="16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Stock Prices as of July 12, 1994 and August 2, 1994 Traded at Multiples of LTM Sales, Operating Cash Flow, LTM EPS and 1994E EPS that Were Higher (Except in One Case) than the Range for Specialty Retail Companies</w:t>
      </w:r>
    </w:p>
    <w:p>
      <w:pPr>
        <w:spacing w:after="0" w:line="67" w:lineRule="exact"/>
        <w:rPr>
          <w:rFonts w:ascii="Courier New" w:cs="Courier New" w:eastAsia="Courier New" w:hAnsi="Courier New"/>
          <w:sz w:val="15"/>
          <w:szCs w:val="15"/>
          <w:color w:val="auto"/>
        </w:rPr>
      </w:pPr>
    </w:p>
    <w:p>
      <w:pPr>
        <w:ind w:left="1680" w:right="3399" w:hanging="883"/>
        <w:spacing w:after="0" w:line="258" w:lineRule="auto"/>
        <w:tabs>
          <w:tab w:leader="none" w:pos="16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June 29, 1994, QVC Traded at Multiples of LTM Sales, Operating Cash Flow, LTM EPS and 1994E EPS which Were within the Range of Multiples for Specialty Retail Companies and at a Multiple of 1994E EPS that Was Higher than the Average for Cable Programming and Specialty Retail Companies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39"/>
          </w:cols>
          <w:pgMar w:left="220" w:top="26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23</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QVC DISCOUNTED CASH FLOW ANALYSIS</w:t>
      </w:r>
    </w:p>
    <w:p>
      <w:pPr>
        <w:spacing w:after="0" w:line="24"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860" w:type="dxa"/>
        <w:tblCellMar>
          <w:top w:w="0" w:type="dxa"/>
          <w:left w:w="0" w:type="dxa"/>
          <w:bottom w:w="0" w:type="dxa"/>
          <w:right w:w="0" w:type="dxa"/>
        </w:tblCellMar>
      </w:tblPr>
      <w:tr>
        <w:trPr>
          <w:trHeight w:val="170"/>
        </w:trPr>
        <w:tc>
          <w:tcPr>
            <w:tcW w:w="780" w:type="dxa"/>
            <w:vAlign w:val="bottom"/>
            <w:vMerge w:val="restart"/>
          </w:tcPr>
          <w:p>
            <w:pPr>
              <w:jc w:val="center"/>
              <w:ind w:right="187"/>
              <w:spacing w:after="0"/>
              <w:rPr>
                <w:sz w:val="20"/>
                <w:szCs w:val="20"/>
                <w:color w:val="auto"/>
              </w:rPr>
            </w:pPr>
            <w:r>
              <w:rPr>
                <w:rFonts w:ascii="Courier New" w:cs="Courier New" w:eastAsia="Courier New" w:hAnsi="Courier New"/>
                <w:sz w:val="15"/>
                <w:szCs w:val="15"/>
                <w:color w:val="auto"/>
                <w:w w:val="96"/>
              </w:rPr>
              <w:t>Budget</w:t>
            </w: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Projected</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80" w:type="dxa"/>
            <w:vAlign w:val="bottom"/>
            <w:vMerge w:val="continue"/>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bscript"/>
              </w:rPr>
              <w:t>1995</w:t>
            </w:r>
            <w:r>
              <w:rPr>
                <w:rFonts w:ascii="Courier New" w:cs="Courier New" w:eastAsia="Courier New" w:hAnsi="Courier New"/>
                <w:sz w:val="4"/>
                <w:szCs w:val="4"/>
                <w:color w:val="auto"/>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80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94"/>
        </w:trPr>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c>
          <w:tcPr>
            <w:tcW w:w="12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Unlevered Free Cash Flow From Operations</w:t>
            </w:r>
          </w:p>
        </w:tc>
        <w:tc>
          <w:tcPr>
            <w:tcW w:w="880" w:type="dxa"/>
            <w:vAlign w:val="bottom"/>
          </w:tcPr>
          <w:p>
            <w:pPr>
              <w:jc w:val="right"/>
              <w:ind w:right="211"/>
              <w:spacing w:after="0"/>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c>
          <w:tcPr>
            <w:tcW w:w="0" w:type="dxa"/>
            <w:vAlign w:val="bottom"/>
          </w:tcPr>
          <w:p>
            <w:pPr>
              <w:spacing w:after="0"/>
              <w:rPr>
                <w:sz w:val="1"/>
                <w:szCs w:val="1"/>
                <w:color w:val="auto"/>
              </w:rPr>
            </w:pPr>
          </w:p>
        </w:tc>
      </w:tr>
      <w:tr>
        <w:trPr>
          <w:trHeight w:val="427"/>
        </w:trPr>
        <w:tc>
          <w:tcPr>
            <w:tcW w:w="448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Net Per Share Present Value of</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60" w:type="dxa"/>
            <w:vAlign w:val="bottom"/>
            <w:gridSpan w:val="3"/>
          </w:tcPr>
          <w:p>
            <w:pPr>
              <w:ind w:left="1240"/>
              <w:spacing w:after="0"/>
              <w:rPr>
                <w:sz w:val="20"/>
                <w:szCs w:val="20"/>
                <w:color w:val="auto"/>
              </w:rPr>
            </w:pPr>
            <w:r>
              <w:rPr>
                <w:rFonts w:ascii="Courier New" w:cs="Courier New" w:eastAsia="Courier New" w:hAnsi="Courier New"/>
                <w:sz w:val="15"/>
                <w:szCs w:val="15"/>
                <w:color w:val="auto"/>
              </w:rPr>
              <w:t>Company Based on Discounted Cash Flows:</w:t>
            </w:r>
          </w:p>
        </w:tc>
        <w:tc>
          <w:tcPr>
            <w:tcW w:w="1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360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Discount</w:t>
            </w:r>
          </w:p>
        </w:tc>
        <w:tc>
          <w:tcPr>
            <w:tcW w:w="880" w:type="dxa"/>
            <w:vAlign w:val="bottom"/>
          </w:tcPr>
          <w:p>
            <w:pPr>
              <w:spacing w:after="0"/>
              <w:rPr>
                <w:sz w:val="24"/>
                <w:szCs w:val="24"/>
                <w:color w:val="auto"/>
              </w:rPr>
            </w:pPr>
          </w:p>
        </w:tc>
        <w:tc>
          <w:tcPr>
            <w:tcW w:w="3540" w:type="dxa"/>
            <w:vAlign w:val="bottom"/>
            <w:gridSpan w:val="4"/>
          </w:tcPr>
          <w:p>
            <w:pPr>
              <w:jc w:val="right"/>
              <w:ind w:right="587"/>
              <w:spacing w:after="0"/>
              <w:rPr>
                <w:sz w:val="20"/>
                <w:szCs w:val="20"/>
                <w:color w:val="auto"/>
              </w:rPr>
            </w:pPr>
            <w:r>
              <w:rPr>
                <w:rFonts w:ascii="Courier New" w:cs="Courier New" w:eastAsia="Courier New" w:hAnsi="Courier New"/>
                <w:sz w:val="15"/>
                <w:szCs w:val="15"/>
                <w:color w:val="auto"/>
                <w:w w:val="96"/>
              </w:rPr>
              <w:t>Multiple of 1999 Estimated EBITDA</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600" w:type="dxa"/>
            <w:vAlign w:val="bottom"/>
            <w:vMerge w:val="continue"/>
          </w:tcPr>
          <w:p>
            <w:pPr>
              <w:spacing w:after="0"/>
              <w:rPr>
                <w:sz w:val="14"/>
                <w:szCs w:val="14"/>
                <w:color w:val="auto"/>
              </w:rPr>
            </w:pPr>
          </w:p>
        </w:tc>
        <w:tc>
          <w:tcPr>
            <w:tcW w:w="166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1"/>
              </w:rPr>
              <w:t>--------------------------------------------</w:t>
            </w:r>
            <w:r>
              <w:rPr>
                <w:rFonts w:ascii="Courier New" w:cs="Courier New" w:eastAsia="Courier New" w:hAnsi="Courier New"/>
                <w:sz w:val="11"/>
                <w:szCs w:val="11"/>
                <w:color w:val="auto"/>
                <w:w w:val="71"/>
                <w:vertAlign w:val="subscript"/>
              </w:rPr>
              <w:t>7.0x</w:t>
            </w:r>
          </w:p>
        </w:tc>
        <w:tc>
          <w:tcPr>
            <w:tcW w:w="114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8.0 x</w:t>
            </w:r>
          </w:p>
        </w:tc>
        <w:tc>
          <w:tcPr>
            <w:tcW w:w="520" w:type="dxa"/>
            <w:vAlign w:val="bottom"/>
          </w:tcPr>
          <w:p>
            <w:pPr>
              <w:spacing w:after="0"/>
              <w:rPr>
                <w:sz w:val="14"/>
                <w:szCs w:val="14"/>
                <w:color w:val="auto"/>
              </w:rPr>
            </w:pPr>
          </w:p>
        </w:tc>
        <w:tc>
          <w:tcPr>
            <w:tcW w:w="110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9.0 x</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Rate</w:t>
            </w:r>
          </w:p>
        </w:tc>
        <w:tc>
          <w:tcPr>
            <w:tcW w:w="88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0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21"/>
                <w:szCs w:val="21"/>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600" w:type="dxa"/>
            <w:vAlign w:val="bottom"/>
          </w:tcPr>
          <w:p>
            <w:pPr>
              <w:ind w:left="1320"/>
              <w:spacing w:after="0"/>
              <w:rPr>
                <w:sz w:val="20"/>
                <w:szCs w:val="20"/>
                <w:color w:val="auto"/>
              </w:rPr>
            </w:pPr>
            <w:r>
              <w:rPr>
                <w:rFonts w:ascii="Courier New" w:cs="Courier New" w:eastAsia="Courier New" w:hAnsi="Courier New"/>
                <w:sz w:val="15"/>
                <w:szCs w:val="15"/>
                <w:color w:val="auto"/>
              </w:rPr>
              <w:t>15.0%</w:t>
            </w:r>
          </w:p>
        </w:tc>
        <w:tc>
          <w:tcPr>
            <w:tcW w:w="8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$49.00</w:t>
            </w:r>
          </w:p>
        </w:tc>
        <w:tc>
          <w:tcPr>
            <w:tcW w:w="780" w:type="dxa"/>
            <w:vAlign w:val="bottom"/>
          </w:tcPr>
          <w:p>
            <w:pPr>
              <w:spacing w:after="0"/>
              <w:rPr>
                <w:sz w:val="22"/>
                <w:szCs w:val="22"/>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$53.94</w:t>
            </w:r>
          </w:p>
        </w:tc>
        <w:tc>
          <w:tcPr>
            <w:tcW w:w="520" w:type="dxa"/>
            <w:vAlign w:val="bottom"/>
          </w:tcPr>
          <w:p>
            <w:pPr>
              <w:spacing w:after="0"/>
              <w:rPr>
                <w:sz w:val="22"/>
                <w:szCs w:val="22"/>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$58.88</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17.5%</w:t>
            </w:r>
          </w:p>
        </w:tc>
        <w:tc>
          <w:tcPr>
            <w:tcW w:w="8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44.54</w:t>
            </w:r>
          </w:p>
        </w:tc>
        <w:tc>
          <w:tcPr>
            <w:tcW w:w="7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48.94</w:t>
            </w:r>
          </w:p>
        </w:tc>
        <w:tc>
          <w:tcPr>
            <w:tcW w:w="5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53.33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20.0%</w:t>
            </w:r>
          </w:p>
        </w:tc>
        <w:tc>
          <w:tcPr>
            <w:tcW w:w="8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40.64</w:t>
            </w:r>
          </w:p>
        </w:tc>
        <w:tc>
          <w:tcPr>
            <w:tcW w:w="7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44.56</w:t>
            </w:r>
          </w:p>
        </w:tc>
        <w:tc>
          <w:tcPr>
            <w:tcW w:w="5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48.48</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22.5%</w:t>
            </w:r>
          </w:p>
        </w:tc>
        <w:tc>
          <w:tcPr>
            <w:tcW w:w="88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37.20</w:t>
            </w:r>
          </w:p>
        </w:tc>
        <w:tc>
          <w:tcPr>
            <w:tcW w:w="78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40.71</w:t>
            </w:r>
          </w:p>
        </w:tc>
        <w:tc>
          <w:tcPr>
            <w:tcW w:w="520" w:type="dxa"/>
            <w:vAlign w:val="bottom"/>
          </w:tcPr>
          <w:p>
            <w:pPr>
              <w:spacing w:after="0"/>
              <w:rPr>
                <w:sz w:val="14"/>
                <w:szCs w:val="14"/>
                <w:color w:val="auto"/>
              </w:rPr>
            </w:pPr>
          </w:p>
        </w:tc>
        <w:tc>
          <w:tcPr>
            <w:tcW w:w="11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44.22</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600" w:type="dxa"/>
            <w:vAlign w:val="bottom"/>
          </w:tcPr>
          <w:p>
            <w:pPr>
              <w:ind w:left="1320"/>
              <w:spacing w:after="0"/>
              <w:rPr>
                <w:sz w:val="20"/>
                <w:szCs w:val="20"/>
                <w:color w:val="auto"/>
              </w:rPr>
            </w:pPr>
            <w:r>
              <w:rPr>
                <w:rFonts w:ascii="Courier New" w:cs="Courier New" w:eastAsia="Courier New" w:hAnsi="Courier New"/>
                <w:sz w:val="15"/>
                <w:szCs w:val="15"/>
                <w:color w:val="auto"/>
              </w:rPr>
              <w:t>25.0%</w:t>
            </w:r>
          </w:p>
        </w:tc>
        <w:tc>
          <w:tcPr>
            <w:tcW w:w="880" w:type="dxa"/>
            <w:vAlign w:val="bottom"/>
          </w:tcPr>
          <w:p>
            <w:pPr>
              <w:jc w:val="right"/>
              <w:ind w:right="111"/>
              <w:spacing w:after="0"/>
              <w:rPr>
                <w:sz w:val="20"/>
                <w:szCs w:val="20"/>
                <w:color w:val="auto"/>
              </w:rPr>
            </w:pPr>
            <w:r>
              <w:rPr>
                <w:rFonts w:ascii="Courier New" w:cs="Courier New" w:eastAsia="Courier New" w:hAnsi="Courier New"/>
                <w:sz w:val="15"/>
                <w:szCs w:val="15"/>
                <w:color w:val="auto"/>
              </w:rPr>
              <w:t>34.18</w:t>
            </w:r>
          </w:p>
        </w:tc>
        <w:tc>
          <w:tcPr>
            <w:tcW w:w="780" w:type="dxa"/>
            <w:vAlign w:val="bottom"/>
          </w:tcPr>
          <w:p>
            <w:pPr>
              <w:spacing w:after="0"/>
              <w:rPr>
                <w:sz w:val="21"/>
                <w:szCs w:val="21"/>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37.33</w:t>
            </w:r>
          </w:p>
        </w:tc>
        <w:tc>
          <w:tcPr>
            <w:tcW w:w="520" w:type="dxa"/>
            <w:vAlign w:val="bottom"/>
          </w:tcPr>
          <w:p>
            <w:pPr>
              <w:spacing w:after="0"/>
              <w:rPr>
                <w:sz w:val="21"/>
                <w:szCs w:val="21"/>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40.47</w:t>
            </w: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39"/>
          </w:cols>
          <w:pgMar w:left="220" w:top="26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24</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PREMIUM PAID IN PROPOSED TRANSACTION</w:t>
      </w:r>
    </w:p>
    <w:p>
      <w:pPr>
        <w:spacing w:after="0" w:line="166" w:lineRule="exact"/>
        <w:rPr>
          <w:sz w:val="20"/>
          <w:szCs w:val="20"/>
          <w:color w:val="auto"/>
        </w:rPr>
      </w:pPr>
    </w:p>
    <w:p>
      <w:pPr>
        <w:ind w:left="1680" w:right="4539" w:hanging="883"/>
        <w:spacing w:after="0" w:line="344" w:lineRule="auto"/>
        <w:tabs>
          <w:tab w:leader="none" w:pos="16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Comcast/Liberty Offer Price: $46.00 Per Share Premium Over QVC Stock Price as of:</w:t>
      </w:r>
    </w:p>
    <w:p>
      <w:pPr>
        <w:spacing w:after="0" w:line="352"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Stock Price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Premium</w:t>
            </w:r>
          </w:p>
        </w:tc>
      </w:tr>
      <w:tr>
        <w:trPr>
          <w:trHeight w:val="245"/>
        </w:trPr>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June 29, 1994</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$32.38</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10</w:t>
            </w:r>
          </w:p>
        </w:tc>
        <w:tc>
          <w:tcPr>
            <w:tcW w:w="3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Trading Days Prior to June 29, 1994</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33.26</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38.3%</w:t>
            </w:r>
          </w:p>
        </w:tc>
      </w:tr>
      <w:tr>
        <w:trPr>
          <w:trHeight w:val="168"/>
        </w:trPr>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20</w:t>
            </w:r>
          </w:p>
        </w:tc>
        <w:tc>
          <w:tcPr>
            <w:tcW w:w="3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Trading Days Prior to June 29, 1994</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33.83</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3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July 12, 1994</w:t>
            </w:r>
          </w:p>
        </w:tc>
        <w:tc>
          <w:tcPr>
            <w:tcW w:w="14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36.00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r>
      <w:tr>
        <w:trPr>
          <w:trHeight w:val="245"/>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August</w:t>
            </w:r>
          </w:p>
        </w:tc>
        <w:tc>
          <w:tcPr>
            <w:tcW w:w="284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2, 1994</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44.25</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w:t>
            </w:r>
          </w:p>
        </w:tc>
      </w:tr>
    </w:tbl>
    <w:p>
      <w:pPr>
        <w:spacing w:after="0" w:line="259" w:lineRule="exact"/>
        <w:rPr>
          <w:sz w:val="20"/>
          <w:szCs w:val="20"/>
          <w:color w:val="auto"/>
        </w:rPr>
      </w:pPr>
    </w:p>
    <w:p>
      <w:pPr>
        <w:ind w:left="1680" w:hanging="883"/>
        <w:spacing w:after="0"/>
        <w:tabs>
          <w:tab w:leader="none" w:pos="16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Premiums Paid in Selected All Cash Merger Transactions:(1)</w:t>
      </w:r>
    </w:p>
    <w:p>
      <w:pPr>
        <w:spacing w:after="0" w:line="200" w:lineRule="exact"/>
        <w:rPr>
          <w:sz w:val="20"/>
          <w:szCs w:val="20"/>
          <w:color w:val="auto"/>
        </w:rPr>
      </w:pPr>
    </w:p>
    <w:p>
      <w:pPr>
        <w:spacing w:after="0" w:line="30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Average Premium</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38.6%</w:t>
            </w: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High</w:t>
            </w:r>
          </w:p>
        </w:tc>
        <w:tc>
          <w:tcPr>
            <w:tcW w:w="2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82.5%</w:t>
            </w:r>
          </w:p>
        </w:tc>
      </w:tr>
      <w:tr>
        <w:trPr>
          <w:trHeight w:val="245"/>
        </w:trPr>
        <w:tc>
          <w:tcPr>
            <w:tcW w:w="336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396" w:lineRule="exact"/>
        <w:rPr>
          <w:sz w:val="20"/>
          <w:szCs w:val="20"/>
          <w:color w:val="auto"/>
        </w:rPr>
      </w:pPr>
    </w:p>
    <w:p>
      <w:pPr>
        <w:ind w:left="1140" w:right="3839" w:hanging="343"/>
        <w:spacing w:after="0" w:line="344" w:lineRule="auto"/>
        <w:tabs>
          <w:tab w:leader="none" w:pos="11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detail in Comparison of Selected Acquisitions located in Exhibits.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39"/>
          </w:cols>
          <w:pgMar w:left="220" w:top="26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PAID IN COMPARABLE TRANSACTIONS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TRANSACTIONS REVIEWED:</w:t>
      </w:r>
    </w:p>
    <w:p>
      <w:pPr>
        <w:spacing w:after="0" w:line="166" w:lineRule="exact"/>
        <w:rPr>
          <w:sz w:val="20"/>
          <w:szCs w:val="20"/>
          <w:color w:val="auto"/>
        </w:rPr>
      </w:pPr>
    </w:p>
    <w:p>
      <w:pPr>
        <w:ind w:left="1240" w:hanging="443"/>
        <w:spacing w:after="0"/>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Media Mergers and Acquisitions within the Last Five Years</w:t>
      </w:r>
    </w:p>
    <w:p>
      <w:pPr>
        <w:spacing w:after="0" w:line="166" w:lineRule="exact"/>
        <w:rPr>
          <w:rFonts w:ascii="Courier New" w:cs="Courier New" w:eastAsia="Courier New" w:hAnsi="Courier New"/>
          <w:sz w:val="15"/>
          <w:szCs w:val="15"/>
          <w:color w:val="auto"/>
        </w:rPr>
      </w:pPr>
    </w:p>
    <w:p>
      <w:pPr>
        <w:ind w:left="2100" w:hanging="866"/>
        <w:spacing w:after="0"/>
        <w:tabs>
          <w:tab w:leader="none" w:pos="21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Values in Excess of $1.0 Billion</w:t>
      </w:r>
    </w:p>
    <w:p>
      <w:pPr>
        <w:spacing w:after="0" w:line="24" w:lineRule="exact"/>
        <w:rPr>
          <w:rFonts w:ascii="Courier New" w:cs="Courier New" w:eastAsia="Courier New" w:hAnsi="Courier New"/>
          <w:sz w:val="15"/>
          <w:szCs w:val="15"/>
          <w:color w:val="auto"/>
        </w:rPr>
      </w:pPr>
    </w:p>
    <w:p>
      <w:pPr>
        <w:ind w:left="2100" w:right="4279" w:hanging="866"/>
        <w:spacing w:after="0" w:line="237" w:lineRule="auto"/>
        <w:tabs>
          <w:tab w:leader="none" w:pos="21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All Cash or Cash and Stock Consideration</w:t>
      </w:r>
    </w:p>
    <w:p>
      <w:pPr>
        <w:ind w:left="2100" w:hanging="866"/>
        <w:spacing w:after="0"/>
        <w:tabs>
          <w:tab w:leader="none" w:pos="21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100% of Company</w:t>
      </w:r>
    </w:p>
    <w:p>
      <w:pPr>
        <w:spacing w:after="0" w:line="140" w:lineRule="exact"/>
        <w:rPr>
          <w:rFonts w:ascii="Courier New" w:cs="Courier New" w:eastAsia="Courier New" w:hAnsi="Courier New"/>
          <w:sz w:val="15"/>
          <w:szCs w:val="15"/>
          <w:color w:val="auto"/>
        </w:rPr>
      </w:pPr>
    </w:p>
    <w:p>
      <w:pPr>
        <w:ind w:left="1240" w:right="3319" w:hanging="443"/>
        <w:spacing w:after="0" w:line="344"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All or a Significant Portion of Cable Programmers within the Last Ten Years</w:t>
      </w:r>
    </w:p>
    <w:p>
      <w:pPr>
        <w:spacing w:after="0" w:line="17" w:lineRule="exact"/>
        <w:rPr>
          <w:rFonts w:ascii="Courier New" w:cs="Courier New" w:eastAsia="Courier New" w:hAnsi="Courier New"/>
          <w:sz w:val="15"/>
          <w:szCs w:val="15"/>
          <w:color w:val="auto"/>
        </w:rPr>
      </w:pPr>
    </w:p>
    <w:p>
      <w:pPr>
        <w:ind w:left="2100" w:right="4279" w:hanging="866"/>
        <w:spacing w:after="0" w:line="344" w:lineRule="auto"/>
        <w:tabs>
          <w:tab w:leader="none" w:pos="21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All Cash or Cash and Stock Consideration</w:t>
      </w:r>
    </w:p>
    <w:p>
      <w:pPr>
        <w:spacing w:after="0" w:line="17" w:lineRule="exact"/>
        <w:rPr>
          <w:rFonts w:ascii="Courier New" w:cs="Courier New" w:eastAsia="Courier New" w:hAnsi="Courier New"/>
          <w:sz w:val="15"/>
          <w:szCs w:val="15"/>
          <w:color w:val="auto"/>
        </w:rPr>
      </w:pPr>
    </w:p>
    <w:p>
      <w:pPr>
        <w:ind w:left="1240" w:right="3759" w:hanging="443"/>
        <w:spacing w:after="0" w:line="344" w:lineRule="auto"/>
        <w:tabs>
          <w:tab w:leader="none" w:pos="124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Acquisitions of Specialty Retailers and Selected General Retailers within the Last Five Years</w:t>
      </w:r>
    </w:p>
    <w:p>
      <w:pPr>
        <w:spacing w:after="0" w:line="17" w:lineRule="exact"/>
        <w:rPr>
          <w:rFonts w:ascii="Courier New" w:cs="Courier New" w:eastAsia="Courier New" w:hAnsi="Courier New"/>
          <w:sz w:val="15"/>
          <w:szCs w:val="15"/>
          <w:color w:val="auto"/>
        </w:rPr>
      </w:pPr>
    </w:p>
    <w:p>
      <w:pPr>
        <w:ind w:left="2100" w:right="4279" w:hanging="866"/>
        <w:spacing w:after="0" w:line="344" w:lineRule="auto"/>
        <w:tabs>
          <w:tab w:leader="none" w:pos="210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All Cash or Cash and Stock Consideration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39"/>
          </w:cols>
          <w:pgMar w:left="220" w:top="26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PAID IN COMPARABLE TRANSACTIONS</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Multiples Paid in Selected Acquisitions in Comparable Industries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2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Transaction Price as a Multiple of:</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Sales</w:t>
            </w:r>
          </w:p>
        </w:tc>
        <w:tc>
          <w:tcPr>
            <w:tcW w:w="520" w:type="dxa"/>
            <w:vAlign w:val="bottom"/>
          </w:tcPr>
          <w:p>
            <w:pPr>
              <w:spacing w:after="0"/>
              <w:rPr>
                <w:sz w:val="14"/>
                <w:szCs w:val="14"/>
                <w:color w:val="auto"/>
              </w:rPr>
            </w:pP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EBITDA</w:t>
            </w:r>
          </w:p>
        </w:tc>
        <w:tc>
          <w:tcPr>
            <w:tcW w:w="19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Book Value</w:t>
            </w:r>
          </w:p>
        </w:tc>
      </w:tr>
      <w:tr>
        <w:trPr>
          <w:trHeight w:val="245"/>
        </w:trPr>
        <w:tc>
          <w:tcPr>
            <w:tcW w:w="3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1"/>
                <w:szCs w:val="21"/>
                <w:color w:val="auto"/>
              </w:rPr>
            </w:pPr>
          </w:p>
        </w:tc>
        <w:tc>
          <w:tcPr>
            <w:tcW w:w="17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Comcast / Liberty Offer for QVC(1)</w:t>
            </w:r>
          </w:p>
        </w:tc>
        <w:tc>
          <w:tcPr>
            <w:tcW w:w="8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29.2</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x</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Comparable Transactions in(2):</w:t>
            </w: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Media --</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Average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21.3</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x</w:t>
            </w:r>
          </w:p>
        </w:tc>
      </w:tr>
      <w:tr>
        <w:trPr>
          <w:trHeight w:val="168"/>
        </w:trPr>
        <w:tc>
          <w:tcPr>
            <w:tcW w:w="312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5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c>
          <w:tcPr>
            <w:tcW w:w="6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w:t>
            </w:r>
          </w:p>
        </w:tc>
        <w:tc>
          <w:tcPr>
            <w:tcW w:w="9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c>
          <w:tcPr>
            <w:tcW w:w="360" w:type="dxa"/>
            <w:vAlign w:val="bottom"/>
          </w:tcPr>
          <w:p>
            <w:pPr>
              <w:spacing w:after="0"/>
              <w:rPr>
                <w:sz w:val="14"/>
                <w:szCs w:val="14"/>
                <w:color w:val="auto"/>
              </w:rPr>
            </w:pPr>
          </w:p>
        </w:tc>
      </w:tr>
      <w:tr>
        <w:trPr>
          <w:trHeight w:val="245"/>
        </w:trPr>
        <w:tc>
          <w:tcPr>
            <w:tcW w:w="3120" w:type="dxa"/>
            <w:vAlign w:val="bottom"/>
          </w:tcPr>
          <w:p>
            <w:pPr>
              <w:spacing w:after="0"/>
              <w:rPr>
                <w:sz w:val="21"/>
                <w:szCs w:val="21"/>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0.81</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9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21"/>
                <w:szCs w:val="2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Cable Programming --</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Average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920" w:type="dxa"/>
            <w:vAlign w:val="bottom"/>
          </w:tcPr>
          <w:p>
            <w:pPr>
              <w:spacing w:after="0"/>
              <w:rPr>
                <w:sz w:val="22"/>
                <w:szCs w:val="22"/>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22"/>
                <w:szCs w:val="22"/>
                <w:color w:val="auto"/>
              </w:rPr>
            </w:pPr>
          </w:p>
        </w:tc>
      </w:tr>
      <w:tr>
        <w:trPr>
          <w:trHeight w:val="168"/>
        </w:trPr>
        <w:tc>
          <w:tcPr>
            <w:tcW w:w="312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c>
          <w:tcPr>
            <w:tcW w:w="6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c>
          <w:tcPr>
            <w:tcW w:w="9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14"/>
                <w:szCs w:val="14"/>
                <w:color w:val="auto"/>
              </w:rPr>
            </w:pPr>
          </w:p>
        </w:tc>
      </w:tr>
      <w:tr>
        <w:trPr>
          <w:trHeight w:val="245"/>
        </w:trPr>
        <w:tc>
          <w:tcPr>
            <w:tcW w:w="3120" w:type="dxa"/>
            <w:vAlign w:val="bottom"/>
          </w:tcPr>
          <w:p>
            <w:pPr>
              <w:spacing w:after="0"/>
              <w:rPr>
                <w:sz w:val="21"/>
                <w:szCs w:val="21"/>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920" w:type="dxa"/>
            <w:vAlign w:val="bottom"/>
          </w:tcPr>
          <w:p>
            <w:pPr>
              <w:spacing w:after="0"/>
              <w:rPr>
                <w:sz w:val="21"/>
                <w:szCs w:val="21"/>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NA</w:t>
            </w:r>
          </w:p>
        </w:tc>
        <w:tc>
          <w:tcPr>
            <w:tcW w:w="360" w:type="dxa"/>
            <w:vAlign w:val="bottom"/>
          </w:tcPr>
          <w:p>
            <w:pPr>
              <w:spacing w:after="0"/>
              <w:rPr>
                <w:sz w:val="21"/>
                <w:szCs w:val="21"/>
                <w:color w:val="auto"/>
              </w:rPr>
            </w:pPr>
          </w:p>
        </w:tc>
      </w:tr>
      <w:tr>
        <w:trPr>
          <w:trHeight w:val="259"/>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Retail --</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Average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6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x</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x</w:t>
            </w:r>
          </w:p>
        </w:tc>
        <w:tc>
          <w:tcPr>
            <w:tcW w:w="11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2.82 x</w:t>
            </w:r>
          </w:p>
        </w:tc>
      </w:tr>
      <w:tr>
        <w:trPr>
          <w:trHeight w:val="168"/>
        </w:trPr>
        <w:tc>
          <w:tcPr>
            <w:tcW w:w="3120" w:type="dxa"/>
            <w:vAlign w:val="bottom"/>
          </w:tcPr>
          <w:p>
            <w:pPr>
              <w:spacing w:after="0"/>
              <w:rPr>
                <w:sz w:val="14"/>
                <w:szCs w:val="14"/>
                <w:color w:val="auto"/>
              </w:rPr>
            </w:pPr>
          </w:p>
        </w:tc>
        <w:tc>
          <w:tcPr>
            <w:tcW w:w="8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High</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5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14.3</w:t>
            </w:r>
          </w:p>
        </w:tc>
        <w:tc>
          <w:tcPr>
            <w:tcW w:w="6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w:t>
            </w:r>
          </w:p>
        </w:tc>
        <w:tc>
          <w:tcPr>
            <w:tcW w:w="920" w:type="dxa"/>
            <w:vAlign w:val="bottom"/>
          </w:tcPr>
          <w:p>
            <w:pPr>
              <w:spacing w:after="0"/>
              <w:rPr>
                <w:sz w:val="14"/>
                <w:szCs w:val="14"/>
                <w:color w:val="auto"/>
              </w:rPr>
            </w:pPr>
          </w:p>
        </w:tc>
        <w:tc>
          <w:tcPr>
            <w:tcW w:w="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4.34</w:t>
            </w:r>
          </w:p>
        </w:tc>
        <w:tc>
          <w:tcPr>
            <w:tcW w:w="360" w:type="dxa"/>
            <w:vAlign w:val="bottom"/>
          </w:tcPr>
          <w:p>
            <w:pPr>
              <w:spacing w:after="0"/>
              <w:rPr>
                <w:sz w:val="14"/>
                <w:szCs w:val="14"/>
                <w:color w:val="auto"/>
              </w:rPr>
            </w:pPr>
          </w:p>
        </w:tc>
      </w:tr>
      <w:tr>
        <w:trPr>
          <w:trHeight w:val="245"/>
        </w:trPr>
        <w:tc>
          <w:tcPr>
            <w:tcW w:w="3120" w:type="dxa"/>
            <w:vAlign w:val="bottom"/>
          </w:tcPr>
          <w:p>
            <w:pPr>
              <w:spacing w:after="0"/>
              <w:rPr>
                <w:sz w:val="21"/>
                <w:szCs w:val="21"/>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Low</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6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c>
          <w:tcPr>
            <w:tcW w:w="920" w:type="dxa"/>
            <w:vAlign w:val="bottom"/>
          </w:tcPr>
          <w:p>
            <w:pPr>
              <w:spacing w:after="0"/>
              <w:rPr>
                <w:sz w:val="21"/>
                <w:szCs w:val="21"/>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0.53</w:t>
            </w:r>
          </w:p>
        </w:tc>
        <w:tc>
          <w:tcPr>
            <w:tcW w:w="360" w:type="dxa"/>
            <w:vAlign w:val="bottom"/>
          </w:tcPr>
          <w:p>
            <w:pPr>
              <w:spacing w:after="0"/>
              <w:rPr>
                <w:sz w:val="21"/>
                <w:szCs w:val="21"/>
                <w:color w:val="auto"/>
              </w:rPr>
            </w:pPr>
          </w:p>
        </w:tc>
      </w:tr>
    </w:tbl>
    <w:p>
      <w:pPr>
        <w:spacing w:after="0" w:line="91" w:lineRule="exact"/>
        <w:rPr>
          <w:sz w:val="20"/>
          <w:szCs w:val="20"/>
          <w:color w:val="auto"/>
        </w:rPr>
      </w:pPr>
    </w:p>
    <w:p>
      <w:pPr>
        <w:ind w:left="360" w:hanging="350"/>
        <w:spacing w:after="0"/>
        <w:tabs>
          <w:tab w:leader="none" w:pos="3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offering price of $46.00 per share.</w:t>
      </w:r>
    </w:p>
    <w:p>
      <w:pPr>
        <w:spacing w:after="0" w:line="24"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detail in Comparison of Selected Acquisitions located in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39"/>
          </w:cols>
          <w:pgMar w:left="220" w:top="261"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2760" w:type="dxa"/>
            <w:vAlign w:val="bottom"/>
          </w:tcPr>
          <w:p>
            <w:pPr>
              <w:jc w:val="right"/>
              <w:ind w:right="2247"/>
              <w:spacing w:after="0"/>
              <w:rPr>
                <w:sz w:val="20"/>
                <w:szCs w:val="20"/>
                <w:color w:val="auto"/>
              </w:rPr>
            </w:pPr>
            <w:r>
              <w:rPr>
                <w:rFonts w:ascii="Courier New" w:cs="Courier New" w:eastAsia="Courier New" w:hAnsi="Courier New"/>
                <w:sz w:val="15"/>
                <w:szCs w:val="15"/>
                <w:color w:val="auto"/>
              </w:rPr>
              <w:t>27</w:t>
            </w:r>
          </w:p>
        </w:tc>
        <w:tc>
          <w:tcPr>
            <w:tcW w:w="4240" w:type="dxa"/>
            <w:vAlign w:val="bottom"/>
            <w:vMerge w:val="restart"/>
          </w:tcPr>
          <w:p>
            <w:pPr>
              <w:ind w:left="1800"/>
              <w:spacing w:after="0"/>
              <w:rPr>
                <w:sz w:val="20"/>
                <w:szCs w:val="20"/>
                <w:color w:val="auto"/>
              </w:rPr>
            </w:pPr>
            <w:r>
              <w:rPr>
                <w:rFonts w:ascii="Courier New" w:cs="Courier New" w:eastAsia="Courier New" w:hAnsi="Courier New"/>
                <w:sz w:val="15"/>
                <w:szCs w:val="15"/>
                <w:color w:val="auto"/>
                <w:w w:val="96"/>
              </w:rPr>
              <w:t>CONFIDENTIAL  AUGUST 4, 1994</w:t>
            </w:r>
          </w:p>
        </w:tc>
        <w:tc>
          <w:tcPr>
            <w:tcW w:w="0" w:type="dxa"/>
            <w:vAlign w:val="bottom"/>
          </w:tcPr>
          <w:p>
            <w:pPr>
              <w:spacing w:after="0"/>
              <w:rPr>
                <w:sz w:val="1"/>
                <w:szCs w:val="1"/>
                <w:color w:val="auto"/>
              </w:rPr>
            </w:pPr>
          </w:p>
        </w:tc>
      </w:tr>
      <w:tr>
        <w:trPr>
          <w:trHeight w:val="245"/>
        </w:trPr>
        <w:tc>
          <w:tcPr>
            <w:tcW w:w="2760" w:type="dxa"/>
            <w:vAlign w:val="bottom"/>
          </w:tcPr>
          <w:p>
            <w:pPr>
              <w:jc w:val="right"/>
              <w:ind w:right="1707"/>
              <w:spacing w:after="0"/>
              <w:rPr>
                <w:sz w:val="20"/>
                <w:szCs w:val="20"/>
                <w:color w:val="auto"/>
              </w:rPr>
            </w:pPr>
            <w:r>
              <w:rPr>
                <w:rFonts w:ascii="Courier New" w:cs="Courier New" w:eastAsia="Courier New" w:hAnsi="Courier New"/>
                <w:sz w:val="15"/>
                <w:szCs w:val="15"/>
                <w:color w:val="auto"/>
                <w:w w:val="96"/>
              </w:rPr>
              <w:t>PROJECT QVC</w:t>
            </w:r>
          </w:p>
        </w:tc>
        <w:tc>
          <w:tcPr>
            <w:tcW w:w="4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w:t>
      </w:r>
    </w:p>
    <w:p>
      <w:pPr>
        <w:spacing w:after="0" w:line="166" w:lineRule="exact"/>
        <w:rPr>
          <w:sz w:val="20"/>
          <w:szCs w:val="20"/>
          <w:color w:val="auto"/>
        </w:rPr>
      </w:pPr>
    </w:p>
    <w:p>
      <w:pPr>
        <w:ind w:left="1240" w:hanging="443"/>
        <w:spacing w:after="0"/>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Is Freely and Actively Traded on the NASDAQ</w:t>
      </w:r>
    </w:p>
    <w:p>
      <w:pPr>
        <w:spacing w:after="0" w:line="166" w:lineRule="exact"/>
        <w:rPr>
          <w:rFonts w:ascii="Courier New" w:cs="Courier New" w:eastAsia="Courier New" w:hAnsi="Courier New"/>
          <w:sz w:val="15"/>
          <w:szCs w:val="15"/>
          <w:color w:val="auto"/>
        </w:rPr>
      </w:pPr>
    </w:p>
    <w:p>
      <w:pPr>
        <w:ind w:left="1240" w:right="3579" w:hanging="443"/>
        <w:spacing w:after="0" w:line="344" w:lineRule="auto"/>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Behavior Was Affected by Various Events From December 1992 through August 2, 1994</w:t>
      </w:r>
    </w:p>
    <w:p>
      <w:pPr>
        <w:spacing w:after="0" w:line="17" w:lineRule="exact"/>
        <w:rPr>
          <w:rFonts w:ascii="Courier New" w:cs="Courier New" w:eastAsia="Courier New" w:hAnsi="Courier New"/>
          <w:sz w:val="15"/>
          <w:szCs w:val="15"/>
          <w:color w:val="auto"/>
        </w:rPr>
      </w:pPr>
    </w:p>
    <w:p>
      <w:pPr>
        <w:ind w:left="1240" w:right="3499" w:hanging="443"/>
        <w:spacing w:after="0" w:line="344" w:lineRule="auto"/>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Between June 30, 1994 and August 2, 1994 Reflected a Potential Merger or Acquisition Premium</w:t>
      </w:r>
    </w:p>
    <w:p>
      <w:pPr>
        <w:spacing w:after="0" w:line="17" w:lineRule="exact"/>
        <w:rPr>
          <w:rFonts w:ascii="Courier New" w:cs="Courier New" w:eastAsia="Courier New" w:hAnsi="Courier New"/>
          <w:sz w:val="15"/>
          <w:szCs w:val="15"/>
          <w:color w:val="auto"/>
        </w:rPr>
      </w:pPr>
    </w:p>
    <w:p>
      <w:pPr>
        <w:ind w:left="1240" w:right="3399" w:hanging="443"/>
        <w:spacing w:after="0" w:line="273" w:lineRule="auto"/>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QVC Common Stock Price of $32.38 Per Share on June 29, 1994, the Day Prior to the Announcement of the Proposed Transaction with CBS, Traded In-Line with the Range of Multiples of Comparable Companies</w:t>
      </w:r>
    </w:p>
    <w:p>
      <w:pPr>
        <w:spacing w:after="0" w:line="67" w:lineRule="exact"/>
        <w:rPr>
          <w:rFonts w:ascii="Courier New" w:cs="Courier New" w:eastAsia="Courier New" w:hAnsi="Courier New"/>
          <w:sz w:val="15"/>
          <w:szCs w:val="15"/>
          <w:color w:val="auto"/>
        </w:rPr>
      </w:pPr>
    </w:p>
    <w:p>
      <w:pPr>
        <w:ind w:left="1240" w:right="3399" w:hanging="443"/>
        <w:spacing w:after="0" w:line="320" w:lineRule="auto"/>
        <w:tabs>
          <w:tab w:leader="none" w:pos="12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QVC Common Stock Price of $32.38 Per Share on June 29, 1994, the Day Prior to the Announcement of the Proposed Transaction with CBS, in Our Opinion Is a Representative Price for that Security</w:t>
      </w:r>
    </w:p>
    <w:p>
      <w:pPr>
        <w:spacing w:after="0" w:line="38" w:lineRule="exact"/>
        <w:rPr>
          <w:rFonts w:ascii="Courier New" w:cs="Courier New" w:eastAsia="Courier New" w:hAnsi="Courier New"/>
          <w:sz w:val="14"/>
          <w:szCs w:val="14"/>
          <w:color w:val="auto"/>
        </w:rPr>
      </w:pPr>
    </w:p>
    <w:p>
      <w:pPr>
        <w:ind w:left="1240" w:right="3839" w:hanging="443"/>
        <w:spacing w:after="0" w:line="381" w:lineRule="auto"/>
        <w:tabs>
          <w:tab w:leader="none" w:pos="12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Offer of $46 Per Share is In-Line with Our Discounted Cash Flow Per Share Analysis of QVC Common Stock</w:t>
      </w:r>
    </w:p>
    <w:p>
      <w:pPr>
        <w:spacing w:after="0" w:line="1" w:lineRule="exact"/>
        <w:rPr>
          <w:rFonts w:ascii="Courier New" w:cs="Courier New" w:eastAsia="Courier New" w:hAnsi="Courier New"/>
          <w:sz w:val="14"/>
          <w:szCs w:val="14"/>
          <w:color w:val="auto"/>
        </w:rPr>
      </w:pPr>
    </w:p>
    <w:p>
      <w:pPr>
        <w:ind w:left="1240" w:right="3939" w:hanging="443"/>
        <w:spacing w:after="0" w:line="344" w:lineRule="auto"/>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Offer of $46 Per Share is within the Range of Premiums Paid in Comparable Transactions</w:t>
      </w:r>
    </w:p>
    <w:p>
      <w:pPr>
        <w:spacing w:after="0" w:line="17" w:lineRule="exact"/>
        <w:rPr>
          <w:rFonts w:ascii="Courier New" w:cs="Courier New" w:eastAsia="Courier New" w:hAnsi="Courier New"/>
          <w:sz w:val="15"/>
          <w:szCs w:val="15"/>
          <w:color w:val="auto"/>
        </w:rPr>
      </w:pPr>
    </w:p>
    <w:p>
      <w:pPr>
        <w:ind w:left="1240" w:right="3939" w:hanging="443"/>
        <w:spacing w:after="0" w:line="344" w:lineRule="auto"/>
        <w:tabs>
          <w:tab w:leader="none" w:pos="12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Offer of $46 Per Share is within the Range of Multiples Paid in Comparable Transactions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39"/>
          </w:cols>
          <w:pgMar w:left="220" w:top="260"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spacing w:after="0"/>
        <w:tabs>
          <w:tab w:leader="none" w:pos="4540" w:val="left"/>
          <w:tab w:leader="none" w:pos="5760" w:val="left"/>
        </w:tabs>
        <w:rPr>
          <w:sz w:val="20"/>
          <w:szCs w:val="20"/>
          <w:color w:val="auto"/>
        </w:rPr>
      </w:pPr>
      <w:r>
        <w:rPr>
          <w:rFonts w:ascii="Courier New" w:cs="Courier New" w:eastAsia="Courier New" w:hAnsi="Courier New"/>
          <w:sz w:val="15"/>
          <w:szCs w:val="15"/>
          <w:color w:val="auto"/>
        </w:rPr>
        <w:t>PROJECT QVC</w:t>
      </w:r>
      <w:r>
        <w:rPr>
          <w:sz w:val="20"/>
          <w:szCs w:val="20"/>
          <w:color w:val="auto"/>
        </w:rPr>
        <w:tab/>
      </w:r>
      <w:r>
        <w:rPr>
          <w:rFonts w:ascii="Courier New" w:cs="Courier New" w:eastAsia="Courier New" w:hAnsi="Courier New"/>
          <w:sz w:val="15"/>
          <w:szCs w:val="15"/>
          <w:color w:val="auto"/>
        </w:rPr>
        <w:t>CONFIDENTIAL</w:t>
      </w:r>
      <w:r>
        <w:rPr>
          <w:sz w:val="20"/>
          <w:szCs w:val="20"/>
          <w:color w:val="auto"/>
        </w:rPr>
        <w:tab/>
      </w:r>
      <w:r>
        <w:rPr>
          <w:rFonts w:ascii="Courier New" w:cs="Courier New" w:eastAsia="Courier New" w:hAnsi="Courier New"/>
          <w:sz w:val="14"/>
          <w:szCs w:val="14"/>
          <w:color w:val="auto"/>
        </w:rPr>
        <w:t>AUGUST 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Based on the Foregoing, We</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Are of</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the Opinion that the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Consideration</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to be Received in Connection with the</w:t>
            </w:r>
          </w:p>
        </w:tc>
        <w:tc>
          <w:tcPr>
            <w:tcW w:w="3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Merger by the Holders of QVC Stock and</w:t>
            </w:r>
          </w:p>
        </w:tc>
      </w:tr>
      <w:tr>
        <w:trPr>
          <w:trHeight w:val="168"/>
        </w:trPr>
        <w:tc>
          <w:tcPr>
            <w:tcW w:w="2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QVC Options Pursuant to the</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Merger</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Agreement Is Fair to</w:t>
            </w:r>
          </w:p>
        </w:tc>
        <w:tc>
          <w:tcPr>
            <w:tcW w:w="15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Such Holders,</w:t>
            </w:r>
          </w:p>
        </w:tc>
      </w:tr>
      <w:tr>
        <w:trPr>
          <w:trHeight w:val="245"/>
        </w:trPr>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Than Comcast and Liberty,</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from a Financial Point of View.</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39"/>
          </w:cols>
          <w:pgMar w:left="220" w:top="26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1</w:t>
      </w:r>
    </w:p>
    <w:p>
      <w:pPr>
        <w:spacing w:after="0" w:line="24"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Exhibit (d)(8)</w:t>
      </w:r>
    </w:p>
    <w:p>
      <w:pPr>
        <w:spacing w:after="0" w:line="30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40"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We consent to the use of our report dated March 4, 1994, with respect to the consolidated balance sheets of QVC, Inc. and subsidiaries as of January 31, 1994 and 1993, and the related consolidated statements of operations, shareholders' equity, and cash flows and related schedules for each of the years in the three-year period ended January 31, 1994, which report appears in Annex C to the Offer to Purchase which is incorporated by reference in the Schedule</w:t>
      </w:r>
    </w:p>
    <w:p>
      <w:pPr>
        <w:ind w:right="3399"/>
        <w:spacing w:after="0" w:line="307" w:lineRule="auto"/>
        <w:rPr>
          <w:sz w:val="20"/>
          <w:szCs w:val="20"/>
          <w:color w:val="auto"/>
        </w:rPr>
      </w:pPr>
      <w:r>
        <w:rPr>
          <w:rFonts w:ascii="Courier New" w:cs="Courier New" w:eastAsia="Courier New" w:hAnsi="Courier New"/>
          <w:sz w:val="15"/>
          <w:szCs w:val="15"/>
          <w:color w:val="auto"/>
        </w:rPr>
        <w:t>13E-3 of QVC, Inc., QVC Programming Holdings, Inc. and Comcast Corporation and Tele-Communications, Inc. dated August 11, 1994.</w:t>
      </w:r>
    </w:p>
    <w:p>
      <w:pPr>
        <w:spacing w:after="0" w:line="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report refers to a change in accounting for income taxes.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KPMG PEAT MARWICK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11, 1994</w:t>
      </w:r>
    </w:p>
    <w:sectPr>
      <w:pgSz w:w="11900" w:h="16838" w:orient="portrait"/>
      <w:cols w:equalWidth="0" w:num="1">
        <w:col w:w="10239"/>
      </w:cols>
      <w:pgMar w:left="22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lowerLetter"/>
      <w:start w:val="1"/>
    </w:lvl>
  </w:abstractNum>
  <w:abstractNum w:abstractNumId="4">
    <w:nsid w:val="70A64E2A"/>
    <w:multiLevelType w:val="hybridMultilevel"/>
    <w:lvl w:ilvl="0">
      <w:lvlJc w:val="left"/>
      <w:lvlText w:val="(%1)"/>
      <w:numFmt w:val="lowerLetter"/>
      <w:start w:val="6"/>
    </w:lvl>
  </w:abstractNum>
  <w:abstractNum w:abstractNumId="5">
    <w:nsid w:val="6A2342EC"/>
    <w:multiLevelType w:val="hybridMultilevel"/>
    <w:lvl w:ilvl="0">
      <w:lvlJc w:val="left"/>
      <w:lvlText w:val="(%1)"/>
      <w:numFmt w:val="lowerLetter"/>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1"/>
    </w:lvl>
  </w:abstractNum>
  <w:abstractNum w:abstractNumId="9">
    <w:nsid w:val="2CD89A32"/>
    <w:multiLevelType w:val="hybridMultilevel"/>
    <w:lvl w:ilvl="0">
      <w:lvlJc w:val="left"/>
      <w:lvlText w:val="(%1)"/>
      <w:numFmt w:val="lowerLetter"/>
      <w:start w:val="4"/>
    </w:lvl>
  </w:abstractNum>
  <w:abstractNum w:abstractNumId="10">
    <w:nsid w:val="57E4CCAF"/>
    <w:multiLevelType w:val="hybridMultilevel"/>
    <w:lvl w:ilvl="0">
      <w:lvlJc w:val="left"/>
      <w:lvlText w:val="(%1)"/>
      <w:numFmt w:val="lowerLetter"/>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
      <w:numFmt w:val="bullet"/>
      <w:start w:val="1"/>
    </w:lvl>
    <w:lvl w:ilvl="1">
      <w:lvlJc w:val="left"/>
      <w:lvlText w:val="(%2)"/>
      <w:numFmt w:val="lowerLetter"/>
      <w:start w:val="5"/>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lowerLetter"/>
      <w:start w:val="1"/>
    </w:lvl>
  </w:abstractNum>
  <w:abstractNum w:abstractNumId="17">
    <w:nsid w:val="32FFF902"/>
    <w:multiLevelType w:val="hybridMultilevel"/>
    <w:lvl w:ilvl="0">
      <w:lvlJc w:val="left"/>
      <w:lvlText w:val="(%1)"/>
      <w:numFmt w:val="lowerLetter"/>
      <w:start w:val="5"/>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upperLetter"/>
      <w:start w:val="35"/>
    </w:lvl>
  </w:abstractNum>
  <w:abstractNum w:abstractNumId="21">
    <w:nsid w:val="3DC240FB"/>
    <w:multiLevelType w:val="hybridMultilevel"/>
    <w:lvl w:ilvl="0">
      <w:lvlJc w:val="left"/>
      <w:lvlText w:val="%1."/>
      <w:numFmt w:val="upperLetter"/>
      <w:start w:val="61"/>
    </w:lvl>
  </w:abstractNum>
  <w:abstractNum w:abstractNumId="22">
    <w:nsid w:val="1BA026FA"/>
    <w:multiLevelType w:val="hybridMultilevel"/>
    <w:lvl w:ilvl="0">
      <w:lvlJc w:val="left"/>
      <w:lvlText w:val="-"/>
      <w:numFmt w:val="bullet"/>
      <w:start w:val="1"/>
    </w:lvl>
    <w:lvl w:ilvl="1">
      <w:lvlJc w:val="left"/>
      <w:lvlText w:val="%2"/>
      <w:numFmt w:val="upperLetter"/>
      <w:start w:val="1"/>
    </w:lvl>
  </w:abstractNum>
  <w:abstractNum w:abstractNumId="23">
    <w:nsid w:val="79A1DEAA"/>
    <w:multiLevelType w:val="hybridMultilevel"/>
    <w:lvl w:ilvl="0">
      <w:lvlJc w:val="left"/>
      <w:lvlText w:val="-"/>
      <w:numFmt w:val="bullet"/>
      <w:start w:val="1"/>
    </w:lvl>
    <w:lvl w:ilvl="1">
      <w:lvlJc w:val="left"/>
      <w:lvlText w:val="%2"/>
      <w:numFmt w:val="upperLetter"/>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
      <w:numFmt w:val="bullet"/>
      <w:start w:val="1"/>
    </w:lvl>
    <w:lvl w:ilvl="1">
      <w:lvlJc w:val="left"/>
      <w:lvlText w:val="%2"/>
      <w:numFmt w:val="upperLetter"/>
      <w:start w:val="1"/>
    </w:lvl>
  </w:abstractNum>
  <w:abstractNum w:abstractNumId="26">
    <w:nsid w:val="70C6A5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7">
    <w:nsid w:val="520EEDD1"/>
    <w:multiLevelType w:val="hybridMultilevel"/>
    <w:lvl w:ilvl="0">
      <w:lvlJc w:val="left"/>
      <w:lvlText w:val="-"/>
      <w:numFmt w:val="bullet"/>
      <w:start w:val="1"/>
    </w:lvl>
    <w:lvl w:ilvl="1">
      <w:lvlJc w:val="left"/>
      <w:lvlText w:val="%2"/>
      <w:numFmt w:val="upperLetter"/>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lvl w:ilvl="1">
      <w:lvlJc w:val="left"/>
      <w:lvlText w:val="-"/>
      <w:numFmt w:val="bullet"/>
      <w:start w:val="1"/>
    </w:lvl>
  </w:abstractNum>
  <w:abstractNum w:abstractNumId="30">
    <w:nsid w:val="23F9C13C"/>
    <w:multiLevelType w:val="hybridMultilevel"/>
    <w:lvl w:ilvl="0">
      <w:lvlJc w:val="left"/>
      <w:lvlText w:val="-"/>
      <w:numFmt w:val="bullet"/>
      <w:start w:val="1"/>
    </w:lvl>
    <w:lvl w:ilvl="1">
      <w:lvlJc w:val="left"/>
      <w:lvlText w:val="%2"/>
      <w:numFmt w:val="upperLetter"/>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1)"/>
      <w:numFmt w:val="decimal"/>
      <w:start w:val="1"/>
    </w:lvl>
  </w:abstractNum>
  <w:abstractNum w:abstractNumId="33">
    <w:nsid w:val="39386575"/>
    <w:multiLevelType w:val="hybridMultilevel"/>
    <w:lvl w:ilvl="0">
      <w:lvlJc w:val="left"/>
      <w:lvlText w:val="-"/>
      <w:numFmt w:val="bullet"/>
      <w:start w:val="1"/>
    </w:lvl>
    <w:lvl w:ilvl="1">
      <w:lvlJc w:val="left"/>
      <w:lvlText w:val="%2"/>
      <w:numFmt w:val="upperLetter"/>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lvl w:ilvl="1">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o"/>
      <w:numFmt w:val="bullet"/>
      <w:start w:val="1"/>
    </w:lvl>
  </w:abstractNum>
  <w:abstractNum w:abstractNumId="52">
    <w:nsid w:val="1DBABF00"/>
    <w:multiLevelType w:val="hybridMultilevel"/>
    <w:lvl w:ilvl="0">
      <w:lvlJc w:val="left"/>
      <w:lvlText w:val="o"/>
      <w:numFmt w:val="bullet"/>
      <w:start w:val="1"/>
    </w:lvl>
  </w:abstractNum>
  <w:abstractNum w:abstractNumId="53">
    <w:nsid w:val="4AD084E9"/>
    <w:multiLevelType w:val="hybridMultilevel"/>
    <w:lvl w:ilvl="0">
      <w:lvlJc w:val="left"/>
      <w:lvlText w:val="o"/>
      <w:numFmt w:val="bullet"/>
      <w:start w:val="1"/>
    </w:lvl>
  </w:abstractNum>
  <w:abstractNum w:abstractNumId="54">
    <w:nsid w:val="1F48EAA1"/>
    <w:multiLevelType w:val="hybridMultilevel"/>
    <w:lvl w:ilvl="0">
      <w:lvlJc w:val="left"/>
      <w:lvlText w:val="(%1)"/>
      <w:numFmt w:val="lowerRoman"/>
      <w:start w:val="1"/>
    </w:lvl>
  </w:abstractNum>
  <w:abstractNum w:abstractNumId="55">
    <w:nsid w:val="1381823A"/>
    <w:multiLevelType w:val="hybridMultilevel"/>
    <w:lvl w:ilvl="0">
      <w:lvlJc w:val="left"/>
      <w:lvlText w:val="(%1)"/>
      <w:numFmt w:val="lowerRoman"/>
      <w:start w:val="3"/>
    </w:lvl>
  </w:abstractNum>
  <w:abstractNum w:abstractNumId="56">
    <w:nsid w:val="5DB70AE5"/>
    <w:multiLevelType w:val="hybridMultilevel"/>
    <w:lvl w:ilvl="0">
      <w:lvlJc w:val="left"/>
      <w:lvlText w:val="(%1)"/>
      <w:numFmt w:val="lowerRoman"/>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lvl w:ilvl="1">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lvl w:ilvl="1">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lvl w:ilvl="1">
      <w:lvlJc w:val="left"/>
      <w:lvlText w:val="-"/>
      <w:numFmt w:val="bullet"/>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
      <w:numFmt w:val="bullet"/>
      <w:start w:val="1"/>
    </w:lvl>
    <w:lvl w:ilvl="1">
      <w:lvlJc w:val="left"/>
      <w:lvlText w:val="-"/>
      <w:numFmt w:val="bullet"/>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2019-12-16T12:45:01Z</dcterms:created>
  <dcterms:modified xsi:type="dcterms:W3CDTF">2019-12-16T12:45:01Z</dcterms:modified>
</cp:coreProperties>
</file>