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0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500" w:right="60" w:hanging="844"/>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500" w:hanging="803"/>
        <w:spacing w:after="0" w:line="242"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 for the Transition Period</w:t>
      </w:r>
    </w:p>
    <w:p>
      <w:pPr>
        <w:ind w:left="1500"/>
        <w:spacing w:after="0"/>
        <w:rPr>
          <w:rFonts w:ascii="Arial" w:cs="Arial" w:eastAsia="Arial" w:hAnsi="Arial"/>
          <w:sz w:val="22"/>
          <w:szCs w:val="22"/>
          <w:color w:val="auto"/>
        </w:rPr>
      </w:pPr>
      <w:r>
        <w:rPr>
          <w:rFonts w:ascii="Arial" w:cs="Arial" w:eastAsia="Arial" w:hAnsi="Arial"/>
          <w:sz w:val="22"/>
          <w:szCs w:val="22"/>
          <w:b w:val="1"/>
          <w:bCs w:val="1"/>
          <w:color w:val="auto"/>
        </w:rPr>
        <w:t>fromto</w:t>
      </w:r>
      <w:r>
        <w:rPr>
          <w:rFonts w:ascii="Arial" w:cs="Arial" w:eastAsia="Arial" w:hAnsi="Arial"/>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1270000</wp:posOffset>
            </wp:positionH>
            <wp:positionV relativeFrom="paragraph">
              <wp:posOffset>-29210</wp:posOffset>
            </wp:positionV>
            <wp:extent cx="1006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7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001-15471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COMCAST HOLDINGS CORPORATION</w:t>
      </w:r>
    </w:p>
    <w:p>
      <w:pPr>
        <w:spacing w:after="0" w:line="43" w:lineRule="exact"/>
        <w:rPr>
          <w:sz w:val="24"/>
          <w:szCs w:val="24"/>
          <w:color w:val="auto"/>
        </w:rPr>
      </w:pPr>
    </w:p>
    <w:tbl>
      <w:tblPr>
        <w:tblLayout w:type="fixed"/>
        <w:tblInd w:w="1760" w:type="dxa"/>
        <w:tblCellMar>
          <w:top w:w="0" w:type="dxa"/>
          <w:left w:w="0" w:type="dxa"/>
          <w:bottom w:w="0" w:type="dxa"/>
          <w:right w:w="0" w:type="dxa"/>
        </w:tblCellMar>
      </w:tblPr>
      <w:tr>
        <w:trPr>
          <w:trHeight w:val="222"/>
        </w:trPr>
        <w:tc>
          <w:tcPr>
            <w:tcW w:w="21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(Exact name of registrant as specified in its charter)</w:t>
            </w:r>
          </w:p>
        </w:tc>
      </w:tr>
      <w:tr>
        <w:trPr>
          <w:trHeight w:val="412"/>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PENNSYLVANIA</w:t>
            </w:r>
          </w:p>
        </w:tc>
        <w:tc>
          <w:tcPr>
            <w:tcW w:w="5400" w:type="dxa"/>
            <w:vAlign w:val="bottom"/>
          </w:tcPr>
          <w:p>
            <w:pPr>
              <w:jc w:val="center"/>
              <w:ind w:left="3992"/>
              <w:spacing w:after="0"/>
              <w:rPr>
                <w:sz w:val="20"/>
                <w:szCs w:val="20"/>
                <w:color w:val="auto"/>
              </w:rPr>
            </w:pPr>
            <w:r>
              <w:rPr>
                <w:rFonts w:ascii="Arial" w:cs="Arial" w:eastAsia="Arial" w:hAnsi="Arial"/>
                <w:sz w:val="18"/>
                <w:szCs w:val="18"/>
                <w:b w:val="1"/>
                <w:bCs w:val="1"/>
                <w:color w:val="auto"/>
                <w:w w:val="87"/>
              </w:rPr>
              <w:t>23-1709202</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89"/>
              </w:rPr>
              <w:t>(State or other jurisdiction of</w:t>
            </w:r>
          </w:p>
        </w:tc>
        <w:tc>
          <w:tcPr>
            <w:tcW w:w="5400" w:type="dxa"/>
            <w:vAlign w:val="bottom"/>
          </w:tcPr>
          <w:p>
            <w:pPr>
              <w:jc w:val="center"/>
              <w:ind w:left="3992"/>
              <w:spacing w:after="0"/>
              <w:rPr>
                <w:sz w:val="20"/>
                <w:szCs w:val="20"/>
                <w:color w:val="auto"/>
              </w:rPr>
            </w:pPr>
            <w:r>
              <w:rPr>
                <w:rFonts w:ascii="Arial" w:cs="Arial" w:eastAsia="Arial" w:hAnsi="Arial"/>
                <w:sz w:val="18"/>
                <w:szCs w:val="18"/>
                <w:color w:val="auto"/>
                <w:w w:val="90"/>
              </w:rPr>
              <w:t>(I.R.S. Employer</w:t>
            </w:r>
          </w:p>
        </w:tc>
      </w:tr>
      <w:tr>
        <w:trPr>
          <w:trHeight w:val="222"/>
        </w:trPr>
        <w:tc>
          <w:tcPr>
            <w:tcW w:w="2120" w:type="dxa"/>
            <w:vAlign w:val="bottom"/>
          </w:tcPr>
          <w:p>
            <w:pPr>
              <w:jc w:val="center"/>
              <w:spacing w:after="0"/>
              <w:rPr>
                <w:sz w:val="20"/>
                <w:szCs w:val="20"/>
                <w:color w:val="auto"/>
              </w:rPr>
            </w:pPr>
            <w:r>
              <w:rPr>
                <w:rFonts w:ascii="Arial" w:cs="Arial" w:eastAsia="Arial" w:hAnsi="Arial"/>
                <w:sz w:val="18"/>
                <w:szCs w:val="18"/>
                <w:color w:val="auto"/>
                <w:w w:val="89"/>
              </w:rPr>
              <w:t>incorporation or organization)</w:t>
            </w:r>
          </w:p>
        </w:tc>
        <w:tc>
          <w:tcPr>
            <w:tcW w:w="5400" w:type="dxa"/>
            <w:vAlign w:val="bottom"/>
          </w:tcPr>
          <w:p>
            <w:pPr>
              <w:jc w:val="center"/>
              <w:ind w:left="4012"/>
              <w:spacing w:after="0"/>
              <w:rPr>
                <w:sz w:val="20"/>
                <w:szCs w:val="20"/>
                <w:color w:val="auto"/>
              </w:rPr>
            </w:pPr>
            <w:r>
              <w:rPr>
                <w:rFonts w:ascii="Arial" w:cs="Arial" w:eastAsia="Arial" w:hAnsi="Arial"/>
                <w:sz w:val="18"/>
                <w:szCs w:val="18"/>
                <w:color w:val="auto"/>
                <w:w w:val="92"/>
              </w:rPr>
              <w:t>Identification No.)</w:t>
            </w:r>
          </w:p>
        </w:tc>
      </w:tr>
    </w:tbl>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1500 Market Street, Philadelphia, PA 19102-2148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(Zip Code)</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62" w:lineRule="exact"/>
        <w:rPr>
          <w:sz w:val="24"/>
          <w:szCs w:val="24"/>
          <w:color w:val="auto"/>
        </w:rPr>
      </w:pPr>
    </w:p>
    <w:p>
      <w:pPr>
        <w:jc w:val="center"/>
        <w:ind w:right="-99"/>
        <w:spacing w:after="0" w:line="207" w:lineRule="exact"/>
        <w:tabs>
          <w:tab w:leader="none" w:pos="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167005</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60"/>
        <w:spacing w:after="0" w:line="184" w:lineRule="exact"/>
        <w:tabs>
          <w:tab w:leader="none" w:pos="91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right="140" w:firstLine="341"/>
        <w:spacing w:after="0" w:line="268" w:lineRule="auto"/>
        <w:rPr>
          <w:sz w:val="20"/>
          <w:szCs w:val="20"/>
          <w:color w:val="auto"/>
        </w:rPr>
      </w:pPr>
      <w:r>
        <w:rPr>
          <w:rFonts w:ascii="Arial" w:cs="Arial" w:eastAsia="Arial" w:hAnsi="Arial"/>
          <w:sz w:val="18"/>
          <w:szCs w:val="18"/>
          <w:color w:val="auto"/>
        </w:rPr>
        <w:t>As of September 30, 2004, there were 21,591,115 shares of Class A Common Stock, 916,198,519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right="540" w:firstLine="348"/>
        <w:spacing w:after="0" w:line="268" w:lineRule="auto"/>
        <w:rPr>
          <w:sz w:val="20"/>
          <w:szCs w:val="20"/>
          <w:color w:val="auto"/>
        </w:rPr>
      </w:pPr>
      <w:r>
        <w:rPr>
          <w:rFonts w:ascii="Arial" w:cs="Arial" w:eastAsia="Arial" w:hAnsi="Arial"/>
          <w:sz w:val="18"/>
          <w:szCs w:val="18"/>
          <w:color w:val="auto"/>
        </w:rPr>
        <w:t>The Registrant meets the conditions set forth in General Instructions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85"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2004</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05"/>
        </w:trPr>
        <w:tc>
          <w:tcPr>
            <w:tcW w:w="700" w:type="dxa"/>
            <w:vAlign w:val="bottom"/>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2260" w:type="dxa"/>
            <w:vAlign w:val="bottom"/>
            <w:gridSpan w:val="6"/>
            <w:vMerge w:val="restart"/>
          </w:tcPr>
          <w:p>
            <w:pPr>
              <w:ind w:left="60"/>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7300" w:type="dxa"/>
            <w:vAlign w:val="bottom"/>
            <w:gridSpan w:val="3"/>
            <w:vMerge w:val="restart"/>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00" w:type="dxa"/>
            <w:vAlign w:val="bottom"/>
            <w:tcBorders>
              <w:bottom w:val="single" w:sz="8" w:color="0000EE"/>
            </w:tcBorders>
            <w:vMerge w:val="continue"/>
          </w:tcPr>
          <w:p>
            <w:pPr>
              <w:spacing w:after="0"/>
              <w:rPr>
                <w:sz w:val="24"/>
                <w:szCs w:val="24"/>
                <w:color w:val="auto"/>
              </w:rPr>
            </w:pPr>
          </w:p>
        </w:tc>
        <w:tc>
          <w:tcPr>
            <w:tcW w:w="2260" w:type="dxa"/>
            <w:vAlign w:val="bottom"/>
            <w:tcBorders>
              <w:bottom w:val="single" w:sz="8" w:color="0000EE"/>
            </w:tcBorders>
            <w:gridSpan w:val="6"/>
            <w:vMerge w:val="continue"/>
          </w:tcPr>
          <w:p>
            <w:pPr>
              <w:spacing w:after="0"/>
              <w:rPr>
                <w:sz w:val="24"/>
                <w:szCs w:val="24"/>
                <w:color w:val="auto"/>
              </w:rPr>
            </w:pPr>
          </w:p>
        </w:tc>
        <w:tc>
          <w:tcPr>
            <w:tcW w:w="730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0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Financial Statements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rPr>
              <w:t>Condensed Consolidated Balance Sheet as of September 30, 2004</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rPr>
              <w:t>and December 31, 2003 (Unaudited)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w w:val="93"/>
              </w:rPr>
              <w:t>Condensed Consolidated Statement of Operations for the Three and Nine Months Ended September 30,</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rPr>
              <w:t>2004 and 2003 (Unaudited)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w w:val="93"/>
              </w:rPr>
              <w:t>Condensed Consolidated Statement of Cash Flows for the Nine Months Ended September 30, 2004 and</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rPr>
              <w:t>2003 (Unaudited)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rPr>
              <w:t>Notes to Condensed Consolidated Financial Statements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3"/>
          </w:tcPr>
          <w:p>
            <w:pPr>
              <w:spacing w:after="0" w:line="184"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7900" w:type="dxa"/>
            <w:vAlign w:val="bottom"/>
            <w:gridSpan w:val="5"/>
          </w:tcPr>
          <w:p>
            <w:pPr>
              <w:ind w:left="140"/>
              <w:spacing w:after="0" w:line="184"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60" w:type="dxa"/>
            <w:vAlign w:val="bottom"/>
          </w:tcPr>
          <w:p>
            <w:pPr>
              <w:jc w:val="right"/>
              <w:spacing w:after="0" w:line="184"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790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Quantitative and Qualitative Disclosures about Market Risk</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790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Controls and Procedures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PART II.</w:t>
              </w:r>
            </w:hyperlink>
          </w:p>
        </w:tc>
        <w:tc>
          <w:tcPr>
            <w:tcW w:w="9560" w:type="dxa"/>
            <w:vAlign w:val="bottom"/>
            <w:gridSpan w:val="9"/>
          </w:tcPr>
          <w:p>
            <w:pPr>
              <w:ind w:left="12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w:t>
              </w:r>
            </w:hyperlink>
          </w:p>
        </w:tc>
        <w:tc>
          <w:tcPr>
            <w:tcW w:w="790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Legal Proceedings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9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6.</w:t>
              </w:r>
            </w:hyperlink>
          </w:p>
        </w:tc>
        <w:tc>
          <w:tcPr>
            <w:tcW w:w="790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Exhibits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3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-2364105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-2364105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This Quarterly Report on Form 10-Q is for the three and nine months ended September 30, 2004. This Quarterly Report modifies and supersedes documents filed prior to this Quarterly Report. Information that we file with the SEC in the future will automatically update and supersede information contained in this Quarterly Report. In this Quarterly Report, "Comcast Holdings," "we," "us" and "our" refer to Comcast Holdings Corporation and its subsidiaries, and "Comcast" refers to Comcast Corporation.</w:t>
      </w:r>
    </w:p>
    <w:p>
      <w:pPr>
        <w:spacing w:after="0" w:line="197" w:lineRule="exact"/>
        <w:rPr>
          <w:sz w:val="20"/>
          <w:szCs w:val="20"/>
          <w:color w:val="auto"/>
        </w:rPr>
      </w:pPr>
    </w:p>
    <w:p>
      <w:pPr>
        <w:ind w:right="20" w:firstLine="345"/>
        <w:spacing w:after="0" w:line="253" w:lineRule="auto"/>
        <w:rPr>
          <w:sz w:val="20"/>
          <w:szCs w:val="20"/>
          <w:color w:val="auto"/>
        </w:rPr>
      </w:pPr>
      <w:r>
        <w:rPr>
          <w:rFonts w:ascii="Arial" w:cs="Arial" w:eastAsia="Arial" w:hAnsi="Arial"/>
          <w:sz w:val="18"/>
          <w:szCs w:val="18"/>
          <w:color w:val="auto"/>
        </w:rPr>
        <w:t>You should carefully review the information contained in this Quarterly Report, and should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and uncertainties outlined below and in other reports we file with the SEC. Actual events or our actual results may differ materially from any of our forward-looking statements.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our businesses may be affected by:</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consolidation and mergers,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 related matters,</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conditions that may adversely affect the availability of debt and equity financing for working capital, capital expenditures or other purposes,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the programming content we distribute or the willingness of other video program distributors to carry our content,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540" w:firstLine="341"/>
        <w:spacing w:after="0" w:line="256" w:lineRule="auto"/>
        <w:rPr>
          <w:sz w:val="20"/>
          <w:szCs w:val="20"/>
          <w:color w:val="auto"/>
        </w:rPr>
      </w:pPr>
      <w:r>
        <w:rPr>
          <w:rFonts w:ascii="Arial" w:cs="Arial" w:eastAsia="Arial" w:hAnsi="Arial"/>
          <w:sz w:val="18"/>
          <w:szCs w:val="18"/>
          <w:color w:val="auto"/>
        </w:rPr>
        <w:t>As more fully described elsewhere in this Quarterly Report and in our Annual Report on Form 10-K for the year ended December 31, 2003, on September 17, 2003, we sold our approximate 57% interest in QVC, Inc., which markets a wide variety of products directly to consumers primarily on merchandise-focused television programs, to Liberty Media Corporation. Accordingly, financial information related to QVC is presented as a discontinued operation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8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QUARTER ENDED SEPTEMBER 30, 2004</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1"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7"/>
              </w:rPr>
              <w:t>(Dollars in millions, except share data)</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doubtful accounts of $66 and $74</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2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0" w:type="dxa"/>
            <w:vAlign w:val="bottom"/>
            <w:gridSpan w:val="2"/>
          </w:tcPr>
          <w:p>
            <w:pPr>
              <w:spacing w:after="0"/>
              <w:rPr>
                <w:sz w:val="20"/>
                <w:szCs w:val="20"/>
                <w:color w:val="auto"/>
              </w:rPr>
            </w:pPr>
            <w:r>
              <w:rPr>
                <w:rFonts w:ascii="Arial" w:cs="Arial" w:eastAsia="Arial" w:hAnsi="Arial"/>
                <w:sz w:val="18"/>
                <w:szCs w:val="18"/>
                <w:color w:val="auto"/>
              </w:rPr>
              <w:t>NOTES RECEIVABLE FROM AFFILIATES</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4,851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AFFILIATES,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$5,201 and $4,456</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FRANCHISE RIGHTS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$1,196 and $1,022</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41,437</w:t>
            </w:r>
          </w:p>
        </w:tc>
        <w:tc>
          <w:tcPr>
            <w:tcW w:w="2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40,402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2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2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7,487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TO AFFILIATES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Preferred stock—authorized, 20,000,000 shares; issued, zero</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2"/>
              </w:rPr>
              <w:t>Class A common stock, $1.00 par value—authorized, 200,000,000 shares; issued, 21,591,115</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Class A special common stock, $1.00 par value—authorized, 2,500,000,000 shares; issued,</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916,198,519</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5"/>
              </w:rPr>
              <w:t>Class B common stock, $1.00 par value—authorized, 50,000,000 shares; issued, 9,444,375</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Additional capital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8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19,560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41,437</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-7329170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-7329170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-7329170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-7329170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-6102985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-6102985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-6102985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-6102985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-5811520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-5811520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-5811520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-5811520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-4559300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-4559300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-4559300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-4559300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-3118485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-3118485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-3118485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-3118485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-2827020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-2827020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-2827020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-2827020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-614680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-614680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-614680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-614680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600"/>
          </w:cols>
          <w:pgMar w:left="240" w:top="125" w:right="1059" w:bottom="896"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125" w:right="1059" w:bottom="896"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254"/>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right"/>
              <w:ind w:right="253"/>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8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(excluding depreciation)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8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 (expense) on affiliate notes,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 in net losses of affiliates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18"/>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w w:val="97"/>
              </w:rPr>
              <w:t>INCOME (LOSS) FROM CONTINUING OPERATIONS BEFORE INCOME TAXES AND</w:t>
            </w: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3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8"/>
        </w:trPr>
        <w:tc>
          <w:tcPr>
            <w:tcW w:w="68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8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24"/>
                <w:szCs w:val="24"/>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18"/>
        </w:trPr>
        <w:tc>
          <w:tcPr>
            <w:tcW w:w="68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8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GAIN ON DISCONTINUED OPERATIONS, net of tax</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-5742940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-5742940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-5742940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-5742940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-5494020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-5494020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-5494020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-5494020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-5494020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-5494020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-5494020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-5494020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-4130675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-4130675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-4130675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-4130675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-4130675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-4130675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-4130675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-4130675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-3839210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-3839210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-3839210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-3839210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-3839210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-3839210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-3839210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-3839210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-2586990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-2586990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-2586990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-2586990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-2586990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-2586990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-2586990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-2586990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-2295525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-2295525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-2295525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-2295525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-2295525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-2295525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-2295525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-2295525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-1591945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-1591945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-1591945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-1591945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-1591945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-1591945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-1591945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-1591945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-1026160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-1026160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-1026160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-1026160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-1026160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-1026160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-1026160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-323215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-323215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-323215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-323215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Gain on discontinued operations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w w:val="97"/>
              </w:rPr>
              <w:t>Adjustments to reconcile net income from continuing operations to net cash provided by operating activities from</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Non-cash interest expense,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Non-cash interest (income) expense on affiliate notes, net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Equity in net losses of affiliates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Losses (gains) on investments and other (income) expense, net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Non-cash contribution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Proceeds from sales or exchanges of trading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9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Change in accounts receivable, net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Change in accounts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Change in other operating assets and liabilities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borrowings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Retirements and repayments of debt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affiliates</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118"/>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Proceeds from sales (purchases) of short-term investments, net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investments and assets held for sale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Additions to intangible and other noncurrent assets</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provided by investing activities from continuing operations</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96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960" w:type="dxa"/>
            <w:vAlign w:val="bottom"/>
            <w:gridSpan w:val="2"/>
          </w:tcPr>
          <w:p>
            <w:pPr>
              <w:spacing w:after="0"/>
              <w:rPr>
                <w:sz w:val="20"/>
                <w:szCs w:val="20"/>
                <w:color w:val="auto"/>
              </w:rPr>
            </w:pPr>
            <w:r>
              <w:rPr>
                <w:rFonts w:ascii="Arial" w:cs="Arial" w:eastAsia="Arial" w:hAnsi="Arial"/>
                <w:sz w:val="18"/>
                <w:szCs w:val="18"/>
                <w:color w:val="auto"/>
              </w:rPr>
              <w:t>(DECREASE) INCREASE IN CASH AND CASH EQUIVALENTS</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(824)</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96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9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9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-7715250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-7715250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-7466965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-7466965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-7466965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-7466965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-6514465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-6514465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-6514465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-6514465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-3719195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-3719195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-3719195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-3719195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-3427730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-3427730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-3427730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-3427730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-2586990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-2586990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-2586990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-2586990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-2295525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-2295525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-2295525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-2295525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-1180465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-1180465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-1180465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-1180465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-889000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-889000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-889000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-323215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540" w:right="6280" w:hanging="532"/>
        <w:spacing w:after="0" w:line="504" w:lineRule="auto"/>
        <w:tabs>
          <w:tab w:leader="none" w:pos="30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CONDENSED CONSOLIDATED FINANCIAL STATEMENTS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have prepared these unaudited condensed consolidated financial statements based upon Securities and Exchange Commission ("SEC") rules that permit reduced disclosure for interim periods. We are an indirect wholly owned subsidiary of Comcast Corporation ("Comcast"). Our presentation differs from the consolidated financial statements of Comcast by excluding both Comcast's corporate operations and certain cable operations, primarily those acquired from AT&amp;T in November 2002 (the "Broadband acquisition"). Subsequent to the Broadband acquisition, all of our and Comcast's cable operations are operated as a single integrated cable business unit. Our condensed consolidated financial statements reflect the assets, liabilities, revenues and expenses directly attributable to us, as well as allocations deemed reasonable by management, to present our financial position, results of operations and cash flows on a stand-alone basis. These allocations are further described in Note 10. All significant intercompany accounts and transactions within our financial statements have been eliminated.</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These financial statements include all adjustments that are necessary for a fair presentation of our financial condition and results of operations for the interim periods shown, including normal recurring accruals and other items. The results of operations for the interim periods presented are not necessarily indicative of results for the full year.</w:t>
      </w:r>
    </w:p>
    <w:p>
      <w:pPr>
        <w:spacing w:after="0" w:line="194" w:lineRule="exact"/>
        <w:rPr>
          <w:sz w:val="20"/>
          <w:szCs w:val="20"/>
          <w:color w:val="auto"/>
        </w:rPr>
      </w:pPr>
    </w:p>
    <w:p>
      <w:pPr>
        <w:jc w:val="both"/>
        <w:ind w:right="300" w:firstLine="351"/>
        <w:spacing w:after="0" w:line="332" w:lineRule="auto"/>
        <w:rPr>
          <w:sz w:val="20"/>
          <w:szCs w:val="20"/>
          <w:color w:val="auto"/>
        </w:rPr>
      </w:pPr>
      <w:r>
        <w:rPr>
          <w:rFonts w:ascii="Arial" w:cs="Arial" w:eastAsia="Arial" w:hAnsi="Arial"/>
          <w:sz w:val="16"/>
          <w:szCs w:val="16"/>
          <w:color w:val="auto"/>
        </w:rPr>
        <w:t>Effective in the first quarter of 2004, we changed the unit of accounting used for testing impairment of our indefinite-lived franchise rights to geographic regions and performed impairment testing of our cable franchise rights. We did not record any impairment charges in connection with this impairment testing.</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 more complete discussion of our accounting policies and certain other information, refer to our annual financial statements for the preceding fiscal year as filed with the SEC.</w:t>
      </w:r>
    </w:p>
    <w:p>
      <w:pPr>
        <w:spacing w:after="0" w:line="186"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On September 17, 2003, we completed the sale of our approximate 57% interest in QVC, Inc. Accordingly, QVC has been presented as a discontinued operation pursuant to Statement of Financial Accounting Standards ("SFAS") No. 144, "Accounting for the Impairment or Disposal of Long-Lived Assets."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results of operations of QVC included within income from discontinued operations, net of tax are as follows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tcPr>
          <w:p>
            <w:pPr>
              <w:jc w:val="right"/>
              <w:ind w:right="12"/>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Pr>
          <w:p>
            <w:pPr>
              <w:jc w:val="right"/>
              <w:ind w:right="72"/>
              <w:spacing w:after="0"/>
              <w:rPr>
                <w:sz w:val="20"/>
                <w:szCs w:val="20"/>
                <w:color w:val="auto"/>
              </w:rPr>
            </w:pPr>
            <w:r>
              <w:rPr>
                <w:rFonts w:ascii="Arial" w:cs="Arial" w:eastAsia="Arial" w:hAnsi="Arial"/>
                <w:sz w:val="14"/>
                <w:szCs w:val="14"/>
                <w:b w:val="1"/>
                <w:bCs w:val="1"/>
                <w:color w:val="auto"/>
              </w:rPr>
              <w:t>September 30, 2003</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jc w:val="right"/>
              <w:ind w:right="420"/>
              <w:spacing w:after="0"/>
              <w:rPr>
                <w:sz w:val="20"/>
                <w:szCs w:val="20"/>
                <w:color w:val="auto"/>
              </w:rPr>
            </w:pPr>
            <w:r>
              <w:rPr>
                <w:rFonts w:ascii="Arial" w:cs="Arial" w:eastAsia="Arial" w:hAnsi="Arial"/>
                <w:sz w:val="14"/>
                <w:szCs w:val="14"/>
                <w:b w:val="1"/>
                <w:bCs w:val="1"/>
                <w:color w:val="auto"/>
              </w:rPr>
              <w:t>September 30,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60" w:type="dxa"/>
            <w:vAlign w:val="bottom"/>
            <w:gridSpan w:val="2"/>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before income taxes and minority interest</w:t>
            </w:r>
          </w:p>
        </w:tc>
        <w:tc>
          <w:tcPr>
            <w:tcW w:w="2360" w:type="dxa"/>
            <w:vAlign w:val="bottom"/>
            <w:gridSpan w:val="2"/>
          </w:tcPr>
          <w:p>
            <w:pPr>
              <w:jc w:val="right"/>
              <w:ind w:right="159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60" w:type="dxa"/>
            <w:vAlign w:val="bottom"/>
            <w:gridSpan w:val="2"/>
            <w:shd w:val="clear" w:color="auto" w:fill="CCEEFF"/>
          </w:tcPr>
          <w:p>
            <w:pPr>
              <w:jc w:val="right"/>
              <w:ind w:right="15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-492760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-492760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-492760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-492760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Both periods presented above include QVC's operations through August 31, 2003, as reported to us by QVC.</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reclassifications have been made to the prior year financial statements to conform to those classifications used in 2004.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540" w:right="7300" w:hanging="532"/>
        <w:spacing w:after="0" w:line="504" w:lineRule="auto"/>
        <w:tabs>
          <w:tab w:leader="none" w:pos="30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i w:val="1"/>
          <w:iCs w:val="1"/>
          <w:color w:val="auto"/>
        </w:rPr>
        <w:t>FIN 46/FIN 46R</w:t>
      </w:r>
    </w:p>
    <w:p>
      <w:pPr>
        <w:spacing w:after="0" w:line="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January 2003, the Financial Accounting Standards Board ("FASB") issued Interpretation No. 46, "Consolidation of Variable Interest Entities" ("FIN 46"). We adopted the provisions of FIN 46 effective January 1, 2002. Since our initial application of FIN 46, the FASB addressed various implementation issues regarding the application of FIN 46 to entities outside its originally interpreted scope, focusing on Special Purpose Entities, or SPEs. In December 2003, the FASB revised FIN 46 ("FIN 46R"), which delayed the required implementation date until March 31, 2004 for entities that are not SPEs. The adoption of FIN 46R did not have a material impact on our financial condition or results of operations.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EITF 03-16</w:t>
      </w:r>
    </w:p>
    <w:p>
      <w:pPr>
        <w:spacing w:after="0" w:line="225" w:lineRule="exact"/>
        <w:rPr>
          <w:sz w:val="20"/>
          <w:szCs w:val="20"/>
          <w:color w:val="auto"/>
        </w:rPr>
      </w:pPr>
    </w:p>
    <w:p>
      <w:pPr>
        <w:jc w:val="both"/>
        <w:ind w:right="40" w:firstLine="351"/>
        <w:spacing w:after="0" w:line="284" w:lineRule="auto"/>
        <w:rPr>
          <w:sz w:val="20"/>
          <w:szCs w:val="20"/>
          <w:color w:val="auto"/>
        </w:rPr>
      </w:pPr>
      <w:r>
        <w:rPr>
          <w:rFonts w:ascii="Arial" w:cs="Arial" w:eastAsia="Arial" w:hAnsi="Arial"/>
          <w:sz w:val="16"/>
          <w:szCs w:val="16"/>
          <w:color w:val="auto"/>
        </w:rPr>
        <w:t>In March 2004, the Emerging Issues Task Force ("EITF") reached a consensus regarding Issue No. 03-16, "Accounting for Investments in Limited Liability Companies" ("EITF 03-16"). EITF 03-16 requires investments in limited liability companies ("LLCs") that have separate ownership accounts for each investor to be accounted for similar to a limited partnership investment under Statement of Position No. 78-9, "Accounting for Investments in Real Estate Ventures."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Investors are required to apply the equity method of accounting to their investments at a much lower ownership threshold than the 20% threshold applied under Accounting Principles Board ("APB") No. 18, "The Equity Method of Accounting for Investments in Common Stock." EITF 03-16 is effective for the first period beginning after June 15, 2004. We adopted EITF 03-16 on July 1, 2004. The adoption of EITF 03-16 did not have a material impact on our financial condition or results of operations.</w:t>
      </w:r>
    </w:p>
    <w:p>
      <w:pPr>
        <w:spacing w:after="0" w:line="192" w:lineRule="exact"/>
        <w:rPr>
          <w:sz w:val="20"/>
          <w:szCs w:val="20"/>
          <w:color w:val="auto"/>
        </w:rPr>
      </w:pPr>
    </w:p>
    <w:p>
      <w:pPr>
        <w:ind w:left="540" w:right="6740" w:hanging="532"/>
        <w:spacing w:after="0" w:line="504" w:lineRule="auto"/>
        <w:tabs>
          <w:tab w:leader="none" w:pos="29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OTHER SIGNIFICANT EVENTS </w:t>
      </w:r>
      <w:r>
        <w:rPr>
          <w:rFonts w:ascii="Arial" w:cs="Arial" w:eastAsia="Arial" w:hAnsi="Arial"/>
          <w:sz w:val="18"/>
          <w:szCs w:val="18"/>
          <w:i w:val="1"/>
          <w:iCs w:val="1"/>
          <w:color w:val="auto"/>
        </w:rPr>
        <w:t>TechTV</w:t>
      </w:r>
    </w:p>
    <w:p>
      <w:pPr>
        <w:spacing w:after="0" w:line="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10, 2004, we completed the purchase of TechTV Inc. ("TechTV") by acquiring all outstanding common and preferred stock of TechTV from Vulcan Programming Inc. for approximately $300 million in cash, funded with borrowings under a note payable to affiliate. Substantially all of the purchase price has been recorded as an intangible asset pending the completion of a formal valuation. The results of TechTV are not material for pro forma presentation. On May 28, 2004, G4, our wholly-owned subsidiary, and TechTV began operating as one network called G4techTV, which is available to approximately 44 million cable and satellite homes nationwide. We have classified G4techTV as part of our content business segment (see Note 9).</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Liberty Exchange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28, 2004, we exchanged approximately 120 million shares of Liberty Media Corporation ("Liberty") Series A common stock that we held (see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Note 4), valued at approximately $1.022 billion based upon the price of Liberty common stock on the closing date of the transaction, with Liberty for 100%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of Liberty's subsidiary, Encore ICCP, Inc. ("Encore"). Encore's assets consisted of cash of approximately $547 million, a 10.4% interest in E! Entertainment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Television, Inc. ("E!") and 100% of the International Cable Channels Partnership, Ltd. ("International Channel Networks"). We also received all of Liberty's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benefits and obligations under the TCI Music contribution agreement (an agreement between another Comcast cable subsidiary and Liberty),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in the resolution of all pending litigation between Liberty and Comcast regarding the contribution agreement. The Liberty exchange increased our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portfolio of programming investments because we now own 60.5% of E! and 100% of International Channel Networks. The exchange was structured as a tax free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transaction. We allocated the value of the shares exchanged in the transaction between cash, our additional investment in E!, International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Channel Networks and the resolution of the Comcast litigation related to the contribution agreement. The values of certain assets and liabilities are based on preliminary valuations and are subject to adjustment as the valuation reports and any additional information are obtained. The effects of our acquisition of the additional interest in E! and the acquisition of International Channel Networks have been reflected in our consolidated statement of operations from the date of the transaction. The results of International Channel Networks and the impact of our additional interest in E! are not material for pro forma presentation.</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INVESTMENTS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16"/>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Fair value method</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Liberty Media Corporation</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872</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Liberty Media International</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Sprint</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method</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430"/>
        </w:trPr>
        <w:tc>
          <w:tcPr>
            <w:tcW w:w="4100" w:type="dxa"/>
            <w:vAlign w:val="bottom"/>
            <w:gridSpan w:val="2"/>
          </w:tcPr>
          <w:p>
            <w:pPr>
              <w:spacing w:after="0"/>
              <w:rPr>
                <w:sz w:val="20"/>
                <w:szCs w:val="20"/>
                <w:color w:val="auto"/>
              </w:rPr>
            </w:pPr>
            <w:r>
              <w:rPr>
                <w:rFonts w:ascii="Arial" w:cs="Arial" w:eastAsia="Arial" w:hAnsi="Arial"/>
                <w:sz w:val="18"/>
                <w:szCs w:val="18"/>
                <w:color w:val="auto"/>
              </w:rPr>
              <w:t>Less, current investments</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Noncurrent investments</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-2681605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-2681605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-2681605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-2681605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-1591945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-1591945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-1591945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-1591945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-889000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-889000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-889000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Fair Value Method</w:t>
      </w:r>
    </w:p>
    <w:p>
      <w:pPr>
        <w:spacing w:after="0" w:line="225" w:lineRule="exact"/>
        <w:rPr>
          <w:sz w:val="20"/>
          <w:szCs w:val="20"/>
          <w:color w:val="auto"/>
        </w:rPr>
      </w:pPr>
    </w:p>
    <w:p>
      <w:pPr>
        <w:jc w:val="both"/>
        <w:ind w:right="360" w:firstLine="348"/>
        <w:spacing w:after="0" w:line="256" w:lineRule="auto"/>
        <w:rPr>
          <w:sz w:val="20"/>
          <w:szCs w:val="20"/>
          <w:color w:val="auto"/>
        </w:rPr>
      </w:pPr>
      <w:r>
        <w:rPr>
          <w:rFonts w:ascii="Arial" w:cs="Arial" w:eastAsia="Arial" w:hAnsi="Arial"/>
          <w:sz w:val="18"/>
          <w:szCs w:val="18"/>
          <w:color w:val="auto"/>
        </w:rPr>
        <w:t>We hold unrestricted equity investments, which we account for as available for sale or trading securities, in certain publicly traded companies. The net unrealized pre-tax gains on investments accounted for as available for sale securities as of September 30, 2004, and December 31, 2003, of $10 million and $42 million, respectively, have been reported in our consolidated balance sheet principally as a component of accumulated other comprehensive loss, net of related deferred income taxes of $4 million and $15 million, respectively.</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June 7, 2004, we received approximately 11 million shares of Liberty Media International, Inc. ("Liberty International") Series A common stock in connection with the spin-off by Liberty of Liberty International. In the spin-off, each share of Liberty Series A and Series B common stock received 0.05 shares of the new Liberty International Series A common stock. We have classified all of the shares of Liberty International Series A common stock that we received as trading securities recorded at fair value within noncurrent investments. Approximately 5 million of these shares collateralize a portion of the ten-year prepaid forward sale of Liberty common stock that we entered into in December 2003.</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fair value and unrealized gains and losses related to our available for sale securities are as follows (in millions):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Unrealized gains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59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900" w:type="dxa"/>
            <w:vAlign w:val="bottom"/>
            <w:gridSpan w:val="2"/>
          </w:tcPr>
          <w:p>
            <w:pPr>
              <w:ind w:left="78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00" w:type="dxa"/>
            <w:vAlign w:val="bottom"/>
            <w:gridSpan w:val="2"/>
            <w:vMerge w:val="restart"/>
          </w:tcPr>
          <w:p>
            <w:pPr>
              <w:ind w:left="180"/>
              <w:spacing w:after="0"/>
              <w:rPr>
                <w:sz w:val="20"/>
                <w:szCs w:val="20"/>
                <w:color w:val="auto"/>
              </w:rPr>
            </w:pPr>
            <w:r>
              <w:rPr>
                <w:rFonts w:ascii="Arial" w:cs="Arial" w:eastAsia="Arial" w:hAnsi="Arial"/>
                <w:sz w:val="18"/>
                <w:szCs w:val="18"/>
                <w:i w:val="1"/>
                <w:iCs w:val="1"/>
                <w:color w:val="auto"/>
              </w:rPr>
              <w:t>Investment Income (Loss), Net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gridSpan w:val="6"/>
          </w:tcPr>
          <w:p>
            <w:pPr>
              <w:jc w:val="right"/>
              <w:ind w:right="480"/>
              <w:spacing w:after="0"/>
              <w:rPr>
                <w:sz w:val="20"/>
                <w:szCs w:val="20"/>
                <w:color w:val="auto"/>
              </w:rPr>
            </w:pPr>
            <w:r>
              <w:rPr>
                <w:rFonts w:ascii="Arial" w:cs="Arial" w:eastAsia="Arial" w:hAnsi="Arial"/>
                <w:sz w:val="18"/>
                <w:szCs w:val="18"/>
                <w:color w:val="auto"/>
                <w:w w:val="90"/>
              </w:rPr>
              <w:t>Investment income (loss), net for the interim periods includes the following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6"/>
          </w:tcPr>
          <w:p>
            <w:pPr>
              <w:jc w:val="center"/>
              <w:ind w:left="20"/>
              <w:spacing w:after="0"/>
              <w:rPr>
                <w:sz w:val="20"/>
                <w:szCs w:val="20"/>
                <w:color w:val="auto"/>
              </w:rPr>
            </w:pPr>
            <w:r>
              <w:rPr>
                <w:rFonts w:ascii="Arial" w:cs="Arial" w:eastAsia="Arial" w:hAnsi="Arial"/>
                <w:sz w:val="14"/>
                <w:szCs w:val="14"/>
                <w:b w:val="1"/>
                <w:bCs w:val="1"/>
                <w:color w:val="auto"/>
                <w:w w:val="88"/>
              </w:rPr>
              <w:t>Nine Months Ended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0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18"/>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dividend and other investment income (expense)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Gains on sales and exchanges of investments,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losses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Mark to market adjustments on trading 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0"/>
              </w:rPr>
              <w:t>Mark to market adjustments on derivatives related to trading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Mark to market adjustments on derivatives and hedged items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(loss), net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-3590290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-3590290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-3590290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-3590290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-3024505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-3024505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-3024505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-3024505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-1549400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-1549400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-1549400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-1549400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-1300480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-1300480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-1300480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-1300480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-1300480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-1300480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-1300480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-1300480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-323215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-323215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-323215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-323215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-323215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September 30, 2004, we sold our 20% interest in DHC Ventures, LLC (Discovery Health Channel) to Discovery Communications, Inc. for approximately $149 million in cash and recognized a gain on the sale of approximately $94 million to other income.</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Cross-Guarantee Structure</w:t>
      </w:r>
    </w:p>
    <w:p>
      <w:pPr>
        <w:spacing w:after="0" w:line="225"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To simplify Comcast's capital structure, Comcast and certain of its cable holding company subsidiaries, including our wholly owned subsidiary Comcast Cable Communications, LLC ("Comcast Cable"), have unconditionally guaranteed each other's debt securities and indebtedness for borrowed money. As of September 30, 2004, $20.588 billion of Comcast's debt securities were entitled to the benefits of the cross-guarantee structure, including $6.350 billion of Comcast Cable's debt securities.</w:t>
      </w:r>
    </w:p>
    <w:p>
      <w:pPr>
        <w:spacing w:after="0" w:line="19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Comcast Holdings Corporation is not a guarantor, and none of its debt is guaranteed. As of September 30, 2004, $905 million of debt was outstanding at Comcast Holdings Corporation.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Repayments of Senior Notes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March 31, 2004, we repaid all $250 million principal amount of our 8.875% senior notes due 2007. On May 1, 2004, we repaid all $300 million principal amount of our 8.125% senior notes due 2004. These repayments were both financed with available cash.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ZONES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ZONES of $1.807 billion or the market value of Sprint common stock. Prior to maturity, each ZONES is exchangeable at the holders' option for an amount of cash equal to 95% of the market value of Sprint common stock.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separated the accounting for the ZONES into derivative and debt components. We record the change in the fair value of the derivative component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ZONES and the change in the carrying value of the debt component of the ZONES as follows (in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ZONES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5"/>
          </w:tcPr>
          <w:p>
            <w:pPr>
              <w:jc w:val="right"/>
              <w:ind w:right="2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right"/>
              <w:ind w:right="45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Debt component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component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debt component to interest expense</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Change in derivative component to investment income (loss), net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Debt component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component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-2733040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-2733040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-2389505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-2389505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-2141220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-2141220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-2141220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-2141220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-1574800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-1574800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-1574800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-1574800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-323215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Excluding the derivative component of the ZONES whose changes in fair value are recorded to investment income (loss), net, our effective weighted average interest rate was 7.48% and 7.56% as of September 30, 2004 and December 31, 2003,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ind w:right="800" w:firstLine="348"/>
        <w:spacing w:after="0" w:line="332" w:lineRule="auto"/>
        <w:rPr>
          <w:sz w:val="20"/>
          <w:szCs w:val="20"/>
          <w:color w:val="auto"/>
        </w:rPr>
      </w:pPr>
      <w:r>
        <w:rPr>
          <w:rFonts w:ascii="Arial" w:cs="Arial" w:eastAsia="Arial" w:hAnsi="Arial"/>
          <w:sz w:val="16"/>
          <w:szCs w:val="16"/>
          <w:color w:val="auto"/>
        </w:rPr>
        <w:t>We use derivative financial instruments to manage our exposure to fluctuations in interest rates and securities prices. We have issued indexed debt instruments and prepaid forward sale agreements whose value, in part, is derived from the market value of certain publicly traded common stock.</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Lines and Letters of Credit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2004, we and certain of our subsidiaries had unused lines of credit of $287 million under our respective credit facilities.</w:t>
      </w:r>
    </w:p>
    <w:p>
      <w:pPr>
        <w:spacing w:after="0" w:line="248"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September 30, 2004, we and certain of our subsidiaries had unused irrevocable standby letters of credit totaling $13 million to cover potential fundings under various agreements.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STOCKHOLDERS' EQUITY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account for stock-based compensation in accordance with APB Opinion No. 25, "Accounting for Stock Issued to Employees," and related interpretations, as permitted by SFAS No. 123, "Accounting for Stock-Based Compensation," ("SFAS No. 123") as amended. Compensation expense for stock options is measured as the excess, if any, of the quoted market price of the stock at the date of the grant over the amount an employee must pay to acquire the stock. We record compensation expense for restricted stock awards based on the quoted market price of the stock at the date of the grant and the vesting period. We record compensation expense for stock appreciation rights based on the changes in quoted market prices of the stock or other determinants of fair value.</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table illustrates the effect that applying the fair value recognition provisions of SFAS No. 123 to stock-based compensation would have had on net income. Upon further analysis during 2003, it was determined that the expected option lives for options granted in prior years should have been seven years rather than the eight years used previously. The amounts in the table reflect this revision for all periods presented. Total stock-based compensation expense was determined under the fair value based method for all awards using the accelerated recognition method as permitted under SFAS No. 123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01"/>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6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Add:</w:t>
            </w:r>
          </w:p>
        </w:tc>
        <w:tc>
          <w:tcPr>
            <w:tcW w:w="6100" w:type="dxa"/>
            <w:vAlign w:val="bottom"/>
          </w:tcPr>
          <w:p>
            <w:pPr>
              <w:ind w:left="240"/>
              <w:spacing w:after="0"/>
              <w:rPr>
                <w:sz w:val="20"/>
                <w:szCs w:val="20"/>
                <w:color w:val="auto"/>
              </w:rPr>
            </w:pPr>
            <w:r>
              <w:rPr>
                <w:rFonts w:ascii="Arial" w:cs="Arial" w:eastAsia="Arial" w:hAnsi="Arial"/>
                <w:sz w:val="18"/>
                <w:szCs w:val="18"/>
                <w:color w:val="auto"/>
                <w:w w:val="94"/>
              </w:rPr>
              <w:t>Total stock-based compensation expense included in net income, as reported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above</w:t>
            </w: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Total stock-based compensation expense determined under fair value based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method for all awards relating to continuing operations, net of related tax</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effects</w:t>
            </w:r>
          </w:p>
        </w:tc>
        <w:tc>
          <w:tcPr>
            <w:tcW w:w="5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(20)</w:t>
            </w:r>
          </w:p>
        </w:tc>
        <w:tc>
          <w:tcPr>
            <w:tcW w:w="6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Deduct:</w:t>
            </w:r>
          </w:p>
        </w:tc>
        <w:tc>
          <w:tcPr>
            <w:tcW w:w="6100" w:type="dxa"/>
            <w:vAlign w:val="bottom"/>
          </w:tcPr>
          <w:p>
            <w:pPr>
              <w:ind w:left="240"/>
              <w:spacing w:after="0"/>
              <w:rPr>
                <w:sz w:val="20"/>
                <w:szCs w:val="20"/>
                <w:color w:val="auto"/>
              </w:rPr>
            </w:pPr>
            <w:r>
              <w:rPr>
                <w:rFonts w:ascii="Arial" w:cs="Arial" w:eastAsia="Arial" w:hAnsi="Arial"/>
                <w:sz w:val="18"/>
                <w:szCs w:val="18"/>
                <w:color w:val="auto"/>
                <w:w w:val="95"/>
              </w:rPr>
              <w:t>Total stock-based compensation expense determined under fair value based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w w:val="98"/>
              </w:rPr>
              <w:t>method for all awards relating to discontinued operations, net of related tax</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effects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 w:type="dxa"/>
            <w:vAlign w:val="bottom"/>
          </w:tcPr>
          <w:p>
            <w:pPr>
              <w:spacing w:after="0"/>
              <w:rPr>
                <w:sz w:val="9"/>
                <w:szCs w:val="9"/>
                <w:color w:val="auto"/>
              </w:rPr>
            </w:pPr>
          </w:p>
        </w:tc>
        <w:tc>
          <w:tcPr>
            <w:tcW w:w="6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-1960880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-1960880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-1960880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-1960880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-1712595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-1712595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-1712595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-1712595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-1712595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-1712595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-1712595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-1712595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-323215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-323215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-323215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pro forma effect on net income for the interim periods by applying SFAS No. 123 may not be indicative of the effect on net income or loss in future years because additional awards in future years are anticipated.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total comprehensive income for the interim periods was as follows (in millions):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30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295"/>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ind w:right="195"/>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Unrealized losses on marketable securities</w:t>
            </w:r>
          </w:p>
        </w:tc>
        <w:tc>
          <w:tcPr>
            <w:tcW w:w="5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for losses (gains) included in net income</w:t>
            </w: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Unrealized losses on the effective portion of cash flow hedges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76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7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jc w:val="right"/>
              <w:ind w:right="388"/>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230</w:t>
            </w:r>
          </w:p>
        </w:tc>
        <w:tc>
          <w:tcPr>
            <w:tcW w:w="180" w:type="dxa"/>
            <w:vAlign w:val="bottom"/>
          </w:tcPr>
          <w:p>
            <w:pPr>
              <w:spacing w:after="0"/>
              <w:rPr>
                <w:sz w:val="24"/>
                <w:szCs w:val="24"/>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3,368</w:t>
            </w:r>
          </w:p>
        </w:tc>
        <w:tc>
          <w:tcPr>
            <w:tcW w:w="16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-1412240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-1412240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-1412240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-1412240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-1163320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-1163320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-1163320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-1163320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-1163320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-1163320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-1163320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-1163320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-323215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-323215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-323215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-323215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STATEMENT OF CASH FLOWS—SUPPLEMENTAL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made cash payments for interest and income taxes during the interim periods as follows (in millions):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2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Income taxes</w:t>
            </w:r>
          </w:p>
        </w:tc>
        <w:tc>
          <w:tcPr>
            <w:tcW w:w="32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-607695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-607695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-607695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-607695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-359410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-359410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-359410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-359410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-359410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-359410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-359410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-359410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nine months ended September 30, 2004, Comcast received a federal income tax refund of approximately $536 million.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During the nine months ended September 30, 2004, property, plant and equipment allocations were made with another Comcast subsidiary through non-cash intercompany transactions resulting in net transfers out of $57 million. During the nine months ended September 30, 2004, we recorded additional liabilities of approximately $35 million relating to a subsidiary of Comcast, a transaction that is considered a non-cash financing activity. This additional liability resulted in a corresponding increase to due from affiliates, net, in our consolidated balance sheet.</w:t>
      </w:r>
    </w:p>
    <w:p>
      <w:pPr>
        <w:spacing w:after="0" w:line="16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During the nine months ended September 30, 2004, in connection with the acquisition of TechTV (see Note 3), we issued shares in G4techTV with a value of approximately $70 million, which is considered a non-cash financing and investing activity.</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During the nine months ended September 30, 2004, in connection with the Liberty Exchange Agreement (see Note 3), we received non-cash consideration of approximately $475 million, which is considered a non-cash investing activity.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540" w:right="7740" w:hanging="532"/>
        <w:spacing w:after="0" w:line="504" w:lineRule="auto"/>
        <w:tabs>
          <w:tab w:leader="none" w:pos="30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Contingencies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At Home</w:t>
      </w:r>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 Communications, LLC,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All of the defendants served motions to dismiss on February 11, 2003. The court dismissed the common law claims against us and Mr. Roberts, leaving only a claim for "control person" liability under the Securities Exchange Act of 1934. In a subsequent decision, the court limited 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 The court dismissed the Section 16(b) claims against us, leaving only the claim for breach of fiduciary duty.</w:t>
      </w:r>
    </w:p>
    <w:p>
      <w:pPr>
        <w:spacing w:after="0" w:line="18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intend to defend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FINANCIAL DATA BY BUSINESS SEGMENT</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reportable segments consist of our cable and content businesses. Beginning in the first quarter of 2004, we elected to disclose our content businesses separately as a reportable segment even though they do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not meet the quantitative disclosure requirements of SFAS No. 131, "Disclosures About Segments of an Enterprise and Related Information." Our content segment consists of our national networks E! Entertainment, Style Network, The Golf Channel, Outdoor Life Network, G4techTV and International Channel Networks. As a result of this change, we have presented the comparable 2003 content segment amounts. In evaluating our segments' profitability, the components of net income (loss) below operating income (loss) before depreciation and amortization are not separately evaluated by our management (amounts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Corporate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Cable(1)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Content</w:t>
            </w:r>
          </w:p>
        </w:tc>
        <w:tc>
          <w:tcPr>
            <w:tcW w:w="18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Three Months Ended September 30, 2004</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Revenues(3)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1,889</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 amortization(4)</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Three Months Ended September 30, 2003</w:t>
            </w: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Revenues(3)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1,718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 amortization(4)</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Nine Months Ended September 30, 2004</w:t>
            </w: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Revenues(3)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5,609</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 amortization (4)</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Nine Months Ended September 30, 2003</w:t>
            </w: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Revenues(3)</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5,079</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 amortization(4)</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 of September 30, 2004</w:t>
            </w: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36,880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41,437</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 of December 31, 2003</w:t>
            </w: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34,952</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3,402</w:t>
            </w:r>
          </w:p>
        </w:tc>
        <w:tc>
          <w:tcPr>
            <w:tcW w:w="8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40,402</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-4782185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-4782185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-4782185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-4782185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-4782185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-4782185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-4782185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-4782185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38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regional programming networks Comcast SportsNet, Comcast SportsNet Mid-Atlantic, Comcast SportsNet Chicago, Cable Sports Southeast and CN8-The Comcast Network are included in our cable segment.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5" w:lineRule="exact"/>
        <w:rPr>
          <w:sz w:val="20"/>
          <w:szCs w:val="20"/>
          <w:color w:val="auto"/>
        </w:rPr>
      </w:pPr>
    </w:p>
    <w:p>
      <w:pPr>
        <w:ind w:left="540" w:right="50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and other includes corporate activities, elimination entries and all other businesses not presented in our cable or content segments. Assets included in this caption consist primarily of our investments (see Note 4).</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Non-US revenues were not significant in any period. No single customer accounted for a significant amount of our revenue in any period.</w:t>
      </w:r>
    </w:p>
    <w:p>
      <w:pPr>
        <w:spacing w:after="0" w:line="238" w:lineRule="exact"/>
        <w:rPr>
          <w:rFonts w:ascii="Arial" w:cs="Arial" w:eastAsia="Arial" w:hAnsi="Arial"/>
          <w:sz w:val="18"/>
          <w:szCs w:val="18"/>
          <w:color w:val="auto"/>
        </w:rPr>
      </w:pPr>
    </w:p>
    <w:p>
      <w:pPr>
        <w:ind w:left="540" w:right="60" w:hanging="532"/>
        <w:spacing w:after="0" w:line="287"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related party transactions for the interim periods presented are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80" w:type="dxa"/>
            <w:vAlign w:val="bottom"/>
            <w:gridSpan w:val="5"/>
          </w:tcPr>
          <w:p>
            <w:pPr>
              <w:jc w:val="center"/>
              <w:ind w:left="192"/>
              <w:spacing w:after="0"/>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80" w:type="dxa"/>
            <w:vAlign w:val="bottom"/>
            <w:gridSpan w:val="5"/>
          </w:tcPr>
          <w:p>
            <w:pPr>
              <w:jc w:val="center"/>
              <w:ind w:left="192"/>
              <w:spacing w:after="0"/>
              <w:rPr>
                <w:sz w:val="20"/>
                <w:szCs w:val="20"/>
                <w:color w:val="auto"/>
              </w:rPr>
            </w:pPr>
            <w:r>
              <w:rPr>
                <w:rFonts w:ascii="Arial" w:cs="Arial" w:eastAsia="Arial" w:hAnsi="Arial"/>
                <w:sz w:val="14"/>
                <w:szCs w:val="14"/>
                <w:b w:val="1"/>
                <w:bCs w:val="1"/>
                <w:color w:val="auto"/>
                <w:w w:val="87"/>
              </w:rPr>
              <w:t>September 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5"/>
              </w:rPr>
              <w:t>September 30,</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256"/>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Content affiliation agreement revenue</w:t>
            </w:r>
          </w:p>
        </w:tc>
        <w:tc>
          <w:tcPr>
            <w:tcW w:w="25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Comcast management fees</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Comcast cost sharing charges:</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Cable-related costs</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costs</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Software licensing fees</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on affiliate notes, net</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-1290320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-1290320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-1290320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-1290320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-1041400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-1041400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-1041400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-1041400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-1041400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-1041400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-1041400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-1041400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content businesses generate a portion of their revenues through the sale of subscriber services under affiliation agreements with cable subsidiaries of Comcast. These amounts are included in service revenues in our consolidated statement of operations. Amounts related to similar affiliation agreements between our content businesses and our wholly owned subsidiaries are eliminated in our consolidated financial statements.</w:t>
      </w:r>
    </w:p>
    <w:p>
      <w:pPr>
        <w:spacing w:after="0" w:line="16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Comcast has entered into management agreements with our cable subsidiaries. The management agreements generally provide that Comcast supervise the management and operations of the cable systems and arrange for and supervise certain administrative functions. As compensation for such services, the agreements provide for Comcast to charge management fees based on a percentage of gross revenues. These charges are included in selling, general and administrative expenses in our consolidated statement of operations.</w:t>
      </w:r>
    </w:p>
    <w:p>
      <w:pPr>
        <w:spacing w:after="0" w:line="197"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reimburse Comcast for certain cable-related costs under a cost sharing agreement. These charges are included in selling, general and administrative expenses in our consolidated statement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(Concluded)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purchase certain other services from Comcast under cost sharing arrangements on terms that reflect Comcast's actual cost. These charges are included in selling, general and administrative expenses in our consolidated statement of operations.</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Comcast has purchased long-term, non-exclusive patent and software licenses to use on Comcast's and our interactive program guides. Comcast charges us a licensing fee for use of this software. This charge is included in selling, general and administrative expenses in our consolidated statement of operations.</w:t>
      </w:r>
    </w:p>
    <w:p>
      <w:pPr>
        <w:spacing w:after="0" w:line="139" w:lineRule="exact"/>
        <w:rPr>
          <w:sz w:val="20"/>
          <w:szCs w:val="20"/>
          <w:color w:val="auto"/>
        </w:rPr>
      </w:pPr>
    </w:p>
    <w:p>
      <w:pPr>
        <w:ind w:right="240" w:firstLine="351"/>
        <w:spacing w:after="0" w:line="335" w:lineRule="auto"/>
        <w:rPr>
          <w:sz w:val="20"/>
          <w:szCs w:val="20"/>
          <w:color w:val="auto"/>
        </w:rPr>
      </w:pPr>
      <w:r>
        <w:rPr>
          <w:rFonts w:ascii="Arial" w:cs="Arial" w:eastAsia="Arial" w:hAnsi="Arial"/>
          <w:sz w:val="15"/>
          <w:szCs w:val="15"/>
          <w:color w:val="auto"/>
        </w:rPr>
        <w:t>Comcast Financial Agency Corporation ("CFAC"), an indirect wholly owned subsidiary of ours, provides cash management services to certain cable subsidiaries of Comcast. Under this arrangement, Comcast's and these subsidiaries' cash receipts are deposited with and held by CFAC, as custodian and agent, which invests and disburses such funds at our direction. Interest income related to this cash was not significant during the 2004 or 2003 interim periods.</w:t>
      </w:r>
    </w:p>
    <w:p>
      <w:pPr>
        <w:spacing w:after="0" w:line="142"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With the exception of cash payments related to interest and income taxes, we consider all of our transactions with Comcast or its affiliates to be financing transactions, which are presented as net transactions with affiliates in our consolidated statement of cash flows. Our significant financing transactions with Comcast and its affiliates are described below.</w:t>
      </w:r>
    </w:p>
    <w:p>
      <w:pPr>
        <w:spacing w:after="0" w:line="194" w:lineRule="exact"/>
        <w:rPr>
          <w:sz w:val="20"/>
          <w:szCs w:val="20"/>
          <w:color w:val="auto"/>
        </w:rPr>
      </w:pPr>
    </w:p>
    <w:p>
      <w:pPr>
        <w:ind w:right="260" w:firstLine="341"/>
        <w:spacing w:after="0" w:line="256" w:lineRule="auto"/>
        <w:rPr>
          <w:sz w:val="20"/>
          <w:szCs w:val="20"/>
          <w:color w:val="auto"/>
        </w:rPr>
      </w:pPr>
      <w:r>
        <w:rPr>
          <w:rFonts w:ascii="Arial" w:cs="Arial" w:eastAsia="Arial" w:hAnsi="Arial"/>
          <w:sz w:val="18"/>
          <w:szCs w:val="18"/>
          <w:color w:val="auto"/>
        </w:rPr>
        <w:t>As of September 30, 2004 and December 31, 2003, due from affiliates, net in our consolidated balance sheet primarily consists of amounts due from Comcast and from certain cable subsidiaries of Comcast for advances we made for working capital and capital expenditures in the ordinary course of business. Also, included within accrued expenses and other current liabilities as of September 30, 2004 and December 31, 2003 is approximately $603 million and $568 million, respectively, related to other Comcast subsidiaries.</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QVC, a discontinued operation, has an affiliation agreement with certain cable subsidiaries of Comcast to carry QVC's programming. In return for carrying QVC programming, QVC pays these Comcast subsidiaries an allocated portion, based upon market share, of a percentage of net sales of merchandise sold to QVC customers located in their service areas. These amounts are not significant and are included in income from discontinued operations in our consolidated statement of operations. Amounts related to a similar affiliation agreement between QVC and our wholly owned subsidiaries are not significant and are included in service revenues and income from discontinued operations in our consolidated statement of operations.</w:t>
      </w:r>
    </w:p>
    <w:p>
      <w:pPr>
        <w:spacing w:after="0" w:line="170" w:lineRule="exact"/>
        <w:rPr>
          <w:sz w:val="20"/>
          <w:szCs w:val="20"/>
          <w:color w:val="auto"/>
        </w:rPr>
      </w:pPr>
    </w:p>
    <w:p>
      <w:pPr>
        <w:jc w:val="both"/>
        <w:ind w:right="120" w:firstLine="341"/>
        <w:spacing w:after="0" w:line="306" w:lineRule="auto"/>
        <w:rPr>
          <w:sz w:val="20"/>
          <w:szCs w:val="20"/>
          <w:color w:val="auto"/>
        </w:rPr>
      </w:pPr>
      <w:r>
        <w:rPr>
          <w:rFonts w:ascii="Arial" w:cs="Arial" w:eastAsia="Arial" w:hAnsi="Arial"/>
          <w:sz w:val="16"/>
          <w:szCs w:val="16"/>
          <w:color w:val="auto"/>
        </w:rPr>
        <w:t>As of September 30, 2004 and December 31, 2003, notes receivable from affiliates and notes payable to affiliates consist of notes receivable from and notes payable to Comcast and certain cable subsidiaries of Comcast. Our notes receivable and notes payable, whose interest receivable and payable are included in our condensed consolidated balance sheet, have the following characteristics (amounts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480" w:type="dxa"/>
            <w:vAlign w:val="bottom"/>
            <w:gridSpan w:val="4"/>
          </w:tcPr>
          <w:p>
            <w:pPr>
              <w:ind w:left="1180"/>
              <w:spacing w:after="0"/>
              <w:rPr>
                <w:sz w:val="20"/>
                <w:szCs w:val="20"/>
                <w:color w:val="auto"/>
              </w:rPr>
            </w:pPr>
            <w:r>
              <w:rPr>
                <w:rFonts w:ascii="Arial" w:cs="Arial" w:eastAsia="Arial" w:hAnsi="Arial"/>
                <w:sz w:val="14"/>
                <w:szCs w:val="14"/>
                <w:b w:val="1"/>
                <w:bCs w:val="1"/>
                <w:color w:val="auto"/>
              </w:rPr>
              <w:t>September 30, 2004</w:t>
            </w:r>
          </w:p>
        </w:tc>
        <w:tc>
          <w:tcPr>
            <w:tcW w:w="220" w:type="dxa"/>
            <w:vAlign w:val="bottom"/>
          </w:tcPr>
          <w:p>
            <w:pPr>
              <w:spacing w:after="0"/>
              <w:rPr>
                <w:sz w:val="15"/>
                <w:szCs w:val="15"/>
                <w:color w:val="auto"/>
              </w:rPr>
            </w:pPr>
          </w:p>
        </w:tc>
        <w:tc>
          <w:tcPr>
            <w:tcW w:w="3520" w:type="dxa"/>
            <w:vAlign w:val="bottom"/>
            <w:gridSpan w:val="3"/>
          </w:tcPr>
          <w:p>
            <w:pPr>
              <w:ind w:left="122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1360" w:type="dxa"/>
            <w:vAlign w:val="bottom"/>
          </w:tcPr>
          <w:p>
            <w:pPr>
              <w:ind w:left="320"/>
              <w:spacing w:after="0"/>
              <w:rPr>
                <w:sz w:val="20"/>
                <w:szCs w:val="20"/>
                <w:color w:val="auto"/>
              </w:rPr>
            </w:pPr>
            <w:r>
              <w:rPr>
                <w:rFonts w:ascii="Arial" w:cs="Arial" w:eastAsia="Arial" w:hAnsi="Arial"/>
                <w:sz w:val="14"/>
                <w:szCs w:val="14"/>
                <w:b w:val="1"/>
                <w:bCs w:val="1"/>
                <w:color w:val="auto"/>
                <w:w w:val="87"/>
              </w:rPr>
              <w:t>Notes Receivable</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3"/>
              </w:rPr>
              <w:t>Notes Payable</w:t>
            </w:r>
          </w:p>
        </w:tc>
        <w:tc>
          <w:tcPr>
            <w:tcW w:w="220" w:type="dxa"/>
            <w:vAlign w:val="bottom"/>
          </w:tcPr>
          <w:p>
            <w:pPr>
              <w:spacing w:after="0"/>
              <w:rPr>
                <w:sz w:val="23"/>
                <w:szCs w:val="23"/>
                <w:color w:val="auto"/>
              </w:rPr>
            </w:pPr>
          </w:p>
        </w:tc>
        <w:tc>
          <w:tcPr>
            <w:tcW w:w="1640" w:type="dxa"/>
            <w:vAlign w:val="bottom"/>
          </w:tcPr>
          <w:p>
            <w:pPr>
              <w:ind w:left="320"/>
              <w:spacing w:after="0"/>
              <w:rPr>
                <w:sz w:val="20"/>
                <w:szCs w:val="20"/>
                <w:color w:val="auto"/>
              </w:rPr>
            </w:pPr>
            <w:r>
              <w:rPr>
                <w:rFonts w:ascii="Arial" w:cs="Arial" w:eastAsia="Arial" w:hAnsi="Arial"/>
                <w:sz w:val="14"/>
                <w:szCs w:val="14"/>
                <w:b w:val="1"/>
                <w:bCs w:val="1"/>
                <w:color w:val="auto"/>
              </w:rPr>
              <w:t>Notes Receivable</w:t>
            </w:r>
          </w:p>
        </w:tc>
        <w:tc>
          <w:tcPr>
            <w:tcW w:w="22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5"/>
              </w:rPr>
              <w:t>Notes Payable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Principal balance</w:t>
            </w:r>
          </w:p>
        </w:tc>
        <w:tc>
          <w:tcPr>
            <w:tcW w:w="136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87"/>
              </w:rPr>
              <w:t>$4,799</w:t>
            </w:r>
          </w:p>
        </w:tc>
        <w:tc>
          <w:tcPr>
            <w:tcW w:w="2120" w:type="dxa"/>
            <w:vAlign w:val="bottom"/>
            <w:gridSpan w:val="3"/>
            <w:shd w:val="clear" w:color="auto" w:fill="CCEEFF"/>
          </w:tcPr>
          <w:p>
            <w:pPr>
              <w:jc w:val="center"/>
              <w:ind w:left="392"/>
              <w:spacing w:after="0"/>
              <w:rPr>
                <w:sz w:val="20"/>
                <w:szCs w:val="20"/>
                <w:color w:val="auto"/>
              </w:rPr>
            </w:pPr>
            <w:r>
              <w:rPr>
                <w:rFonts w:ascii="Arial" w:cs="Arial" w:eastAsia="Arial" w:hAnsi="Arial"/>
                <w:sz w:val="18"/>
                <w:szCs w:val="18"/>
                <w:color w:val="auto"/>
                <w:w w:val="89"/>
              </w:rPr>
              <w:t>$627</w:t>
            </w:r>
          </w:p>
        </w:tc>
        <w:tc>
          <w:tcPr>
            <w:tcW w:w="18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$3,284</w:t>
            </w:r>
          </w:p>
        </w:tc>
        <w:tc>
          <w:tcPr>
            <w:tcW w:w="18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6"/>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receivable (payable)</w:t>
            </w:r>
          </w:p>
        </w:tc>
        <w:tc>
          <w:tcPr>
            <w:tcW w:w="1360" w:type="dxa"/>
            <w:vAlign w:val="bottom"/>
          </w:tcPr>
          <w:p>
            <w:pPr>
              <w:jc w:val="center"/>
              <w:ind w:left="179"/>
              <w:spacing w:after="0"/>
              <w:rPr>
                <w:sz w:val="20"/>
                <w:szCs w:val="20"/>
                <w:color w:val="auto"/>
              </w:rPr>
            </w:pPr>
            <w:r>
              <w:rPr>
                <w:rFonts w:ascii="Arial" w:cs="Arial" w:eastAsia="Arial" w:hAnsi="Arial"/>
                <w:sz w:val="18"/>
                <w:szCs w:val="18"/>
                <w:color w:val="auto"/>
                <w:w w:val="86"/>
              </w:rPr>
              <w:t>$52</w:t>
            </w:r>
          </w:p>
        </w:tc>
        <w:tc>
          <w:tcPr>
            <w:tcW w:w="2120" w:type="dxa"/>
            <w:vAlign w:val="bottom"/>
            <w:gridSpan w:val="3"/>
          </w:tcPr>
          <w:p>
            <w:pPr>
              <w:jc w:val="center"/>
              <w:ind w:left="412"/>
              <w:spacing w:after="0"/>
              <w:rPr>
                <w:sz w:val="20"/>
                <w:szCs w:val="20"/>
                <w:color w:val="auto"/>
              </w:rPr>
            </w:pPr>
            <w:r>
              <w:rPr>
                <w:rFonts w:ascii="Arial" w:cs="Arial" w:eastAsia="Arial" w:hAnsi="Arial"/>
                <w:sz w:val="18"/>
                <w:szCs w:val="18"/>
                <w:color w:val="auto"/>
                <w:w w:val="90"/>
              </w:rPr>
              <w:t>($21)</w:t>
            </w:r>
          </w:p>
        </w:tc>
        <w:tc>
          <w:tcPr>
            <w:tcW w:w="1860" w:type="dxa"/>
            <w:vAlign w:val="bottom"/>
            <w:gridSpan w:val="2"/>
          </w:tcPr>
          <w:p>
            <w:pPr>
              <w:jc w:val="center"/>
              <w:ind w:left="132"/>
              <w:spacing w:after="0"/>
              <w:rPr>
                <w:sz w:val="20"/>
                <w:szCs w:val="20"/>
                <w:color w:val="auto"/>
              </w:rPr>
            </w:pPr>
            <w:r>
              <w:rPr>
                <w:rFonts w:ascii="Arial" w:cs="Arial" w:eastAsia="Arial" w:hAnsi="Arial"/>
                <w:sz w:val="18"/>
                <w:szCs w:val="18"/>
                <w:color w:val="auto"/>
                <w:w w:val="93"/>
              </w:rPr>
              <w:t>$26</w:t>
            </w:r>
          </w:p>
        </w:tc>
        <w:tc>
          <w:tcPr>
            <w:tcW w:w="1880" w:type="dxa"/>
            <w:vAlign w:val="bottom"/>
            <w:gridSpan w:val="2"/>
          </w:tcPr>
          <w:p>
            <w:pPr>
              <w:jc w:val="center"/>
              <w:ind w:left="132"/>
              <w:spacing w:after="0"/>
              <w:rPr>
                <w:sz w:val="20"/>
                <w:szCs w:val="20"/>
                <w:color w:val="auto"/>
              </w:rPr>
            </w:pPr>
            <w:r>
              <w:rPr>
                <w:rFonts w:ascii="Arial" w:cs="Arial" w:eastAsia="Arial" w:hAnsi="Arial"/>
                <w:sz w:val="18"/>
                <w:szCs w:val="18"/>
                <w:color w:val="auto"/>
                <w:w w:val="93"/>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range</w:t>
            </w:r>
          </w:p>
        </w:tc>
        <w:tc>
          <w:tcPr>
            <w:tcW w:w="13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5.0% to 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 to 7.5%</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 to 7.5%</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 to 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Maturity date range</w:t>
            </w:r>
          </w:p>
        </w:tc>
        <w:tc>
          <w:tcPr>
            <w:tcW w:w="1360" w:type="dxa"/>
            <w:vAlign w:val="bottom"/>
          </w:tcPr>
          <w:p>
            <w:pPr>
              <w:jc w:val="center"/>
              <w:ind w:left="199"/>
              <w:spacing w:after="0"/>
              <w:rPr>
                <w:sz w:val="20"/>
                <w:szCs w:val="20"/>
                <w:color w:val="auto"/>
              </w:rPr>
            </w:pPr>
            <w:r>
              <w:rPr>
                <w:rFonts w:ascii="Arial" w:cs="Arial" w:eastAsia="Arial" w:hAnsi="Arial"/>
                <w:sz w:val="18"/>
                <w:szCs w:val="18"/>
                <w:color w:val="auto"/>
                <w:w w:val="88"/>
              </w:rPr>
              <w:t>2009-2014</w:t>
            </w:r>
          </w:p>
        </w:tc>
        <w:tc>
          <w:tcPr>
            <w:tcW w:w="212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2012-2014</w:t>
            </w:r>
          </w:p>
        </w:tc>
        <w:tc>
          <w:tcPr>
            <w:tcW w:w="186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2012-2013</w:t>
            </w:r>
          </w:p>
        </w:tc>
        <w:tc>
          <w:tcPr>
            <w:tcW w:w="188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2012-2013</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-1309370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-1309370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-1309370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-1309370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-1060450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-1060450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-1060450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-1060450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-1060450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-1060450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-1060450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-1060450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2004</w:t>
      </w: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for this item is omitted pursuant to SEC General Instruction H to Form 10-Q, except as noted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an indirect wholly owned subsidiary of Comcast Corporation ("Comcast"). We are principally involved in the management and operation of broadband communications networks (our cable segment) and in the management of programming content over cable and satellite television networks (our content segment). During the nine months ended September 30, 2004, we received over 87% of our revenue from our cable segment, primarily through monthly subscriptions to our video and high-speed Internet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7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historically met our cash needs for operations through our cash flows from operating activities. We have generally financed our acquisitions and capital expenditures through issuances of common stock, borrowings of long-term debt, sales of investments and from existing cash, cash equivalents and short-term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28, 2004, we exchanged approximately 120 million shares of Liberty Media Corporation ("Liberty") Series A common stock that we held, valued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$1.022 billion, with Liberty for 100% of the stock of Liberty's subsidiary, Encore ICCP, Inc. ("Encore"). Encore's assets consisted of cash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$547 million, a 10.4% interest in E! Entertainment Television, Inc. ("E!") and 100% of International Cable Channels Partnership, Ltd. ("International Channel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Networks"). We also received all of Liberty's rights, benefits and obligations under the TCI Music contribution agreement, which resulted in the resolution of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litigation pending between Liberty and Comcast regarding the contribution agreement.</w:t>
      </w:r>
    </w:p>
    <w:p>
      <w:pPr>
        <w:spacing w:after="0" w:line="219"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Comcast and Time Warner have agreed to work together to explore submitting a joint proposal to acquire cable assets of Adelphia Communications Corporation, the fifth-largest cable television company in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3 to our financial statements included in Item 1 for a discussion of this transaction.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Consolidated revenues for the three and nine month interim periods in 2004 increased $266 million and $682 million, respectively, from the same periods in 2003. Of these increases, $171 million and $530 million relate to our cable segment, which is discussed separately below. The remaining increases are the result of our content segment, which achieved combined revenue growth of 30.6% and 26.0%, respectively, during the three and nine month interim periods in 2004 compared to the same periods in 2003. These increases in our content segment were the result of increases in distribution revenue and advertising revenue, as well as to our acquisition of TechTV. The remaining increases are the result of our corporate and other segment, which includes the operating results of Comcast-Spectacor.</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selling, general and administrative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Consolidated operating, selling, general and administrative expenses for the three and nine month interim periods in 2004 increased $219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$449 million, respectively, from the same periods in 2003. Of these increases, $136 million and $323 million, respectively, relate to our cable segment, which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discussed separately below. The remaining increases are the result of growth in our content segment, principally due to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2004</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our acquisition of TechTV. The remaining increases are the result of our corporate and other segment, which includes the operating results of Comcast-Spectacor.</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expense for the three and nine month interim periods in 2004 is consistent with the amounts reported for the same periods in 2003.</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Amortization expense increased $6 million and $10 million, respectively, for the three and nine month interim periods in 2004 compared to the same periods in 2003. These increases are primarily attributable to amortization associated with intangibles acquired in the TechTV and Liberty exchange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91440</wp:posOffset>
            </wp:positionV>
            <wp:extent cx="105029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Operating Results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cable segment operating results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center"/>
              <w:ind w:right="134"/>
              <w:spacing w:after="0"/>
              <w:rPr>
                <w:sz w:val="20"/>
                <w:szCs w:val="20"/>
                <w:color w:val="auto"/>
              </w:rPr>
            </w:pPr>
            <w:r>
              <w:rPr>
                <w:rFonts w:ascii="Arial" w:cs="Arial" w:eastAsia="Arial" w:hAnsi="Arial"/>
                <w:sz w:val="14"/>
                <w:szCs w:val="14"/>
                <w:b w:val="1"/>
                <w:bCs w:val="1"/>
                <w:color w:val="auto"/>
                <w:w w:val="88"/>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85"/>
              </w:rPr>
              <w:t>September 30,</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ind w:right="254"/>
              <w:spacing w:after="0"/>
              <w:rPr>
                <w:sz w:val="20"/>
                <w:szCs w:val="20"/>
                <w:color w:val="auto"/>
              </w:rPr>
            </w:pPr>
            <w:r>
              <w:rPr>
                <w:rFonts w:ascii="Arial" w:cs="Arial" w:eastAsia="Arial" w:hAnsi="Arial"/>
                <w:sz w:val="14"/>
                <w:szCs w:val="14"/>
                <w:b w:val="1"/>
                <w:bCs w:val="1"/>
                <w:color w:val="auto"/>
                <w:w w:val="76"/>
              </w:rPr>
              <w:t>2003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Video</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High-speed Internet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56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80" w:type="dxa"/>
            <w:vAlign w:val="bottom"/>
            <w:gridSpan w:val="3"/>
          </w:tcPr>
          <w:p>
            <w:pPr>
              <w:spacing w:after="0"/>
              <w:rPr>
                <w:sz w:val="20"/>
                <w:szCs w:val="20"/>
                <w:color w:val="auto"/>
              </w:rPr>
            </w:pPr>
            <w:r>
              <w:rPr>
                <w:rFonts w:ascii="Arial" w:cs="Arial" w:eastAsia="Arial" w:hAnsi="Arial"/>
                <w:sz w:val="18"/>
                <w:szCs w:val="18"/>
                <w:color w:val="auto"/>
              </w:rPr>
              <w:t>Operating income before depreciation and amortization(a)</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6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gridSpan w:val="2"/>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w w:val="88"/>
              </w:rPr>
              <w:t>Nine Months Ended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85"/>
              </w:rPr>
              <w:t>September 30,</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Increase</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ind w:right="254"/>
              <w:spacing w:after="0"/>
              <w:rPr>
                <w:sz w:val="20"/>
                <w:szCs w:val="20"/>
                <w:color w:val="auto"/>
              </w:rPr>
            </w:pPr>
            <w:r>
              <w:rPr>
                <w:rFonts w:ascii="Arial" w:cs="Arial" w:eastAsia="Arial" w:hAnsi="Arial"/>
                <w:sz w:val="14"/>
                <w:szCs w:val="14"/>
                <w:b w:val="1"/>
                <w:bCs w:val="1"/>
                <w:color w:val="auto"/>
                <w:w w:val="76"/>
              </w:rPr>
              <w:t>2003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Video</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High-speed Internet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60" w:type="dxa"/>
            <w:vAlign w:val="bottom"/>
            <w:gridSpan w:val="2"/>
          </w:tcPr>
          <w:p>
            <w:pPr>
              <w:ind w:left="20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5,079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56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80" w:type="dxa"/>
            <w:vAlign w:val="bottom"/>
            <w:gridSpan w:val="3"/>
          </w:tcPr>
          <w:p>
            <w:pPr>
              <w:spacing w:after="0"/>
              <w:rPr>
                <w:sz w:val="20"/>
                <w:szCs w:val="20"/>
                <w:color w:val="auto"/>
              </w:rPr>
            </w:pPr>
            <w:r>
              <w:rPr>
                <w:rFonts w:ascii="Arial" w:cs="Arial" w:eastAsia="Arial" w:hAnsi="Arial"/>
                <w:sz w:val="18"/>
                <w:szCs w:val="18"/>
                <w:color w:val="auto"/>
              </w:rPr>
              <w:t>Operating income before depreciation and amortization(a)</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2,362</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6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-4164965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-4164965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-4164965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-4164965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-3916045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-3916045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-3916045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-3916045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-3916045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-3916045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-3916045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-3916045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-3075940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-3075940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-3075940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-3075940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-3075940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-3075940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-3075940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-3075940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-2647315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-2647315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-2647315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-2647315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-2647315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-2647315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-2647315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-2647315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-1995170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-1995170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-1995170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-1995170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-1746885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-1746885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-1746885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-1746885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-1746885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-1746885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-1746885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-1746885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-906145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-906145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-906145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-906145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-906145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-906145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-906145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-906145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-477520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-477520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-477520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-477520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-477520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-477520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-477520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-477520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60" w:hanging="532"/>
        <w:spacing w:after="0" w:line="294"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2004</w:t>
      </w:r>
    </w:p>
    <w:p>
      <w:pPr>
        <w:spacing w:after="0" w:line="219"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113030</wp:posOffset>
            </wp:positionV>
            <wp:extent cx="105029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40" w:firstLine="348"/>
        <w:spacing w:after="0" w:line="323" w:lineRule="auto"/>
        <w:rPr>
          <w:sz w:val="20"/>
          <w:szCs w:val="20"/>
          <w:color w:val="auto"/>
        </w:rPr>
      </w:pPr>
      <w:r>
        <w:rPr>
          <w:rFonts w:ascii="Arial" w:cs="Arial" w:eastAsia="Arial" w:hAnsi="Arial"/>
          <w:sz w:val="15"/>
          <w:szCs w:val="15"/>
          <w:color w:val="auto"/>
        </w:rPr>
        <w:t>Video revenue consists of our basic, expanded basic, premium, pay-per-view, equipment and digital cable services. The increases in video revenue for the interim periods from 2003 to 2004 are primarily due to increases in monthly average revenue per subscriber as a result of rate increases in our traditional video service and growth in digital subscribers, reflecting increased consumer demand for new digital features. From September 30, 2003 to September 30, 2004, we added approximately 428,000 digital subscribers, or a 16.8% increase in digital subscribers. We expect continued growth in our video services revenue.</w:t>
      </w:r>
    </w:p>
    <w:p>
      <w:pPr>
        <w:spacing w:after="0" w:line="152"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increases in high-speed Internet revenue for the interim periods from 2003 to 2004 are primarily due to the addition of approximately 595,000 high-speed Internet subscribers from September 30, 2003 to September 30, 2004, or a 28.7% increase in high-speed Internet subscribers. We expect continued high-speed Internet revenue growth as overall demand for our services continues to increase.</w:t>
      </w:r>
    </w:p>
    <w:p>
      <w:pPr>
        <w:spacing w:after="0" w:line="161" w:lineRule="exact"/>
        <w:rPr>
          <w:sz w:val="20"/>
          <w:szCs w:val="20"/>
          <w:color w:val="auto"/>
        </w:rPr>
      </w:pPr>
    </w:p>
    <w:p>
      <w:pPr>
        <w:ind w:right="680" w:firstLine="348"/>
        <w:spacing w:after="0" w:line="370" w:lineRule="auto"/>
        <w:rPr>
          <w:sz w:val="20"/>
          <w:szCs w:val="20"/>
          <w:color w:val="auto"/>
        </w:rPr>
      </w:pPr>
      <w:r>
        <w:rPr>
          <w:rFonts w:ascii="Arial" w:cs="Arial" w:eastAsia="Arial" w:hAnsi="Arial"/>
          <w:sz w:val="15"/>
          <w:szCs w:val="15"/>
          <w:color w:val="auto"/>
        </w:rPr>
        <w:t>The increases in advertising sales revenue for the interim periods from 2003 to 2004 are primarily due to the effects of growth in regional/national advertising as a result of the continuing success of our regional interconnects, a stronger local advertising market and an increase in political advertising.</w:t>
      </w:r>
    </w:p>
    <w:p>
      <w:pPr>
        <w:spacing w:after="0" w:line="11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Other revenue includes installation revenues, guide revenues, commissions from electronic retailing, revenue from our regional programming networks, commercial data revenue, revenue from other product offerings and phone revenues.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Total operating, selling, general and administrative expenses increased for the interim periods from 2003 to 2004 primarily as a result of higher operating and marketing expenses associated with the growth in our high-speed Internet and digital cable services, and increases in charges from cost-sharing arrangements.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(Expense) Items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decreases in interest expense for the interim periods from 2003 to 2004 are due to our decreased amount of debt outstanding as a result of our debt reduction during 2003 and 2004.</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Income (Expense) on Affiliate Notes, Net</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changes in interest income (expense) on affiliate notes, net for the interim periods from 2003 to 2004 are principally due to an increase in our notes receivable from affiliates during 2003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Investment Income (Loss),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income (loss), net for the interim periods includes the following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220" w:type="dxa"/>
            <w:vAlign w:val="bottom"/>
          </w:tcPr>
          <w:p>
            <w:pPr>
              <w:spacing w:after="0"/>
              <w:rPr>
                <w:sz w:val="15"/>
                <w:szCs w:val="15"/>
                <w:color w:val="auto"/>
              </w:rPr>
            </w:pPr>
          </w:p>
        </w:tc>
        <w:tc>
          <w:tcPr>
            <w:tcW w:w="136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1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78"/>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dividend and other investment income (expense)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Gains on sales and exchanges of investments, net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impairment losses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Mark to market adjustments on trading securities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to market adjustments on derivatives related to trading securities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Mark to market adjustments on derivatives and hedged items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 (loss), net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-1703705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-1703705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-1703705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-1703705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-1454785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-1454785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-1454785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-1454785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-1454785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-1454785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-1454785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-1454785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-477520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-477520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-477520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-477520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-477520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-477520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-477520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-477520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have entered into derivative financial instruments that we account for at fair value and which economically hedge the market price fluctuations in the common stock of certain of our investments accounted for as trading securities. Investment income (loss), net includes the fair value adjustments related to our trading securities and derivative financial instruments. The change in the fair value of our investments accounted for as trading securities was substantially offset by the changes in the fair value of the related derivatives, except for the mark to market adjustments on our investment in Sprint and on 6 million shares of Liberty International for the three and nine months ended September 30, 2004, on 116 million shares of Liberty for the three and nine months ended September 30, 2004, until they were exchanged with Liberty on July 28, 2004, and on 218 million shares of Liberty for the three and nine months ended September 30, 2003. See Note 3 to our consolidated financial statements included in Item 1 for further discussion about the Liberty exchange.</w:t>
      </w:r>
    </w:p>
    <w:p>
      <w:pPr>
        <w:spacing w:after="0" w:line="17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During the three and nine months ended September 30, 2004, investment income (loss), net includes $83 and $139 million, respectively, of investment income related to the decrease in the fair value of the derivative component of the ZONES debt. A portion of the fair value adjustment in the nine month interim period results from the change in the common stock underlying the ZONES debt from the non-dividend paying Sprint PCS tracking stock to the dividend paying Sprint FON common stock as a result of the elimination by Sprint of its tracking stock in April 2004. In the future, we expect that changes in the fair value of the derivative component of the ZONES debt will be partially offset by changes in the fair value of the Sprint FON common stock we hold and account for as a trading security.</w:t>
      </w:r>
    </w:p>
    <w:p>
      <w:pPr>
        <w:spacing w:after="0" w:line="198"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were exposed to changes in the fair value of 218 million shares and 116 million shares of Liberty common stock during the 2003 and 2004 interim periods (through July 28, 2004), respectively. We will continue to be exposed to changes in the fair value of 6 million shares of Liberty International common stock we hold and account for as trading securities because we have not entered into a corresponding derivative to hedge this market exposure.</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Investment income (loss), net for the three and nine months ended September 30, 2004, includes losses of $80 million and $198 million, respectively, related to these financial instruments compared to losses of $165 million during each of the same periods in 2003.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SEPTEMBER 30, 2004</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September 30, 2004, we sold our 20% interest in DHC Ventures, LLC to Discovery Communications, Inc. for approximately $149 million in cash and recognized a gain on the sale of approximately $94 million to other income.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changes in income tax expense for the interim periods from 2003 to 2004 are primarily the result of the effects of changes in our income (loss) from continuing operations before taxes and minority interest.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Minority Interest</w:t>
      </w:r>
    </w:p>
    <w:p>
      <w:pPr>
        <w:spacing w:after="0" w:line="225"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changes in minority interest for the interim periods from 2003 to 2004 are attributable to the effects of changes in the net income or loss of our less than wholly owned consolidated subsidiaries and to the minority interests in certain subsidiaries acquired or formed during 2004.</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operations are not materially affected by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have been no significant changes to the information required under this Item from what was disclosed in our 2003 Form 10-K.</w:t>
      </w:r>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left="540" w:right="180"/>
        <w:spacing w:after="0" w:line="256" w:lineRule="auto"/>
        <w:rPr>
          <w:sz w:val="20"/>
          <w:szCs w:val="20"/>
          <w:color w:val="auto"/>
        </w:rPr>
      </w:pPr>
      <w:r>
        <w:rPr>
          <w:rFonts w:ascii="Arial" w:cs="Arial" w:eastAsia="Arial" w:hAnsi="Arial"/>
          <w:sz w:val="18"/>
          <w:szCs w:val="18"/>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97"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540" w:right="240"/>
        <w:spacing w:after="0" w:line="268" w:lineRule="auto"/>
        <w:rPr>
          <w:sz w:val="20"/>
          <w:szCs w:val="20"/>
          <w:color w:val="auto"/>
        </w:rPr>
      </w:pPr>
      <w:r>
        <w:rPr>
          <w:rFonts w:ascii="Arial" w:cs="Arial" w:eastAsia="Arial" w:hAnsi="Arial"/>
          <w:sz w:val="18"/>
          <w:szCs w:val="18"/>
          <w:color w:val="auto"/>
        </w:rPr>
        <w:t>Refer to Note 8 to our condensed consolidated financial statements included in Item 1 of this Quarterly Report on Form 10-Q for a discussion of recent developments related to our legal proceedings.</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Exhibits required to be filed by Item 601 of Regulation S-K:</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302 of the Sarbanes-Oxley Act of 2002.</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Certification of Chief Executive Officer and Co-Chief Financial Officers pursuant to Section 906 of the Sarbanes-Oxley Act of 2002.</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SEPTEMBER 30, 2004</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77470</wp:posOffset>
            </wp:positionV>
            <wp:extent cx="420624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206240" cy="21590"/>
                    </a:xfrm>
                    <a:prstGeom prst="rect">
                      <a:avLst/>
                    </a:prstGeom>
                    <a:noFill/>
                  </pic:spPr>
                </pic:pic>
              </a:graphicData>
            </a:graphic>
          </wp:anchor>
        </w:drawing>
      </w:r>
    </w:p>
    <w:p>
      <w:pPr>
        <w:spacing w:after="0" w:line="23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2004</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rFonts w:ascii="Arial" w:cs="Arial" w:eastAsia="Arial" w:hAnsi="Arial"/>
          <w:sz w:val="22"/>
          <w:szCs w:val="22"/>
          <w:color w:val="0000EE"/>
        </w:rPr>
      </w:pPr>
      <w:hyperlink w:anchor="page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239"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Holdings Corporation;</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400" w:hanging="532"/>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40" w:hanging="532"/>
        <w:spacing w:after="0" w:line="370" w:lineRule="auto"/>
        <w:tabs>
          <w:tab w:leader="none" w:pos="10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right="20" w:hanging="532"/>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20" w:hanging="532"/>
        <w:spacing w:after="0" w:line="332" w:lineRule="auto"/>
        <w:tabs>
          <w:tab w:leader="none" w:pos="10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300" w:hanging="532"/>
        <w:spacing w:after="0" w:line="268"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 Lawrence S. Smith, certify that:</w:t>
      </w:r>
    </w:p>
    <w:p>
      <w:pPr>
        <w:spacing w:after="0" w:line="23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Holdings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 John R. Alchin, certify that:</w:t>
      </w:r>
    </w:p>
    <w:p>
      <w:pPr>
        <w:spacing w:after="0" w:line="239"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Holdings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27" w:name="page28"/>
    <w:bookmarkEnd w:id="27"/>
    <w:p>
      <w:pPr>
        <w:spacing w:after="0"/>
        <w:rPr>
          <w:rFonts w:ascii="Arial" w:cs="Arial" w:eastAsia="Arial" w:hAnsi="Arial"/>
          <w:sz w:val="22"/>
          <w:szCs w:val="22"/>
          <w:color w:val="0000EE"/>
        </w:rPr>
      </w:pPr>
      <w:hyperlink w:anchor="page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 of the Sarbanes-Oxley Act</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12,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Holdings Corporation (the "Report") for the purpose of complying with Rule 13a-14(b) or Rule 15d-14(b) of the Securities Exchange Act of 1934 (the "Exchange Act") and Section 1350 of Chapter 63 of Title 18 of the United States Code.</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Brian L. Roberts, the Chief Executive Officer, Lawrence S. Smith, the Co-Chief Financial Officer and John R. Alchin, the Co-Chief Financial Officer of Comcast Holdings Corporation, each certifies that, to the best of his knowledge:</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Holdings Corporation.</w:t>
      </w:r>
    </w:p>
    <w:p>
      <w:pPr>
        <w:spacing w:after="0" w:line="200" w:lineRule="exact"/>
        <w:rPr>
          <w:sz w:val="20"/>
          <w:szCs w:val="20"/>
          <w:color w:val="auto"/>
        </w:rPr>
      </w:pP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382016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20160" cy="21590"/>
                    </a:xfrm>
                    <a:prstGeom prst="rect">
                      <a:avLst/>
                    </a:prstGeom>
                    <a:noFill/>
                  </pic:spPr>
                </pic:pic>
              </a:graphicData>
            </a:graphic>
          </wp:anchor>
        </w:drawing>
      </w:r>
    </w:p>
    <w:p>
      <w:pPr>
        <w:spacing w:after="0" w:line="23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382016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20160" cy="21590"/>
                    </a:xfrm>
                    <a:prstGeom prst="rect">
                      <a:avLst/>
                    </a:prstGeom>
                    <a:noFill/>
                  </pic:spPr>
                </pic:pic>
              </a:graphicData>
            </a:graphic>
          </wp:anchor>
        </w:drawing>
      </w:r>
    </w:p>
    <w:p>
      <w:pPr>
        <w:spacing w:after="0" w:line="23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Co-Chief Financial Officer</w:t>
      </w:r>
    </w:p>
    <w:p>
      <w:pPr>
        <w:spacing w:after="0" w:line="21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77470</wp:posOffset>
            </wp:positionV>
            <wp:extent cx="382016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20160" cy="21590"/>
                    </a:xfrm>
                    <a:prstGeom prst="rect">
                      <a:avLst/>
                    </a:prstGeom>
                    <a:noFill/>
                  </pic:spPr>
                </pic:pic>
              </a:graphicData>
            </a:graphic>
          </wp:anchor>
        </w:drawing>
      </w:r>
    </w:p>
    <w:p>
      <w:pPr>
        <w:spacing w:after="0" w:line="23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Certification Pursuant to Section 906 of the Sarbanes-Oxley Act</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8"/>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3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2019-12-12T23:06:18Z</dcterms:created>
  <dcterms:modified xsi:type="dcterms:W3CDTF">2019-12-12T23:06:18Z</dcterms:modified>
</cp:coreProperties>
</file>