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2016, there were 2,402,381,311 shares of Comcast Corporation Class A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ind w:right="9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400" w:type="dxa"/>
            <w:vAlign w:val="bottom"/>
            <w:gridSpan w:val="19"/>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gridSpan w:val="2"/>
          </w:tcPr>
          <w:p>
            <w:pPr>
              <w:ind w:left="200"/>
              <w:spacing w:after="0" w:line="190" w:lineRule="exact"/>
              <w:rPr>
                <w:sz w:val="20"/>
                <w:szCs w:val="20"/>
                <w:color w:val="auto"/>
              </w:rPr>
            </w:pPr>
            <w:r>
              <w:rPr>
                <w:rFonts w:ascii="Arial" w:cs="Arial" w:eastAsia="Arial" w:hAnsi="Arial"/>
                <w:sz w:val="18"/>
                <w:szCs w:val="18"/>
                <w:b w:val="1"/>
                <w:bCs w:val="1"/>
                <w:color w:val="auto"/>
              </w:rPr>
              <w:t>Item 1.</w:t>
            </w:r>
          </w:p>
        </w:tc>
        <w:tc>
          <w:tcPr>
            <w:tcW w:w="3020" w:type="dxa"/>
            <w:vAlign w:val="bottom"/>
            <w:tcBorders>
              <w:bottom w:val="single" w:sz="8" w:color="0000EE"/>
            </w:tcBorders>
            <w:gridSpan w:val="7"/>
          </w:tcPr>
          <w:p>
            <w:pPr>
              <w:spacing w:after="0" w:line="19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Comcast Corporation Financial Statements</w:t>
              </w:r>
            </w:hyperlink>
          </w:p>
        </w:tc>
        <w:tc>
          <w:tcPr>
            <w:tcW w:w="6160" w:type="dxa"/>
            <w:vAlign w:val="bottom"/>
            <w:gridSpan w:val="10"/>
          </w:tcPr>
          <w:p>
            <w:pPr>
              <w:spacing w:after="0"/>
              <w:rPr>
                <w:sz w:val="16"/>
                <w:szCs w:val="16"/>
                <w:color w:val="auto"/>
              </w:rPr>
            </w:pPr>
          </w:p>
        </w:tc>
        <w:tc>
          <w:tcPr>
            <w:tcW w:w="1000" w:type="dxa"/>
            <w:vAlign w:val="bottom"/>
          </w:tcPr>
          <w:p>
            <w:pPr>
              <w:jc w:val="right"/>
              <w:ind w:right="14"/>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 as of June 30, 2016 and December 31, 2015 (Unaudited)</w:t>
              </w:r>
            </w:hyperlink>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Income for the Three and Six Months Ended June 30, 2016 and 2015 (Unaudited)</w:t>
              </w:r>
            </w:hyperlink>
          </w:p>
        </w:tc>
        <w:tc>
          <w:tcPr>
            <w:tcW w:w="700" w:type="dxa"/>
            <w:vAlign w:val="bottom"/>
            <w:gridSpan w:val="3"/>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80" w:type="dxa"/>
            <w:vAlign w:val="bottom"/>
            <w:gridSpan w:val="17"/>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Comprehensive Income for the Three and Six Months Ended June 30, 2016 and 2015</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460" w:type="dxa"/>
            <w:vAlign w:val="bottom"/>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 of Cash Flows for the Six Months Ended June 30, 2016 and 2015 (Unaudited)</w:t>
              </w:r>
            </w:hyperlink>
          </w:p>
        </w:tc>
        <w:tc>
          <w:tcPr>
            <w:tcW w:w="1160" w:type="dxa"/>
            <w:vAlign w:val="bottom"/>
            <w:gridSpan w:val="4"/>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 of Changes in Equity for the Six Months Ended June 30, 2016 and 2015 (Unaudited)</w:t>
              </w:r>
            </w:hyperlink>
          </w:p>
        </w:tc>
        <w:tc>
          <w:tcPr>
            <w:tcW w:w="680" w:type="dxa"/>
            <w:vAlign w:val="bottom"/>
            <w:gridSpan w:val="2"/>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918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Management’s Discussion and Analysis of Financial Condition and Results of Operations</w:t>
              </w:r>
            </w:hyperlink>
          </w:p>
        </w:tc>
        <w:tc>
          <w:tcPr>
            <w:tcW w:w="2880" w:type="dxa"/>
            <w:vAlign w:val="bottom"/>
            <w:gridSpan w:val="6"/>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4920" w:type="dxa"/>
            <w:vAlign w:val="bottom"/>
            <w:gridSpan w:val="8"/>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4.</w:t>
            </w:r>
          </w:p>
        </w:tc>
        <w:tc>
          <w:tcPr>
            <w:tcW w:w="918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9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20" w:type="dxa"/>
            <w:vAlign w:val="bottom"/>
            <w:gridSpan w:val="20"/>
          </w:tcPr>
          <w:p>
            <w:pPr>
              <w:spacing w:after="0"/>
              <w:rPr>
                <w:sz w:val="20"/>
                <w:szCs w:val="20"/>
                <w:color w:val="auto"/>
              </w:rPr>
            </w:pPr>
            <w:r>
              <w:rPr>
                <w:rFonts w:ascii="Arial" w:cs="Arial" w:eastAsia="Arial" w:hAnsi="Arial"/>
                <w:sz w:val="18"/>
                <w:szCs w:val="18"/>
                <w:b w:val="1"/>
                <w:bCs w:val="1"/>
                <w:color w:val="auto"/>
              </w:rPr>
              <w:t>PART II. OTHER INFORMATION</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gridSpan w:val="2"/>
          </w:tcPr>
          <w:p>
            <w:pPr>
              <w:ind w:left="200"/>
              <w:spacing w:after="0" w:line="190"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4"/>
          </w:tcPr>
          <w:p>
            <w:pPr>
              <w:spacing w:after="0" w:line="190"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Legal Proceedings</w:t>
              </w:r>
            </w:hyperlink>
          </w:p>
        </w:tc>
        <w:tc>
          <w:tcPr>
            <w:tcW w:w="7880" w:type="dxa"/>
            <w:vAlign w:val="bottom"/>
            <w:gridSpan w:val="13"/>
          </w:tcPr>
          <w:p>
            <w:pPr>
              <w:spacing w:after="0"/>
              <w:rPr>
                <w:sz w:val="16"/>
                <w:szCs w:val="16"/>
                <w:color w:val="auto"/>
              </w:rPr>
            </w:pPr>
          </w:p>
        </w:tc>
        <w:tc>
          <w:tcPr>
            <w:tcW w:w="1000" w:type="dxa"/>
            <w:vAlign w:val="bottom"/>
          </w:tcPr>
          <w:p>
            <w:pPr>
              <w:jc w:val="right"/>
              <w:ind w:right="14"/>
              <w:spacing w:after="0" w:line="190"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Risk Factors</w:t>
              </w:r>
            </w:hyperlink>
          </w:p>
        </w:tc>
        <w:tc>
          <w:tcPr>
            <w:tcW w:w="8300" w:type="dxa"/>
            <w:vAlign w:val="bottom"/>
            <w:gridSpan w:val="14"/>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Unregistered Sales of Equity Securities and Use of Proceeds</w:t>
              </w:r>
            </w:hyperlink>
          </w:p>
        </w:tc>
        <w:tc>
          <w:tcPr>
            <w:tcW w:w="4940" w:type="dxa"/>
            <w:vAlign w:val="bottom"/>
            <w:gridSpan w:val="9"/>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6.</w:t>
            </w:r>
          </w:p>
        </w:tc>
        <w:tc>
          <w:tcPr>
            <w:tcW w:w="918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48">
              <w:r>
                <w:rPr>
                  <w:rFonts w:ascii="Arial" w:cs="Arial" w:eastAsia="Arial" w:hAnsi="Arial"/>
                  <w:sz w:val="18"/>
                  <w:szCs w:val="18"/>
                  <w:b w:val="1"/>
                  <w:bCs w:val="1"/>
                  <w:color w:val="0000EE"/>
                  <w:w w:val="94"/>
                </w:rPr>
                <w:t>SIGNATURES</w:t>
              </w:r>
            </w:hyperlink>
          </w:p>
        </w:tc>
        <w:tc>
          <w:tcPr>
            <w:tcW w:w="10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42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NBCUniversal Media, LLC Financial Statements</w:t>
              </w:r>
            </w:hyperlink>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58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420" w:type="dxa"/>
            <w:vAlign w:val="bottom"/>
            <w:tcBorders>
              <w:top w:val="single" w:sz="8" w:color="0000EE"/>
              <w:bottom w:val="single" w:sz="8" w:color="auto"/>
            </w:tcBorders>
          </w:tcPr>
          <w:p>
            <w:pPr>
              <w:spacing w:after="0"/>
              <w:rPr>
                <w:sz w:val="10"/>
                <w:szCs w:val="10"/>
                <w:color w:val="auto"/>
              </w:rPr>
            </w:pPr>
          </w:p>
        </w:tc>
        <w:tc>
          <w:tcPr>
            <w:tcW w:w="4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Quarterly Report on Form 10-Q is for the three and six months ended June 30, 2016. This Quarterly Report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may impose additional costs and restrictions on our businesses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existing statutes, rules, regulations, or interpretations thereof, or adoption of new ones, could have an adverse effect on our businesses</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segment’s video business</w:t>
      </w:r>
    </w:p>
    <w:p>
      <w:pPr>
        <w:spacing w:after="0" w:line="37"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1" w:lineRule="exact"/>
        <w:rPr>
          <w:rFonts w:ascii="Arial" w:cs="Arial" w:eastAsia="Arial" w:hAnsi="Arial"/>
          <w:sz w:val="16"/>
          <w:szCs w:val="16"/>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37"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rFonts w:ascii="Arial" w:cs="Arial" w:eastAsia="Arial" w:hAnsi="Arial"/>
          <w:sz w:val="16"/>
          <w:szCs w:val="16"/>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color w:val="auto"/>
                <w:w w:val="81"/>
              </w:rPr>
              <w:t>June 30,</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7"/>
              </w:rPr>
              <w:t>December 31,</w:t>
            </w:r>
          </w:p>
        </w:tc>
      </w:tr>
      <w:tr>
        <w:trPr>
          <w:trHeight w:val="159"/>
        </w:trPr>
        <w:tc>
          <w:tcPr>
            <w:tcW w:w="9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line="159" w:lineRule="exact"/>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9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4,665</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2,295</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6,708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6,896</w:t>
            </w:r>
          </w:p>
        </w:tc>
      </w:tr>
      <w:tr>
        <w:trPr>
          <w:trHeight w:val="216"/>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rights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1,435</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9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1,969</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1,899</w:t>
            </w:r>
          </w:p>
        </w:tc>
      </w:tr>
      <w:tr>
        <w:trPr>
          <w:trHeight w:val="210"/>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14,777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12,303</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5,811</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5,855</w:t>
            </w:r>
          </w:p>
        </w:tc>
      </w:tr>
      <w:tr>
        <w:trPr>
          <w:trHeight w:val="216"/>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3,679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3,224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$49,119 and $48,100</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34,896</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33,665</w:t>
            </w:r>
          </w:p>
        </w:tc>
      </w:tr>
      <w:tr>
        <w:trPr>
          <w:trHeight w:val="216"/>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59,364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33,792</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32,945</w:t>
            </w:r>
          </w:p>
        </w:tc>
      </w:tr>
      <w:tr>
        <w:trPr>
          <w:trHeight w:val="216"/>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 of accumulated amortization of $10,299 and $9,868</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17,204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16,946</w:t>
            </w:r>
          </w:p>
        </w:tc>
      </w:tr>
      <w:tr>
        <w:trPr>
          <w:trHeight w:val="216"/>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2,462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r>
      <w:tr>
        <w:trPr>
          <w:trHeight w:val="217"/>
        </w:trPr>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6"/>
              </w:rPr>
              <w:t>171,985</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5"/>
              </w:rPr>
              <w:t>166,574</w:t>
            </w:r>
          </w:p>
        </w:tc>
      </w:tr>
      <w:tr>
        <w:trPr>
          <w:trHeight w:val="309"/>
        </w:trPr>
        <w:tc>
          <w:tcPr>
            <w:tcW w:w="90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6,359</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6,215</w:t>
            </w:r>
          </w:p>
        </w:tc>
      </w:tr>
      <w:tr>
        <w:trPr>
          <w:trHeight w:val="216"/>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participations and residuals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1,542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1,572</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1,611</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1,302</w:t>
            </w:r>
          </w:p>
        </w:tc>
      </w:tr>
      <w:tr>
        <w:trPr>
          <w:trHeight w:val="216"/>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5,155</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5,462</w:t>
            </w:r>
          </w:p>
        </w:tc>
      </w:tr>
      <w:tr>
        <w:trPr>
          <w:trHeight w:val="216"/>
        </w:trPr>
        <w:tc>
          <w:tcPr>
            <w:tcW w:w="9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2,934</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r>
      <w:tr>
        <w:trPr>
          <w:trHeight w:val="210"/>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17,601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18,178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52,629</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48,994</w:t>
            </w:r>
          </w:p>
        </w:tc>
      </w:tr>
      <w:tr>
        <w:trPr>
          <w:trHeight w:val="216"/>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34,512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33,566</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10,719</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10,637</w:t>
            </w:r>
          </w:p>
        </w:tc>
      </w:tr>
      <w:tr>
        <w:trPr>
          <w:trHeight w:val="216"/>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12)</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1,248</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1,221</w:t>
            </w:r>
          </w:p>
        </w:tc>
      </w:tr>
      <w:tr>
        <w:trPr>
          <w:trHeight w:val="216"/>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Preferred stock—authorized, 20,000,000 shares; issued, zero</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08"/>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0"/>
              </w:rPr>
              <w:t>Class A common stock, $0.01 par value—authorized, 7,500,000,000 shares; issued, 2,838,776,825 and 2,869,349,502;</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24"/>
        </w:trPr>
        <w:tc>
          <w:tcPr>
            <w:tcW w:w="9080" w:type="dxa"/>
            <w:vAlign w:val="bottom"/>
            <w:shd w:val="clear" w:color="auto" w:fill="E5E5E5"/>
          </w:tcPr>
          <w:p>
            <w:pPr>
              <w:ind w:left="660"/>
              <w:spacing w:after="0"/>
              <w:rPr>
                <w:sz w:val="20"/>
                <w:szCs w:val="20"/>
                <w:color w:val="auto"/>
              </w:rPr>
            </w:pPr>
            <w:r>
              <w:rPr>
                <w:rFonts w:ascii="Arial" w:cs="Arial" w:eastAsia="Arial" w:hAnsi="Arial"/>
                <w:sz w:val="18"/>
                <w:szCs w:val="18"/>
                <w:color w:val="auto"/>
              </w:rPr>
              <w:t>outstanding, 2,402,381,311 and 2,432,953,988</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38,469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38,518</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22,117</w:t>
            </w:r>
          </w:p>
        </w:tc>
        <w:tc>
          <w:tcPr>
            <w:tcW w:w="3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21,413</w:t>
            </w:r>
          </w:p>
        </w:tc>
      </w:tr>
      <w:tr>
        <w:trPr>
          <w:trHeight w:val="216"/>
        </w:trPr>
        <w:tc>
          <w:tcPr>
            <w:tcW w:w="9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Treasury stock, 436,395,514 Class A common shares</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9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53,098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52,269</w:t>
            </w:r>
          </w:p>
        </w:tc>
      </w:tr>
      <w:tr>
        <w:trPr>
          <w:trHeight w:val="216"/>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2,178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r>
      <w:tr>
        <w:trPr>
          <w:trHeight w:val="210"/>
        </w:trPr>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55,276</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53,978</w:t>
            </w:r>
          </w:p>
        </w:tc>
      </w:tr>
      <w:tr>
        <w:trPr>
          <w:trHeight w:val="217"/>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171,985</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166,574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right"/>
              <w:ind w:right="393"/>
              <w:spacing w:after="0"/>
              <w:rPr>
                <w:sz w:val="20"/>
                <w:szCs w:val="20"/>
                <w:color w:val="auto"/>
              </w:rPr>
            </w:pPr>
            <w:r>
              <w:rPr>
                <w:rFonts w:ascii="Arial" w:cs="Arial" w:eastAsia="Arial" w:hAnsi="Arial"/>
                <w:sz w:val="14"/>
                <w:szCs w:val="14"/>
                <w:color w:val="auto"/>
                <w:w w:val="94"/>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313"/>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613"/>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2015</w:t>
            </w:r>
          </w:p>
        </w:tc>
        <w:tc>
          <w:tcPr>
            <w:tcW w:w="280" w:type="dxa"/>
            <w:vAlign w:val="bottom"/>
          </w:tcPr>
          <w:p>
            <w:pPr>
              <w:spacing w:after="0"/>
              <w:rPr>
                <w:sz w:val="12"/>
                <w:szCs w:val="12"/>
                <w:color w:val="auto"/>
              </w:rPr>
            </w:pPr>
          </w:p>
        </w:tc>
        <w:tc>
          <w:tcPr>
            <w:tcW w:w="620" w:type="dxa"/>
            <w:vAlign w:val="bottom"/>
          </w:tcPr>
          <w:p>
            <w:pPr>
              <w:jc w:val="right"/>
              <w:ind w:right="195"/>
              <w:spacing w:after="0" w:line="142" w:lineRule="exact"/>
              <w:rPr>
                <w:sz w:val="20"/>
                <w:szCs w:val="20"/>
                <w:color w:val="auto"/>
              </w:rPr>
            </w:pPr>
            <w:r>
              <w:rPr>
                <w:rFonts w:ascii="Arial" w:cs="Arial" w:eastAsia="Arial" w:hAnsi="Arial"/>
                <w:sz w:val="14"/>
                <w:szCs w:val="14"/>
                <w:color w:val="auto"/>
              </w:rPr>
              <w:t>2016</w:t>
            </w:r>
          </w:p>
        </w:tc>
        <w:tc>
          <w:tcPr>
            <w:tcW w:w="180" w:type="dxa"/>
            <w:vAlign w:val="bottom"/>
          </w:tcPr>
          <w:p>
            <w:pPr>
              <w:spacing w:after="0"/>
              <w:rPr>
                <w:sz w:val="12"/>
                <w:szCs w:val="12"/>
                <w:color w:val="auto"/>
              </w:rPr>
            </w:pPr>
          </w:p>
        </w:tc>
        <w:tc>
          <w:tcPr>
            <w:tcW w:w="70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19,269</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7"/>
              </w:rPr>
              <w:t>18,743</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83"/>
              </w:rPr>
              <w:t>38,059</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3"/>
              </w:rPr>
              <w:t>36,596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5,669</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83"/>
              </w:rPr>
              <w:t>10,923</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3"/>
              </w:rPr>
              <w:t>11,132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5,274</w:t>
            </w:r>
          </w:p>
        </w:tc>
        <w:tc>
          <w:tcPr>
            <w:tcW w:w="28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Arial" w:cs="Arial" w:eastAsia="Arial" w:hAnsi="Arial"/>
                <w:sz w:val="18"/>
                <w:szCs w:val="18"/>
                <w:color w:val="auto"/>
                <w:w w:val="83"/>
              </w:rPr>
              <w:t>11,286</w:t>
            </w:r>
          </w:p>
        </w:tc>
        <w:tc>
          <w:tcPr>
            <w:tcW w:w="1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w w:val="83"/>
              </w:rPr>
              <w:t>10,348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1,534</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3,028</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3,653</w:t>
            </w:r>
          </w:p>
        </w:tc>
        <w:tc>
          <w:tcPr>
            <w:tcW w:w="1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487</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1,014</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3"/>
              </w:rPr>
              <w:t>15,203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7"/>
              </w:rPr>
              <w:t>14,638</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83"/>
              </w:rPr>
              <w:t>29,904</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3"/>
              </w:rPr>
              <w:t>28,601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4,105</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8,155</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(1,435)</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1"/>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315</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(617)</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(1,262)</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1"/>
              </w:rPr>
              <w:t>(1,105)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3,488</w:t>
            </w:r>
          </w:p>
        </w:tc>
        <w:tc>
          <w:tcPr>
            <w:tcW w:w="28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6,893</w:t>
            </w:r>
          </w:p>
        </w:tc>
        <w:tc>
          <w:tcPr>
            <w:tcW w:w="1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(1,278)</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4"/>
              </w:rPr>
              <w:t>(1,313)</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(2,589)</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1"/>
              </w:rPr>
              <w:t>(2,574)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2,175</w:t>
            </w:r>
          </w:p>
        </w:tc>
        <w:tc>
          <w:tcPr>
            <w:tcW w:w="280" w:type="dxa"/>
            <w:vAlign w:val="bottom"/>
          </w:tcPr>
          <w:p>
            <w:pPr>
              <w:spacing w:after="0"/>
              <w:rPr>
                <w:sz w:val="18"/>
                <w:szCs w:val="18"/>
                <w:color w:val="auto"/>
              </w:rPr>
            </w:pP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4,304</w:t>
            </w:r>
          </w:p>
        </w:tc>
        <w:tc>
          <w:tcPr>
            <w:tcW w:w="1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2,137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4,162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4,196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0.84</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0.85</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1.71</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0.83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53"/>
              <w:spacing w:after="0"/>
              <w:rPr>
                <w:sz w:val="20"/>
                <w:szCs w:val="20"/>
                <w:color w:val="auto"/>
              </w:rPr>
            </w:pPr>
            <w:r>
              <w:rPr>
                <w:rFonts w:ascii="Arial" w:cs="Arial" w:eastAsia="Arial" w:hAnsi="Arial"/>
                <w:sz w:val="18"/>
                <w:szCs w:val="18"/>
                <w:b w:val="1"/>
                <w:bCs w:val="1"/>
                <w:color w:val="auto"/>
              </w:rPr>
              <w:t>0.84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5"/>
              <w:spacing w:after="0"/>
              <w:rPr>
                <w:sz w:val="20"/>
                <w:szCs w:val="20"/>
                <w:color w:val="auto"/>
              </w:rPr>
            </w:pPr>
            <w:r>
              <w:rPr>
                <w:rFonts w:ascii="Arial" w:cs="Arial" w:eastAsia="Arial" w:hAnsi="Arial"/>
                <w:sz w:val="18"/>
                <w:szCs w:val="18"/>
                <w:b w:val="1"/>
                <w:bCs w:val="1"/>
                <w:color w:val="auto"/>
              </w:rPr>
              <w:t>1.70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3"/>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0.275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0.55</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200" w:type="dxa"/>
            <w:vAlign w:val="bottom"/>
            <w:gridSpan w:val="2"/>
          </w:tcPr>
          <w:p>
            <w:pPr>
              <w:jc w:val="right"/>
              <w:ind w:right="374"/>
              <w:spacing w:after="0"/>
              <w:rPr>
                <w:sz w:val="20"/>
                <w:szCs w:val="20"/>
                <w:color w:val="auto"/>
              </w:rPr>
            </w:pPr>
            <w:r>
              <w:rPr>
                <w:rFonts w:ascii="Arial" w:cs="Arial" w:eastAsia="Arial" w:hAnsi="Arial"/>
                <w:sz w:val="14"/>
                <w:szCs w:val="14"/>
                <w:color w:val="auto"/>
              </w:rPr>
              <w:t>Three Months Ended</w:t>
            </w:r>
          </w:p>
        </w:tc>
        <w:tc>
          <w:tcPr>
            <w:tcW w:w="1760" w:type="dxa"/>
            <w:vAlign w:val="bottom"/>
            <w:gridSpan w:val="2"/>
          </w:tcPr>
          <w:p>
            <w:pPr>
              <w:jc w:val="right"/>
              <w:ind w:right="23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60" w:type="dxa"/>
            <w:vAlign w:val="bottom"/>
            <w:tcBorders>
              <w:bottom w:val="single" w:sz="8" w:color="auto"/>
            </w:tcBorders>
            <w:vMerge w:val="continue"/>
          </w:tcPr>
          <w:p>
            <w:pPr>
              <w:spacing w:after="0"/>
              <w:rPr>
                <w:sz w:val="12"/>
                <w:szCs w:val="12"/>
                <w:color w:val="auto"/>
              </w:rPr>
            </w:pPr>
          </w:p>
        </w:tc>
        <w:tc>
          <w:tcPr>
            <w:tcW w:w="1400" w:type="dxa"/>
            <w:vAlign w:val="bottom"/>
            <w:tcBorders>
              <w:bottom w:val="single" w:sz="8" w:color="auto"/>
            </w:tcBorders>
          </w:tcPr>
          <w:p>
            <w:pPr>
              <w:jc w:val="right"/>
              <w:ind w:right="517"/>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rPr>
              <w:t>2016</w:t>
            </w: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40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$2,080</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0"/>
              </w:rPr>
              <w:t>$2,175</w:t>
            </w:r>
          </w:p>
        </w:tc>
        <w:tc>
          <w:tcPr>
            <w:tcW w:w="11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$4,304</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$4,316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w w:val="95"/>
              </w:rPr>
              <w:t>Unrealized gains (losses) on marketable securities, net of deferred taxes of $—, $—, $(1) and $—</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7"/>
              <w:spacing w:after="0"/>
              <w:rPr>
                <w:sz w:val="20"/>
                <w:szCs w:val="20"/>
                <w:color w:val="auto"/>
              </w:rPr>
            </w:pPr>
            <w:r>
              <w:rPr>
                <w:rFonts w:ascii="Arial" w:cs="Arial" w:eastAsia="Arial" w:hAnsi="Arial"/>
                <w:sz w:val="18"/>
                <w:szCs w:val="18"/>
                <w:color w:val="auto"/>
              </w:rPr>
              <w:t>3</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w w:val="99"/>
              </w:rPr>
              <w:t>Deferred gains (losses) on cash flow hedges, net of deferred taxes of $35, $(13), $53 and $10</w:t>
            </w:r>
          </w:p>
        </w:tc>
        <w:tc>
          <w:tcPr>
            <w:tcW w:w="140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(60)</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(91)</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3"/>
              </w:rPr>
              <w:t>Realized (gains) losses on marketable securities, net of deferred taxes of $—, $—, $1 and $—</w:t>
            </w:r>
          </w:p>
        </w:tc>
        <w:tc>
          <w:tcPr>
            <w:tcW w:w="140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440"/>
              <w:spacing w:after="0"/>
              <w:rPr>
                <w:sz w:val="20"/>
                <w:szCs w:val="20"/>
                <w:color w:val="auto"/>
              </w:rPr>
            </w:pPr>
            <w:r>
              <w:rPr>
                <w:rFonts w:ascii="Arial" w:cs="Arial" w:eastAsia="Arial" w:hAnsi="Arial"/>
                <w:sz w:val="18"/>
                <w:szCs w:val="18"/>
                <w:color w:val="auto"/>
                <w:w w:val="91"/>
              </w:rPr>
              <w:t>Realized (gains) losses on cash flow hedges, net of deferred taxes of $(26), $16, $(36) and $(6)</w:t>
            </w: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45</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1160" w:type="dxa"/>
            <w:vAlign w:val="bottom"/>
          </w:tcPr>
          <w:p>
            <w:pPr>
              <w:jc w:val="right"/>
              <w:ind w:right="337"/>
              <w:spacing w:after="0"/>
              <w:rPr>
                <w:sz w:val="20"/>
                <w:szCs w:val="20"/>
                <w:color w:val="auto"/>
              </w:rPr>
            </w:pPr>
            <w:r>
              <w:rPr>
                <w:rFonts w:ascii="Arial" w:cs="Arial" w:eastAsia="Arial" w:hAnsi="Arial"/>
                <w:sz w:val="18"/>
                <w:szCs w:val="18"/>
                <w:color w:val="auto"/>
              </w:rPr>
              <w:t>62</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 $(2) and $—</w:t>
            </w:r>
          </w:p>
        </w:tc>
        <w:tc>
          <w:tcPr>
            <w:tcW w:w="140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$(58), $(15), $(116) and $8</w:t>
            </w:r>
          </w:p>
        </w:tc>
        <w:tc>
          <w:tcPr>
            <w:tcW w:w="14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249</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32</w:t>
            </w: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487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40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2,315</w:t>
            </w: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2,202</w:t>
            </w:r>
          </w:p>
        </w:tc>
        <w:tc>
          <w:tcPr>
            <w:tcW w:w="11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4,766</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w w:val="94"/>
              </w:rPr>
              <w:t>Net (income) loss attributable to noncontrolling interests and redeemable subsidiary preferred stock</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(52)</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(38)</w:t>
            </w:r>
          </w:p>
        </w:tc>
        <w:tc>
          <w:tcPr>
            <w:tcW w:w="1160" w:type="dxa"/>
            <w:vAlign w:val="bottom"/>
          </w:tcPr>
          <w:p>
            <w:pPr>
              <w:jc w:val="right"/>
              <w:ind w:right="277"/>
              <w:spacing w:after="0"/>
              <w:rPr>
                <w:sz w:val="20"/>
                <w:szCs w:val="20"/>
                <w:color w:val="auto"/>
              </w:rPr>
            </w:pPr>
            <w:r>
              <w:rPr>
                <w:rFonts w:ascii="Arial" w:cs="Arial" w:eastAsia="Arial" w:hAnsi="Arial"/>
                <w:sz w:val="18"/>
                <w:szCs w:val="18"/>
                <w:color w:val="auto"/>
              </w:rPr>
              <w:t>(142)</w:t>
            </w: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0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(150)</w:t>
            </w:r>
          </w:p>
        </w:tc>
        <w:tc>
          <w:tcPr>
            <w:tcW w:w="8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(287)</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4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$ 2,113</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0"/>
              </w:rPr>
              <w:t>$2,159</w:t>
            </w: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$4,337</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$4,176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320" w:type="dxa"/>
            <w:vAlign w:val="bottom"/>
            <w:gridSpan w:val="2"/>
          </w:tcPr>
          <w:p>
            <w:pPr>
              <w:jc w:val="right"/>
              <w:ind w:right="39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00" w:type="dxa"/>
            <w:vAlign w:val="bottom"/>
            <w:tcBorders>
              <w:bottom w:val="single" w:sz="8" w:color="auto"/>
            </w:tcBorders>
            <w:vMerge w:val="continue"/>
          </w:tcPr>
          <w:p>
            <w:pPr>
              <w:spacing w:after="0"/>
              <w:rPr>
                <w:sz w:val="12"/>
                <w:szCs w:val="12"/>
                <w:color w:val="auto"/>
              </w:rPr>
            </w:pPr>
          </w:p>
        </w:tc>
        <w:tc>
          <w:tcPr>
            <w:tcW w:w="1540" w:type="dxa"/>
            <w:vAlign w:val="bottom"/>
            <w:tcBorders>
              <w:bottom w:val="single" w:sz="8" w:color="auto"/>
            </w:tcBorders>
          </w:tcPr>
          <w:p>
            <w:pPr>
              <w:jc w:val="right"/>
              <w:ind w:right="495"/>
              <w:spacing w:after="0" w:line="142" w:lineRule="exact"/>
              <w:rPr>
                <w:sz w:val="20"/>
                <w:szCs w:val="20"/>
                <w:color w:val="auto"/>
              </w:rPr>
            </w:pPr>
            <w:r>
              <w:rPr>
                <w:rFonts w:ascii="Arial" w:cs="Arial" w:eastAsia="Arial" w:hAnsi="Arial"/>
                <w:sz w:val="14"/>
                <w:szCs w:val="14"/>
                <w:color w:val="auto"/>
              </w:rPr>
              <w:t>2016</w:t>
            </w: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4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$ 9,383</w:t>
            </w: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9"/>
              </w:rPr>
              <w:t>$ 8,834</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5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(4,156)</w:t>
            </w: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540" w:type="dxa"/>
            <w:vAlign w:val="bottom"/>
          </w:tcPr>
          <w:p>
            <w:pPr>
              <w:jc w:val="right"/>
              <w:ind w:right="295"/>
              <w:spacing w:after="0"/>
              <w:rPr>
                <w:sz w:val="20"/>
                <w:szCs w:val="20"/>
                <w:color w:val="auto"/>
              </w:rPr>
            </w:pPr>
            <w:r>
              <w:rPr>
                <w:rFonts w:ascii="Arial" w:cs="Arial" w:eastAsia="Arial" w:hAnsi="Arial"/>
                <w:sz w:val="18"/>
                <w:szCs w:val="18"/>
                <w:color w:val="auto"/>
              </w:rPr>
              <w:t>(737)</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and construction of real estate properties</w:t>
            </w:r>
          </w:p>
        </w:tc>
        <w:tc>
          <w:tcPr>
            <w:tcW w:w="15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(211)</w:t>
            </w: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1540" w:type="dxa"/>
            <w:vAlign w:val="bottom"/>
          </w:tcPr>
          <w:p>
            <w:pPr>
              <w:jc w:val="right"/>
              <w:ind w:right="295"/>
              <w:spacing w:after="0"/>
              <w:rPr>
                <w:sz w:val="20"/>
                <w:szCs w:val="20"/>
                <w:color w:val="auto"/>
              </w:rPr>
            </w:pPr>
            <w:r>
              <w:rPr>
                <w:rFonts w:ascii="Arial" w:cs="Arial" w:eastAsia="Arial" w:hAnsi="Arial"/>
                <w:sz w:val="18"/>
                <w:szCs w:val="18"/>
                <w:color w:val="auto"/>
              </w:rPr>
              <w:t>(126)</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54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138</w:t>
            </w: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1540" w:type="dxa"/>
            <w:vAlign w:val="bottom"/>
          </w:tcPr>
          <w:p>
            <w:pPr>
              <w:jc w:val="right"/>
              <w:ind w:right="295"/>
              <w:spacing w:after="0"/>
              <w:rPr>
                <w:sz w:val="20"/>
                <w:szCs w:val="20"/>
                <w:color w:val="auto"/>
              </w:rPr>
            </w:pPr>
            <w:r>
              <w:rPr>
                <w:rFonts w:ascii="Arial" w:cs="Arial" w:eastAsia="Arial" w:hAnsi="Arial"/>
                <w:sz w:val="18"/>
                <w:szCs w:val="18"/>
                <w:color w:val="auto"/>
              </w:rPr>
              <w:t>(580)</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9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(156)</w:t>
            </w: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5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(5,828)</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(4,236)</w:t>
            </w:r>
          </w:p>
        </w:tc>
        <w:tc>
          <w:tcPr>
            <w:tcW w:w="0" w:type="dxa"/>
            <w:vAlign w:val="bottom"/>
          </w:tcPr>
          <w:p>
            <w:pPr>
              <w:spacing w:after="0"/>
              <w:rPr>
                <w:sz w:val="1"/>
                <w:szCs w:val="1"/>
                <w:color w:val="auto"/>
              </w:rPr>
            </w:pPr>
          </w:p>
        </w:tc>
      </w:tr>
      <w:tr>
        <w:trPr>
          <w:trHeight w:val="210"/>
        </w:trPr>
        <w:tc>
          <w:tcPr>
            <w:tcW w:w="9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5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1540" w:type="dxa"/>
            <w:vAlign w:val="bottom"/>
          </w:tcPr>
          <w:p>
            <w:pPr>
              <w:jc w:val="right"/>
              <w:ind w:right="355"/>
              <w:spacing w:after="0"/>
              <w:rPr>
                <w:sz w:val="20"/>
                <w:szCs w:val="20"/>
                <w:color w:val="auto"/>
              </w:rPr>
            </w:pPr>
            <w:r>
              <w:rPr>
                <w:rFonts w:ascii="Arial" w:cs="Arial" w:eastAsia="Arial" w:hAnsi="Arial"/>
                <w:sz w:val="18"/>
                <w:szCs w:val="18"/>
                <w:color w:val="auto"/>
              </w:rPr>
              <w:t>205</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borrowings</w:t>
            </w:r>
          </w:p>
        </w:tc>
        <w:tc>
          <w:tcPr>
            <w:tcW w:w="154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4,753</w:t>
            </w: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540" w:type="dxa"/>
            <w:vAlign w:val="bottom"/>
          </w:tcPr>
          <w:p>
            <w:pPr>
              <w:jc w:val="right"/>
              <w:ind w:right="295"/>
              <w:spacing w:after="0"/>
              <w:rPr>
                <w:sz w:val="20"/>
                <w:szCs w:val="20"/>
                <w:color w:val="auto"/>
              </w:rPr>
            </w:pPr>
            <w:r>
              <w:rPr>
                <w:rFonts w:ascii="Arial" w:cs="Arial" w:eastAsia="Arial" w:hAnsi="Arial"/>
                <w:sz w:val="18"/>
                <w:szCs w:val="18"/>
                <w:color w:val="auto"/>
              </w:rPr>
              <w:t>(2,551)</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15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(2,385)</w:t>
            </w: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540" w:type="dxa"/>
            <w:vAlign w:val="bottom"/>
          </w:tcPr>
          <w:p>
            <w:pPr>
              <w:jc w:val="right"/>
              <w:ind w:right="295"/>
              <w:spacing w:after="0"/>
              <w:rPr>
                <w:sz w:val="20"/>
                <w:szCs w:val="20"/>
                <w:color w:val="auto"/>
              </w:rPr>
            </w:pPr>
            <w:r>
              <w:rPr>
                <w:rFonts w:ascii="Arial" w:cs="Arial" w:eastAsia="Arial" w:hAnsi="Arial"/>
                <w:sz w:val="18"/>
                <w:szCs w:val="18"/>
                <w:color w:val="auto"/>
              </w:rPr>
              <w:t>(1,281)</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9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154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19</w:t>
            </w: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40" w:type="dxa"/>
            <w:vAlign w:val="bottom"/>
          </w:tcPr>
          <w:p>
            <w:pPr>
              <w:jc w:val="right"/>
              <w:ind w:right="295"/>
              <w:spacing w:after="0"/>
              <w:rPr>
                <w:sz w:val="20"/>
                <w:szCs w:val="20"/>
                <w:color w:val="auto"/>
              </w:rPr>
            </w:pPr>
            <w:r>
              <w:rPr>
                <w:rFonts w:ascii="Arial" w:cs="Arial" w:eastAsia="Arial" w:hAnsi="Arial"/>
                <w:sz w:val="18"/>
                <w:szCs w:val="18"/>
                <w:color w:val="auto"/>
              </w:rPr>
              <w:t>(125)</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180</w:t>
            </w:r>
          </w:p>
        </w:tc>
        <w:tc>
          <w:tcPr>
            <w:tcW w:w="7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0"/>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(1,185)</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(5,022)</w:t>
            </w:r>
          </w:p>
        </w:tc>
        <w:tc>
          <w:tcPr>
            <w:tcW w:w="0" w:type="dxa"/>
            <w:vAlign w:val="bottom"/>
          </w:tcPr>
          <w:p>
            <w:pPr>
              <w:spacing w:after="0"/>
              <w:rPr>
                <w:sz w:val="1"/>
                <w:szCs w:val="1"/>
                <w:color w:val="auto"/>
              </w:rPr>
            </w:pPr>
          </w:p>
        </w:tc>
      </w:tr>
      <w:tr>
        <w:trPr>
          <w:trHeight w:val="210"/>
        </w:trPr>
        <w:tc>
          <w:tcPr>
            <w:tcW w:w="91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54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2,370</w:t>
            </w:r>
          </w:p>
        </w:tc>
        <w:tc>
          <w:tcPr>
            <w:tcW w:w="7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54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2,295</w:t>
            </w: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7"/>
        </w:trPr>
        <w:tc>
          <w:tcPr>
            <w:tcW w:w="9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4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$ 4,665</w:t>
            </w: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9"/>
              </w:rPr>
              <w:t>$ 3,486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Borders>
              <w:right w:val="single" w:sz="8" w:color="auto"/>
            </w:tcBorders>
          </w:tcPr>
          <w:p>
            <w:pPr>
              <w:jc w:val="center"/>
              <w:ind w:right="373"/>
              <w:spacing w:after="0"/>
              <w:rPr>
                <w:sz w:val="20"/>
                <w:szCs w:val="20"/>
                <w:color w:val="auto"/>
              </w:rPr>
            </w:pPr>
            <w:r>
              <w:rPr>
                <w:rFonts w:ascii="Arial" w:cs="Arial" w:eastAsia="Arial" w:hAnsi="Arial"/>
                <w:sz w:val="14"/>
                <w:szCs w:val="14"/>
                <w:color w:val="auto"/>
                <w:w w:val="85"/>
              </w:rPr>
              <w:t>Redeemable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00" w:type="dxa"/>
            <w:vAlign w:val="bottom"/>
            <w:tcBorders>
              <w:right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right w:val="single" w:sz="8" w:color="auto"/>
            </w:tcBorders>
          </w:tcPr>
          <w:p>
            <w:pPr>
              <w:jc w:val="center"/>
              <w:ind w:right="373"/>
              <w:spacing w:after="0" w:line="149" w:lineRule="exact"/>
              <w:rPr>
                <w:sz w:val="20"/>
                <w:szCs w:val="20"/>
                <w:color w:val="auto"/>
              </w:rPr>
            </w:pPr>
            <w:r>
              <w:rPr>
                <w:rFonts w:ascii="Arial" w:cs="Arial" w:eastAsia="Arial" w:hAnsi="Arial"/>
                <w:sz w:val="14"/>
                <w:szCs w:val="14"/>
                <w:color w:val="auto"/>
                <w:w w:val="83"/>
              </w:rPr>
              <w:t>Interests and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right w:val="single" w:sz="8" w:color="auto"/>
            </w:tcBorders>
          </w:tcPr>
          <w:p>
            <w:pPr>
              <w:jc w:val="center"/>
              <w:ind w:right="373"/>
              <w:spacing w:after="0" w:line="149" w:lineRule="exact"/>
              <w:rPr>
                <w:sz w:val="20"/>
                <w:szCs w:val="20"/>
                <w:color w:val="auto"/>
              </w:rPr>
            </w:pPr>
            <w:r>
              <w:rPr>
                <w:rFonts w:ascii="Arial" w:cs="Arial" w:eastAsia="Arial" w:hAnsi="Arial"/>
                <w:sz w:val="14"/>
                <w:szCs w:val="14"/>
                <w:color w:val="auto"/>
                <w:w w:val="85"/>
              </w:rPr>
              <w:t>Redeemable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w w:val="89"/>
              </w:rPr>
              <w:t>Common Stock</w:t>
            </w:r>
          </w:p>
        </w:tc>
        <w:tc>
          <w:tcPr>
            <w:tcW w:w="3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2"/>
                <w:szCs w:val="12"/>
                <w:color w:val="auto"/>
              </w:rPr>
            </w:pP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2"/>
                <w:szCs w:val="12"/>
                <w:color w:val="auto"/>
              </w:rPr>
            </w:pPr>
          </w:p>
        </w:tc>
        <w:tc>
          <w:tcPr>
            <w:tcW w:w="94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Non-</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Borders>
              <w:right w:val="single" w:sz="8" w:color="auto"/>
            </w:tcBorders>
          </w:tcPr>
          <w:p>
            <w:pPr>
              <w:jc w:val="center"/>
              <w:ind w:right="393"/>
              <w:spacing w:after="0" w:line="113" w:lineRule="exact"/>
              <w:rPr>
                <w:sz w:val="20"/>
                <w:szCs w:val="20"/>
                <w:color w:val="auto"/>
              </w:rPr>
            </w:pPr>
            <w:r>
              <w:rPr>
                <w:rFonts w:ascii="Arial" w:cs="Arial" w:eastAsia="Arial" w:hAnsi="Arial"/>
                <w:sz w:val="12"/>
                <w:szCs w:val="12"/>
                <w:color w:val="auto"/>
              </w:rPr>
              <w:t>Subsidiary</w:t>
            </w: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ind w:right="173"/>
              <w:spacing w:after="0" w:line="113" w:lineRule="exact"/>
              <w:rPr>
                <w:sz w:val="20"/>
                <w:szCs w:val="20"/>
                <w:color w:val="auto"/>
              </w:rPr>
            </w:pPr>
            <w:r>
              <w:rPr>
                <w:rFonts w:ascii="Arial" w:cs="Arial" w:eastAsia="Arial" w:hAnsi="Arial"/>
                <w:sz w:val="12"/>
                <w:szCs w:val="12"/>
                <w:color w:val="auto"/>
                <w:w w:val="99"/>
              </w:rPr>
              <w:t>Paid-In</w:t>
            </w:r>
          </w:p>
        </w:tc>
        <w:tc>
          <w:tcPr>
            <w:tcW w:w="740" w:type="dxa"/>
            <w:vAlign w:val="bottom"/>
          </w:tcPr>
          <w:p>
            <w:pPr>
              <w:jc w:val="right"/>
              <w:ind w:right="93"/>
              <w:spacing w:after="0" w:line="113" w:lineRule="exact"/>
              <w:rPr>
                <w:sz w:val="20"/>
                <w:szCs w:val="20"/>
                <w:color w:val="auto"/>
              </w:rPr>
            </w:pPr>
            <w:r>
              <w:rPr>
                <w:rFonts w:ascii="Arial" w:cs="Arial" w:eastAsia="Arial" w:hAnsi="Arial"/>
                <w:sz w:val="12"/>
                <w:szCs w:val="12"/>
                <w:color w:val="auto"/>
              </w:rPr>
              <w:t>Retained</w:t>
            </w:r>
          </w:p>
        </w:tc>
        <w:tc>
          <w:tcPr>
            <w:tcW w:w="720" w:type="dxa"/>
            <w:vAlign w:val="bottom"/>
            <w:gridSpan w:val="2"/>
          </w:tcPr>
          <w:p>
            <w:pPr>
              <w:ind w:left="120"/>
              <w:spacing w:after="0" w:line="113" w:lineRule="exact"/>
              <w:rPr>
                <w:sz w:val="20"/>
                <w:szCs w:val="20"/>
                <w:color w:val="auto"/>
              </w:rPr>
            </w:pPr>
            <w:r>
              <w:rPr>
                <w:rFonts w:ascii="Arial" w:cs="Arial" w:eastAsia="Arial" w:hAnsi="Arial"/>
                <w:sz w:val="12"/>
                <w:szCs w:val="12"/>
                <w:color w:val="auto"/>
              </w:rPr>
              <w:t>Stock at</w:t>
            </w:r>
          </w:p>
        </w:tc>
        <w:tc>
          <w:tcPr>
            <w:tcW w:w="1100" w:type="dxa"/>
            <w:vAlign w:val="bottom"/>
            <w:gridSpan w:val="2"/>
          </w:tcPr>
          <w:p>
            <w:pPr>
              <w:ind w:left="100"/>
              <w:spacing w:after="0" w:line="113" w:lineRule="exact"/>
              <w:rPr>
                <w:sz w:val="20"/>
                <w:szCs w:val="20"/>
                <w:color w:val="auto"/>
              </w:rPr>
            </w:pPr>
            <w:r>
              <w:rPr>
                <w:rFonts w:ascii="Arial" w:cs="Arial" w:eastAsia="Arial" w:hAnsi="Arial"/>
                <w:sz w:val="12"/>
                <w:szCs w:val="12"/>
                <w:color w:val="auto"/>
              </w:rPr>
              <w:t>Comprehensive</w:t>
            </w:r>
          </w:p>
        </w:tc>
        <w:tc>
          <w:tcPr>
            <w:tcW w:w="800" w:type="dxa"/>
            <w:vAlign w:val="bottom"/>
            <w:gridSpan w:val="2"/>
          </w:tcPr>
          <w:p>
            <w:pPr>
              <w:ind w:left="100"/>
              <w:spacing w:after="0" w:line="113" w:lineRule="exact"/>
              <w:rPr>
                <w:sz w:val="20"/>
                <w:szCs w:val="20"/>
                <w:color w:val="auto"/>
              </w:rPr>
            </w:pPr>
            <w:r>
              <w:rPr>
                <w:rFonts w:ascii="Arial" w:cs="Arial" w:eastAsia="Arial" w:hAnsi="Arial"/>
                <w:sz w:val="12"/>
                <w:szCs w:val="12"/>
                <w:color w:val="auto"/>
              </w:rPr>
              <w:t>controlling</w:t>
            </w:r>
          </w:p>
        </w:tc>
        <w:tc>
          <w:tcPr>
            <w:tcW w:w="620" w:type="dxa"/>
            <w:vAlign w:val="bottom"/>
          </w:tcPr>
          <w:p>
            <w:pPr>
              <w:jc w:val="right"/>
              <w:ind w:right="133"/>
              <w:spacing w:after="0" w:line="11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1500" w:type="dxa"/>
            <w:vAlign w:val="bottom"/>
            <w:tcBorders>
              <w:right w:val="single" w:sz="8" w:color="auto"/>
            </w:tcBorders>
            <w:gridSpan w:val="2"/>
          </w:tcPr>
          <w:p>
            <w:pPr>
              <w:ind w:left="280"/>
              <w:spacing w:after="0" w:line="155" w:lineRule="exact"/>
              <w:rPr>
                <w:sz w:val="20"/>
                <w:szCs w:val="20"/>
                <w:color w:val="auto"/>
              </w:rPr>
            </w:pPr>
            <w:r>
              <w:rPr>
                <w:rFonts w:ascii="Arial" w:cs="Arial" w:eastAsia="Arial" w:hAnsi="Arial"/>
                <w:sz w:val="14"/>
                <w:szCs w:val="14"/>
                <w:color w:val="auto"/>
              </w:rPr>
              <w:t>Preferred Stock</w:t>
            </w:r>
          </w:p>
        </w:tc>
        <w:tc>
          <w:tcPr>
            <w:tcW w:w="260" w:type="dxa"/>
            <w:vAlign w:val="bottom"/>
          </w:tcPr>
          <w:p>
            <w:pPr>
              <w:spacing w:after="0"/>
              <w:rPr>
                <w:sz w:val="13"/>
                <w:szCs w:val="13"/>
                <w:color w:val="auto"/>
              </w:rPr>
            </w:pPr>
          </w:p>
        </w:tc>
        <w:tc>
          <w:tcPr>
            <w:tcW w:w="440" w:type="dxa"/>
            <w:vAlign w:val="bottom"/>
          </w:tcPr>
          <w:p>
            <w:pPr>
              <w:jc w:val="right"/>
              <w:ind w:right="52"/>
              <w:spacing w:after="0" w:line="155" w:lineRule="exact"/>
              <w:rPr>
                <w:sz w:val="20"/>
                <w:szCs w:val="20"/>
                <w:color w:val="auto"/>
              </w:rPr>
            </w:pPr>
            <w:r>
              <w:rPr>
                <w:rFonts w:ascii="Arial" w:cs="Arial" w:eastAsia="Arial" w:hAnsi="Arial"/>
                <w:sz w:val="14"/>
                <w:szCs w:val="14"/>
                <w:color w:val="auto"/>
              </w:rPr>
              <w:t>A</w:t>
            </w:r>
          </w:p>
        </w:tc>
        <w:tc>
          <w:tcPr>
            <w:tcW w:w="9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line="155" w:lineRule="exact"/>
              <w:rPr>
                <w:sz w:val="20"/>
                <w:szCs w:val="20"/>
                <w:color w:val="auto"/>
              </w:rPr>
            </w:pPr>
            <w:r>
              <w:rPr>
                <w:rFonts w:ascii="Arial" w:cs="Arial" w:eastAsia="Arial" w:hAnsi="Arial"/>
                <w:sz w:val="14"/>
                <w:szCs w:val="14"/>
                <w:color w:val="auto"/>
              </w:rPr>
              <w:t>B</w:t>
            </w:r>
          </w:p>
        </w:tc>
        <w:tc>
          <w:tcPr>
            <w:tcW w:w="240" w:type="dxa"/>
            <w:vAlign w:val="bottom"/>
          </w:tcPr>
          <w:p>
            <w:pPr>
              <w:spacing w:after="0"/>
              <w:rPr>
                <w:sz w:val="13"/>
                <w:szCs w:val="13"/>
                <w:color w:val="auto"/>
              </w:rPr>
            </w:pPr>
          </w:p>
        </w:tc>
        <w:tc>
          <w:tcPr>
            <w:tcW w:w="640" w:type="dxa"/>
            <w:vAlign w:val="bottom"/>
          </w:tcPr>
          <w:p>
            <w:pPr>
              <w:jc w:val="right"/>
              <w:ind w:right="173"/>
              <w:spacing w:after="0" w:line="155" w:lineRule="exact"/>
              <w:rPr>
                <w:sz w:val="20"/>
                <w:szCs w:val="20"/>
                <w:color w:val="auto"/>
              </w:rPr>
            </w:pPr>
            <w:r>
              <w:rPr>
                <w:rFonts w:ascii="Arial" w:cs="Arial" w:eastAsia="Arial" w:hAnsi="Arial"/>
                <w:sz w:val="14"/>
                <w:szCs w:val="14"/>
                <w:color w:val="auto"/>
                <w:w w:val="87"/>
              </w:rPr>
              <w:t>Capital</w:t>
            </w:r>
          </w:p>
        </w:tc>
        <w:tc>
          <w:tcPr>
            <w:tcW w:w="740" w:type="dxa"/>
            <w:vAlign w:val="bottom"/>
          </w:tcPr>
          <w:p>
            <w:pPr>
              <w:jc w:val="right"/>
              <w:ind w:right="93"/>
              <w:spacing w:after="0" w:line="155" w:lineRule="exact"/>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3"/>
                <w:szCs w:val="13"/>
                <w:color w:val="auto"/>
              </w:rPr>
            </w:pPr>
          </w:p>
        </w:tc>
        <w:tc>
          <w:tcPr>
            <w:tcW w:w="540" w:type="dxa"/>
            <w:vAlign w:val="bottom"/>
          </w:tcPr>
          <w:p>
            <w:pPr>
              <w:jc w:val="right"/>
              <w:ind w:right="192"/>
              <w:spacing w:after="0" w:line="155" w:lineRule="exact"/>
              <w:rPr>
                <w:sz w:val="20"/>
                <w:szCs w:val="20"/>
                <w:color w:val="auto"/>
              </w:rPr>
            </w:pPr>
            <w:r>
              <w:rPr>
                <w:rFonts w:ascii="Arial" w:cs="Arial" w:eastAsia="Arial" w:hAnsi="Arial"/>
                <w:sz w:val="14"/>
                <w:szCs w:val="14"/>
                <w:color w:val="auto"/>
                <w:w w:val="90"/>
              </w:rPr>
              <w:t>Cost</w:t>
            </w:r>
          </w:p>
        </w:tc>
        <w:tc>
          <w:tcPr>
            <w:tcW w:w="1100" w:type="dxa"/>
            <w:vAlign w:val="bottom"/>
            <w:gridSpan w:val="2"/>
          </w:tcPr>
          <w:p>
            <w:pPr>
              <w:jc w:val="center"/>
              <w:spacing w:after="0" w:line="155" w:lineRule="exact"/>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3"/>
                <w:szCs w:val="13"/>
                <w:color w:val="auto"/>
              </w:rPr>
            </w:pPr>
          </w:p>
        </w:tc>
        <w:tc>
          <w:tcPr>
            <w:tcW w:w="640" w:type="dxa"/>
            <w:vAlign w:val="bottom"/>
          </w:tcPr>
          <w:p>
            <w:pPr>
              <w:jc w:val="right"/>
              <w:ind w:right="112"/>
              <w:spacing w:after="0" w:line="155" w:lineRule="exact"/>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3"/>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2014</w:t>
            </w:r>
          </w:p>
        </w:tc>
        <w:tc>
          <w:tcPr>
            <w:tcW w:w="34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right w:val="single" w:sz="8" w:color="auto"/>
            </w:tcBorders>
            <w:shd w:val="clear" w:color="auto" w:fill="E5E5E5"/>
          </w:tcPr>
          <w:p>
            <w:pPr>
              <w:jc w:val="right"/>
              <w:ind w:right="313"/>
              <w:spacing w:after="0" w:line="142" w:lineRule="exact"/>
              <w:rPr>
                <w:sz w:val="20"/>
                <w:szCs w:val="20"/>
                <w:color w:val="auto"/>
              </w:rPr>
            </w:pPr>
            <w:r>
              <w:rPr>
                <w:rFonts w:ascii="Arial" w:cs="Arial" w:eastAsia="Arial" w:hAnsi="Arial"/>
                <w:sz w:val="14"/>
                <w:szCs w:val="14"/>
                <w:color w:val="auto"/>
              </w:rPr>
              <w:t>1,066</w:t>
            </w:r>
          </w:p>
        </w:tc>
        <w:tc>
          <w:tcPr>
            <w:tcW w:w="260" w:type="dxa"/>
            <w:vAlign w:val="bottom"/>
            <w:tcBorders>
              <w:top w:val="single" w:sz="8" w:color="auto"/>
            </w:tcBorders>
            <w:shd w:val="clear" w:color="auto" w:fill="E5E5E5"/>
          </w:tcPr>
          <w:p>
            <w:pPr>
              <w:spacing w:after="0"/>
              <w:rPr>
                <w:sz w:val="12"/>
                <w:szCs w:val="12"/>
                <w:color w:val="auto"/>
              </w:rPr>
            </w:pPr>
          </w:p>
        </w:tc>
        <w:tc>
          <w:tcPr>
            <w:tcW w:w="4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$25</w:t>
            </w:r>
          </w:p>
        </w:tc>
        <w:tc>
          <w:tcPr>
            <w:tcW w:w="40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3"/>
              <w:spacing w:after="0" w:line="142" w:lineRule="exact"/>
              <w:rPr>
                <w:sz w:val="20"/>
                <w:szCs w:val="20"/>
                <w:color w:val="auto"/>
              </w:rPr>
            </w:pPr>
            <w:r>
              <w:rPr>
                <w:rFonts w:ascii="Arial" w:cs="Arial" w:eastAsia="Arial" w:hAnsi="Arial"/>
                <w:sz w:val="14"/>
                <w:szCs w:val="14"/>
                <w:color w:val="auto"/>
              </w:rPr>
              <w:t>38,805</w:t>
            </w:r>
          </w:p>
        </w:tc>
        <w:tc>
          <w:tcPr>
            <w:tcW w:w="740" w:type="dxa"/>
            <w:vAlign w:val="bottom"/>
            <w:tcBorders>
              <w:top w:val="single" w:sz="8" w:color="auto"/>
            </w:tcBorders>
            <w:shd w:val="clear" w:color="auto" w:fill="E5E5E5"/>
          </w:tcPr>
          <w:p>
            <w:pPr>
              <w:jc w:val="right"/>
              <w:ind w:right="73"/>
              <w:spacing w:after="0" w:line="142" w:lineRule="exact"/>
              <w:rPr>
                <w:sz w:val="20"/>
                <w:szCs w:val="20"/>
                <w:color w:val="auto"/>
              </w:rPr>
            </w:pPr>
            <w:r>
              <w:rPr>
                <w:rFonts w:ascii="Arial" w:cs="Arial" w:eastAsia="Arial" w:hAnsi="Arial"/>
                <w:sz w:val="14"/>
                <w:szCs w:val="14"/>
                <w:color w:val="auto"/>
              </w:rPr>
              <w:t>$ 21,539</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(146)</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357</w:t>
            </w:r>
          </w:p>
        </w:tc>
        <w:tc>
          <w:tcPr>
            <w:tcW w:w="620" w:type="dxa"/>
            <w:vAlign w:val="bottom"/>
            <w:tcBorders>
              <w:top w:val="single" w:sz="8" w:color="auto"/>
            </w:tcBorders>
            <w:shd w:val="clear" w:color="auto" w:fill="E5E5E5"/>
          </w:tcPr>
          <w:p>
            <w:pPr>
              <w:jc w:val="right"/>
              <w:ind w:right="33"/>
              <w:spacing w:after="0" w:line="142" w:lineRule="exact"/>
              <w:rPr>
                <w:sz w:val="20"/>
                <w:szCs w:val="20"/>
                <w:color w:val="auto"/>
              </w:rPr>
            </w:pPr>
            <w:r>
              <w:rPr>
                <w:rFonts w:ascii="Arial" w:cs="Arial" w:eastAsia="Arial" w:hAnsi="Arial"/>
                <w:sz w:val="14"/>
                <w:szCs w:val="14"/>
                <w:color w:val="auto"/>
                <w:w w:val="98"/>
              </w:rPr>
              <w:t>$53,068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436</w:t>
            </w:r>
          </w:p>
        </w:tc>
        <w:tc>
          <w:tcPr>
            <w:tcW w:w="7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(308)</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40" w:type="dxa"/>
            <w:vAlign w:val="bottom"/>
            <w:shd w:val="clear" w:color="auto" w:fill="E5E5E5"/>
          </w:tcPr>
          <w:p>
            <w:pPr>
              <w:spacing w:after="0"/>
              <w:rPr>
                <w:sz w:val="12"/>
                <w:szCs w:val="12"/>
                <w:color w:val="auto"/>
              </w:rPr>
            </w:pPr>
          </w:p>
        </w:tc>
        <w:tc>
          <w:tcPr>
            <w:tcW w:w="1160" w:type="dxa"/>
            <w:vAlign w:val="bottom"/>
            <w:tcBorders>
              <w:right w:val="single" w:sz="8" w:color="auto"/>
            </w:tcBorders>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(724)</w:t>
            </w:r>
          </w:p>
        </w:tc>
        <w:tc>
          <w:tcPr>
            <w:tcW w:w="7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(2,860)</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71</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40" w:type="dxa"/>
            <w:vAlign w:val="bottom"/>
            <w:shd w:val="clear" w:color="auto" w:fill="E5E5E5"/>
          </w:tcPr>
          <w:p>
            <w:pPr>
              <w:spacing w:after="0"/>
              <w:rPr>
                <w:sz w:val="12"/>
                <w:szCs w:val="12"/>
                <w:color w:val="auto"/>
              </w:rPr>
            </w:pPr>
          </w:p>
        </w:tc>
        <w:tc>
          <w:tcPr>
            <w:tcW w:w="1160" w:type="dxa"/>
            <w:vAlign w:val="bottom"/>
            <w:tcBorders>
              <w:right w:val="single" w:sz="8" w:color="auto"/>
            </w:tcBorders>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(1,254)</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9"/>
              </w:rPr>
              <w:t>Contributions from (distributions to) noncontrolling</w:t>
            </w:r>
          </w:p>
        </w:tc>
        <w:tc>
          <w:tcPr>
            <w:tcW w:w="340" w:type="dxa"/>
            <w:vAlign w:val="bottom"/>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340" w:type="dxa"/>
            <w:vAlign w:val="bottom"/>
            <w:shd w:val="clear" w:color="auto" w:fill="E5E5E5"/>
          </w:tcPr>
          <w:p>
            <w:pPr>
              <w:spacing w:after="0"/>
              <w:rPr>
                <w:sz w:val="13"/>
                <w:szCs w:val="13"/>
                <w:color w:val="auto"/>
              </w:rPr>
            </w:pPr>
          </w:p>
        </w:tc>
        <w:tc>
          <w:tcPr>
            <w:tcW w:w="1160" w:type="dxa"/>
            <w:vAlign w:val="bottom"/>
            <w:tcBorders>
              <w:right w:val="single" w:sz="8" w:color="auto"/>
            </w:tcBorders>
            <w:shd w:val="clear" w:color="auto" w:fill="E5E5E5"/>
          </w:tcPr>
          <w:p>
            <w:pPr>
              <w:jc w:val="right"/>
              <w:ind w:right="313"/>
              <w:spacing w:after="0" w:line="159" w:lineRule="exact"/>
              <w:rPr>
                <w:sz w:val="20"/>
                <w:szCs w:val="20"/>
                <w:color w:val="auto"/>
              </w:rPr>
            </w:pPr>
            <w:r>
              <w:rPr>
                <w:rFonts w:ascii="Arial" w:cs="Arial" w:eastAsia="Arial" w:hAnsi="Arial"/>
                <w:sz w:val="14"/>
                <w:szCs w:val="14"/>
                <w:color w:val="auto"/>
              </w:rPr>
              <w:t>4</w:t>
            </w:r>
          </w:p>
        </w:tc>
        <w:tc>
          <w:tcPr>
            <w:tcW w:w="26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(73)</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1160" w:type="dxa"/>
            <w:vAlign w:val="bottom"/>
            <w:tcBorders>
              <w:right w:val="single" w:sz="8" w:color="auto"/>
            </w:tcBorders>
          </w:tcPr>
          <w:p>
            <w:pPr>
              <w:jc w:val="right"/>
              <w:ind w:right="273"/>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153</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shd w:val="clear" w:color="auto" w:fill="E5E5E5"/>
          </w:tcPr>
          <w:p>
            <w:pPr>
              <w:spacing w:after="0"/>
              <w:rPr>
                <w:sz w:val="12"/>
                <w:szCs w:val="12"/>
                <w:color w:val="auto"/>
              </w:rPr>
            </w:pPr>
          </w:p>
        </w:tc>
        <w:tc>
          <w:tcPr>
            <w:tcW w:w="1160" w:type="dxa"/>
            <w:vAlign w:val="bottom"/>
            <w:tcBorders>
              <w:bottom w:val="single" w:sz="8" w:color="auto"/>
              <w:right w:val="single" w:sz="8" w:color="auto"/>
            </w:tcBorders>
            <w:shd w:val="clear" w:color="auto" w:fill="E5E5E5"/>
          </w:tcPr>
          <w:p>
            <w:pPr>
              <w:jc w:val="right"/>
              <w:ind w:right="313"/>
              <w:spacing w:after="0" w:line="149" w:lineRule="exact"/>
              <w:rPr>
                <w:sz w:val="20"/>
                <w:szCs w:val="20"/>
                <w:color w:val="auto"/>
              </w:rPr>
            </w:pPr>
            <w:r>
              <w:rPr>
                <w:rFonts w:ascii="Arial" w:cs="Arial" w:eastAsia="Arial" w:hAnsi="Arial"/>
                <w:sz w:val="14"/>
                <w:szCs w:val="14"/>
                <w:color w:val="auto"/>
              </w:rPr>
              <w:t>40</w:t>
            </w:r>
          </w:p>
        </w:tc>
        <w:tc>
          <w:tcPr>
            <w:tcW w:w="26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4,196</w:t>
            </w:r>
          </w:p>
        </w:tc>
        <w:tc>
          <w:tcPr>
            <w:tcW w:w="1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80</w:t>
            </w:r>
          </w:p>
        </w:tc>
        <w:tc>
          <w:tcPr>
            <w:tcW w:w="620" w:type="dxa"/>
            <w:vAlign w:val="bottom"/>
            <w:tcBorders>
              <w:bottom w:val="single" w:sz="8" w:color="auto"/>
            </w:tcBorders>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4,276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2015</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1,108</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4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4</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38,741</w:t>
            </w:r>
          </w:p>
        </w:tc>
        <w:tc>
          <w:tcPr>
            <w:tcW w:w="7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$ 21,313</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(166)</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329</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8"/>
              </w:rPr>
              <w:t>$52,729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December 31, 2015</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auto"/>
            </w:tcBorders>
            <w:shd w:val="clear" w:color="auto" w:fill="E5E5E5"/>
          </w:tcPr>
          <w:p>
            <w:pPr>
              <w:jc w:val="right"/>
              <w:ind w:right="313"/>
              <w:spacing w:after="0" w:line="149" w:lineRule="exact"/>
              <w:rPr>
                <w:sz w:val="20"/>
                <w:szCs w:val="20"/>
                <w:color w:val="auto"/>
              </w:rPr>
            </w:pPr>
            <w:r>
              <w:rPr>
                <w:rFonts w:ascii="Arial" w:cs="Arial" w:eastAsia="Arial" w:hAnsi="Arial"/>
                <w:sz w:val="14"/>
                <w:szCs w:val="14"/>
                <w:color w:val="auto"/>
              </w:rPr>
              <w:t>1,221</w:t>
            </w:r>
          </w:p>
        </w:tc>
        <w:tc>
          <w:tcPr>
            <w:tcW w:w="260" w:type="dxa"/>
            <w:vAlign w:val="bottom"/>
            <w:shd w:val="clear" w:color="auto" w:fill="E5E5E5"/>
          </w:tcPr>
          <w:p>
            <w:pPr>
              <w:spacing w:after="0"/>
              <w:rPr>
                <w:sz w:val="12"/>
                <w:szCs w:val="12"/>
                <w:color w:val="auto"/>
              </w:rPr>
            </w:pPr>
          </w:p>
        </w:tc>
        <w:tc>
          <w:tcPr>
            <w:tcW w:w="4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$29</w:t>
            </w:r>
          </w:p>
        </w:tc>
        <w:tc>
          <w:tcPr>
            <w:tcW w:w="40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rPr>
              <w:t>$ —</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38,518</w:t>
            </w:r>
          </w:p>
        </w:tc>
        <w:tc>
          <w:tcPr>
            <w:tcW w:w="740" w:type="dxa"/>
            <w:vAlign w:val="bottom"/>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$ 21,413</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1,709</w:t>
            </w:r>
          </w:p>
        </w:tc>
        <w:tc>
          <w:tcPr>
            <w:tcW w:w="62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w w:val="98"/>
              </w:rPr>
              <w:t>$53,978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377</w:t>
            </w:r>
          </w:p>
        </w:tc>
        <w:tc>
          <w:tcPr>
            <w:tcW w:w="7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(212)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40" w:type="dxa"/>
            <w:vAlign w:val="bottom"/>
            <w:shd w:val="clear" w:color="auto" w:fill="E5E5E5"/>
          </w:tcPr>
          <w:p>
            <w:pPr>
              <w:spacing w:after="0"/>
              <w:rPr>
                <w:sz w:val="12"/>
                <w:szCs w:val="12"/>
                <w:color w:val="auto"/>
              </w:rPr>
            </w:pPr>
          </w:p>
        </w:tc>
        <w:tc>
          <w:tcPr>
            <w:tcW w:w="1160" w:type="dxa"/>
            <w:vAlign w:val="bottom"/>
            <w:tcBorders>
              <w:right w:val="single" w:sz="8" w:color="auto"/>
            </w:tcBorders>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4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(475)</w:t>
            </w:r>
          </w:p>
        </w:tc>
        <w:tc>
          <w:tcPr>
            <w:tcW w:w="7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(1,909)</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78</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40" w:type="dxa"/>
            <w:vAlign w:val="bottom"/>
            <w:shd w:val="clear" w:color="auto" w:fill="E5E5E5"/>
          </w:tcPr>
          <w:p>
            <w:pPr>
              <w:spacing w:after="0"/>
              <w:rPr>
                <w:sz w:val="12"/>
                <w:szCs w:val="12"/>
                <w:color w:val="auto"/>
              </w:rPr>
            </w:pPr>
          </w:p>
        </w:tc>
        <w:tc>
          <w:tcPr>
            <w:tcW w:w="1160" w:type="dxa"/>
            <w:vAlign w:val="bottom"/>
            <w:tcBorders>
              <w:right w:val="single" w:sz="8" w:color="auto"/>
            </w:tcBorders>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(1,337)</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175</w:t>
            </w:r>
          </w:p>
        </w:tc>
        <w:tc>
          <w:tcPr>
            <w:tcW w:w="16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287</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9"/>
              </w:rPr>
              <w:t>Contributions from (distributions to) noncontrolling</w:t>
            </w:r>
          </w:p>
        </w:tc>
        <w:tc>
          <w:tcPr>
            <w:tcW w:w="340" w:type="dxa"/>
            <w:vAlign w:val="bottom"/>
            <w:shd w:val="clear" w:color="auto" w:fill="E5E5E5"/>
          </w:tcPr>
          <w:p>
            <w:pPr>
              <w:spacing w:after="0"/>
              <w:rPr>
                <w:sz w:val="11"/>
                <w:szCs w:val="11"/>
                <w:color w:val="auto"/>
              </w:rPr>
            </w:pPr>
          </w:p>
        </w:tc>
        <w:tc>
          <w:tcPr>
            <w:tcW w:w="1160" w:type="dxa"/>
            <w:vAlign w:val="bottom"/>
            <w:tcBorders>
              <w:right w:val="single" w:sz="8" w:color="auto"/>
            </w:tcBorders>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340" w:type="dxa"/>
            <w:vAlign w:val="bottom"/>
            <w:shd w:val="clear" w:color="auto" w:fill="E5E5E5"/>
          </w:tcPr>
          <w:p>
            <w:pPr>
              <w:spacing w:after="0"/>
              <w:rPr>
                <w:sz w:val="13"/>
                <w:szCs w:val="13"/>
                <w:color w:val="auto"/>
              </w:rPr>
            </w:pPr>
          </w:p>
        </w:tc>
        <w:tc>
          <w:tcPr>
            <w:tcW w:w="1160" w:type="dxa"/>
            <w:vAlign w:val="bottom"/>
            <w:tcBorders>
              <w:right w:val="single" w:sz="8" w:color="auto"/>
            </w:tcBorders>
            <w:shd w:val="clear" w:color="auto" w:fill="E5E5E5"/>
          </w:tcPr>
          <w:p>
            <w:pPr>
              <w:jc w:val="right"/>
              <w:ind w:right="313"/>
              <w:spacing w:after="0" w:line="159" w:lineRule="exact"/>
              <w:rPr>
                <w:sz w:val="20"/>
                <w:szCs w:val="20"/>
                <w:color w:val="auto"/>
              </w:rPr>
            </w:pPr>
            <w:r>
              <w:rPr>
                <w:rFonts w:ascii="Arial" w:cs="Arial" w:eastAsia="Arial" w:hAnsi="Arial"/>
                <w:sz w:val="14"/>
                <w:szCs w:val="14"/>
                <w:color w:val="auto"/>
              </w:rPr>
              <w:t>1</w:t>
            </w:r>
          </w:p>
        </w:tc>
        <w:tc>
          <w:tcPr>
            <w:tcW w:w="26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(68)</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1160" w:type="dxa"/>
            <w:vAlign w:val="bottom"/>
            <w:tcBorders>
              <w:right w:val="single" w:sz="8" w:color="auto"/>
            </w:tcBorders>
          </w:tcPr>
          <w:p>
            <w:pPr>
              <w:jc w:val="right"/>
              <w:ind w:right="273"/>
              <w:spacing w:after="0" w:line="149" w:lineRule="exact"/>
              <w:rPr>
                <w:sz w:val="20"/>
                <w:szCs w:val="20"/>
                <w:color w:val="auto"/>
              </w:rPr>
            </w:pPr>
            <w:r>
              <w:rPr>
                <w:rFonts w:ascii="Arial" w:cs="Arial" w:eastAsia="Arial" w:hAnsi="Arial"/>
                <w:sz w:val="14"/>
                <w:szCs w:val="14"/>
                <w:color w:val="auto"/>
              </w:rPr>
              <w:t>(20)</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(29)</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154</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shd w:val="clear" w:color="auto" w:fill="E5E5E5"/>
          </w:tcPr>
          <w:p>
            <w:pPr>
              <w:spacing w:after="0"/>
              <w:rPr>
                <w:sz w:val="12"/>
                <w:szCs w:val="12"/>
                <w:color w:val="auto"/>
              </w:rPr>
            </w:pPr>
          </w:p>
        </w:tc>
        <w:tc>
          <w:tcPr>
            <w:tcW w:w="1160" w:type="dxa"/>
            <w:vAlign w:val="bottom"/>
            <w:tcBorders>
              <w:bottom w:val="single" w:sz="8" w:color="auto"/>
              <w:right w:val="single" w:sz="8" w:color="auto"/>
            </w:tcBorders>
            <w:shd w:val="clear" w:color="auto" w:fill="E5E5E5"/>
          </w:tcPr>
          <w:p>
            <w:pPr>
              <w:jc w:val="right"/>
              <w:ind w:right="313"/>
              <w:spacing w:after="0" w:line="149" w:lineRule="exact"/>
              <w:rPr>
                <w:sz w:val="20"/>
                <w:szCs w:val="20"/>
                <w:color w:val="auto"/>
              </w:rPr>
            </w:pPr>
            <w:r>
              <w:rPr>
                <w:rFonts w:ascii="Arial" w:cs="Arial" w:eastAsia="Arial" w:hAnsi="Arial"/>
                <w:sz w:val="14"/>
                <w:szCs w:val="14"/>
                <w:color w:val="auto"/>
              </w:rPr>
              <w:t>46</w:t>
            </w:r>
          </w:p>
        </w:tc>
        <w:tc>
          <w:tcPr>
            <w:tcW w:w="26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4,162</w:t>
            </w:r>
          </w:p>
        </w:tc>
        <w:tc>
          <w:tcPr>
            <w:tcW w:w="1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96</w:t>
            </w:r>
          </w:p>
        </w:tc>
        <w:tc>
          <w:tcPr>
            <w:tcW w:w="620" w:type="dxa"/>
            <w:vAlign w:val="bottom"/>
            <w:tcBorders>
              <w:bottom w:val="single" w:sz="8" w:color="auto"/>
            </w:tcBorders>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2016</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1,248</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4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38,469</w:t>
            </w:r>
          </w:p>
        </w:tc>
        <w:tc>
          <w:tcPr>
            <w:tcW w:w="7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$ 22,117</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2,178</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8"/>
              </w:rPr>
              <w:t>$55,276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2015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2016.</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(“VIE”)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when the guidance is adopted with certain exceptions.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February 2016, the FASB updated the accounting guidance related to leases. The updated accounting guidance requires lessees to recognize a right-of-use asset and a lease liability on the balance sheet for all leases with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exception of short-term leases.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updated guidance is effective for us as of January 1, 2017 and early adoption is permitted. The updated guidance provides companies with alternative methods of adoption, with certain items that are allowed to be applied retrospectively and certain other items that are only to be applied prospectively in the period of adoption. We are currently in the process of determining our method of adoption of this updated accounting guidance.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had adopted the provisions of the updated guidance as of January 1, 2016, it would have increased net income attributable to Comcast Corporation by $48 million and $159 million for the three and six months ended June 30, 2016, respectively. In addition, the updated guidance would have increased net cash provided by operating activities and decreased net cash provided by (used in) financing activities by $411 million for the six months ended June 30, 2016. The most significant impact of implementing the new guidance is expected to occur in the first quarter of each year as a result of the vesting of restricted stock awards, which primarily occurs in March.</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Three Months Ended June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2"/>
              <w:spacing w:after="0" w:line="131" w:lineRule="exact"/>
              <w:rPr>
                <w:sz w:val="20"/>
                <w:szCs w:val="20"/>
                <w:color w:val="auto"/>
              </w:rPr>
            </w:pPr>
            <w:r>
              <w:rPr>
                <w:rFonts w:ascii="Arial" w:cs="Arial" w:eastAsia="Arial" w:hAnsi="Arial"/>
                <w:sz w:val="14"/>
                <w:szCs w:val="14"/>
                <w:color w:val="auto"/>
                <w:w w:val="86"/>
              </w:rPr>
              <w:t>Net Income</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2"/>
              <w:spacing w:after="0" w:line="149" w:lineRule="exact"/>
              <w:rPr>
                <w:sz w:val="20"/>
                <w:szCs w:val="20"/>
                <w:color w:val="auto"/>
              </w:rPr>
            </w:pPr>
            <w:r>
              <w:rPr>
                <w:rFonts w:ascii="Arial" w:cs="Arial" w:eastAsia="Arial" w:hAnsi="Arial"/>
                <w:sz w:val="14"/>
                <w:szCs w:val="14"/>
                <w:color w:val="auto"/>
                <w:w w:val="90"/>
              </w:rPr>
              <w:t>Attributable to</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40" w:type="dxa"/>
            <w:vAlign w:val="bottom"/>
          </w:tcPr>
          <w:p>
            <w:pPr>
              <w:spacing w:after="0"/>
              <w:rPr>
                <w:sz w:val="12"/>
                <w:szCs w:val="12"/>
                <w:color w:val="auto"/>
              </w:rPr>
            </w:pP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2"/>
              <w:spacing w:after="0" w:line="159" w:lineRule="exact"/>
              <w:rPr>
                <w:sz w:val="20"/>
                <w:szCs w:val="20"/>
                <w:color w:val="auto"/>
              </w:rPr>
            </w:pPr>
            <w:r>
              <w:rPr>
                <w:rFonts w:ascii="Arial" w:cs="Arial" w:eastAsia="Arial" w:hAnsi="Arial"/>
                <w:sz w:val="14"/>
                <w:szCs w:val="14"/>
                <w:color w:val="auto"/>
                <w:w w:val="90"/>
              </w:rPr>
              <w:t>Corporation</w:t>
            </w:r>
          </w:p>
        </w:tc>
        <w:tc>
          <w:tcPr>
            <w:tcW w:w="84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2,028</w:t>
            </w:r>
          </w:p>
        </w:tc>
        <w:tc>
          <w:tcPr>
            <w:tcW w:w="84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2,420</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0.84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2,137</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2,500</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0.85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2,028</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2,446</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2,137</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2,531</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0.84</w:t>
            </w:r>
          </w:p>
        </w:tc>
      </w:tr>
      <w:tr>
        <w:trPr>
          <w:trHeight w:val="363"/>
        </w:trPr>
        <w:tc>
          <w:tcPr>
            <w:tcW w:w="544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Six Months Ended June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9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4,162</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2,427</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1.71</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4,196</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2,510</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1.67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4,162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2,454</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1.70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4,196</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2,544</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1.65</w:t>
            </w: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six months ended June 30, 2016 and 2015.</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28, 2016, we entered into an agreement to acquire all of the outstanding stock of DreamWorks Animation SKG, Inc. (“DreamWorks”) for approximately $3.8 billion. DreamWorks stockholders will receive $41 in cash for each share of DreamWorks common stock. DreamWorks creates animated feature films, television series and specials, live entertainment and related consumer products. The transaction is expected to close in 2016, subject to receipt of certain international regulatory approvals and the satisfaction of other customary closing conditions.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13, 2015, NBCUniversal acquired a 51% economic interest in the Universal Studios theme park in Osaka, Japan (“Universal Studios Japan”) for $1.5 billion. The acquisition was funded through cash on hand and borrowings under our commercial paper program.</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NBCUniversal’s 51% interest. Universal Studios Japan’s results of operations are reported in our Theme Parks segment following the acquisition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assets and liabilities of Universal Studios Japan and the 49% noncontrolling interest were recorded at their estimated fair values. During the three months ended June 30, 2016, we updated the preliminary allocation of purchase price for Universal Studios Japan based on valuation analyses, which resulted in increases to property and equipment and intangible assets and a decrease in goodwill. The changes did not have a material impact on our consolidated financial statements. We may adjust these amounts further as valuations are finalized and we obtain information necessary to complete the analyses, but no later than one year from the acquisition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Universal Studios Japan.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260" w:type="dxa"/>
            <w:vAlign w:val="bottom"/>
          </w:tcPr>
          <w:p>
            <w:pPr>
              <w:jc w:val="right"/>
              <w:ind w:right="3272"/>
              <w:spacing w:after="0"/>
              <w:rPr>
                <w:sz w:val="20"/>
                <w:szCs w:val="20"/>
                <w:color w:val="auto"/>
              </w:rPr>
            </w:pPr>
            <w:r>
              <w:rPr>
                <w:rFonts w:ascii="Arial" w:cs="Arial" w:eastAsia="Arial" w:hAnsi="Arial"/>
                <w:sz w:val="18"/>
                <w:szCs w:val="18"/>
                <w:b w:val="1"/>
                <w:bCs w:val="1"/>
                <w:color w:val="auto"/>
              </w:rPr>
              <w:t>Preliminary Allocation of Purchase Price</w:t>
            </w:r>
          </w:p>
        </w:tc>
        <w:tc>
          <w:tcPr>
            <w:tcW w:w="660" w:type="dxa"/>
            <w:vAlign w:val="bottom"/>
          </w:tcPr>
          <w:p>
            <w:pPr>
              <w:spacing w:after="0"/>
              <w:rPr>
                <w:sz w:val="20"/>
                <w:szCs w:val="20"/>
                <w:color w:val="auto"/>
              </w:rPr>
            </w:pP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w:t>
            </w:r>
          </w:p>
        </w:tc>
        <w:tc>
          <w:tcPr>
            <w:tcW w:w="7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793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Intangible assets</w:t>
            </w:r>
          </w:p>
        </w:tc>
        <w:tc>
          <w:tcPr>
            <w:tcW w:w="72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7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Debt</w:t>
            </w:r>
          </w:p>
        </w:tc>
        <w:tc>
          <w:tcPr>
            <w:tcW w:w="726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(3,271)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and liabilities</w:t>
            </w:r>
          </w:p>
        </w:tc>
        <w:tc>
          <w:tcPr>
            <w:tcW w:w="7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Identifiable net assets (liabilities) acquired</w:t>
            </w:r>
          </w:p>
        </w:tc>
        <w:tc>
          <w:tcPr>
            <w:tcW w:w="726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(2,145)</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Noncontrolling interest</w:t>
            </w:r>
          </w:p>
        </w:tc>
        <w:tc>
          <w:tcPr>
            <w:tcW w:w="7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(1,440)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7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5,084</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consideration transferred</w:t>
            </w:r>
          </w:p>
        </w:tc>
        <w:tc>
          <w:tcPr>
            <w:tcW w:w="7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1,499</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Results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revenue for the three and six months ended June 30, 2016 included $283 million and $576 million, respectively, from the acquisition of Universal Studios Japan. Our consolidated net income attributable to Comcast Corporation for the three and six months ended June 30, 2016 included $10 million and $28 million, respectively, from the acquisition of Universal Studios Japan.</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acquisition occurred on January 1, 2014. This information is primarily based on historical results of operations and is subject to change as valuations are finalized.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720" w:type="dxa"/>
            <w:vAlign w:val="bottom"/>
            <w:gridSpan w:val="2"/>
          </w:tcPr>
          <w:p>
            <w:pPr>
              <w:ind w:left="1020"/>
              <w:spacing w:after="0"/>
              <w:rPr>
                <w:sz w:val="20"/>
                <w:szCs w:val="20"/>
                <w:color w:val="auto"/>
              </w:rPr>
            </w:pPr>
            <w:r>
              <w:rPr>
                <w:rFonts w:ascii="Arial" w:cs="Arial" w:eastAsia="Arial" w:hAnsi="Arial"/>
                <w:sz w:val="14"/>
                <w:szCs w:val="14"/>
                <w:color w:val="auto"/>
              </w:rPr>
              <w:t>Three Months Ended</w:t>
            </w:r>
          </w:p>
        </w:tc>
        <w:tc>
          <w:tcPr>
            <w:tcW w:w="1640" w:type="dxa"/>
            <w:vAlign w:val="bottom"/>
            <w:gridSpan w:val="2"/>
          </w:tcPr>
          <w:p>
            <w:pPr>
              <w:ind w:left="540"/>
              <w:spacing w:after="0"/>
              <w:rPr>
                <w:sz w:val="20"/>
                <w:szCs w:val="20"/>
                <w:color w:val="auto"/>
              </w:rPr>
            </w:pPr>
            <w:r>
              <w:rPr>
                <w:rFonts w:ascii="Arial" w:cs="Arial" w:eastAsia="Arial" w:hAnsi="Arial"/>
                <w:sz w:val="14"/>
                <w:szCs w:val="14"/>
                <w:color w:val="auto"/>
                <w:w w:val="95"/>
              </w:rPr>
              <w:t>Six Months Ended</w:t>
            </w:r>
          </w:p>
        </w:tc>
      </w:tr>
      <w:tr>
        <w:trPr>
          <w:trHeight w:val="159"/>
        </w:trPr>
        <w:tc>
          <w:tcPr>
            <w:tcW w:w="70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amounts)</w:t>
            </w:r>
          </w:p>
        </w:tc>
        <w:tc>
          <w:tcPr>
            <w:tcW w:w="1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56"/>
              <w:spacing w:after="0" w:line="159" w:lineRule="exact"/>
              <w:rPr>
                <w:sz w:val="20"/>
                <w:szCs w:val="20"/>
                <w:color w:val="auto"/>
              </w:rPr>
            </w:pPr>
            <w:r>
              <w:rPr>
                <w:rFonts w:ascii="Arial" w:cs="Arial" w:eastAsia="Arial" w:hAnsi="Arial"/>
                <w:sz w:val="14"/>
                <w:szCs w:val="14"/>
                <w:color w:val="auto"/>
                <w:w w:val="90"/>
              </w:rPr>
              <w:t>June 30, 2015</w:t>
            </w: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36"/>
              <w:spacing w:after="0" w:line="159" w:lineRule="exact"/>
              <w:rPr>
                <w:sz w:val="20"/>
                <w:szCs w:val="20"/>
                <w:color w:val="auto"/>
              </w:rPr>
            </w:pPr>
            <w:r>
              <w:rPr>
                <w:rFonts w:ascii="Arial" w:cs="Arial" w:eastAsia="Arial" w:hAnsi="Arial"/>
                <w:sz w:val="14"/>
                <w:szCs w:val="14"/>
                <w:color w:val="auto"/>
                <w:w w:val="85"/>
              </w:rPr>
              <w:t>June 30, 2015</w:t>
            </w:r>
          </w:p>
        </w:tc>
      </w:tr>
      <w:tr>
        <w:trPr>
          <w:trHeight w:val="210"/>
        </w:trPr>
        <w:tc>
          <w:tcPr>
            <w:tcW w:w="70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18,997</w:t>
            </w:r>
          </w:p>
        </w:tc>
        <w:tc>
          <w:tcPr>
            <w:tcW w:w="640" w:type="dxa"/>
            <w:vAlign w:val="bottom"/>
            <w:shd w:val="clear" w:color="auto" w:fill="E5E5E5"/>
          </w:tcPr>
          <w:p>
            <w:pPr>
              <w:ind w:left="5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37,134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ind w:left="10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56"/>
              <w:spacing w:after="0"/>
              <w:rPr>
                <w:sz w:val="20"/>
                <w:szCs w:val="20"/>
                <w:color w:val="auto"/>
              </w:rPr>
            </w:pPr>
            <w:r>
              <w:rPr>
                <w:rFonts w:ascii="Arial" w:cs="Arial" w:eastAsia="Arial" w:hAnsi="Arial"/>
                <w:sz w:val="18"/>
                <w:szCs w:val="18"/>
                <w:color w:val="auto"/>
              </w:rPr>
              <w:t>2,208</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4,385</w:t>
            </w:r>
          </w:p>
        </w:tc>
      </w:tr>
      <w:tr>
        <w:trPr>
          <w:trHeight w:val="216"/>
        </w:trPr>
        <w:tc>
          <w:tcPr>
            <w:tcW w:w="706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16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456"/>
              <w:spacing w:after="0"/>
              <w:rPr>
                <w:sz w:val="20"/>
                <w:szCs w:val="20"/>
                <w:color w:val="auto"/>
              </w:rPr>
            </w:pPr>
            <w:r>
              <w:rPr>
                <w:rFonts w:ascii="Arial" w:cs="Arial" w:eastAsia="Arial" w:hAnsi="Arial"/>
                <w:sz w:val="18"/>
                <w:szCs w:val="18"/>
                <w:color w:val="auto"/>
              </w:rPr>
              <w:t>2,153</w:t>
            </w:r>
          </w:p>
        </w:tc>
        <w:tc>
          <w:tcPr>
            <w:tcW w:w="640" w:type="dxa"/>
            <w:vAlign w:val="bottom"/>
            <w:shd w:val="clear" w:color="auto" w:fill="E5E5E5"/>
          </w:tcPr>
          <w:p>
            <w:pPr>
              <w:ind w:left="5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4,230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1160" w:type="dxa"/>
            <w:vAlign w:val="bottom"/>
          </w:tcPr>
          <w:p>
            <w:pPr>
              <w:ind w:left="10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56"/>
              <w:spacing w:after="0"/>
              <w:rPr>
                <w:sz w:val="20"/>
                <w:szCs w:val="20"/>
                <w:color w:val="auto"/>
              </w:rPr>
            </w:pPr>
            <w:r>
              <w:rPr>
                <w:rFonts w:ascii="Arial" w:cs="Arial" w:eastAsia="Arial" w:hAnsi="Arial"/>
                <w:sz w:val="18"/>
                <w:szCs w:val="18"/>
                <w:color w:val="auto"/>
              </w:rPr>
              <w:t>0.86</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1.69</w:t>
            </w:r>
          </w:p>
        </w:tc>
      </w:tr>
      <w:tr>
        <w:trPr>
          <w:trHeight w:val="216"/>
        </w:trPr>
        <w:tc>
          <w:tcPr>
            <w:tcW w:w="7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160" w:type="dxa"/>
            <w:vAlign w:val="bottom"/>
            <w:tcBorders>
              <w:bottom w:val="single" w:sz="8" w:color="auto"/>
            </w:tcBorders>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E5E5E5"/>
          </w:tcPr>
          <w:p>
            <w:pPr>
              <w:jc w:val="right"/>
              <w:ind w:right="456"/>
              <w:spacing w:after="0"/>
              <w:rPr>
                <w:sz w:val="20"/>
                <w:szCs w:val="20"/>
                <w:color w:val="auto"/>
              </w:rPr>
            </w:pPr>
            <w:r>
              <w:rPr>
                <w:rFonts w:ascii="Arial" w:cs="Arial" w:eastAsia="Arial" w:hAnsi="Arial"/>
                <w:sz w:val="18"/>
                <w:szCs w:val="18"/>
                <w:color w:val="auto"/>
              </w:rPr>
              <w:t>0.85</w:t>
            </w:r>
          </w:p>
        </w:tc>
        <w:tc>
          <w:tcPr>
            <w:tcW w:w="64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1.66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84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4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4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440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5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5840" w:type="dxa"/>
            <w:vAlign w:val="bottom"/>
          </w:tcPr>
          <w:p>
            <w:pPr>
              <w:jc w:val="right"/>
              <w:ind w:right="235"/>
              <w:spacing w:after="0"/>
              <w:rPr>
                <w:sz w:val="20"/>
                <w:szCs w:val="20"/>
                <w:color w:val="auto"/>
              </w:rPr>
            </w:pPr>
            <w:r>
              <w:rPr>
                <w:rFonts w:ascii="Arial" w:cs="Arial" w:eastAsia="Arial" w:hAnsi="Arial"/>
                <w:sz w:val="18"/>
                <w:szCs w:val="18"/>
                <w:color w:val="auto"/>
              </w:rPr>
              <w:t>$1,425</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1,275</w:t>
            </w: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101</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226</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1,005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r>
      <w:tr>
        <w:trPr>
          <w:trHeight w:val="210"/>
        </w:trPr>
        <w:tc>
          <w:tcPr>
            <w:tcW w:w="4400" w:type="dxa"/>
            <w:vAlign w:val="bottom"/>
            <w:shd w:val="clear" w:color="auto" w:fill="E5E5E5"/>
          </w:tcPr>
          <w:p>
            <w:pPr>
              <w:spacing w:after="0"/>
              <w:rPr>
                <w:sz w:val="18"/>
                <w:szCs w:val="18"/>
                <w:color w:val="auto"/>
              </w:rPr>
            </w:pP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2,531</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2,408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Television Costs:</w:t>
            </w:r>
          </w:p>
        </w:tc>
        <w:tc>
          <w:tcPr>
            <w:tcW w:w="5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1,577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1,573</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635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r>
      <w:tr>
        <w:trPr>
          <w:trHeight w:val="210"/>
        </w:trPr>
        <w:tc>
          <w:tcPr>
            <w:tcW w:w="4400" w:type="dxa"/>
            <w:vAlign w:val="bottom"/>
            <w:shd w:val="clear" w:color="auto" w:fill="E5E5E5"/>
          </w:tcPr>
          <w:p>
            <w:pPr>
              <w:spacing w:after="0"/>
              <w:rPr>
                <w:sz w:val="18"/>
                <w:szCs w:val="18"/>
                <w:color w:val="auto"/>
              </w:rPr>
            </w:pP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2,212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2,310</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2,503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2,350</w:t>
            </w:r>
          </w:p>
        </w:tc>
      </w:tr>
      <w:tr>
        <w:trPr>
          <w:trHeight w:val="210"/>
        </w:trPr>
        <w:tc>
          <w:tcPr>
            <w:tcW w:w="4400" w:type="dxa"/>
            <w:vAlign w:val="bottom"/>
            <w:shd w:val="clear" w:color="auto" w:fill="E5E5E5"/>
          </w:tcPr>
          <w:p>
            <w:pPr>
              <w:spacing w:after="0"/>
              <w:rPr>
                <w:sz w:val="18"/>
                <w:szCs w:val="18"/>
                <w:color w:val="auto"/>
              </w:rPr>
            </w:pPr>
          </w:p>
        </w:tc>
        <w:tc>
          <w:tcPr>
            <w:tcW w:w="58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7,246</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7,068</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58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1,435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1,213</w:t>
            </w:r>
          </w:p>
        </w:tc>
      </w:tr>
      <w:tr>
        <w:trPr>
          <w:trHeight w:val="217"/>
        </w:trPr>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584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$ 5,811</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5,855</w:t>
            </w:r>
          </w:p>
        </w:tc>
      </w:tr>
      <w:tr>
        <w:trPr>
          <w:trHeight w:val="363"/>
        </w:trPr>
        <w:tc>
          <w:tcPr>
            <w:tcW w:w="4400" w:type="dxa"/>
            <w:vAlign w:val="bottom"/>
          </w:tcPr>
          <w:p>
            <w:pPr>
              <w:spacing w:after="0"/>
              <w:rPr>
                <w:sz w:val="24"/>
                <w:szCs w:val="24"/>
                <w:color w:val="auto"/>
              </w:rPr>
            </w:pPr>
          </w:p>
        </w:tc>
        <w:tc>
          <w:tcPr>
            <w:tcW w:w="5840" w:type="dxa"/>
            <w:vAlign w:val="bottom"/>
          </w:tcPr>
          <w:p>
            <w:pPr>
              <w:jc w:val="right"/>
              <w:ind w:right="4395"/>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left="916"/>
              <w:spacing w:after="0"/>
              <w:rPr>
                <w:sz w:val="20"/>
                <w:szCs w:val="20"/>
                <w:color w:val="auto"/>
              </w:rPr>
            </w:pPr>
            <w:r>
              <w:rPr>
                <w:rFonts w:ascii="Arial" w:cs="Arial" w:eastAsia="Arial" w:hAnsi="Arial"/>
                <w:sz w:val="14"/>
                <w:szCs w:val="14"/>
                <w:color w:val="auto"/>
                <w:w w:val="85"/>
              </w:rPr>
              <w:t>June 30,</w:t>
            </w:r>
          </w:p>
        </w:tc>
        <w:tc>
          <w:tcPr>
            <w:tcW w:w="1500" w:type="dxa"/>
            <w:vAlign w:val="bottom"/>
            <w:gridSpan w:val="3"/>
          </w:tcPr>
          <w:p>
            <w:pPr>
              <w:ind w:left="640"/>
              <w:spacing w:after="0"/>
              <w:rPr>
                <w:sz w:val="20"/>
                <w:szCs w:val="20"/>
                <w:color w:val="auto"/>
              </w:rPr>
            </w:pPr>
            <w:r>
              <w:rPr>
                <w:rFonts w:ascii="Arial" w:cs="Arial" w:eastAsia="Arial" w:hAnsi="Arial"/>
                <w:sz w:val="14"/>
                <w:szCs w:val="14"/>
                <w:color w:val="auto"/>
                <w:w w:val="95"/>
              </w:rPr>
              <w:t>December 31,</w:t>
            </w:r>
          </w:p>
        </w:tc>
      </w:tr>
      <w:tr>
        <w:trPr>
          <w:trHeight w:val="159"/>
        </w:trPr>
        <w:tc>
          <w:tcPr>
            <w:tcW w:w="71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15"/>
              <w:spacing w:after="0" w:line="159" w:lineRule="exact"/>
              <w:rPr>
                <w:sz w:val="20"/>
                <w:szCs w:val="20"/>
                <w:color w:val="auto"/>
              </w:rPr>
            </w:pPr>
            <w:r>
              <w:rPr>
                <w:rFonts w:ascii="Arial" w:cs="Arial" w:eastAsia="Arial" w:hAnsi="Arial"/>
                <w:sz w:val="14"/>
                <w:szCs w:val="14"/>
                <w:color w:val="auto"/>
                <w:w w:val="83"/>
              </w:rPr>
              <w:t>2016</w:t>
            </w: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w w:val="89"/>
              </w:rPr>
              <w:t>2015</w:t>
            </w:r>
          </w:p>
        </w:tc>
      </w:tr>
      <w:tr>
        <w:trPr>
          <w:trHeight w:val="210"/>
        </w:trPr>
        <w:tc>
          <w:tcPr>
            <w:tcW w:w="71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w:t>
            </w:r>
          </w:p>
        </w:tc>
        <w:tc>
          <w:tcPr>
            <w:tcW w:w="740" w:type="dxa"/>
            <w:vAlign w:val="bottom"/>
            <w:shd w:val="clear" w:color="auto" w:fill="E5E5E5"/>
          </w:tcPr>
          <w:p>
            <w:pPr>
              <w:ind w:left="6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167</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Equity Method: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1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Atairos</w:t>
            </w: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402</w:t>
            </w:r>
          </w:p>
        </w:tc>
        <w:tc>
          <w:tcPr>
            <w:tcW w:w="7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Hulu</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184</w:t>
            </w:r>
          </w:p>
        </w:tc>
      </w:tr>
      <w:tr>
        <w:trPr>
          <w:trHeight w:val="216"/>
        </w:trPr>
        <w:tc>
          <w:tcPr>
            <w:tcW w:w="71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527</w:t>
            </w:r>
          </w:p>
        </w:tc>
        <w:tc>
          <w:tcPr>
            <w:tcW w:w="7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494</w:t>
            </w:r>
          </w:p>
        </w:tc>
      </w:tr>
      <w:tr>
        <w:trPr>
          <w:trHeight w:val="210"/>
        </w:trPr>
        <w:tc>
          <w:tcPr>
            <w:tcW w:w="6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678</w:t>
            </w:r>
          </w:p>
        </w:tc>
      </w:tr>
      <w:tr>
        <w:trPr>
          <w:trHeight w:val="216"/>
        </w:trPr>
        <w:tc>
          <w:tcPr>
            <w:tcW w:w="71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Cost Method:</w:t>
            </w: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7140" w:type="dxa"/>
            <w:vAlign w:val="bottom"/>
            <w:gridSpan w:val="2"/>
          </w:tcPr>
          <w:p>
            <w:pPr>
              <w:ind w:left="440"/>
              <w:spacing w:after="0"/>
              <w:rPr>
                <w:sz w:val="20"/>
                <w:szCs w:val="20"/>
                <w:color w:val="auto"/>
              </w:rPr>
            </w:pPr>
            <w:r>
              <w:rPr>
                <w:rFonts w:ascii="Arial" w:cs="Arial" w:eastAsia="Arial" w:hAnsi="Arial"/>
                <w:sz w:val="18"/>
                <w:szCs w:val="18"/>
                <w:color w:val="auto"/>
              </w:rPr>
              <w:t>AirTouch</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1,583</w:t>
            </w:r>
          </w:p>
        </w:tc>
      </w:tr>
      <w:tr>
        <w:trPr>
          <w:trHeight w:val="216"/>
        </w:trPr>
        <w:tc>
          <w:tcPr>
            <w:tcW w:w="71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915</w:t>
            </w:r>
          </w:p>
        </w:tc>
        <w:tc>
          <w:tcPr>
            <w:tcW w:w="7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902</w:t>
            </w:r>
          </w:p>
        </w:tc>
      </w:tr>
      <w:tr>
        <w:trPr>
          <w:trHeight w:val="210"/>
        </w:trPr>
        <w:tc>
          <w:tcPr>
            <w:tcW w:w="6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2,506</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2,485</w:t>
            </w:r>
          </w:p>
        </w:tc>
      </w:tr>
      <w:tr>
        <w:trPr>
          <w:trHeight w:val="210"/>
        </w:trPr>
        <w:tc>
          <w:tcPr>
            <w:tcW w:w="71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3,772</w:t>
            </w:r>
          </w:p>
        </w:tc>
        <w:tc>
          <w:tcPr>
            <w:tcW w:w="7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3,330</w:t>
            </w:r>
          </w:p>
        </w:tc>
      </w:tr>
      <w:tr>
        <w:trPr>
          <w:trHeight w:val="216"/>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investments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r>
      <w:tr>
        <w:trPr>
          <w:trHeight w:val="217"/>
        </w:trPr>
        <w:tc>
          <w:tcPr>
            <w:tcW w:w="71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2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$3,679</w:t>
            </w:r>
          </w:p>
        </w:tc>
        <w:tc>
          <w:tcPr>
            <w:tcW w:w="74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3,224</w:t>
            </w:r>
          </w:p>
        </w:tc>
      </w:tr>
      <w:tr>
        <w:trPr>
          <w:trHeight w:val="403"/>
        </w:trPr>
        <w:tc>
          <w:tcPr>
            <w:tcW w:w="7140" w:type="dxa"/>
            <w:vAlign w:val="bottom"/>
            <w:gridSpan w:val="2"/>
          </w:tcPr>
          <w:p>
            <w:pPr>
              <w:ind w:left="4440"/>
              <w:spacing w:after="0"/>
              <w:rPr>
                <w:sz w:val="20"/>
                <w:szCs w:val="20"/>
                <w:color w:val="auto"/>
              </w:rPr>
            </w:pPr>
            <w:r>
              <w:rPr>
                <w:rFonts w:ascii="Arial" w:cs="Arial" w:eastAsia="Arial" w:hAnsi="Arial"/>
                <w:sz w:val="18"/>
                <w:szCs w:val="18"/>
                <w:b w:val="1"/>
                <w:bCs w:val="1"/>
                <w:color w:val="auto"/>
              </w:rPr>
              <w:t>Investment Income (Loss), Net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1"/>
        </w:trPr>
        <w:tc>
          <w:tcPr>
            <w:tcW w:w="6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3"/>
          </w:tcPr>
          <w:p>
            <w:pPr>
              <w:jc w:val="right"/>
              <w:ind w:right="796"/>
              <w:spacing w:after="0"/>
              <w:rPr>
                <w:sz w:val="20"/>
                <w:szCs w:val="20"/>
                <w:color w:val="auto"/>
              </w:rPr>
            </w:pPr>
            <w:r>
              <w:rPr>
                <w:rFonts w:ascii="Arial" w:cs="Arial" w:eastAsia="Arial" w:hAnsi="Arial"/>
                <w:sz w:val="14"/>
                <w:szCs w:val="14"/>
                <w:color w:val="auto"/>
                <w:w w:val="94"/>
              </w:rPr>
              <w:t>Three Months Ended</w:t>
            </w:r>
          </w:p>
        </w:tc>
        <w:tc>
          <w:tcPr>
            <w:tcW w:w="400" w:type="dxa"/>
            <w:vAlign w:val="bottom"/>
          </w:tcPr>
          <w:p>
            <w:pPr>
              <w:spacing w:after="0"/>
              <w:rPr>
                <w:sz w:val="22"/>
                <w:szCs w:val="22"/>
                <w:color w:val="auto"/>
              </w:rPr>
            </w:pPr>
          </w:p>
        </w:tc>
        <w:tc>
          <w:tcPr>
            <w:tcW w:w="1500" w:type="dxa"/>
            <w:vAlign w:val="bottom"/>
            <w:gridSpan w:val="3"/>
          </w:tcPr>
          <w:p>
            <w:pPr>
              <w:jc w:val="right"/>
              <w:ind w:right="394"/>
              <w:spacing w:after="0"/>
              <w:rPr>
                <w:sz w:val="20"/>
                <w:szCs w:val="20"/>
                <w:color w:val="auto"/>
              </w:rPr>
            </w:pPr>
            <w:r>
              <w:rPr>
                <w:rFonts w:ascii="Arial" w:cs="Arial" w:eastAsia="Arial" w:hAnsi="Arial"/>
                <w:sz w:val="14"/>
                <w:szCs w:val="14"/>
                <w:color w:val="auto"/>
                <w:w w:val="87"/>
              </w:rPr>
              <w:t>Six Months Ended</w:t>
            </w:r>
          </w:p>
        </w:tc>
      </w:tr>
      <w:tr>
        <w:trPr>
          <w:trHeight w:val="159"/>
        </w:trPr>
        <w:tc>
          <w:tcPr>
            <w:tcW w:w="67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42"/>
        </w:trPr>
        <w:tc>
          <w:tcPr>
            <w:tcW w:w="6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4"/>
                <w:szCs w:val="14"/>
                <w:color w:val="auto"/>
                <w:w w:val="89"/>
              </w:rPr>
              <w:t>2016</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6"/>
              <w:spacing w:after="0" w:line="142" w:lineRule="exact"/>
              <w:rPr>
                <w:sz w:val="20"/>
                <w:szCs w:val="20"/>
                <w:color w:val="auto"/>
              </w:rPr>
            </w:pPr>
            <w:r>
              <w:rPr>
                <w:rFonts w:ascii="Arial" w:cs="Arial" w:eastAsia="Arial" w:hAnsi="Arial"/>
                <w:sz w:val="14"/>
                <w:szCs w:val="14"/>
                <w:color w:val="auto"/>
                <w:w w:val="89"/>
              </w:rPr>
              <w:t>2015</w:t>
            </w:r>
          </w:p>
        </w:tc>
        <w:tc>
          <w:tcPr>
            <w:tcW w:w="1140" w:type="dxa"/>
            <w:vAlign w:val="bottom"/>
            <w:tcBorders>
              <w:bottom w:val="single" w:sz="8" w:color="auto"/>
            </w:tcBorders>
            <w:gridSpan w:val="2"/>
          </w:tcPr>
          <w:p>
            <w:pPr>
              <w:jc w:val="right"/>
              <w:ind w:right="537"/>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w w:val="89"/>
              </w:rPr>
              <w:t>2015</w:t>
            </w:r>
          </w:p>
        </w:tc>
      </w:tr>
      <w:tr>
        <w:trPr>
          <w:trHeight w:val="210"/>
        </w:trPr>
        <w:tc>
          <w:tcPr>
            <w:tcW w:w="71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576"/>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Investment impairment losses</w:t>
            </w:r>
          </w:p>
        </w:tc>
        <w:tc>
          <w:tcPr>
            <w:tcW w:w="240" w:type="dxa"/>
            <w:vAlign w:val="bottom"/>
          </w:tcPr>
          <w:p>
            <w:pPr>
              <w:spacing w:after="0"/>
              <w:rPr>
                <w:sz w:val="18"/>
                <w:szCs w:val="18"/>
                <w:color w:val="auto"/>
              </w:rPr>
            </w:pPr>
          </w:p>
        </w:tc>
        <w:tc>
          <w:tcPr>
            <w:tcW w:w="920" w:type="dxa"/>
            <w:vAlign w:val="bottom"/>
          </w:tcPr>
          <w:p>
            <w:pPr>
              <w:jc w:val="right"/>
              <w:ind w:right="33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tcPr>
          <w:p>
            <w:pPr>
              <w:jc w:val="right"/>
              <w:ind w:right="516"/>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740" w:type="dxa"/>
            <w:vAlign w:val="bottom"/>
          </w:tcPr>
          <w:p>
            <w:pPr>
              <w:jc w:val="right"/>
              <w:ind w:right="337"/>
              <w:spacing w:after="0"/>
              <w:rPr>
                <w:sz w:val="20"/>
                <w:szCs w:val="20"/>
                <w:color w:val="auto"/>
              </w:rPr>
            </w:pPr>
            <w:r>
              <w:rPr>
                <w:rFonts w:ascii="Arial" w:cs="Arial" w:eastAsia="Arial" w:hAnsi="Arial"/>
                <w:sz w:val="18"/>
                <w:szCs w:val="18"/>
                <w:color w:val="auto"/>
                <w:w w:val="93"/>
              </w:rPr>
              <w:t>(21)</w:t>
            </w:r>
          </w:p>
        </w:tc>
        <w:tc>
          <w:tcPr>
            <w:tcW w:w="12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(31)</w:t>
            </w:r>
          </w:p>
        </w:tc>
      </w:tr>
      <w:tr>
        <w:trPr>
          <w:trHeight w:val="216"/>
        </w:trPr>
        <w:tc>
          <w:tcPr>
            <w:tcW w:w="71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576"/>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42</w:t>
            </w:r>
          </w:p>
        </w:tc>
      </w:tr>
      <w:tr>
        <w:trPr>
          <w:trHeight w:val="208"/>
        </w:trPr>
        <w:tc>
          <w:tcPr>
            <w:tcW w:w="7140" w:type="dxa"/>
            <w:vAlign w:val="bottom"/>
            <w:gridSpan w:val="2"/>
          </w:tcPr>
          <w:p>
            <w:pPr>
              <w:spacing w:after="0"/>
              <w:rPr>
                <w:sz w:val="20"/>
                <w:szCs w:val="20"/>
                <w:color w:val="auto"/>
              </w:rPr>
            </w:pPr>
            <w:r>
              <w:rPr>
                <w:rFonts w:ascii="Arial" w:cs="Arial" w:eastAsia="Arial" w:hAnsi="Arial"/>
                <w:sz w:val="18"/>
                <w:szCs w:val="18"/>
                <w:color w:val="auto"/>
                <w:w w:val="95"/>
              </w:rPr>
              <w:t>Mark to market adjustments on derivative component of prepaid forward sale agreements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indexed debt instruments</w:t>
            </w:r>
          </w:p>
        </w:tc>
        <w:tc>
          <w:tcPr>
            <w:tcW w:w="240" w:type="dxa"/>
            <w:vAlign w:val="bottom"/>
          </w:tcPr>
          <w:p>
            <w:pPr>
              <w:spacing w:after="0"/>
              <w:rPr>
                <w:sz w:val="19"/>
                <w:szCs w:val="19"/>
                <w:color w:val="auto"/>
              </w:rPr>
            </w:pPr>
          </w:p>
        </w:tc>
        <w:tc>
          <w:tcPr>
            <w:tcW w:w="920" w:type="dxa"/>
            <w:vAlign w:val="bottom"/>
          </w:tcPr>
          <w:p>
            <w:pPr>
              <w:jc w:val="right"/>
              <w:ind w:right="39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tcPr>
          <w:p>
            <w:pPr>
              <w:jc w:val="right"/>
              <w:ind w:right="576"/>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740" w:type="dxa"/>
            <w:vAlign w:val="bottom"/>
          </w:tcPr>
          <w:p>
            <w:pPr>
              <w:jc w:val="right"/>
              <w:ind w:right="39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(37)</w:t>
            </w:r>
          </w:p>
        </w:tc>
      </w:tr>
      <w:tr>
        <w:trPr>
          <w:trHeight w:val="218"/>
        </w:trPr>
        <w:tc>
          <w:tcPr>
            <w:tcW w:w="71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31</w:t>
            </w: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576"/>
              <w:spacing w:after="0"/>
              <w:rPr>
                <w:sz w:val="20"/>
                <w:szCs w:val="20"/>
                <w:color w:val="auto"/>
              </w:rPr>
            </w:pPr>
            <w:r>
              <w:rPr>
                <w:rFonts w:ascii="Arial" w:cs="Arial" w:eastAsia="Arial" w:hAnsi="Arial"/>
                <w:sz w:val="18"/>
                <w:szCs w:val="18"/>
                <w:color w:val="auto"/>
              </w:rPr>
              <w:t>28</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60</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56</w:t>
            </w:r>
          </w:p>
        </w:tc>
      </w:tr>
      <w:tr>
        <w:trPr>
          <w:trHeight w:val="216"/>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16</w:t>
            </w:r>
          </w:p>
        </w:tc>
      </w:tr>
      <w:tr>
        <w:trPr>
          <w:trHeight w:val="217"/>
        </w:trPr>
        <w:tc>
          <w:tcPr>
            <w:tcW w:w="71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98"/>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ind w:right="576"/>
              <w:spacing w:after="0"/>
              <w:rPr>
                <w:sz w:val="20"/>
                <w:szCs w:val="20"/>
                <w:color w:val="auto"/>
              </w:rPr>
            </w:pPr>
            <w:r>
              <w:rPr>
                <w:rFonts w:ascii="Arial" w:cs="Arial" w:eastAsia="Arial" w:hAnsi="Arial"/>
                <w:sz w:val="18"/>
                <w:szCs w:val="18"/>
                <w:b w:val="1"/>
                <w:bCs w:val="1"/>
                <w:color w:val="auto"/>
              </w:rPr>
              <w:t>17</w:t>
            </w:r>
          </w:p>
        </w:tc>
        <w:tc>
          <w:tcPr>
            <w:tcW w:w="4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50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29,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for the six months ended June 30, 2016 of $108 million in other income (expense), net.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2015, The Weather Channel recorded an impairment charge related to goodwill. We recorded an expense of $252 million that represents NBCUniversal’s proportionate share of this impairment charge in equity in net income (losses) of investees, net in our condensed consolidated statement of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2015, we entered into an agreement to establish Atairos Group, Inc. (“Atairos”), a strategic company focused on investing in and operating companies in a range of industries and business sectors, both domestically and internationally. The agreement became effective as of January 1, 2016. Atairos has a term of up to 12 years and is controlled by management companies led by our former CFO through interests that carry all of the voting rights. We are the only investor other than our former CFO and the other management company employees. We have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committed to fund up to $4 billion in the aggregate at any one time in Atairos, subject to certain offsets, and $40 million annually to fund a management fee, subject to certain adjustments, while the management company investors have committed to fund up to $100 million (with at least $40 million to be funded by our former CFO, subject to his continued role with Atairos). Our economic interests do not carry voting rights and obligate us to absorb approximately 99% of any losses and provide us the right to receive approximately 86.5% of any residual returns in Atairos, in either case on a cumulative basis.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this investment as an equity method investment. There are no other liquidity arrangements, guarantees, or other financial commitments between Comcast and Atairos, and therefore our maximum risk of financial loss is our investment balance and remaining unfunded capital commitment.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2016, we made capital contributions totaling $429 million to Atairos.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2016, we recognized our proportionate share of losses of $40 million and $65 million, respectively, related to our investment in Hulu, LLC (“Hulu”). For the three and six months ended June 30, 2015, we recognized our proportionate share of losses of $13 million and $24 million, respectively, related to our investment in Hulu.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June 30, 2016,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color w:val="auto"/>
              </w:rPr>
              <w:t>Cable</w:t>
            </w: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color w:val="auto"/>
              </w:rPr>
              <w:t>NBCUniversal</w:t>
            </w:r>
          </w:p>
        </w:tc>
        <w:tc>
          <w:tcPr>
            <w:tcW w:w="840" w:type="dxa"/>
            <w:vAlign w:val="bottom"/>
            <w:tcBorders>
              <w:bottom w:val="single" w:sz="8" w:color="auto"/>
            </w:tcBorders>
          </w:tcPr>
          <w:p>
            <w:pPr>
              <w:spacing w:after="0"/>
              <w:rPr>
                <w:sz w:val="14"/>
                <w:szCs w:val="14"/>
                <w:color w:val="auto"/>
              </w:rPr>
            </w:pPr>
          </w:p>
        </w:tc>
        <w:tc>
          <w:tcPr>
            <w:tcW w:w="1120" w:type="dxa"/>
            <w:vAlign w:val="bottom"/>
            <w:gridSpan w:val="2"/>
            <w:vMerge w:val="restart"/>
          </w:tcPr>
          <w:p>
            <w:pPr>
              <w:ind w:left="400"/>
              <w:spacing w:after="0"/>
              <w:rPr>
                <w:sz w:val="20"/>
                <w:szCs w:val="20"/>
                <w:color w:val="auto"/>
              </w:rPr>
            </w:pPr>
            <w:r>
              <w:rPr>
                <w:rFonts w:ascii="Arial" w:cs="Arial" w:eastAsia="Arial" w:hAnsi="Arial"/>
                <w:sz w:val="14"/>
                <w:szCs w:val="14"/>
                <w:color w:val="auto"/>
              </w:rPr>
              <w:t>Corporate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0" w:type="dxa"/>
            <w:vAlign w:val="bottom"/>
          </w:tcPr>
          <w:p>
            <w:pPr>
              <w:jc w:val="right"/>
              <w:ind w:right="278"/>
              <w:spacing w:after="0" w:line="131" w:lineRule="exact"/>
              <w:rPr>
                <w:sz w:val="20"/>
                <w:szCs w:val="20"/>
                <w:color w:val="auto"/>
              </w:rPr>
            </w:pPr>
            <w:r>
              <w:rPr>
                <w:rFonts w:ascii="Arial" w:cs="Arial" w:eastAsia="Arial" w:hAnsi="Arial"/>
                <w:sz w:val="14"/>
                <w:szCs w:val="14"/>
                <w:color w:val="auto"/>
              </w:rPr>
              <w:t>Cable</w:t>
            </w:r>
          </w:p>
        </w:tc>
        <w:tc>
          <w:tcPr>
            <w:tcW w:w="106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Broadcast</w:t>
            </w:r>
          </w:p>
        </w:tc>
        <w:tc>
          <w:tcPr>
            <w:tcW w:w="380" w:type="dxa"/>
            <w:vAlign w:val="bottom"/>
          </w:tcPr>
          <w:p>
            <w:pPr>
              <w:spacing w:after="0"/>
              <w:rPr>
                <w:sz w:val="11"/>
                <w:szCs w:val="11"/>
                <w:color w:val="auto"/>
              </w:rPr>
            </w:pPr>
          </w:p>
        </w:tc>
        <w:tc>
          <w:tcPr>
            <w:tcW w:w="880" w:type="dxa"/>
            <w:vAlign w:val="bottom"/>
          </w:tcPr>
          <w:p>
            <w:pPr>
              <w:jc w:val="right"/>
              <w:ind w:right="356"/>
              <w:spacing w:after="0" w:line="131" w:lineRule="exact"/>
              <w:rPr>
                <w:sz w:val="20"/>
                <w:szCs w:val="20"/>
                <w:color w:val="auto"/>
              </w:rPr>
            </w:pPr>
            <w:r>
              <w:rPr>
                <w:rFonts w:ascii="Arial" w:cs="Arial" w:eastAsia="Arial" w:hAnsi="Arial"/>
                <w:sz w:val="14"/>
                <w:szCs w:val="14"/>
                <w:color w:val="auto"/>
                <w:w w:val="99"/>
              </w:rPr>
              <w:t>Filmed</w:t>
            </w:r>
          </w:p>
        </w:tc>
        <w:tc>
          <w:tcPr>
            <w:tcW w:w="840" w:type="dxa"/>
            <w:vAlign w:val="bottom"/>
          </w:tcPr>
          <w:p>
            <w:pPr>
              <w:jc w:val="right"/>
              <w:ind w:right="78"/>
              <w:spacing w:after="0" w:line="131" w:lineRule="exact"/>
              <w:rPr>
                <w:sz w:val="20"/>
                <w:szCs w:val="20"/>
                <w:color w:val="auto"/>
              </w:rPr>
            </w:pPr>
            <w:r>
              <w:rPr>
                <w:rFonts w:ascii="Arial" w:cs="Arial" w:eastAsia="Arial" w:hAnsi="Arial"/>
                <w:sz w:val="14"/>
                <w:szCs w:val="14"/>
                <w:color w:val="auto"/>
              </w:rPr>
              <w:t>Theme</w:t>
            </w:r>
          </w:p>
        </w:tc>
        <w:tc>
          <w:tcPr>
            <w:tcW w:w="11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auto"/>
            </w:tcBorders>
            <w:gridSpan w:val="2"/>
          </w:tcPr>
          <w:p>
            <w:pPr>
              <w:ind w:left="1000"/>
              <w:spacing w:after="0" w:line="159" w:lineRule="exact"/>
              <w:rPr>
                <w:sz w:val="20"/>
                <w:szCs w:val="20"/>
                <w:color w:val="auto"/>
              </w:rPr>
            </w:pPr>
            <w:r>
              <w:rPr>
                <w:rFonts w:ascii="Arial" w:cs="Arial" w:eastAsia="Arial" w:hAnsi="Arial"/>
                <w:sz w:val="14"/>
                <w:szCs w:val="14"/>
                <w:color w:val="auto"/>
                <w:w w:val="95"/>
              </w:rPr>
              <w:t>Communications</w:t>
            </w:r>
          </w:p>
        </w:tc>
        <w:tc>
          <w:tcPr>
            <w:tcW w:w="120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Networks</w:t>
            </w:r>
          </w:p>
        </w:tc>
        <w:tc>
          <w:tcPr>
            <w:tcW w:w="106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Television</w:t>
            </w:r>
          </w:p>
        </w:tc>
        <w:tc>
          <w:tcPr>
            <w:tcW w:w="126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Entertainment</w:t>
            </w:r>
          </w:p>
        </w:tc>
        <w:tc>
          <w:tcPr>
            <w:tcW w:w="84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Parks</w:t>
            </w:r>
          </w:p>
        </w:tc>
        <w:tc>
          <w:tcPr>
            <w:tcW w:w="112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rPr>
              <w:t>and Other</w:t>
            </w:r>
          </w:p>
        </w:tc>
        <w:tc>
          <w:tcPr>
            <w:tcW w:w="90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0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2015</w:t>
            </w:r>
          </w:p>
        </w:tc>
        <w:tc>
          <w:tcPr>
            <w:tcW w:w="1180" w:type="dxa"/>
            <w:vAlign w:val="bottom"/>
            <w:shd w:val="clear" w:color="auto" w:fill="E5E5E5"/>
          </w:tcPr>
          <w:p>
            <w:pPr>
              <w:ind w:left="9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12,389</w:t>
            </w:r>
          </w:p>
        </w:tc>
        <w:tc>
          <w:tcPr>
            <w:tcW w:w="12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$12,947</w:t>
            </w:r>
          </w:p>
        </w:tc>
        <w:tc>
          <w:tcPr>
            <w:tcW w:w="4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806</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267</w:t>
            </w:r>
          </w:p>
        </w:tc>
        <w:tc>
          <w:tcPr>
            <w:tcW w:w="84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$6,344</w:t>
            </w:r>
          </w:p>
        </w:tc>
        <w:tc>
          <w:tcPr>
            <w:tcW w:w="5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192</w:t>
            </w: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Acquisitions</w:t>
            </w:r>
          </w:p>
        </w:tc>
        <w:tc>
          <w:tcPr>
            <w:tcW w:w="118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73</w:t>
            </w: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92</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020" w:type="dxa"/>
            <w:vAlign w:val="bottom"/>
            <w:shd w:val="clear" w:color="auto" w:fill="E5E5E5"/>
          </w:tcPr>
          <w:p>
            <w:pPr>
              <w:spacing w:after="0"/>
              <w:rPr>
                <w:sz w:val="20"/>
                <w:szCs w:val="20"/>
                <w:color w:val="auto"/>
              </w:rPr>
            </w:pPr>
            <w:r>
              <w:rPr>
                <w:rFonts w:ascii="Arial" w:cs="Arial" w:eastAsia="Arial" w:hAnsi="Arial"/>
                <w:sz w:val="18"/>
                <w:szCs w:val="18"/>
                <w:color w:val="auto"/>
              </w:rPr>
              <w:t>Adjustments</w:t>
            </w:r>
          </w:p>
        </w:tc>
        <w:tc>
          <w:tcPr>
            <w:tcW w:w="11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176</w:t>
            </w:r>
          </w:p>
        </w:tc>
        <w:tc>
          <w:tcPr>
            <w:tcW w:w="12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(289)</w:t>
            </w:r>
          </w:p>
        </w:tc>
        <w:tc>
          <w:tcPr>
            <w:tcW w:w="5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9"/>
              </w:rPr>
              <w:t>(181)</w:t>
            </w:r>
          </w:p>
        </w:tc>
        <w:tc>
          <w:tcPr>
            <w:tcW w:w="9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957</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2016</w:t>
            </w:r>
          </w:p>
        </w:tc>
        <w:tc>
          <w:tcPr>
            <w:tcW w:w="1180" w:type="dxa"/>
            <w:vAlign w:val="bottom"/>
            <w:tcBorders>
              <w:bottom w:val="single" w:sz="8" w:color="auto"/>
            </w:tcBorders>
            <w:shd w:val="clear" w:color="auto" w:fill="E5E5E5"/>
          </w:tcPr>
          <w:p>
            <w:pPr>
              <w:ind w:left="9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12,638</w:t>
            </w:r>
          </w:p>
        </w:tc>
        <w:tc>
          <w:tcPr>
            <w:tcW w:w="120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b w:val="1"/>
                <w:bCs w:val="1"/>
                <w:color w:val="auto"/>
              </w:rPr>
              <w:t>$12,954</w:t>
            </w:r>
          </w:p>
        </w:tc>
        <w:tc>
          <w:tcPr>
            <w:tcW w:w="4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806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371</w:t>
            </w:r>
          </w:p>
        </w:tc>
        <w:tc>
          <w:tcPr>
            <w:tcW w:w="84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$7,012</w:t>
            </w:r>
          </w:p>
        </w:tc>
        <w:tc>
          <w:tcPr>
            <w:tcW w:w="5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11</w:t>
            </w: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$33,792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Adjustments to goodwill during the six months ended June 30, 2016 included the updated preliminary allocation of the purchase price for Universal Studios Japan in our Theme Parks segment and the reclassification of certain operations and businesses from Corporate and Other to our Cable Communications segment.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2016, our debt had a carrying value of $55.6 billion and an estimated fair value of $64.4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July 2016, we issued $700 million aggregate principal amount of 1.625% senior notes due 2022, $1.4 billion aggregate principal amount of 2.35% senior notes due 2027, $1.0 billion aggregate principal amount of 3.20% senior notes due 2036 and $1.4 billion aggregate principal amount of 3.40% senior notes due 2046. We intend to use the proceeds from this offering to fund our acquisition of DreamWorks, and for working capital and general corporate purposes. In May 2016, we issued $1.43 billion aggregate principal amount of 4.05% senior notes due 2046. In February and March 2016, we issued $1.1 billion aggregate principal amount of 2.75% senior notes due 2023 and $2.2 billion aggregate principal amount of 3.15% senior notes due 2026.</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we repaid at maturity $750 million aggregate principal amount of 4.95% senior notes due 2016. In April 2016, we repaid at maturity $1 billion aggregate principal amount of 2.875% senior notes due 2016 and $700 million aggregate principal amount of NBCUniversal Enterprise Inc.’s (“NBCUniversal Enterprise”) senior notes due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May 2016, we entered into a new $7 billion revolving credit facility due 2021 with a syndicate of banks (“Comcast revolving credit facility”) that may be used for general corporate purposes. We may increase the commitment under the Comcast revolving credit facility up to a total of $10 billion, as well as extend the expiration date to a date no later than 2023, subject to approval of the lenders. In addition, NBCUniversal Enterprise entered into a new $1.5 billion revolving credit facility due 2021 with a syndicate of banks (“NBCUniversal Enterprise revolving credit facility”) that may be used for general corporate purposes. We may increase the commitment under the NBCUniversal Enterprise revolving credit facility up to a total of $2 billion, as well as extend the expiration date to a date no later than 2023, subject to approval of the lenders. The new revolving credit facilities replaced Comcast’s $6.25 billion and NBCUniversal Enterprise’s $1.35 billion revolving credit facilities, which were terminated in connection with the execution of the new revolving credit facilities. The interest rates on the new revolving credit facilities consist of a base rate plus a borrowing margin that is determined based on Comcast’s credit rating. As of June 30, 2016, the borrowing margin for borrowings based on the London Interbank Offered Rate was 1.00%. The terms of the new revolving credit facilities’ financial covenants and guarantees are substantially the same as those under the prior revolving credit facilities.</w:t>
      </w:r>
    </w:p>
    <w:p>
      <w:pPr>
        <w:spacing w:after="0" w:line="2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As of June 30, 2016, amounts available under the new consolidated revolving credit facilities, net of amounts outstanding under our commercial paper programs and outstanding letters of credit, totaled $7.1 billion, which included $326 million available under NBCUniversal Enterprise’s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NBCUniversal Enterprise had $1.2 billion face amount of commercial paper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89"/>
              </w:rPr>
              <w:t>Fair Value as of</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June 30,</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24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2016</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3"/>
        </w:trPr>
        <w:tc>
          <w:tcPr>
            <w:tcW w:w="660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06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Level 1</w:t>
            </w:r>
          </w:p>
        </w:tc>
        <w:tc>
          <w:tcPr>
            <w:tcW w:w="700" w:type="dxa"/>
            <w:vAlign w:val="bottom"/>
            <w:gridSpan w:val="2"/>
          </w:tcPr>
          <w:p>
            <w:pPr>
              <w:ind w:left="240"/>
              <w:spacing w:after="0" w:line="143" w:lineRule="exact"/>
              <w:rPr>
                <w:sz w:val="20"/>
                <w:szCs w:val="20"/>
                <w:color w:val="auto"/>
              </w:rPr>
            </w:pPr>
            <w:r>
              <w:rPr>
                <w:rFonts w:ascii="Arial" w:cs="Arial" w:eastAsia="Arial" w:hAnsi="Arial"/>
                <w:sz w:val="14"/>
                <w:szCs w:val="14"/>
                <w:color w:val="auto"/>
                <w:w w:val="97"/>
              </w:rPr>
              <w:t>Level 2</w:t>
            </w:r>
          </w:p>
        </w:tc>
        <w:tc>
          <w:tcPr>
            <w:tcW w:w="12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Level 3</w:t>
            </w:r>
          </w:p>
        </w:tc>
        <w:tc>
          <w:tcPr>
            <w:tcW w:w="680" w:type="dxa"/>
            <w:vAlign w:val="bottom"/>
            <w:gridSpan w:val="2"/>
          </w:tcPr>
          <w:p>
            <w:pPr>
              <w:jc w:val="right"/>
              <w:ind w:right="212"/>
              <w:spacing w:after="0" w:line="143"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700" w:type="dxa"/>
            <w:vAlign w:val="bottom"/>
          </w:tcPr>
          <w:p>
            <w:pPr>
              <w:jc w:val="right"/>
              <w:ind w:right="257"/>
              <w:spacing w:after="0" w:line="14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Trading securities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125</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ind w:left="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79"/>
              </w:rPr>
              <w:t>139</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6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196</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238</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235</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235</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235</w:t>
            </w:r>
          </w:p>
        </w:tc>
        <w:tc>
          <w:tcPr>
            <w:tcW w:w="6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79"/>
              </w:rPr>
              <w:t>235</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2016, the fair value of the NBCUniversal Enterprise redeemable subsidiary preferred stock was $761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plans primarily consist of awards of RSUs and stock options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2016, we granted 5.9 million RSUs and 20.7 million stock options related to our annual management awards. The weighted-average fair values associated with these grants were $59.50 per RSU and $11.45 per stock option.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4"/>
                <w:szCs w:val="14"/>
                <w:color w:val="auto"/>
              </w:rPr>
            </w:pPr>
          </w:p>
        </w:tc>
        <w:tc>
          <w:tcPr>
            <w:tcW w:w="1560" w:type="dxa"/>
            <w:vAlign w:val="bottom"/>
            <w:gridSpan w:val="3"/>
          </w:tcPr>
          <w:p>
            <w:pPr>
              <w:jc w:val="right"/>
              <w:ind w:right="296"/>
              <w:spacing w:after="0"/>
              <w:rPr>
                <w:sz w:val="20"/>
                <w:szCs w:val="20"/>
                <w:color w:val="auto"/>
              </w:rPr>
            </w:pPr>
            <w:r>
              <w:rPr>
                <w:rFonts w:ascii="Arial" w:cs="Arial" w:eastAsia="Arial" w:hAnsi="Arial"/>
                <w:sz w:val="14"/>
                <w:szCs w:val="14"/>
                <w:color w:val="auto"/>
              </w:rPr>
              <w:t>Six Months Ended</w:t>
            </w:r>
          </w:p>
        </w:tc>
      </w:tr>
      <w:tr>
        <w:trPr>
          <w:trHeight w:val="172"/>
        </w:trPr>
        <w:tc>
          <w:tcPr>
            <w:tcW w:w="7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4"/>
              </w:rPr>
              <w:t>June 30</w:t>
            </w:r>
          </w:p>
        </w:tc>
        <w:tc>
          <w:tcPr>
            <w:tcW w:w="520" w:type="dxa"/>
            <w:vAlign w:val="bottom"/>
            <w:tcBorders>
              <w:bottom w:val="single" w:sz="8" w:color="auto"/>
            </w:tcBorders>
          </w:tcPr>
          <w:p>
            <w:pPr>
              <w:spacing w:after="0"/>
              <w:rPr>
                <w:sz w:val="14"/>
                <w:szCs w:val="14"/>
                <w:color w:val="auto"/>
              </w:rPr>
            </w:pPr>
          </w:p>
        </w:tc>
      </w:tr>
      <w:tr>
        <w:trPr>
          <w:trHeight w:val="143"/>
        </w:trPr>
        <w:tc>
          <w:tcPr>
            <w:tcW w:w="72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3" w:lineRule="exact"/>
              <w:rPr>
                <w:sz w:val="20"/>
                <w:szCs w:val="20"/>
                <w:color w:val="auto"/>
              </w:rPr>
            </w:pPr>
            <w:r>
              <w:rPr>
                <w:rFonts w:ascii="Arial" w:cs="Arial" w:eastAsia="Arial" w:hAnsi="Arial"/>
                <w:sz w:val="14"/>
                <w:szCs w:val="14"/>
                <w:color w:val="auto"/>
                <w:w w:val="89"/>
              </w:rPr>
              <w:t>2016</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6"/>
              <w:spacing w:after="0" w:line="143" w:lineRule="exact"/>
              <w:rPr>
                <w:sz w:val="20"/>
                <w:szCs w:val="20"/>
                <w:color w:val="auto"/>
              </w:rPr>
            </w:pPr>
            <w:r>
              <w:rPr>
                <w:rFonts w:ascii="Arial" w:cs="Arial" w:eastAsia="Arial" w:hAnsi="Arial"/>
                <w:sz w:val="14"/>
                <w:szCs w:val="14"/>
                <w:color w:val="auto"/>
                <w:w w:val="89"/>
              </w:rPr>
              <w:t>2015</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3" w:lineRule="exact"/>
              <w:rPr>
                <w:sz w:val="20"/>
                <w:szCs w:val="20"/>
                <w:color w:val="auto"/>
              </w:rPr>
            </w:pPr>
            <w:r>
              <w:rPr>
                <w:rFonts w:ascii="Arial" w:cs="Arial" w:eastAsia="Arial" w:hAnsi="Arial"/>
                <w:sz w:val="14"/>
                <w:szCs w:val="14"/>
                <w:color w:val="auto"/>
                <w:w w:val="89"/>
              </w:rPr>
              <w:t>2016</w:t>
            </w: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3" w:lineRule="exact"/>
              <w:rPr>
                <w:sz w:val="20"/>
                <w:szCs w:val="20"/>
                <w:color w:val="auto"/>
              </w:rPr>
            </w:pPr>
            <w:r>
              <w:rPr>
                <w:rFonts w:ascii="Arial" w:cs="Arial" w:eastAsia="Arial" w:hAnsi="Arial"/>
                <w:sz w:val="14"/>
                <w:szCs w:val="14"/>
                <w:color w:val="auto"/>
                <w:w w:val="89"/>
              </w:rPr>
              <w:t>2015</w:t>
            </w: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Restricted share units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80</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Stock options</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78</w:t>
            </w:r>
          </w:p>
        </w:tc>
      </w:tr>
      <w:tr>
        <w:trPr>
          <w:trHeight w:val="216"/>
        </w:trPr>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5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w:t>
            </w:r>
          </w:p>
        </w:tc>
      </w:tr>
      <w:tr>
        <w:trPr>
          <w:trHeight w:val="21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129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230</w:t>
            </w: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June 30, 2016, we had unrecognized pretax compensation expense of $831 million and $448 million related to nonvested RSUs and nonvested stock options,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4"/>
                <w:szCs w:val="14"/>
                <w:color w:val="auto"/>
                <w:w w:val="85"/>
              </w:rPr>
              <w:t>June 30,</w:t>
            </w:r>
          </w:p>
        </w:tc>
        <w:tc>
          <w:tcPr>
            <w:tcW w:w="4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w w:val="95"/>
              </w:rPr>
              <w:t>December 31,</w:t>
            </w:r>
          </w:p>
        </w:tc>
      </w:tr>
      <w:tr>
        <w:trPr>
          <w:trHeight w:val="173"/>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w w:val="96"/>
              </w:rPr>
              <w:t>2015</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w w:val="87"/>
              </w:rPr>
              <w:t>$7,255</w:t>
            </w:r>
          </w:p>
        </w:tc>
        <w:tc>
          <w:tcPr>
            <w:tcW w:w="480" w:type="dxa"/>
            <w:vAlign w:val="bottom"/>
            <w:shd w:val="clear" w:color="auto" w:fill="E5E5E5"/>
          </w:tcPr>
          <w:p>
            <w:pPr>
              <w:spacing w:after="0"/>
              <w:rPr>
                <w:sz w:val="18"/>
                <w:szCs w:val="18"/>
                <w:color w:val="auto"/>
              </w:rPr>
            </w:pPr>
          </w:p>
        </w:tc>
        <w:tc>
          <w:tcPr>
            <w:tcW w:w="240" w:type="dxa"/>
            <w:vAlign w:val="bottom"/>
            <w:shd w:val="clear" w:color="auto" w:fill="E5E5E5"/>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7,595</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Less: Allowance for returns and customer incentives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473</w:t>
            </w:r>
          </w:p>
        </w:tc>
      </w:tr>
      <w:tr>
        <w:trPr>
          <w:trHeight w:val="216"/>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255</w:t>
            </w:r>
          </w:p>
        </w:tc>
        <w:tc>
          <w:tcPr>
            <w:tcW w:w="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226</w:t>
            </w:r>
          </w:p>
        </w:tc>
      </w:tr>
      <w:tr>
        <w:trPr>
          <w:trHeight w:val="217"/>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Receivables, net</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87"/>
              </w:rPr>
              <w:t>$6,708</w:t>
            </w: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b w:val="1"/>
                <w:bCs w:val="1"/>
                <w:color w:val="auto"/>
              </w:rPr>
              <w:t>6,896</w:t>
            </w:r>
          </w:p>
        </w:tc>
      </w:tr>
      <w:tr>
        <w:trPr>
          <w:trHeight w:val="403"/>
        </w:trPr>
        <w:tc>
          <w:tcPr>
            <w:tcW w:w="7860" w:type="dxa"/>
            <w:vAlign w:val="bottom"/>
            <w:gridSpan w:val="2"/>
          </w:tcPr>
          <w:p>
            <w:pPr>
              <w:jc w:val="center"/>
              <w:ind w:left="3475"/>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1"/>
        </w:trPr>
        <w:tc>
          <w:tcPr>
            <w:tcW w:w="7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ind w:left="540"/>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22"/>
                <w:szCs w:val="22"/>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June 30,</w:t>
            </w:r>
          </w:p>
        </w:tc>
      </w:tr>
      <w:tr>
        <w:trPr>
          <w:trHeight w:val="173"/>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83"/>
              </w:rPr>
              <w:t>2015</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ind w:left="5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7"/>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 (166)</w:t>
            </w:r>
          </w:p>
        </w:tc>
      </w:tr>
      <w:tr>
        <w:trPr>
          <w:trHeight w:val="403"/>
        </w:trPr>
        <w:tc>
          <w:tcPr>
            <w:tcW w:w="7860" w:type="dxa"/>
            <w:vAlign w:val="bottom"/>
            <w:gridSpan w:val="2"/>
          </w:tcPr>
          <w:p>
            <w:pPr>
              <w:jc w:val="center"/>
              <w:ind w:left="3495"/>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1"/>
        </w:trPr>
        <w:tc>
          <w:tcPr>
            <w:tcW w:w="7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gridSpan w:val="4"/>
          </w:tcPr>
          <w:p>
            <w:pPr>
              <w:spacing w:after="0"/>
              <w:rPr>
                <w:sz w:val="20"/>
                <w:szCs w:val="20"/>
                <w:color w:val="auto"/>
              </w:rPr>
            </w:pPr>
            <w:r>
              <w:rPr>
                <w:rFonts w:ascii="Arial" w:cs="Arial" w:eastAsia="Arial" w:hAnsi="Arial"/>
                <w:sz w:val="14"/>
                <w:szCs w:val="14"/>
                <w:color w:val="auto"/>
              </w:rPr>
              <w:t>Six Months Ended</w:t>
            </w:r>
          </w:p>
        </w:tc>
      </w:tr>
      <w:tr>
        <w:trPr>
          <w:trHeight w:val="172"/>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80"/>
              </w:rPr>
              <w:t>June 30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43"/>
        </w:trPr>
        <w:tc>
          <w:tcPr>
            <w:tcW w:w="786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39"/>
              <w:spacing w:after="0" w:line="143"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3"/>
              <w:spacing w:after="0" w:line="143" w:lineRule="exact"/>
              <w:rPr>
                <w:sz w:val="20"/>
                <w:szCs w:val="20"/>
                <w:color w:val="auto"/>
              </w:rPr>
            </w:pPr>
            <w:r>
              <w:rPr>
                <w:rFonts w:ascii="Arial" w:cs="Arial" w:eastAsia="Arial" w:hAnsi="Arial"/>
                <w:sz w:val="14"/>
                <w:szCs w:val="14"/>
                <w:color w:val="auto"/>
              </w:rPr>
              <w:t>2015</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119"/>
              <w:spacing w:after="0"/>
              <w:rPr>
                <w:sz w:val="20"/>
                <w:szCs w:val="20"/>
                <w:color w:val="auto"/>
              </w:rPr>
            </w:pPr>
            <w:r>
              <w:rPr>
                <w:rFonts w:ascii="Arial" w:cs="Arial" w:eastAsia="Arial" w:hAnsi="Arial"/>
                <w:sz w:val="18"/>
                <w:szCs w:val="18"/>
                <w:color w:val="auto"/>
              </w:rPr>
              <w:t>$ 4,304</w:t>
            </w:r>
          </w:p>
        </w:tc>
        <w:tc>
          <w:tcPr>
            <w:tcW w:w="2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w w:val="89"/>
              </w:rPr>
              <w:t>$ 4,316</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119"/>
              <w:spacing w:after="0"/>
              <w:rPr>
                <w:sz w:val="20"/>
                <w:szCs w:val="20"/>
                <w:color w:val="auto"/>
              </w:rPr>
            </w:pPr>
            <w:r>
              <w:rPr>
                <w:rFonts w:ascii="Arial" w:cs="Arial" w:eastAsia="Arial" w:hAnsi="Arial"/>
                <w:sz w:val="18"/>
                <w:szCs w:val="18"/>
                <w:color w:val="auto"/>
              </w:rPr>
              <w:t>4,667</w:t>
            </w:r>
          </w:p>
        </w:tc>
        <w:tc>
          <w:tcPr>
            <w:tcW w:w="2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4,227</w:t>
            </w: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8"/>
                <w:szCs w:val="18"/>
                <w:color w:val="auto"/>
                <w:w w:val="86"/>
              </w:rPr>
              <w:t>331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294</w:t>
            </w: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w w:val="86"/>
              </w:rPr>
              <w:t>113</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95</w:t>
            </w: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203</w:t>
            </w: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42</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w:t>
            </w: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(437)</w:t>
            </w: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w w:val="86"/>
              </w:rPr>
              <w:t>618</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111</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w w:val="86"/>
              </w:rPr>
              <w:t>172</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(707)</w:t>
            </w: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176</w:t>
            </w: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59"/>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109</w:t>
            </w:r>
          </w:p>
        </w:tc>
      </w:tr>
      <w:tr>
        <w:trPr>
          <w:trHeight w:val="216"/>
        </w:trPr>
        <w:tc>
          <w:tcPr>
            <w:tcW w:w="78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395</w:t>
            </w:r>
          </w:p>
        </w:tc>
      </w:tr>
      <w:tr>
        <w:trPr>
          <w:trHeight w:val="217"/>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gridSpan w:val="2"/>
            <w:shd w:val="clear" w:color="auto" w:fill="E5E5E5"/>
          </w:tcPr>
          <w:p>
            <w:pPr>
              <w:jc w:val="right"/>
              <w:ind w:right="119"/>
              <w:spacing w:after="0"/>
              <w:rPr>
                <w:sz w:val="20"/>
                <w:szCs w:val="20"/>
                <w:color w:val="auto"/>
              </w:rPr>
            </w:pPr>
            <w:r>
              <w:rPr>
                <w:rFonts w:ascii="Arial" w:cs="Arial" w:eastAsia="Arial" w:hAnsi="Arial"/>
                <w:sz w:val="18"/>
                <w:szCs w:val="18"/>
                <w:b w:val="1"/>
                <w:bCs w:val="1"/>
                <w:color w:val="auto"/>
              </w:rPr>
              <w:t>$ 9,383</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gridSpan w:val="2"/>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$ 8,834</w:t>
            </w:r>
          </w:p>
        </w:tc>
      </w:tr>
      <w:tr>
        <w:trPr>
          <w:trHeight w:val="403"/>
        </w:trPr>
        <w:tc>
          <w:tcPr>
            <w:tcW w:w="7860" w:type="dxa"/>
            <w:vAlign w:val="bottom"/>
            <w:gridSpan w:val="2"/>
          </w:tcPr>
          <w:p>
            <w:pPr>
              <w:jc w:val="center"/>
              <w:ind w:left="3475"/>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1"/>
        </w:trPr>
        <w:tc>
          <w:tcPr>
            <w:tcW w:w="7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4"/>
                <w:szCs w:val="14"/>
                <w:color w:val="auto"/>
                <w:w w:val="90"/>
              </w:rPr>
              <w:t>Three Months Ended</w:t>
            </w:r>
          </w:p>
        </w:tc>
        <w:tc>
          <w:tcPr>
            <w:tcW w:w="620" w:type="dxa"/>
            <w:vAlign w:val="bottom"/>
          </w:tcPr>
          <w:p>
            <w:pPr>
              <w:spacing w:after="0"/>
              <w:rPr>
                <w:sz w:val="22"/>
                <w:szCs w:val="22"/>
                <w:color w:val="auto"/>
              </w:rPr>
            </w:pPr>
          </w:p>
        </w:tc>
        <w:tc>
          <w:tcPr>
            <w:tcW w:w="1380" w:type="dxa"/>
            <w:vAlign w:val="bottom"/>
            <w:gridSpan w:val="4"/>
          </w:tcPr>
          <w:p>
            <w:pPr>
              <w:jc w:val="right"/>
              <w:ind w:right="253"/>
              <w:spacing w:after="0"/>
              <w:rPr>
                <w:sz w:val="20"/>
                <w:szCs w:val="20"/>
                <w:color w:val="auto"/>
              </w:rPr>
            </w:pPr>
            <w:r>
              <w:rPr>
                <w:rFonts w:ascii="Arial" w:cs="Arial" w:eastAsia="Arial" w:hAnsi="Arial"/>
                <w:sz w:val="14"/>
                <w:szCs w:val="14"/>
                <w:color w:val="auto"/>
                <w:w w:val="89"/>
              </w:rPr>
              <w:t>Six Months Ended</w:t>
            </w:r>
          </w:p>
        </w:tc>
      </w:tr>
      <w:tr>
        <w:trPr>
          <w:trHeight w:val="173"/>
        </w:trPr>
        <w:tc>
          <w:tcPr>
            <w:tcW w:w="7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80"/>
              </w:rPr>
              <w:t>June 30</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color w:val="auto"/>
              </w:rPr>
              <w:t>June 30</w:t>
            </w:r>
          </w:p>
        </w:tc>
        <w:tc>
          <w:tcPr>
            <w:tcW w:w="480" w:type="dxa"/>
            <w:vAlign w:val="bottom"/>
            <w:tcBorders>
              <w:bottom w:val="single" w:sz="8" w:color="auto"/>
            </w:tcBorders>
          </w:tcPr>
          <w:p>
            <w:pPr>
              <w:spacing w:after="0"/>
              <w:rPr>
                <w:sz w:val="15"/>
                <w:szCs w:val="15"/>
                <w:color w:val="auto"/>
              </w:rPr>
            </w:pPr>
          </w:p>
        </w:tc>
      </w:tr>
      <w:tr>
        <w:trPr>
          <w:trHeight w:val="142"/>
        </w:trPr>
        <w:tc>
          <w:tcPr>
            <w:tcW w:w="7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w w:val="89"/>
              </w:rPr>
              <w:t>2016</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2015</w:t>
            </w: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177"/>
              <w:spacing w:after="0" w:line="142" w:lineRule="exact"/>
              <w:rPr>
                <w:sz w:val="20"/>
                <w:szCs w:val="20"/>
                <w:color w:val="auto"/>
              </w:rPr>
            </w:pPr>
            <w:r>
              <w:rPr>
                <w:rFonts w:ascii="Arial" w:cs="Arial" w:eastAsia="Arial" w:hAnsi="Arial"/>
                <w:sz w:val="14"/>
                <w:szCs w:val="14"/>
                <w:color w:val="auto"/>
                <w:w w:val="89"/>
              </w:rPr>
              <w:t>2016</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color w:val="auto"/>
              </w:rPr>
              <w:t>2015</w:t>
            </w: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512</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550</w:t>
            </w:r>
          </w:p>
        </w:tc>
        <w:tc>
          <w:tcPr>
            <w:tcW w:w="1100" w:type="dxa"/>
            <w:vAlign w:val="bottom"/>
            <w:gridSpan w:val="2"/>
            <w:shd w:val="clear" w:color="auto" w:fill="E5E5E5"/>
          </w:tcPr>
          <w:p>
            <w:pPr>
              <w:jc w:val="center"/>
              <w:ind w:left="157"/>
              <w:spacing w:after="0"/>
              <w:rPr>
                <w:sz w:val="20"/>
                <w:szCs w:val="20"/>
                <w:color w:val="auto"/>
              </w:rPr>
            </w:pPr>
            <w:r>
              <w:rPr>
                <w:rFonts w:ascii="Arial" w:cs="Arial" w:eastAsia="Arial" w:hAnsi="Arial"/>
                <w:sz w:val="18"/>
                <w:szCs w:val="18"/>
                <w:color w:val="auto"/>
                <w:w w:val="89"/>
              </w:rPr>
              <w:t>$ 1,235</w:t>
            </w:r>
          </w:p>
        </w:tc>
        <w:tc>
          <w:tcPr>
            <w:tcW w:w="2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w w:val="89"/>
              </w:rPr>
              <w:t>$ 1,241</w:t>
            </w:r>
          </w:p>
        </w:tc>
      </w:tr>
      <w:tr>
        <w:trPr>
          <w:trHeight w:val="21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1,495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1,881</w:t>
            </w:r>
          </w:p>
        </w:tc>
        <w:tc>
          <w:tcPr>
            <w:tcW w:w="110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8"/>
                <w:szCs w:val="18"/>
                <w:color w:val="auto"/>
                <w:w w:val="89"/>
              </w:rPr>
              <w:t>$ 1,685</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w w:val="89"/>
              </w:rPr>
              <w:t>$ 1,999</w:t>
            </w:r>
          </w:p>
        </w:tc>
      </w:tr>
      <w:tr>
        <w:trPr>
          <w:trHeight w:val="356"/>
        </w:trPr>
        <w:tc>
          <w:tcPr>
            <w:tcW w:w="7580" w:type="dxa"/>
            <w:vAlign w:val="bottom"/>
          </w:tcPr>
          <w:p>
            <w:pPr>
              <w:jc w:val="center"/>
              <w:ind w:left="3775"/>
              <w:spacing w:after="0"/>
              <w:rPr>
                <w:sz w:val="20"/>
                <w:szCs w:val="20"/>
                <w:color w:val="auto"/>
              </w:rPr>
            </w:pPr>
            <w:r>
              <w:rPr>
                <w:rFonts w:ascii="Arial" w:cs="Arial" w:eastAsia="Arial" w:hAnsi="Arial"/>
                <w:sz w:val="18"/>
                <w:szCs w:val="18"/>
                <w:color w:val="auto"/>
                <w:w w:val="99"/>
              </w:rPr>
              <w:t>14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2016:</w:t>
      </w:r>
    </w:p>
    <w:p>
      <w:pPr>
        <w:spacing w:after="0" w:line="77"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$663 million for a quarterly cash dividend of $0.275 per common share to be paid in July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Obligations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recorded an operating expense of $116 million during the three months ended June 30, 2016 and eliminated substantially all of our liabilities related to certain insurance obligations, which are disclosed in Note 12 of our consolidated financial statements included in our 2015 Annual Report on Form 10-K.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6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Internet and voice services to residential customers under the XFINITY brand; we also provide these and other services to business customers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studio production operations.</w:t>
      </w:r>
    </w:p>
    <w:p>
      <w:pPr>
        <w:spacing w:after="0" w:line="25" w:lineRule="exact"/>
        <w:rPr>
          <w:rFonts w:ascii="Arial" w:cs="Arial" w:eastAsia="Arial" w:hAnsi="Arial"/>
          <w:sz w:val="18"/>
          <w:szCs w:val="18"/>
          <w:color w:val="auto"/>
        </w:rPr>
      </w:pPr>
    </w:p>
    <w:p>
      <w:pPr>
        <w:jc w:val="both"/>
        <w:ind w:left="1020" w:right="124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and our broadcast television studio production operations.</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color w:val="auto"/>
                <w:w w:val="86"/>
              </w:rPr>
              <w:t>Three Months Ended June 30, 2016</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Operating Income (Loss)</w:t>
            </w:r>
          </w:p>
        </w:tc>
        <w:tc>
          <w:tcPr>
            <w:tcW w:w="98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Depreciation</w:t>
            </w:r>
          </w:p>
        </w:tc>
        <w:tc>
          <w:tcPr>
            <w:tcW w:w="680" w:type="dxa"/>
            <w:vAlign w:val="bottom"/>
          </w:tcPr>
          <w:p>
            <w:pPr>
              <w:jc w:val="center"/>
              <w:ind w:right="57"/>
              <w:spacing w:after="0" w:line="131" w:lineRule="exact"/>
              <w:rPr>
                <w:sz w:val="20"/>
                <w:szCs w:val="20"/>
                <w:color w:val="auto"/>
              </w:rPr>
            </w:pPr>
            <w:r>
              <w:rPr>
                <w:rFonts w:ascii="Arial" w:cs="Arial" w:eastAsia="Arial" w:hAnsi="Arial"/>
                <w:sz w:val="14"/>
                <w:szCs w:val="14"/>
                <w:color w:val="auto"/>
                <w:w w:val="87"/>
              </w:rPr>
              <w:t>Operating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color w:val="auto"/>
                <w:w w:val="91"/>
              </w:rPr>
              <w:t>Revenue</w:t>
            </w:r>
            <w:r>
              <w:rPr>
                <w:rFonts w:ascii="Arial" w:cs="Arial" w:eastAsia="Arial" w:hAnsi="Arial"/>
                <w:sz w:val="22"/>
                <w:szCs w:val="22"/>
                <w:color w:val="auto"/>
                <w:w w:val="91"/>
                <w:vertAlign w:val="superscript"/>
              </w:rPr>
              <w:t>(g)</w:t>
            </w:r>
          </w:p>
        </w:tc>
        <w:tc>
          <w:tcPr>
            <w:tcW w:w="1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6"/>
              </w:rPr>
              <w:t>Before Depreciation and</w:t>
            </w:r>
          </w:p>
        </w:tc>
        <w:tc>
          <w:tcPr>
            <w:tcW w:w="240" w:type="dxa"/>
            <w:vAlign w:val="bottom"/>
          </w:tcPr>
          <w:p>
            <w:pPr>
              <w:spacing w:after="0"/>
              <w:rPr>
                <w:sz w:val="12"/>
                <w:szCs w:val="12"/>
                <w:color w:val="auto"/>
              </w:rPr>
            </w:pPr>
          </w:p>
        </w:tc>
        <w:tc>
          <w:tcPr>
            <w:tcW w:w="740" w:type="dxa"/>
            <w:vAlign w:val="bottom"/>
          </w:tcPr>
          <w:p>
            <w:pPr>
              <w:jc w:val="right"/>
              <w:ind w:right="354"/>
              <w:spacing w:after="0" w:line="146" w:lineRule="exact"/>
              <w:rPr>
                <w:sz w:val="20"/>
                <w:szCs w:val="20"/>
                <w:color w:val="auto"/>
              </w:rPr>
            </w:pPr>
            <w:r>
              <w:rPr>
                <w:rFonts w:ascii="Arial" w:cs="Arial" w:eastAsia="Arial" w:hAnsi="Arial"/>
                <w:sz w:val="14"/>
                <w:szCs w:val="14"/>
                <w:color w:val="auto"/>
              </w:rPr>
              <w:t>and</w:t>
            </w:r>
          </w:p>
        </w:tc>
        <w:tc>
          <w:tcPr>
            <w:tcW w:w="680" w:type="dxa"/>
            <w:vAlign w:val="bottom"/>
          </w:tcPr>
          <w:p>
            <w:pPr>
              <w:jc w:val="center"/>
              <w:ind w:right="37"/>
              <w:spacing w:after="0" w:line="146" w:lineRule="exact"/>
              <w:rPr>
                <w:sz w:val="20"/>
                <w:szCs w:val="20"/>
                <w:color w:val="auto"/>
              </w:rPr>
            </w:pPr>
            <w:r>
              <w:rPr>
                <w:rFonts w:ascii="Arial" w:cs="Arial" w:eastAsia="Arial" w:hAnsi="Arial"/>
                <w:sz w:val="14"/>
                <w:szCs w:val="14"/>
                <w:color w:val="auto"/>
                <w:w w:val="87"/>
              </w:rPr>
              <w:t>Income</w:t>
            </w:r>
          </w:p>
        </w:tc>
        <w:tc>
          <w:tcPr>
            <w:tcW w:w="200" w:type="dxa"/>
            <w:vAlign w:val="bottom"/>
          </w:tcPr>
          <w:p>
            <w:pPr>
              <w:spacing w:after="0"/>
              <w:rPr>
                <w:sz w:val="12"/>
                <w:szCs w:val="12"/>
                <w:color w:val="auto"/>
              </w:rPr>
            </w:pPr>
          </w:p>
        </w:tc>
        <w:tc>
          <w:tcPr>
            <w:tcW w:w="680" w:type="dxa"/>
            <w:vAlign w:val="bottom"/>
          </w:tcPr>
          <w:p>
            <w:pPr>
              <w:jc w:val="right"/>
              <w:ind w:right="174"/>
              <w:spacing w:after="0" w:line="146"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$ 12,444</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5,048</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1,904</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86"/>
              </w:rPr>
              <w:t>$ 3,144</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2,566</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187</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2,128</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1,351</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56</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12</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44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145</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6</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91</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7,103</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1,689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465</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1,224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33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(458)</w:t>
            </w:r>
          </w:p>
        </w:tc>
        <w:tc>
          <w:tcPr>
            <w:tcW w:w="2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33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$ 19,269</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6,455</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2,389</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86"/>
              </w:rPr>
              <w:t>$ 4,066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2,271</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color w:val="auto"/>
                <w:w w:val="86"/>
              </w:rPr>
              <w:t>Three Months Ended June 30, 2015</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Operating Income (Loss)</w:t>
            </w:r>
          </w:p>
        </w:tc>
        <w:tc>
          <w:tcPr>
            <w:tcW w:w="98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Depreciation</w:t>
            </w:r>
          </w:p>
        </w:tc>
        <w:tc>
          <w:tcPr>
            <w:tcW w:w="680" w:type="dxa"/>
            <w:vAlign w:val="bottom"/>
          </w:tcPr>
          <w:p>
            <w:pPr>
              <w:jc w:val="center"/>
              <w:ind w:right="57"/>
              <w:spacing w:after="0" w:line="131" w:lineRule="exact"/>
              <w:rPr>
                <w:sz w:val="20"/>
                <w:szCs w:val="20"/>
                <w:color w:val="auto"/>
              </w:rPr>
            </w:pPr>
            <w:r>
              <w:rPr>
                <w:rFonts w:ascii="Arial" w:cs="Arial" w:eastAsia="Arial" w:hAnsi="Arial"/>
                <w:sz w:val="14"/>
                <w:szCs w:val="14"/>
                <w:color w:val="auto"/>
                <w:w w:val="87"/>
              </w:rPr>
              <w:t>Operating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color w:val="auto"/>
                <w:w w:val="91"/>
              </w:rPr>
              <w:t>Revenue</w:t>
            </w:r>
            <w:r>
              <w:rPr>
                <w:rFonts w:ascii="Arial" w:cs="Arial" w:eastAsia="Arial" w:hAnsi="Arial"/>
                <w:sz w:val="22"/>
                <w:szCs w:val="22"/>
                <w:color w:val="auto"/>
                <w:w w:val="91"/>
                <w:vertAlign w:val="superscript"/>
              </w:rPr>
              <w:t>(g)</w:t>
            </w:r>
          </w:p>
        </w:tc>
        <w:tc>
          <w:tcPr>
            <w:tcW w:w="1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6"/>
              </w:rPr>
              <w:t>Before Depreciation and</w:t>
            </w:r>
          </w:p>
        </w:tc>
        <w:tc>
          <w:tcPr>
            <w:tcW w:w="240" w:type="dxa"/>
            <w:vAlign w:val="bottom"/>
          </w:tcPr>
          <w:p>
            <w:pPr>
              <w:spacing w:after="0"/>
              <w:rPr>
                <w:sz w:val="12"/>
                <w:szCs w:val="12"/>
                <w:color w:val="auto"/>
              </w:rPr>
            </w:pPr>
          </w:p>
        </w:tc>
        <w:tc>
          <w:tcPr>
            <w:tcW w:w="740" w:type="dxa"/>
            <w:vAlign w:val="bottom"/>
          </w:tcPr>
          <w:p>
            <w:pPr>
              <w:jc w:val="right"/>
              <w:ind w:right="354"/>
              <w:spacing w:after="0" w:line="146" w:lineRule="exact"/>
              <w:rPr>
                <w:sz w:val="20"/>
                <w:szCs w:val="20"/>
                <w:color w:val="auto"/>
              </w:rPr>
            </w:pPr>
            <w:r>
              <w:rPr>
                <w:rFonts w:ascii="Arial" w:cs="Arial" w:eastAsia="Arial" w:hAnsi="Arial"/>
                <w:sz w:val="14"/>
                <w:szCs w:val="14"/>
                <w:color w:val="auto"/>
              </w:rPr>
              <w:t>and</w:t>
            </w:r>
          </w:p>
        </w:tc>
        <w:tc>
          <w:tcPr>
            <w:tcW w:w="680" w:type="dxa"/>
            <w:vAlign w:val="bottom"/>
          </w:tcPr>
          <w:p>
            <w:pPr>
              <w:jc w:val="center"/>
              <w:ind w:right="37"/>
              <w:spacing w:after="0" w:line="146" w:lineRule="exact"/>
              <w:rPr>
                <w:sz w:val="20"/>
                <w:szCs w:val="20"/>
                <w:color w:val="auto"/>
              </w:rPr>
            </w:pPr>
            <w:r>
              <w:rPr>
                <w:rFonts w:ascii="Arial" w:cs="Arial" w:eastAsia="Arial" w:hAnsi="Arial"/>
                <w:sz w:val="14"/>
                <w:szCs w:val="14"/>
                <w:color w:val="auto"/>
                <w:w w:val="87"/>
              </w:rPr>
              <w:t>Income</w:t>
            </w:r>
          </w:p>
        </w:tc>
        <w:tc>
          <w:tcPr>
            <w:tcW w:w="200" w:type="dxa"/>
            <w:vAlign w:val="bottom"/>
          </w:tcPr>
          <w:p>
            <w:pPr>
              <w:spacing w:after="0"/>
              <w:rPr>
                <w:sz w:val="12"/>
                <w:szCs w:val="12"/>
                <w:color w:val="auto"/>
              </w:rPr>
            </w:pPr>
          </w:p>
        </w:tc>
        <w:tc>
          <w:tcPr>
            <w:tcW w:w="680" w:type="dxa"/>
            <w:vAlign w:val="bottom"/>
          </w:tcPr>
          <w:p>
            <w:pPr>
              <w:jc w:val="right"/>
              <w:ind w:right="174"/>
              <w:spacing w:after="0" w:line="146"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$ 11,740</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4,777</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1,732</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86"/>
              </w:rPr>
              <w:t>$ 3,045</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2,450</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872</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211</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1,813</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2,266</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6</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82</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7,230</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1,692</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405</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24</w:t>
            </w: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33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33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$ 18,743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6,266</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2,161</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86"/>
              </w:rPr>
              <w:t>$ 4,105</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1,971</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color w:val="auto"/>
                <w:w w:val="86"/>
              </w:rPr>
              <w:t>Six Months Ended June 30, 2016</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Operating Income (Loss)</w:t>
            </w:r>
          </w:p>
        </w:tc>
        <w:tc>
          <w:tcPr>
            <w:tcW w:w="98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Depreciation</w:t>
            </w:r>
          </w:p>
        </w:tc>
        <w:tc>
          <w:tcPr>
            <w:tcW w:w="680" w:type="dxa"/>
            <w:vAlign w:val="bottom"/>
          </w:tcPr>
          <w:p>
            <w:pPr>
              <w:jc w:val="center"/>
              <w:ind w:right="57"/>
              <w:spacing w:after="0" w:line="131" w:lineRule="exact"/>
              <w:rPr>
                <w:sz w:val="20"/>
                <w:szCs w:val="20"/>
                <w:color w:val="auto"/>
              </w:rPr>
            </w:pPr>
            <w:r>
              <w:rPr>
                <w:rFonts w:ascii="Arial" w:cs="Arial" w:eastAsia="Arial" w:hAnsi="Arial"/>
                <w:sz w:val="14"/>
                <w:szCs w:val="14"/>
                <w:color w:val="auto"/>
                <w:w w:val="87"/>
              </w:rPr>
              <w:t>Operating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color w:val="auto"/>
                <w:w w:val="91"/>
              </w:rPr>
              <w:t>Revenue</w:t>
            </w:r>
            <w:r>
              <w:rPr>
                <w:rFonts w:ascii="Arial" w:cs="Arial" w:eastAsia="Arial" w:hAnsi="Arial"/>
                <w:sz w:val="22"/>
                <w:szCs w:val="22"/>
                <w:color w:val="auto"/>
                <w:w w:val="91"/>
                <w:vertAlign w:val="superscript"/>
              </w:rPr>
              <w:t>(g)</w:t>
            </w:r>
          </w:p>
        </w:tc>
        <w:tc>
          <w:tcPr>
            <w:tcW w:w="1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6"/>
              </w:rPr>
              <w:t>Before Depreciation and</w:t>
            </w:r>
          </w:p>
        </w:tc>
        <w:tc>
          <w:tcPr>
            <w:tcW w:w="240" w:type="dxa"/>
            <w:vAlign w:val="bottom"/>
          </w:tcPr>
          <w:p>
            <w:pPr>
              <w:spacing w:after="0"/>
              <w:rPr>
                <w:sz w:val="12"/>
                <w:szCs w:val="12"/>
                <w:color w:val="auto"/>
              </w:rPr>
            </w:pPr>
          </w:p>
        </w:tc>
        <w:tc>
          <w:tcPr>
            <w:tcW w:w="740" w:type="dxa"/>
            <w:vAlign w:val="bottom"/>
          </w:tcPr>
          <w:p>
            <w:pPr>
              <w:jc w:val="right"/>
              <w:ind w:right="354"/>
              <w:spacing w:after="0" w:line="146" w:lineRule="exact"/>
              <w:rPr>
                <w:sz w:val="20"/>
                <w:szCs w:val="20"/>
                <w:color w:val="auto"/>
              </w:rPr>
            </w:pPr>
            <w:r>
              <w:rPr>
                <w:rFonts w:ascii="Arial" w:cs="Arial" w:eastAsia="Arial" w:hAnsi="Arial"/>
                <w:sz w:val="14"/>
                <w:szCs w:val="14"/>
                <w:color w:val="auto"/>
              </w:rPr>
              <w:t>and</w:t>
            </w:r>
          </w:p>
        </w:tc>
        <w:tc>
          <w:tcPr>
            <w:tcW w:w="680" w:type="dxa"/>
            <w:vAlign w:val="bottom"/>
          </w:tcPr>
          <w:p>
            <w:pPr>
              <w:jc w:val="center"/>
              <w:ind w:right="37"/>
              <w:spacing w:after="0" w:line="146" w:lineRule="exact"/>
              <w:rPr>
                <w:sz w:val="20"/>
                <w:szCs w:val="20"/>
                <w:color w:val="auto"/>
              </w:rPr>
            </w:pPr>
            <w:r>
              <w:rPr>
                <w:rFonts w:ascii="Arial" w:cs="Arial" w:eastAsia="Arial" w:hAnsi="Arial"/>
                <w:sz w:val="14"/>
                <w:szCs w:val="14"/>
                <w:color w:val="auto"/>
                <w:w w:val="87"/>
              </w:rPr>
              <w:t>Income</w:t>
            </w:r>
          </w:p>
        </w:tc>
        <w:tc>
          <w:tcPr>
            <w:tcW w:w="200" w:type="dxa"/>
            <w:vAlign w:val="bottom"/>
          </w:tcPr>
          <w:p>
            <w:pPr>
              <w:spacing w:after="0"/>
              <w:rPr>
                <w:sz w:val="12"/>
                <w:szCs w:val="12"/>
                <w:color w:val="auto"/>
              </w:rPr>
            </w:pPr>
          </w:p>
        </w:tc>
        <w:tc>
          <w:tcPr>
            <w:tcW w:w="680" w:type="dxa"/>
            <w:vAlign w:val="bottom"/>
          </w:tcPr>
          <w:p>
            <w:pPr>
              <w:jc w:val="right"/>
              <w:ind w:right="174"/>
              <w:spacing w:after="0" w:line="146"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$ 24,648</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9,937</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3,747</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86"/>
              </w:rPr>
              <w:t>$ 6,190</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5,019</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377</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4,212</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62</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2,734</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20</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2,162</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243</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177</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338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13,964</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3,311</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879</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2,432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3380" w:type="dxa"/>
            <w:vAlign w:val="bottom"/>
            <w:gridSpan w:val="2"/>
          </w:tcPr>
          <w:p>
            <w:pPr>
              <w:jc w:val="right"/>
              <w:ind w:right="52"/>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33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33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$ 38,059</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12,822</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4,667</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86"/>
              </w:rPr>
              <w:t>$ 8,155</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4,156</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2560" w:type="dxa"/>
            <w:vAlign w:val="bottom"/>
          </w:tcPr>
          <w:p>
            <w:pPr>
              <w:jc w:val="right"/>
              <w:ind w:right="572"/>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 2015</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Operating Income (Loss)</w:t>
            </w:r>
          </w:p>
        </w:tc>
        <w:tc>
          <w:tcPr>
            <w:tcW w:w="98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Depreciation</w:t>
            </w:r>
          </w:p>
        </w:tc>
        <w:tc>
          <w:tcPr>
            <w:tcW w:w="680" w:type="dxa"/>
            <w:vAlign w:val="bottom"/>
          </w:tcPr>
          <w:p>
            <w:pPr>
              <w:jc w:val="center"/>
              <w:ind w:right="57"/>
              <w:spacing w:after="0" w:line="131" w:lineRule="exact"/>
              <w:rPr>
                <w:sz w:val="20"/>
                <w:szCs w:val="20"/>
                <w:color w:val="auto"/>
              </w:rPr>
            </w:pPr>
            <w:r>
              <w:rPr>
                <w:rFonts w:ascii="Arial" w:cs="Arial" w:eastAsia="Arial" w:hAnsi="Arial"/>
                <w:sz w:val="14"/>
                <w:szCs w:val="14"/>
                <w:color w:val="auto"/>
                <w:w w:val="87"/>
              </w:rPr>
              <w:t>Operating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80" w:type="dxa"/>
            <w:vAlign w:val="bottom"/>
          </w:tcPr>
          <w:p>
            <w:pPr>
              <w:spacing w:after="0"/>
              <w:rPr>
                <w:sz w:val="12"/>
                <w:szCs w:val="12"/>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4"/>
                <w:szCs w:val="14"/>
                <w:color w:val="auto"/>
                <w:w w:val="91"/>
              </w:rPr>
              <w:t>Revenue</w:t>
            </w:r>
            <w:r>
              <w:rPr>
                <w:rFonts w:ascii="Arial" w:cs="Arial" w:eastAsia="Arial" w:hAnsi="Arial"/>
                <w:sz w:val="22"/>
                <w:szCs w:val="22"/>
                <w:color w:val="auto"/>
                <w:w w:val="91"/>
                <w:vertAlign w:val="superscript"/>
              </w:rPr>
              <w:t>(g)</w:t>
            </w:r>
          </w:p>
        </w:tc>
        <w:tc>
          <w:tcPr>
            <w:tcW w:w="1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6"/>
              </w:rPr>
              <w:t>Before Depreciation and</w:t>
            </w:r>
          </w:p>
        </w:tc>
        <w:tc>
          <w:tcPr>
            <w:tcW w:w="240" w:type="dxa"/>
            <w:vAlign w:val="bottom"/>
          </w:tcPr>
          <w:p>
            <w:pPr>
              <w:spacing w:after="0"/>
              <w:rPr>
                <w:sz w:val="12"/>
                <w:szCs w:val="12"/>
                <w:color w:val="auto"/>
              </w:rPr>
            </w:pPr>
          </w:p>
        </w:tc>
        <w:tc>
          <w:tcPr>
            <w:tcW w:w="740" w:type="dxa"/>
            <w:vAlign w:val="bottom"/>
          </w:tcPr>
          <w:p>
            <w:pPr>
              <w:jc w:val="right"/>
              <w:ind w:right="354"/>
              <w:spacing w:after="0" w:line="146" w:lineRule="exact"/>
              <w:rPr>
                <w:sz w:val="20"/>
                <w:szCs w:val="20"/>
                <w:color w:val="auto"/>
              </w:rPr>
            </w:pPr>
            <w:r>
              <w:rPr>
                <w:rFonts w:ascii="Arial" w:cs="Arial" w:eastAsia="Arial" w:hAnsi="Arial"/>
                <w:sz w:val="14"/>
                <w:szCs w:val="14"/>
                <w:color w:val="auto"/>
              </w:rPr>
              <w:t>and</w:t>
            </w:r>
          </w:p>
        </w:tc>
        <w:tc>
          <w:tcPr>
            <w:tcW w:w="680" w:type="dxa"/>
            <w:vAlign w:val="bottom"/>
          </w:tcPr>
          <w:p>
            <w:pPr>
              <w:jc w:val="center"/>
              <w:ind w:right="37"/>
              <w:spacing w:after="0" w:line="146" w:lineRule="exact"/>
              <w:rPr>
                <w:sz w:val="20"/>
                <w:szCs w:val="20"/>
                <w:color w:val="auto"/>
              </w:rPr>
            </w:pPr>
            <w:r>
              <w:rPr>
                <w:rFonts w:ascii="Arial" w:cs="Arial" w:eastAsia="Arial" w:hAnsi="Arial"/>
                <w:sz w:val="14"/>
                <w:szCs w:val="14"/>
                <w:color w:val="auto"/>
                <w:w w:val="87"/>
              </w:rPr>
              <w:t>Income</w:t>
            </w:r>
          </w:p>
        </w:tc>
        <w:tc>
          <w:tcPr>
            <w:tcW w:w="200" w:type="dxa"/>
            <w:vAlign w:val="bottom"/>
          </w:tcPr>
          <w:p>
            <w:pPr>
              <w:spacing w:after="0"/>
              <w:rPr>
                <w:sz w:val="12"/>
                <w:szCs w:val="12"/>
                <w:color w:val="auto"/>
              </w:rPr>
            </w:pPr>
          </w:p>
        </w:tc>
        <w:tc>
          <w:tcPr>
            <w:tcW w:w="680" w:type="dxa"/>
            <w:vAlign w:val="bottom"/>
          </w:tcPr>
          <w:p>
            <w:pPr>
              <w:jc w:val="right"/>
              <w:ind w:right="174"/>
              <w:spacing w:after="0" w:line="146"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7"/>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64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8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6"/>
              </w:rPr>
              <w:t>$ 23,181</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9,435</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3,412</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86"/>
              </w:rPr>
              <w:t>$ 6,023</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NBCUniversal</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8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4,809</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395</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4,061</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3,712</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11</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1,424</w:t>
            </w:r>
          </w:p>
        </w:tc>
        <w:tc>
          <w:tcPr>
            <w:tcW w:w="2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142</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6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8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162</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8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13,834</w:t>
            </w:r>
          </w:p>
        </w:tc>
        <w:tc>
          <w:tcPr>
            <w:tcW w:w="2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3,167</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769</w:t>
            </w:r>
          </w:p>
        </w:tc>
        <w:tc>
          <w:tcPr>
            <w:tcW w:w="68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2,398</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6"/>
              </w:rPr>
              <w:t>$ 36,596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12,222</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4,227</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86"/>
              </w:rPr>
              <w:t>$ 7,995</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3,697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2016 and 2015, Cable Communications segment revenue was derived from the following sources: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780" w:type="dxa"/>
            <w:vAlign w:val="bottom"/>
            <w:gridSpan w:val="2"/>
          </w:tcPr>
          <w:p>
            <w:pPr>
              <w:jc w:val="right"/>
              <w:ind w:right="712"/>
              <w:spacing w:after="0"/>
              <w:rPr>
                <w:sz w:val="20"/>
                <w:szCs w:val="20"/>
                <w:color w:val="auto"/>
              </w:rPr>
            </w:pPr>
            <w:r>
              <w:rPr>
                <w:rFonts w:ascii="Arial" w:cs="Arial" w:eastAsia="Arial" w:hAnsi="Arial"/>
                <w:sz w:val="14"/>
                <w:szCs w:val="14"/>
                <w:color w:val="auto"/>
              </w:rPr>
              <w:t>Three Months Ended</w:t>
            </w:r>
          </w:p>
        </w:tc>
        <w:tc>
          <w:tcPr>
            <w:tcW w:w="2140" w:type="dxa"/>
            <w:vAlign w:val="bottom"/>
            <w:gridSpan w:val="2"/>
          </w:tcPr>
          <w:p>
            <w:pPr>
              <w:jc w:val="right"/>
              <w:ind w:right="472"/>
              <w:spacing w:after="0"/>
              <w:rPr>
                <w:sz w:val="20"/>
                <w:szCs w:val="20"/>
                <w:color w:val="auto"/>
              </w:rPr>
            </w:pPr>
            <w:r>
              <w:rPr>
                <w:rFonts w:ascii="Arial" w:cs="Arial" w:eastAsia="Arial" w:hAnsi="Arial"/>
                <w:sz w:val="14"/>
                <w:szCs w:val="14"/>
                <w:color w:val="auto"/>
              </w:rPr>
              <w:t>Six Months Ended</w:t>
            </w:r>
          </w:p>
        </w:tc>
      </w:tr>
      <w:tr>
        <w:trPr>
          <w:trHeight w:val="173"/>
        </w:trPr>
        <w:tc>
          <w:tcPr>
            <w:tcW w:w="61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072"/>
              <w:spacing w:after="0"/>
              <w:rPr>
                <w:sz w:val="20"/>
                <w:szCs w:val="20"/>
                <w:color w:val="auto"/>
              </w:rPr>
            </w:pPr>
            <w:r>
              <w:rPr>
                <w:rFonts w:ascii="Arial" w:cs="Arial" w:eastAsia="Arial" w:hAnsi="Arial"/>
                <w:sz w:val="14"/>
                <w:szCs w:val="14"/>
                <w:color w:val="auto"/>
                <w:w w:val="84"/>
              </w:rPr>
              <w:t>June 30</w:t>
            </w: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84"/>
              </w:rPr>
              <w:t>June 30</w:t>
            </w:r>
          </w:p>
        </w:tc>
      </w:tr>
      <w:tr>
        <w:trPr>
          <w:trHeight w:val="223"/>
        </w:trPr>
        <w:tc>
          <w:tcPr>
            <w:tcW w:w="6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2015</w:t>
            </w:r>
          </w:p>
        </w:tc>
      </w:tr>
      <w:tr>
        <w:trPr>
          <w:trHeight w:val="142"/>
        </w:trPr>
        <w:tc>
          <w:tcPr>
            <w:tcW w:w="61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200" w:type="dxa"/>
            <w:vAlign w:val="bottom"/>
            <w:shd w:val="clear" w:color="auto" w:fill="E5E5E5"/>
          </w:tcPr>
          <w:p>
            <w:pPr>
              <w:spacing w:after="0"/>
              <w:rPr>
                <w:sz w:val="12"/>
                <w:szCs w:val="12"/>
                <w:color w:val="auto"/>
              </w:rPr>
            </w:pPr>
          </w:p>
        </w:tc>
        <w:tc>
          <w:tcPr>
            <w:tcW w:w="15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260" w:type="dxa"/>
            <w:vAlign w:val="bottom"/>
            <w:shd w:val="clear" w:color="auto" w:fill="E5E5E5"/>
          </w:tcPr>
          <w:p>
            <w:pPr>
              <w:spacing w:after="0"/>
              <w:rPr>
                <w:sz w:val="12"/>
                <w:szCs w:val="12"/>
                <w:color w:val="auto"/>
              </w:rPr>
            </w:pPr>
          </w:p>
        </w:tc>
      </w:tr>
      <w:tr>
        <w:trPr>
          <w:trHeight w:val="149"/>
        </w:trPr>
        <w:tc>
          <w:tcPr>
            <w:tcW w:w="614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r>
      <w:tr>
        <w:trPr>
          <w:trHeight w:val="149"/>
        </w:trPr>
        <w:tc>
          <w:tcPr>
            <w:tcW w:w="614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12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27.1%</w:t>
            </w:r>
          </w:p>
        </w:tc>
        <w:tc>
          <w:tcPr>
            <w:tcW w:w="158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26.4%</w:t>
            </w: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27.0%</w:t>
            </w:r>
          </w:p>
        </w:tc>
        <w:tc>
          <w:tcPr>
            <w:tcW w:w="12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26.5%</w:t>
            </w:r>
          </w:p>
        </w:tc>
      </w:tr>
      <w:tr>
        <w:trPr>
          <w:trHeight w:val="149"/>
        </w:trPr>
        <w:tc>
          <w:tcPr>
            <w:tcW w:w="614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6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2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10.9%</w:t>
            </w:r>
          </w:p>
        </w:tc>
        <w:tc>
          <w:tcPr>
            <w:tcW w:w="158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9.9%</w:t>
            </w: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10.8%</w:t>
            </w:r>
          </w:p>
        </w:tc>
        <w:tc>
          <w:tcPr>
            <w:tcW w:w="12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5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49"/>
        </w:trPr>
        <w:tc>
          <w:tcPr>
            <w:tcW w:w="61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5.1%</w:t>
            </w:r>
          </w:p>
        </w:tc>
        <w:tc>
          <w:tcPr>
            <w:tcW w:w="1580" w:type="dxa"/>
            <w:vAlign w:val="bottom"/>
            <w:tcBorders>
              <w:bottom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4.8%</w:t>
            </w:r>
          </w:p>
        </w:tc>
        <w:tc>
          <w:tcPr>
            <w:tcW w:w="8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5.1%</w:t>
            </w:r>
          </w:p>
        </w:tc>
        <w:tc>
          <w:tcPr>
            <w:tcW w:w="12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4.9%</w:t>
            </w:r>
          </w:p>
        </w:tc>
      </w:tr>
      <w:tr>
        <w:trPr>
          <w:trHeight w:val="149"/>
        </w:trPr>
        <w:tc>
          <w:tcPr>
            <w:tcW w:w="6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5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100%</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six months ended June 30, 2016 and 2015, 2.8% of Cable Communications segment revenue was derived from franchise and other regulatory fees.</w:t>
      </w:r>
    </w:p>
    <w:p>
      <w:pPr>
        <w:spacing w:after="0" w:line="55" w:lineRule="exact"/>
        <w:rPr>
          <w:sz w:val="20"/>
          <w:szCs w:val="20"/>
          <w:color w:val="auto"/>
        </w:rPr>
      </w:pPr>
    </w:p>
    <w:p>
      <w:pPr>
        <w:ind w:left="34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Beginning in the first quarter of 2016, certain operations and businesses, including several strategic business initiatives, that were previously presented in Corporate and Other are now presented in our Cable Communications segment to reflect a change in our management reporting presentation. For segment reporting purposes, we have adjusted all periods presented to reflect this change.</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2015 Super Bowl were reported in our Broadcast Television segment.</w:t>
      </w:r>
    </w:p>
    <w:p>
      <w:pPr>
        <w:spacing w:after="0" w:line="55"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Beginning in the fourth quarter of 2015, we changed our method of accounting for a contractual obligation that involves an interest in the revenue of certain theme parks. As a result of the change,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and total NBCUniversal, which resulted in a corresponding offsetting adjustment in Eliminations to reconcile to consolidated totals.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(“Comcast Parent”), Comcast Cable Communications, LLC (“CCCL Parent”), and NBCUniversal (“NBCUniversal Media Parent”) have fully and unconditionally guaranteed each other’s debt securities. In addition, the Comcast revolving credit facility and the Comcast commercial paper program are also fully and unconditionally guaranteed by NBCUniversal. The Comcast commercial paper program is supported by the Comcast revolving credit facility.</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CCCL Parent also fully and unconditionally guarantee NBCUniversal Enterprise’s $3.3 billion of senior notes, as well as the NBCUniversal Enterprise revolving credit facility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$3.8 billion of Universal Studios Japan term loans.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4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2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4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w w:val="82"/>
              </w:rPr>
              <w:t>Parent</w:t>
            </w:r>
          </w:p>
        </w:tc>
        <w:tc>
          <w:tcPr>
            <w:tcW w:w="960" w:type="dxa"/>
            <w:vAlign w:val="bottom"/>
            <w:gridSpan w:val="2"/>
          </w:tcPr>
          <w:p>
            <w:pPr>
              <w:jc w:val="right"/>
              <w:ind w:right="153"/>
              <w:spacing w:after="0"/>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color w:val="auto"/>
                <w:w w:val="96"/>
              </w:rPr>
              <w:t>Parent</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color w:val="auto"/>
              </w:rPr>
              <w:t>Media Parent</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270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4,395</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4,665</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6,708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6,708</w:t>
            </w: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1,435</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1,435</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1,782</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1,969</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14,320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14,777</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5,811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5,811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3,186</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3,679</w:t>
            </w:r>
          </w:p>
        </w:tc>
      </w:tr>
      <w:tr>
        <w:trPr>
          <w:trHeight w:val="20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91,382</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115,253</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6"/>
              </w:rPr>
              <w:t>123,620</w:t>
            </w: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42,893</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113,686</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8"/>
              </w:rPr>
              <w:t>(486,834)</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34,678</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34,896</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59,364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33,792</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33,792</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17,194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17,204</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1,361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2,117</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2,462</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93,157</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115,400</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w w:val="86"/>
              </w:rPr>
              <w:t>123,620</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43,742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284,148</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8"/>
              </w:rPr>
              <w:t>(488,082)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171,985</w:t>
            </w:r>
          </w:p>
        </w:tc>
      </w:tr>
      <w:tr>
        <w:trPr>
          <w:trHeight w:val="31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 trade creditors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31</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6,328</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6,359</w:t>
            </w: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1,542</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1,542</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1,672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282</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4,195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6,766</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550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1,380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2,934</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2,703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832</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13,445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17,601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34,757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2,100</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8,228</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7,411</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52,629</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69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34,964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34,512</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2,599</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1,143</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7,123</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10,719</w:t>
            </w:r>
          </w:p>
        </w:tc>
      </w:tr>
      <w:tr>
        <w:trPr>
          <w:trHeight w:val="20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1,248</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1,248</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53,070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114,351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6"/>
              </w:rPr>
              <w:t>120,688</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34,016</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217,779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8"/>
              </w:rPr>
              <w:t>(486,834)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53,070</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53,098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114,351</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6"/>
              </w:rPr>
              <w:t>120,688</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34,016</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217,779</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8"/>
              </w:rPr>
              <w:t>(486,834)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53,098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2,178</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2,178</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53,098</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114,351</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w w:val="86"/>
              </w:rPr>
              <w:t>120,688</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34,016</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6"/>
              </w:rPr>
              <w:t>219,957</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8"/>
              </w:rPr>
              <w:t>(486,834)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55,276</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93,157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115,400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86"/>
              </w:rPr>
              <w:t>123,620</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43,742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6"/>
              </w:rPr>
              <w:t>284,148</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8"/>
              </w:rPr>
              <w:t>(488,082)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171,985</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53"/>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0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79"/>
              </w:rPr>
              <w:t>Comcast</w:t>
            </w:r>
          </w:p>
        </w:tc>
        <w:tc>
          <w:tcPr>
            <w:tcW w:w="240" w:type="dxa"/>
            <w:vAlign w:val="bottom"/>
          </w:tcPr>
          <w:p>
            <w:pPr>
              <w:spacing w:after="0"/>
              <w:rPr>
                <w:sz w:val="12"/>
                <w:szCs w:val="12"/>
                <w:color w:val="auto"/>
              </w:rPr>
            </w:pPr>
          </w:p>
        </w:tc>
        <w:tc>
          <w:tcPr>
            <w:tcW w:w="70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w w:val="87"/>
              </w:rPr>
              <w:t>Parent</w:t>
            </w:r>
          </w:p>
        </w:tc>
        <w:tc>
          <w:tcPr>
            <w:tcW w:w="940" w:type="dxa"/>
            <w:vAlign w:val="bottom"/>
            <w:gridSpan w:val="2"/>
          </w:tcPr>
          <w:p>
            <w:pPr>
              <w:jc w:val="right"/>
              <w:ind w:right="133"/>
              <w:spacing w:after="0"/>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color w:val="auto"/>
                <w:w w:val="92"/>
              </w:rPr>
              <w:t>Parent</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1,881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2,295</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6,896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6,896</w:t>
            </w: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1,813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1,899</w:t>
            </w: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11,803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12,303</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5,855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5,855</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2,761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3,224</w:t>
            </w:r>
          </w:p>
        </w:tc>
      </w:tr>
      <w:tr>
        <w:trPr>
          <w:trHeight w:val="208"/>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w w:val="93"/>
              </w:rPr>
              <w:t>Investments in and amounts due from subsidiaries eliminated</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2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87,142</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2"/>
              </w:rPr>
              <w:t>111,241</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2"/>
              </w:rPr>
              <w:t>119,354</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42,441</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109,598</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33,455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33,665</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32,945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32,945</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16,934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16,946</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2,114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r>
      <w:tr>
        <w:trPr>
          <w:trHeight w:val="217"/>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7"/>
              </w:rPr>
              <w:t>88,767</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111,388</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2"/>
              </w:rPr>
              <w:t>119,354</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43,380</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274,829</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(471,144)</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166,574</w:t>
            </w:r>
          </w:p>
        </w:tc>
      </w:tr>
      <w:tr>
        <w:trPr>
          <w:trHeight w:val="3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 trade creditors</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6,199</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6,215</w:t>
            </w: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1,572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1,572</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3,961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6,764</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1,149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2,954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1,394</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13,205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18,178</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31,106</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2,650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8,211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48,994</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34,098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33,566</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7,258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10,637</w:t>
            </w:r>
          </w:p>
        </w:tc>
      </w:tr>
      <w:tr>
        <w:trPr>
          <w:trHeight w:val="208"/>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w w:val="89"/>
              </w:rPr>
              <w:t>Redeemable noncontrolling interests and redeemable subsidiary</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1,221</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7"/>
              </w:rPr>
              <w:t>52,240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210,441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52,240</w:t>
            </w: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52,269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210,441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52,269</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1,709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7"/>
              </w:rPr>
              <w:t>52,269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212,150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53,978</w:t>
            </w:r>
          </w:p>
        </w:tc>
      </w:tr>
      <w:tr>
        <w:trPr>
          <w:trHeight w:val="217"/>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7"/>
              </w:rPr>
              <w:t>88,767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111,388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2"/>
              </w:rPr>
              <w:t>119,354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43,380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274,829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(471,144)</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166,574</w:t>
            </w: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60" w:type="dxa"/>
            <w:vAlign w:val="bottom"/>
          </w:tcPr>
          <w:p>
            <w:pPr>
              <w:spacing w:after="0"/>
              <w:rPr>
                <w:sz w:val="12"/>
                <w:szCs w:val="12"/>
                <w:color w:val="auto"/>
              </w:rPr>
            </w:pPr>
          </w:p>
        </w:tc>
        <w:tc>
          <w:tcPr>
            <w:tcW w:w="94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94"/>
              </w:rPr>
              <w:t>Comcast</w:t>
            </w: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color w:val="auto"/>
              </w:rPr>
              <w:t>Parent</w:t>
            </w:r>
          </w:p>
        </w:tc>
        <w:tc>
          <w:tcPr>
            <w:tcW w:w="9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Holdings</w:t>
            </w: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19,269</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19,269</w:t>
            </w:r>
          </w:p>
        </w:tc>
      </w:tr>
      <w:tr>
        <w:trPr>
          <w:trHeight w:val="216"/>
        </w:trPr>
        <w:tc>
          <w:tcPr>
            <w:tcW w:w="4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(527)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19,269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(527)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19,269</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5,492</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5,492</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5,520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5,761</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1,561</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1,561</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1,862</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1,868</w:t>
            </w:r>
          </w:p>
        </w:tc>
      </w:tr>
      <w:tr>
        <w:trPr>
          <w:trHeight w:val="216"/>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519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521</w:t>
            </w:r>
          </w:p>
        </w:tc>
      </w:tr>
      <w:tr>
        <w:trPr>
          <w:trHeight w:val="210"/>
        </w:trPr>
        <w:tc>
          <w:tcPr>
            <w:tcW w:w="46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293</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14,954</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(527)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15,203</w:t>
            </w: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4,315</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4,066</w:t>
            </w:r>
          </w:p>
        </w:tc>
      </w:tr>
      <w:tr>
        <w:trPr>
          <w:trHeight w:val="216"/>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3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2,354</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2,275</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2,127</w:t>
            </w:r>
          </w:p>
        </w:tc>
        <w:tc>
          <w:tcPr>
            <w:tcW w:w="3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1,288</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(8,977)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1,879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2,273</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2,066</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1,163</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888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(8,977)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1,852</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2,273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2,066</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941</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5,203</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(8,977)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3,358</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(1,468)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2,028</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2,274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2,087</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933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3,735</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(8,977)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2,080</w:t>
            </w:r>
          </w:p>
        </w:tc>
      </w:tr>
      <w:tr>
        <w:trPr>
          <w:trHeight w:val="208"/>
        </w:trPr>
        <w:tc>
          <w:tcPr>
            <w:tcW w:w="4660" w:type="dxa"/>
            <w:vAlign w:val="bottom"/>
          </w:tcPr>
          <w:p>
            <w:pPr>
              <w:spacing w:after="0"/>
              <w:rPr>
                <w:sz w:val="20"/>
                <w:szCs w:val="20"/>
                <w:color w:val="auto"/>
              </w:rPr>
            </w:pPr>
            <w:r>
              <w:rPr>
                <w:rFonts w:ascii="Arial" w:cs="Arial" w:eastAsia="Arial" w:hAnsi="Arial"/>
                <w:sz w:val="18"/>
                <w:szCs w:val="18"/>
                <w:color w:val="auto"/>
                <w:w w:val="96"/>
              </w:rPr>
              <w:t>Net (income) loss attributable to noncontrolling interests and</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9"/>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4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2,028</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2,274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2,087</w:t>
            </w:r>
          </w:p>
        </w:tc>
        <w:tc>
          <w:tcPr>
            <w:tcW w:w="3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933</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3,683</w:t>
            </w:r>
          </w:p>
        </w:tc>
        <w:tc>
          <w:tcPr>
            <w:tcW w:w="3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(8,977)</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2,028</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2,113</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2,321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2,087</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1,096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4,194</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(9,698)</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2,113</w:t>
            </w:r>
          </w:p>
        </w:tc>
      </w:tr>
      <w:tr>
        <w:trPr>
          <w:trHeight w:val="363"/>
        </w:trPr>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80" w:type="dxa"/>
            <w:vAlign w:val="bottom"/>
          </w:tcPr>
          <w:p>
            <w:pPr>
              <w:spacing w:after="0"/>
              <w:rPr>
                <w:sz w:val="12"/>
                <w:szCs w:val="12"/>
                <w:color w:val="auto"/>
              </w:rPr>
            </w:pPr>
          </w:p>
        </w:tc>
        <w:tc>
          <w:tcPr>
            <w:tcW w:w="11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Holdings</w:t>
            </w: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18,743</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18,743</w:t>
            </w:r>
          </w:p>
        </w:tc>
      </w:tr>
      <w:tr>
        <w:trPr>
          <w:trHeight w:val="216"/>
        </w:trPr>
        <w:tc>
          <w:tcPr>
            <w:tcW w:w="46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18,743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18,743</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5,669</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5,669</w:t>
            </w:r>
          </w:p>
        </w:tc>
      </w:tr>
      <w:tr>
        <w:trPr>
          <w:trHeight w:val="216"/>
        </w:trPr>
        <w:tc>
          <w:tcPr>
            <w:tcW w:w="46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5,046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5,274</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1,534</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1,534</w:t>
            </w:r>
          </w:p>
        </w:tc>
      </w:tr>
      <w:tr>
        <w:trPr>
          <w:trHeight w:val="216"/>
        </w:trPr>
        <w:tc>
          <w:tcPr>
            <w:tcW w:w="46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1,667</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1,674</w:t>
            </w:r>
          </w:p>
        </w:tc>
      </w:tr>
      <w:tr>
        <w:trPr>
          <w:trHeight w:val="216"/>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w:t>
            </w:r>
          </w:p>
        </w:tc>
      </w:tr>
      <w:tr>
        <w:trPr>
          <w:trHeight w:val="210"/>
        </w:trPr>
        <w:tc>
          <w:tcPr>
            <w:tcW w:w="46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14,401</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14,638</w:t>
            </w: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4,342</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4,105</w:t>
            </w:r>
          </w:p>
        </w:tc>
      </w:tr>
      <w:tr>
        <w:trPr>
          <w:trHeight w:val="216"/>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16"/>
        </w:trPr>
        <w:tc>
          <w:tcPr>
            <w:tcW w:w="46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2,431</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2,162</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2,020</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(8,806)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46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297</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315</w:t>
            </w:r>
          </w:p>
        </w:tc>
      </w:tr>
      <w:tr>
        <w:trPr>
          <w:trHeight w:val="210"/>
        </w:trPr>
        <w:tc>
          <w:tcPr>
            <w:tcW w:w="4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8"/>
              </w:rPr>
              <w:t>1,961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2,158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1,947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1,173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950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(8,806)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8"/>
              </w:rPr>
              <w:t>1,979</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2,158</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1,947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5,292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(8,806)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3,488</w:t>
            </w:r>
          </w:p>
        </w:tc>
      </w:tr>
      <w:tr>
        <w:trPr>
          <w:trHeight w:val="216"/>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8"/>
              </w:rPr>
              <w:t>2,137</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2,160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1,973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3,799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(8,806)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2,175</w:t>
            </w: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w w:val="97"/>
              </w:rPr>
              <w:t>Net (income) loss attributable to noncontrolling interests and</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9"/>
        </w:trPr>
        <w:tc>
          <w:tcPr>
            <w:tcW w:w="4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 attributable to Comcast Corporation</w:t>
            </w:r>
          </w:p>
        </w:tc>
        <w:tc>
          <w:tcPr>
            <w:tcW w:w="4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8"/>
              </w:rPr>
              <w:t>2,137</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2,160</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1,973</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912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3,761</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(8,806)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2,137</w:t>
            </w: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2,159</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1,973</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936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3,761</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(8,838)</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2,159</w:t>
            </w:r>
          </w:p>
        </w:tc>
      </w:tr>
      <w:tr>
        <w:trPr>
          <w:trHeight w:val="363"/>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53"/>
              <w:spacing w:after="0" w:line="149" w:lineRule="exact"/>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2"/>
                <w:szCs w:val="12"/>
                <w:color w:val="auto"/>
              </w:rPr>
            </w:pPr>
          </w:p>
        </w:tc>
        <w:tc>
          <w:tcPr>
            <w:tcW w:w="7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76"/>
              </w:rPr>
              <w:t>and</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5380" w:type="dxa"/>
            <w:vAlign w:val="bottom"/>
          </w:tcPr>
          <w:p>
            <w:pPr>
              <w:spacing w:after="0"/>
              <w:rPr>
                <w:sz w:val="12"/>
                <w:szCs w:val="12"/>
                <w:color w:val="auto"/>
              </w:rPr>
            </w:pP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CCCL</w:t>
            </w: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Parent</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Holdings</w:t>
            </w: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Parent</w:t>
            </w: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w w:val="98"/>
              </w:rPr>
              <w:t>Media Parent</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9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90"/>
              </w:rPr>
              <w:t>38,059</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38,059</w:t>
            </w:r>
          </w:p>
        </w:tc>
      </w:tr>
      <w:tr>
        <w:trPr>
          <w:trHeight w:val="216"/>
        </w:trPr>
        <w:tc>
          <w:tcPr>
            <w:tcW w:w="5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525</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515</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525</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515</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38,059</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38,059</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90"/>
              </w:rPr>
              <w:t>10,923</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10,923</w:t>
            </w:r>
          </w:p>
        </w:tc>
      </w:tr>
      <w:tr>
        <w:trPr>
          <w:trHeight w:val="216"/>
        </w:trPr>
        <w:tc>
          <w:tcPr>
            <w:tcW w:w="5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10,853</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11,286</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3,028</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3,028</w:t>
            </w:r>
          </w:p>
        </w:tc>
      </w:tr>
      <w:tr>
        <w:trPr>
          <w:trHeight w:val="216"/>
        </w:trPr>
        <w:tc>
          <w:tcPr>
            <w:tcW w:w="5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14</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3,653</w:t>
            </w:r>
          </w:p>
        </w:tc>
      </w:tr>
      <w:tr>
        <w:trPr>
          <w:trHeight w:val="216"/>
        </w:trPr>
        <w:tc>
          <w:tcPr>
            <w:tcW w:w="5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1,014</w:t>
            </w:r>
          </w:p>
        </w:tc>
      </w:tr>
      <w:tr>
        <w:trPr>
          <w:trHeight w:val="210"/>
        </w:trPr>
        <w:tc>
          <w:tcPr>
            <w:tcW w:w="53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458</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515</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517</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29,454</w:t>
            </w:r>
          </w:p>
        </w:tc>
        <w:tc>
          <w:tcPr>
            <w:tcW w:w="2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29,904</w:t>
            </w: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8,605</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8,155</w:t>
            </w:r>
          </w:p>
        </w:tc>
      </w:tr>
      <w:tr>
        <w:trPr>
          <w:trHeight w:val="216"/>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16"/>
        </w:trPr>
        <w:tc>
          <w:tcPr>
            <w:tcW w:w="5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92</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4,720</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4,539</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4,241</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2,585</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1,905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(18,020)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115</w:t>
            </w:r>
          </w:p>
        </w:tc>
      </w:tr>
      <w:tr>
        <w:trPr>
          <w:trHeight w:val="210"/>
        </w:trPr>
        <w:tc>
          <w:tcPr>
            <w:tcW w:w="5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4"/>
              </w:rPr>
              <w:t>3,794</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4"/>
              </w:rPr>
              <w:t>4,534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4"/>
              </w:rPr>
              <w:t>4,121</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2,465</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1,844</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(18,020)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4"/>
              </w:rPr>
              <w:t>3,861</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4,534</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4,121</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10,449</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(18,020)</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6,893</w:t>
            </w:r>
          </w:p>
        </w:tc>
      </w:tr>
      <w:tr>
        <w:trPr>
          <w:trHeight w:val="21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(2,921)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4"/>
              </w:rPr>
              <w:t>4,162</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4,536</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4,163</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7,528</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(18,020)</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4,304</w:t>
            </w:r>
          </w:p>
        </w:tc>
      </w:tr>
      <w:tr>
        <w:trPr>
          <w:trHeight w:val="208"/>
        </w:trPr>
        <w:tc>
          <w:tcPr>
            <w:tcW w:w="538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 and redeemable</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5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subsidiary preferred stock</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19"/>
        </w:trPr>
        <w:tc>
          <w:tcPr>
            <w:tcW w:w="5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 attributable to Comcast Corporation</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4"/>
              </w:rPr>
              <w:t>4,162</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4,536</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4,163</w:t>
            </w:r>
          </w:p>
        </w:tc>
        <w:tc>
          <w:tcPr>
            <w:tcW w:w="3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1,935</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7,386</w:t>
            </w:r>
          </w:p>
        </w:tc>
        <w:tc>
          <w:tcPr>
            <w:tcW w:w="2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(18,020)</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4,162</w:t>
            </w:r>
          </w:p>
        </w:tc>
      </w:t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Comprehensive income (loss) attributable to Comcast Corporation</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4,337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4,627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4,165</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2,242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7,899</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(18,933)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4,337</w:t>
            </w:r>
          </w:p>
        </w:tc>
      </w:tr>
      <w:tr>
        <w:trPr>
          <w:trHeight w:val="363"/>
        </w:trPr>
        <w:tc>
          <w:tcPr>
            <w:tcW w:w="5380" w:type="dxa"/>
            <w:vAlign w:val="bottom"/>
          </w:tcPr>
          <w:p>
            <w:pPr>
              <w:spacing w:after="0"/>
              <w:rPr>
                <w:sz w:val="24"/>
                <w:szCs w:val="24"/>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53"/>
              <w:spacing w:after="0" w:line="149" w:lineRule="exact"/>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2"/>
                <w:szCs w:val="12"/>
                <w:color w:val="auto"/>
              </w:rPr>
            </w:pPr>
          </w:p>
        </w:tc>
        <w:tc>
          <w:tcPr>
            <w:tcW w:w="7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76"/>
              </w:rPr>
              <w:t>and</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5380" w:type="dxa"/>
            <w:vAlign w:val="bottom"/>
          </w:tcPr>
          <w:p>
            <w:pPr>
              <w:spacing w:after="0"/>
              <w:rPr>
                <w:sz w:val="12"/>
                <w:szCs w:val="12"/>
                <w:color w:val="auto"/>
              </w:rPr>
            </w:pP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CCCL</w:t>
            </w: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Parent</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Holdings</w:t>
            </w: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Parent</w:t>
            </w: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w w:val="98"/>
              </w:rPr>
              <w:t>Media Parent</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9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90"/>
              </w:rPr>
              <w:t>36,596</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36,596</w:t>
            </w:r>
          </w:p>
        </w:tc>
      </w:tr>
      <w:tr>
        <w:trPr>
          <w:trHeight w:val="216"/>
        </w:trPr>
        <w:tc>
          <w:tcPr>
            <w:tcW w:w="5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496</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483</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c>
          <w:tcPr>
            <w:tcW w:w="1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496</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483</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36,596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36,596</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90"/>
              </w:rPr>
              <w:t>11,132</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11,132</w:t>
            </w:r>
          </w:p>
        </w:tc>
      </w:tr>
      <w:tr>
        <w:trPr>
          <w:trHeight w:val="216"/>
        </w:trPr>
        <w:tc>
          <w:tcPr>
            <w:tcW w:w="5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9,901</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10,348</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2,894</w:t>
            </w:r>
          </w:p>
        </w:tc>
      </w:tr>
      <w:tr>
        <w:trPr>
          <w:trHeight w:val="216"/>
        </w:trPr>
        <w:tc>
          <w:tcPr>
            <w:tcW w:w="5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3,293</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3,308</w:t>
            </w:r>
          </w:p>
        </w:tc>
      </w:tr>
      <w:tr>
        <w:trPr>
          <w:trHeight w:val="216"/>
        </w:trPr>
        <w:tc>
          <w:tcPr>
            <w:tcW w:w="5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916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919</w:t>
            </w:r>
          </w:p>
        </w:tc>
      </w:tr>
      <w:tr>
        <w:trPr>
          <w:trHeight w:val="210"/>
        </w:trPr>
        <w:tc>
          <w:tcPr>
            <w:tcW w:w="53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483</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28,136</w:t>
            </w:r>
          </w:p>
        </w:tc>
        <w:tc>
          <w:tcPr>
            <w:tcW w:w="2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c>
          <w:tcPr>
            <w:tcW w:w="1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28,601</w:t>
            </w: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8,460</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7,995</w:t>
            </w:r>
          </w:p>
        </w:tc>
      </w:tr>
      <w:tr>
        <w:trPr>
          <w:trHeight w:val="216"/>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16"/>
        </w:trPr>
        <w:tc>
          <w:tcPr>
            <w:tcW w:w="5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4,753</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4,388</w:t>
            </w:r>
          </w:p>
        </w:tc>
        <w:tc>
          <w:tcPr>
            <w:tcW w:w="1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4,012</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2,512</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1,561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(17,429)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5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417</w:t>
            </w:r>
          </w:p>
        </w:tc>
      </w:tr>
      <w:tr>
        <w:trPr>
          <w:trHeight w:val="210"/>
        </w:trPr>
        <w:tc>
          <w:tcPr>
            <w:tcW w:w="5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4"/>
              </w:rPr>
              <w:t>3,869</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4"/>
              </w:rPr>
              <w:t>4,383</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4"/>
              </w:rPr>
              <w:t>3,866</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2,267</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1,939</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(17,429)</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4"/>
              </w:rPr>
              <w:t>3,896</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4,383</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3,866</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1,775</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10,399</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(17,429)</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6,890</w:t>
            </w:r>
          </w:p>
        </w:tc>
      </w:tr>
      <w:tr>
        <w:trPr>
          <w:trHeight w:val="21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(2,916)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r>
      <w:tr>
        <w:trPr>
          <w:trHeight w:val="210"/>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4"/>
              </w:rPr>
              <w:t>4,196</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4,385</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3,917</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1,764</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7,483</w:t>
            </w:r>
          </w:p>
        </w:tc>
        <w:tc>
          <w:tcPr>
            <w:tcW w:w="2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(17,429)</w:t>
            </w:r>
          </w:p>
        </w:tc>
        <w:tc>
          <w:tcPr>
            <w:tcW w:w="1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4,316</w:t>
            </w:r>
          </w:p>
        </w:tc>
      </w:tr>
      <w:tr>
        <w:trPr>
          <w:trHeight w:val="208"/>
        </w:trPr>
        <w:tc>
          <w:tcPr>
            <w:tcW w:w="538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 and redeemable</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5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subsidiary preferred stock</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9"/>
        </w:trPr>
        <w:tc>
          <w:tcPr>
            <w:tcW w:w="5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 attributable to Comcast Corporation</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4"/>
              </w:rPr>
              <w:t>4,196</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4,385</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3,917</w:t>
            </w:r>
          </w:p>
        </w:tc>
        <w:tc>
          <w:tcPr>
            <w:tcW w:w="3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1,764</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7,363</w:t>
            </w:r>
          </w:p>
        </w:tc>
        <w:tc>
          <w:tcPr>
            <w:tcW w:w="2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(17,429)</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4,196</w:t>
            </w:r>
          </w:p>
        </w:tc>
      </w:t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Comprehensive income (loss) attributable to Comcast Corporation</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4,176</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4,377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3,915</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1,737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7,362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(17,391)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4,176</w:t>
            </w:r>
          </w:p>
        </w:tc>
      </w:tr>
      <w:tr>
        <w:trPr>
          <w:trHeight w:val="363"/>
        </w:trPr>
        <w:tc>
          <w:tcPr>
            <w:tcW w:w="5380" w:type="dxa"/>
            <w:vAlign w:val="bottom"/>
          </w:tcPr>
          <w:p>
            <w:pPr>
              <w:spacing w:after="0"/>
              <w:rPr>
                <w:sz w:val="24"/>
                <w:szCs w:val="24"/>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68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Guarantor</w:t>
            </w:r>
          </w:p>
        </w:tc>
        <w:tc>
          <w:tcPr>
            <w:tcW w:w="94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w w:val="96"/>
              </w:rPr>
              <w:t>Consolidation</w:t>
            </w:r>
          </w:p>
        </w:tc>
        <w:tc>
          <w:tcPr>
            <w:tcW w:w="2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5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color w:val="auto"/>
                <w:w w:val="82"/>
              </w:rPr>
              <w:t>Parent</w:t>
            </w:r>
          </w:p>
        </w:tc>
        <w:tc>
          <w:tcPr>
            <w:tcW w:w="660" w:type="dxa"/>
            <w:vAlign w:val="bottom"/>
            <w:gridSpan w:val="2"/>
          </w:tcPr>
          <w:p>
            <w:pPr>
              <w:jc w:val="right"/>
              <w:ind w:right="12"/>
              <w:spacing w:after="0"/>
              <w:rPr>
                <w:sz w:val="20"/>
                <w:szCs w:val="20"/>
                <w:color w:val="auto"/>
              </w:rPr>
            </w:pPr>
            <w:r>
              <w:rPr>
                <w:rFonts w:ascii="Arial" w:cs="Arial" w:eastAsia="Arial" w:hAnsi="Arial"/>
                <w:sz w:val="14"/>
                <w:szCs w:val="14"/>
                <w:color w:val="auto"/>
                <w:w w:val="99"/>
              </w:rPr>
              <w:t>Holdings</w:t>
            </w:r>
          </w:p>
        </w:tc>
        <w:tc>
          <w:tcPr>
            <w:tcW w:w="580" w:type="dxa"/>
            <w:vAlign w:val="bottom"/>
            <w:gridSpan w:val="2"/>
          </w:tcPr>
          <w:p>
            <w:pPr>
              <w:ind w:left="100"/>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92"/>
              <w:spacing w:after="0"/>
              <w:rPr>
                <w:sz w:val="20"/>
                <w:szCs w:val="20"/>
                <w:color w:val="auto"/>
              </w:rPr>
            </w:pPr>
            <w:r>
              <w:rPr>
                <w:rFonts w:ascii="Arial" w:cs="Arial" w:eastAsia="Arial" w:hAnsi="Arial"/>
                <w:sz w:val="14"/>
                <w:szCs w:val="14"/>
                <w:color w:val="auto"/>
                <w:w w:val="98"/>
              </w:rPr>
              <w:t>Media Parent</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w w:val="99"/>
              </w:rPr>
              <w:t>Subsidiaries</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(84)</w:t>
            </w:r>
          </w:p>
        </w:tc>
        <w:tc>
          <w:tcPr>
            <w:tcW w:w="3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4"/>
              </w:rPr>
              <w:t>11,054</w:t>
            </w:r>
          </w:p>
        </w:tc>
        <w:tc>
          <w:tcPr>
            <w:tcW w:w="26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9,383</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84</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1,579</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(2,543)</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(4,149)</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 properties</w:t>
            </w:r>
          </w:p>
        </w:tc>
        <w:tc>
          <w:tcPr>
            <w:tcW w:w="46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sales of businesses and investments</w:t>
            </w:r>
          </w:p>
        </w:tc>
        <w:tc>
          <w:tcPr>
            <w:tcW w:w="46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691</w:t>
            </w:r>
          </w:p>
        </w:tc>
        <w:tc>
          <w:tcPr>
            <w:tcW w:w="2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84</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1,644</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(8,247)</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(5,828)</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short-term borrowings, net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6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w w:val="97"/>
              </w:rPr>
              <w:t>4,753</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4,753</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(2,551)</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(2,385)</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(2,385)</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(1,281)</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(1,281)</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46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08"/>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3"/>
              </w:rPr>
              <w:t>Distributions to noncontrolling interests and dividends for redeemable</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46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(1,185)</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2,514</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2,370</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414</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1,881</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2,295</w:t>
            </w: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4,395</w:t>
            </w: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4,665</w:t>
            </w:r>
          </w:p>
        </w:tc>
      </w:tr>
      <w:tr>
        <w:trPr>
          <w:trHeight w:val="36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68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6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Guarantor</w:t>
            </w:r>
          </w:p>
        </w:tc>
        <w:tc>
          <w:tcPr>
            <w:tcW w:w="94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w w:val="96"/>
              </w:rPr>
              <w:t>Consolidation</w:t>
            </w:r>
          </w:p>
        </w:tc>
        <w:tc>
          <w:tcPr>
            <w:tcW w:w="2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5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color w:val="auto"/>
                <w:w w:val="77"/>
              </w:rPr>
              <w:t>Parent</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620" w:type="dxa"/>
            <w:vAlign w:val="bottom"/>
            <w:gridSpan w:val="2"/>
          </w:tcPr>
          <w:p>
            <w:pPr>
              <w:jc w:val="right"/>
              <w:ind w:right="7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92"/>
              <w:spacing w:after="0"/>
              <w:rPr>
                <w:sz w:val="20"/>
                <w:szCs w:val="20"/>
                <w:color w:val="auto"/>
              </w:rPr>
            </w:pPr>
            <w:r>
              <w:rPr>
                <w:rFonts w:ascii="Arial" w:cs="Arial" w:eastAsia="Arial" w:hAnsi="Arial"/>
                <w:sz w:val="14"/>
                <w:szCs w:val="14"/>
                <w:color w:val="auto"/>
                <w:w w:val="98"/>
              </w:rPr>
              <w:t>Media Parent</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w w:val="99"/>
              </w:rPr>
              <w:t>Subsidiaries</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top w:val="single" w:sz="8" w:color="auto"/>
              <w:bottom w:val="single" w:sz="8" w:color="auto"/>
            </w:tcBorders>
            <w:shd w:val="clear" w:color="auto" w:fill="E5E5E5"/>
          </w:tcPr>
          <w:p>
            <w:pPr>
              <w:jc w:val="center"/>
              <w:ind w:left="19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5"/>
              </w:rPr>
              <w:t>(109)</w:t>
            </w:r>
          </w:p>
        </w:tc>
        <w:tc>
          <w:tcPr>
            <w:tcW w:w="3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4"/>
              </w:rPr>
              <w:t>10,093</w:t>
            </w:r>
          </w:p>
        </w:tc>
        <w:tc>
          <w:tcPr>
            <w:tcW w:w="26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8,834</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7"/>
              </w:rPr>
              <w:t>3,661</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9"/>
              </w:rPr>
              <w:t>109</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1,670</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(5,441)</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(3,684)</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(3,697)</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 properties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sales of businesses and investments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395</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182</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7"/>
              </w:rPr>
              <w:t>3,652</w:t>
            </w:r>
          </w:p>
        </w:tc>
        <w:tc>
          <w:tcPr>
            <w:tcW w:w="2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99"/>
              </w:rPr>
              <w:t>109</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1,666</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(9,664)</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(4,236)</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short-term borrowings, net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3,996</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3,996</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(2,650)</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(3,666)</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(3,585)</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(3,585)</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(1,200)</w:t>
            </w: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08"/>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3"/>
              </w:rPr>
              <w:t>Distributions to noncontrolling interests and dividends for redeemable</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4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9"/>
                <w:szCs w:val="19"/>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(3,254)</w:t>
            </w:r>
          </w:p>
        </w:tc>
        <w:tc>
          <w:tcPr>
            <w:tcW w:w="2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(767)</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(5,022)</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3,525</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center"/>
              <w:ind w:left="197"/>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299</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3,187</w:t>
            </w: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3,486</w:t>
            </w:r>
          </w:p>
        </w:tc>
      </w:tr>
      <w:tr>
        <w:trPr>
          <w:trHeight w:val="36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gridSpan w:val="2"/>
          </w:tcPr>
          <w:p>
            <w:pPr>
              <w:jc w:val="center"/>
              <w:ind w:right="213"/>
              <w:spacing w:after="0"/>
              <w:rPr>
                <w:sz w:val="20"/>
                <w:szCs w:val="20"/>
                <w:color w:val="auto"/>
              </w:rPr>
            </w:pPr>
            <w:r>
              <w:rPr>
                <w:rFonts w:ascii="Arial" w:cs="Arial" w:eastAsia="Arial" w:hAnsi="Arial"/>
                <w:sz w:val="18"/>
                <w:szCs w:val="18"/>
                <w:color w:val="auto"/>
                <w:w w:val="99"/>
              </w:rPr>
              <w:t>26</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one of the nation’s largest providers of video, high-speed Internet and voice services (“cable services”) to residential customers under the XFINITY brand, and we also provide these and other services to business customers. As of June 30, 2016, our cable systems had 28.1 million total customer relationships; served 22.4 million video customers, 24.0 million high-speed Internet customers and 11.6 million voice customers; and passed more than 56 million homes and businesses. Our Cable Communications segment generates revenue primarily from residential and business customers subscribing to our cable services, which we market individually and as bundled services, and from the sale of advertising. During the six months ended June 30, 2016, our Cable Communications segment generated 65% of our consolidated revenue and 78%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various international cable networks, our cable television studio production operations, and related digital media properties. Our Cable Networks segment generates revenue primarily from the distribution of our cable network programming to multichannel video providers, from the sale of advertising units on our cable networks and related digital media properties, from the licensing of our owned programming to cable and broadcast networks and subscription video on demand services, and from the sale of our owned programming through digital distributors such as iTunes. Our Cable Networks segment also generates revenue from the production of programming for third-party networks and subscription video on demand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units on our broadcast networks, owned local television stations and related digital media properties, from the licensing of our owned programming to various distribution platforms, including to cable and broadcast networks as well as to subscription video on demand services, from fees received under retransmission consent agreements, and from the sale of our owned programming on standard-definition video discs and Blu-ray discs (together, “DVDs”) and in digital formats.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Universal Pictures, Illumination and Focus Features names. Our Filmed Entertainment segment generates revenue primarily from the worldwide theatrical release of our owned and acquired films for exhibition in movie theaters, from the licensing of our owned and acquired films through various distribution platforms, and from the sale of our owned and acquired films on DVDs and in digital formats. Our Filmed Entertainment segment also generates revenue from producing and licensing live stage plays, from distributing filmed entertainment produced by third parties, and from Fandango, our movie ticketing and entertainment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Florida and Hollywood, California. In November 2015, NBCUniversal acquired a 51% interest in the Universal Studios theme park in Osaka, Japan (“Universal Studios Japan”). In addition, along with a consortium of Chinese state-owned companies, we are developing a theme park in China. Our Theme Parks segment generates revenue primarily from ticket sales and guest spending at our theme parks, as well as from licensing and other fees for intellectual property licenses and other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additional information on the competition our businesses face, see Item 1A: Risk Factors included in our 2015 Annual Report on Form 10-K and refer to the risk factors within that section entitled “Our businesses currently face a wide range of competition, and our businesses and results of operations could be adversely affected if we do not compete effectively” and “Changes in consumer behavior driven by alternative methods for viewing content may adversely affect our businesses and challenge existing business models.”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 and through digital distribution services. Release dates are determined by several factors, including competition and the timing of vacation and holiday periods. As a result, revenue tends to be seasonal, with increases experienced each year during the summer months and around the holidays. Revenue in our Cable Networks, Broadcast Television and Filmed Entertainment segments also fluctuates due to the timing of when our content is made available to licensees.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and weather variations, local entertainment offerings and the opening of new attractions. Our theme parks generally experience peak attendance during the summer months when schools are closed and during early winter and spring holiday periods.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3"/>
          </w:tcPr>
          <w:p>
            <w:pPr>
              <w:jc w:val="right"/>
              <w:ind w:right="374"/>
              <w:spacing w:after="0"/>
              <w:rPr>
                <w:sz w:val="20"/>
                <w:szCs w:val="20"/>
                <w:color w:val="auto"/>
              </w:rPr>
            </w:pPr>
            <w:r>
              <w:rPr>
                <w:rFonts w:ascii="Arial" w:cs="Arial" w:eastAsia="Arial" w:hAnsi="Arial"/>
                <w:sz w:val="14"/>
                <w:szCs w:val="14"/>
                <w:color w:val="auto"/>
                <w:w w:val="94"/>
              </w:rPr>
              <w:t>Three Months Ended</w:t>
            </w:r>
          </w:p>
        </w:tc>
        <w:tc>
          <w:tcPr>
            <w:tcW w:w="1160" w:type="dxa"/>
            <w:vAlign w:val="bottom"/>
          </w:tcPr>
          <w:p>
            <w:pPr>
              <w:jc w:val="right"/>
              <w:ind w:right="37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640" w:type="dxa"/>
            <w:vAlign w:val="bottom"/>
            <w:gridSpan w:val="3"/>
          </w:tcPr>
          <w:p>
            <w:pPr>
              <w:jc w:val="right"/>
              <w:ind w:right="37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25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1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720" w:type="dxa"/>
            <w:vAlign w:val="bottom"/>
          </w:tcPr>
          <w:p>
            <w:pPr>
              <w:jc w:val="right"/>
              <w:ind w:right="296"/>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20"/>
                <w:szCs w:val="20"/>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2015</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2016</w:t>
            </w:r>
          </w:p>
        </w:tc>
        <w:tc>
          <w:tcPr>
            <w:tcW w:w="260" w:type="dxa"/>
            <w:vAlign w:val="bottom"/>
          </w:tcPr>
          <w:p>
            <w:pPr>
              <w:spacing w:after="0"/>
              <w:rPr>
                <w:sz w:val="20"/>
                <w:szCs w:val="20"/>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color w:val="auto"/>
                <w:w w:val="96"/>
              </w:rPr>
              <w:t>2015</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7"/>
              </w:rPr>
              <w:t>19,269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18,743</w:t>
            </w:r>
          </w:p>
        </w:tc>
        <w:tc>
          <w:tcPr>
            <w:tcW w:w="116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3"/>
              </w:rPr>
              <w:t>38,059</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3"/>
              </w:rPr>
              <w:t>36,596</w:t>
            </w:r>
          </w:p>
        </w:tc>
        <w:tc>
          <w:tcPr>
            <w:tcW w:w="1000" w:type="dxa"/>
            <w:vAlign w:val="bottom"/>
            <w:tcBorders>
              <w:top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5,492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5,669</w:t>
            </w:r>
          </w:p>
        </w:tc>
        <w:tc>
          <w:tcPr>
            <w:tcW w:w="116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83"/>
              </w:rPr>
              <w:t>10,923</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83"/>
              </w:rPr>
              <w:t>11,132</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5,761</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5,274</w:t>
            </w:r>
          </w:p>
        </w:tc>
        <w:tc>
          <w:tcPr>
            <w:tcW w:w="1160" w:type="dxa"/>
            <w:vAlign w:val="bottom"/>
          </w:tcPr>
          <w:p>
            <w:pPr>
              <w:jc w:val="right"/>
              <w:ind w:right="315"/>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11,286</w:t>
            </w:r>
          </w:p>
        </w:tc>
        <w:tc>
          <w:tcPr>
            <w:tcW w:w="26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w w:val="83"/>
              </w:rPr>
              <w:t>10,348</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1,561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1,534</w:t>
            </w:r>
          </w:p>
        </w:tc>
        <w:tc>
          <w:tcPr>
            <w:tcW w:w="116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3,028</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2,894</w:t>
            </w:r>
          </w:p>
        </w:tc>
        <w:tc>
          <w:tcPr>
            <w:tcW w:w="10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1,868</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1,674</w:t>
            </w:r>
          </w:p>
        </w:tc>
        <w:tc>
          <w:tcPr>
            <w:tcW w:w="1160" w:type="dxa"/>
            <w:vAlign w:val="bottom"/>
          </w:tcPr>
          <w:p>
            <w:pPr>
              <w:jc w:val="right"/>
              <w:ind w:right="315"/>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3,653</w:t>
            </w:r>
          </w:p>
        </w:tc>
        <w:tc>
          <w:tcPr>
            <w:tcW w:w="26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3,308</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521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487</w:t>
            </w:r>
          </w:p>
        </w:tc>
        <w:tc>
          <w:tcPr>
            <w:tcW w:w="11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1,014</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919</w:t>
            </w:r>
          </w:p>
        </w:tc>
        <w:tc>
          <w:tcPr>
            <w:tcW w:w="10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10.4</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4,066</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4,105</w:t>
            </w: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8,155</w:t>
            </w:r>
          </w:p>
        </w:tc>
        <w:tc>
          <w:tcPr>
            <w:tcW w:w="26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7,995</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(708)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(617)</w:t>
            </w:r>
          </w:p>
        </w:tc>
        <w:tc>
          <w:tcPr>
            <w:tcW w:w="11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(1,262)</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1"/>
              </w:rPr>
              <w:t>(1,105)</w:t>
            </w:r>
          </w:p>
        </w:tc>
        <w:tc>
          <w:tcPr>
            <w:tcW w:w="10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14.1</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3,358</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3,488</w:t>
            </w: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6,893</w:t>
            </w:r>
          </w:p>
        </w:tc>
        <w:tc>
          <w:tcPr>
            <w:tcW w:w="26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6,890</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94"/>
              </w:rPr>
              <w:t>(1,278)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(1,313)</w:t>
            </w:r>
          </w:p>
        </w:tc>
        <w:tc>
          <w:tcPr>
            <w:tcW w:w="116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(2,589)</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1"/>
              </w:rPr>
              <w:t>(2,574)</w:t>
            </w:r>
          </w:p>
        </w:tc>
        <w:tc>
          <w:tcPr>
            <w:tcW w:w="10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0.6</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2,080</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2,175</w:t>
            </w: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4,304</w:t>
            </w:r>
          </w:p>
        </w:tc>
        <w:tc>
          <w:tcPr>
            <w:tcW w:w="26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4,316</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(0.3)</w:t>
            </w:r>
          </w:p>
        </w:tc>
      </w:tr>
      <w:tr>
        <w:trPr>
          <w:trHeight w:val="208"/>
        </w:trPr>
        <w:tc>
          <w:tcPr>
            <w:tcW w:w="20" w:type="dxa"/>
            <w:vAlign w:val="bottom"/>
          </w:tcPr>
          <w:p>
            <w:pPr>
              <w:spacing w:after="0"/>
              <w:rPr>
                <w:sz w:val="18"/>
                <w:szCs w:val="18"/>
                <w:color w:val="auto"/>
              </w:rPr>
            </w:pPr>
          </w:p>
        </w:tc>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w w:val="89"/>
              </w:rPr>
              <w:t>Net (income) loss attributable to noncontrolling interests and redeemable</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(38)</w:t>
            </w:r>
          </w:p>
        </w:tc>
        <w:tc>
          <w:tcPr>
            <w:tcW w:w="11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(120)</w:t>
            </w:r>
          </w:p>
        </w:tc>
        <w:tc>
          <w:tcPr>
            <w:tcW w:w="10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19.1</w:t>
            </w:r>
          </w:p>
        </w:tc>
      </w:tr>
      <w:tr>
        <w:trPr>
          <w:trHeight w:val="219"/>
        </w:trPr>
        <w:tc>
          <w:tcPr>
            <w:tcW w:w="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2,028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2,137</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4,162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4,196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Communications, Cable Networks, Broadcast Television and Theme Parks segments accounted for the increases in consolidated revenue for the three and six months ended June 30, 2016. The increases in our Theme Parks segment for both the three and six months ended June 30, 2016 were associated with the acquisition of a 51% interest in Universal Studios Japan in November 2015. The increases in consolidated revenue for the three and six months ended June 30, 2016 were partially offset by decreases in revenue in our Filmed Entertainment segment. Consolidated revenue for the six months ended June 30, 2015 included $376 million of revenue associated with our broadcast of the 2015 Super Bowl in February 2015.</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Cable Communications, Broadcast Television, Theme Parks and Cable Networks segments accounted for the increase in consolidated operating costs and expenses for the three months ended June 30, 2016. The increase for the three months ended June 30, 2016 was partially offset by lower operating costs and expenses in our Filmed Entertainment segment. Our Cable Communications, Theme Parks and Cable Networks segments accounted for the increase in consolidated operating costs and expenses for the six months ended June 30, 2016. The increase for the six months ended June 30, 2016 was partially offset by lower operating costs and expenses in our Filmed Entertainment segment and in our Broadcast Television segment, which was primarily due to our broadcast of the 2015 Super Bowl in the prior year period. The increases in operating costs and expenses in our Theme Parks segment for the three and six months ended June 30, 2016 were associated with the acquisition of a 51% interest in Universal Studios Japan in November 2015. For the three and six months ended June 30, 2015, our consolidated operating costs and expenses included transaction-related costs associated with the Time Warner Cable merger and related divestiture transactions of $79 million and $178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Operating costs and expenses for our segments are discussed separately below under the heading “Segment Operating Results.” Operating costs and expenses for our corporate and other businesses are discussed separately below under the heading “Corporate and Other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960" w:type="dxa"/>
            <w:vAlign w:val="bottom"/>
            <w:gridSpan w:val="2"/>
          </w:tcPr>
          <w:p>
            <w:pPr>
              <w:jc w:val="right"/>
              <w:ind w:right="276"/>
              <w:spacing w:after="0"/>
              <w:rPr>
                <w:sz w:val="20"/>
                <w:szCs w:val="20"/>
                <w:color w:val="auto"/>
              </w:rPr>
            </w:pPr>
            <w:r>
              <w:rPr>
                <w:rFonts w:ascii="Arial" w:cs="Arial" w:eastAsia="Arial" w:hAnsi="Arial"/>
                <w:sz w:val="14"/>
                <w:szCs w:val="14"/>
                <w:color w:val="auto"/>
              </w:rPr>
              <w:t>Three Months Ended</w:t>
            </w:r>
          </w:p>
        </w:tc>
        <w:tc>
          <w:tcPr>
            <w:tcW w:w="1140" w:type="dxa"/>
            <w:vAlign w:val="bottom"/>
          </w:tcPr>
          <w:p>
            <w:pPr>
              <w:jc w:val="right"/>
              <w:ind w:right="319"/>
              <w:spacing w:after="0"/>
              <w:rPr>
                <w:sz w:val="20"/>
                <w:szCs w:val="20"/>
                <w:color w:val="auto"/>
              </w:rPr>
            </w:pPr>
            <w:r>
              <w:rPr>
                <w:rFonts w:ascii="Arial" w:cs="Arial" w:eastAsia="Arial" w:hAnsi="Arial"/>
                <w:sz w:val="14"/>
                <w:szCs w:val="14"/>
                <w:color w:val="auto"/>
              </w:rPr>
              <w:t>Increase/</w:t>
            </w:r>
          </w:p>
        </w:tc>
        <w:tc>
          <w:tcPr>
            <w:tcW w:w="1760" w:type="dxa"/>
            <w:vAlign w:val="bottom"/>
            <w:gridSpan w:val="2"/>
          </w:tcPr>
          <w:p>
            <w:pPr>
              <w:jc w:val="right"/>
              <w:ind w:right="296"/>
              <w:spacing w:after="0"/>
              <w:rPr>
                <w:sz w:val="20"/>
                <w:szCs w:val="20"/>
                <w:color w:val="auto"/>
              </w:rPr>
            </w:pPr>
            <w:r>
              <w:rPr>
                <w:rFonts w:ascii="Arial" w:cs="Arial" w:eastAsia="Arial" w:hAnsi="Arial"/>
                <w:sz w:val="14"/>
                <w:szCs w:val="14"/>
                <w:color w:val="auto"/>
              </w:rPr>
              <w:t>Six Months Ended</w:t>
            </w:r>
          </w:p>
        </w:tc>
        <w:tc>
          <w:tcPr>
            <w:tcW w:w="1020" w:type="dxa"/>
            <w:vAlign w:val="bottom"/>
          </w:tcPr>
          <w:p>
            <w:pPr>
              <w:jc w:val="right"/>
              <w:ind w:right="199"/>
              <w:spacing w:after="0"/>
              <w:rPr>
                <w:sz w:val="20"/>
                <w:szCs w:val="20"/>
                <w:color w:val="auto"/>
              </w:rPr>
            </w:pPr>
            <w:r>
              <w:rPr>
                <w:rFonts w:ascii="Arial" w:cs="Arial" w:eastAsia="Arial" w:hAnsi="Arial"/>
                <w:sz w:val="14"/>
                <w:szCs w:val="14"/>
                <w:color w:val="auto"/>
              </w:rPr>
              <w:t>Increase/</w:t>
            </w:r>
          </w:p>
        </w:tc>
      </w:tr>
      <w:tr>
        <w:trPr>
          <w:trHeight w:val="159"/>
        </w:trPr>
        <w:tc>
          <w:tcPr>
            <w:tcW w:w="5540" w:type="dxa"/>
            <w:vAlign w:val="bottom"/>
          </w:tcPr>
          <w:p>
            <w:pPr>
              <w:spacing w:after="0"/>
              <w:rPr>
                <w:sz w:val="13"/>
                <w:szCs w:val="13"/>
                <w:color w:val="auto"/>
              </w:rPr>
            </w:pPr>
          </w:p>
        </w:tc>
        <w:tc>
          <w:tcPr>
            <w:tcW w:w="1960" w:type="dxa"/>
            <w:vAlign w:val="bottom"/>
            <w:tcBorders>
              <w:bottom w:val="single" w:sz="8" w:color="auto"/>
            </w:tcBorders>
            <w:gridSpan w:val="2"/>
          </w:tcPr>
          <w:p>
            <w:pPr>
              <w:jc w:val="right"/>
              <w:ind w:right="636"/>
              <w:spacing w:after="0" w:line="159" w:lineRule="exact"/>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jc w:val="right"/>
              <w:ind w:right="279"/>
              <w:spacing w:after="0" w:line="159" w:lineRule="exact"/>
              <w:rPr>
                <w:sz w:val="20"/>
                <w:szCs w:val="20"/>
                <w:color w:val="auto"/>
              </w:rPr>
            </w:pPr>
            <w:r>
              <w:rPr>
                <w:rFonts w:ascii="Arial" w:cs="Arial" w:eastAsia="Arial" w:hAnsi="Arial"/>
                <w:sz w:val="14"/>
                <w:szCs w:val="14"/>
                <w:color w:val="auto"/>
              </w:rPr>
              <w:t>(Decrease)</w:t>
            </w:r>
          </w:p>
        </w:tc>
        <w:tc>
          <w:tcPr>
            <w:tcW w:w="1760" w:type="dxa"/>
            <w:vAlign w:val="bottom"/>
            <w:tcBorders>
              <w:bottom w:val="single" w:sz="8" w:color="auto"/>
            </w:tcBorders>
            <w:gridSpan w:val="2"/>
          </w:tcPr>
          <w:p>
            <w:pPr>
              <w:jc w:val="right"/>
              <w:ind w:right="596"/>
              <w:spacing w:after="0" w:line="159" w:lineRule="exact"/>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2015</w:t>
            </w: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2015</w:t>
            </w:r>
          </w:p>
        </w:tc>
        <w:tc>
          <w:tcPr>
            <w:tcW w:w="1020" w:type="dxa"/>
            <w:vAlign w:val="bottom"/>
            <w:tcBorders>
              <w:bottom w:val="single" w:sz="8" w:color="auto"/>
            </w:tcBorders>
          </w:tcPr>
          <w:p>
            <w:pPr>
              <w:spacing w:after="0"/>
              <w:rPr>
                <w:sz w:val="20"/>
                <w:szCs w:val="20"/>
                <w:color w:val="auto"/>
              </w:rPr>
            </w:pPr>
          </w:p>
        </w:tc>
      </w:tr>
      <w:tr>
        <w:trPr>
          <w:trHeight w:val="210"/>
        </w:trPr>
        <w:tc>
          <w:tcPr>
            <w:tcW w:w="554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$ 1,904</w:t>
            </w:r>
          </w:p>
        </w:tc>
        <w:tc>
          <w:tcPr>
            <w:tcW w:w="9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$ 1,732</w:t>
            </w:r>
          </w:p>
        </w:tc>
        <w:tc>
          <w:tcPr>
            <w:tcW w:w="114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9.9%</w:t>
            </w:r>
          </w:p>
        </w:tc>
        <w:tc>
          <w:tcPr>
            <w:tcW w:w="860" w:type="dxa"/>
            <w:vAlign w:val="bottom"/>
            <w:shd w:val="clear" w:color="auto" w:fill="E5E5E5"/>
          </w:tcPr>
          <w:p>
            <w:pPr>
              <w:jc w:val="right"/>
              <w:ind w:right="101"/>
              <w:spacing w:after="0"/>
              <w:rPr>
                <w:sz w:val="20"/>
                <w:szCs w:val="20"/>
                <w:color w:val="auto"/>
              </w:rPr>
            </w:pPr>
            <w:r>
              <w:rPr>
                <w:rFonts w:ascii="Arial" w:cs="Arial" w:eastAsia="Arial" w:hAnsi="Arial"/>
                <w:sz w:val="18"/>
                <w:szCs w:val="18"/>
                <w:color w:val="auto"/>
              </w:rPr>
              <w:t>$3,747</w:t>
            </w: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$3,412</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NBCUniversal</w:t>
            </w:r>
          </w:p>
        </w:tc>
        <w:tc>
          <w:tcPr>
            <w:tcW w:w="1020" w:type="dxa"/>
            <w:vAlign w:val="bottom"/>
          </w:tcPr>
          <w:p>
            <w:pPr>
              <w:jc w:val="right"/>
              <w:ind w:right="121"/>
              <w:spacing w:after="0"/>
              <w:rPr>
                <w:sz w:val="20"/>
                <w:szCs w:val="20"/>
                <w:color w:val="auto"/>
              </w:rPr>
            </w:pPr>
            <w:r>
              <w:rPr>
                <w:rFonts w:ascii="Arial" w:cs="Arial" w:eastAsia="Arial" w:hAnsi="Arial"/>
                <w:sz w:val="18"/>
                <w:szCs w:val="18"/>
                <w:color w:val="auto"/>
              </w:rPr>
              <w:t>465</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405</w:t>
            </w:r>
          </w:p>
        </w:tc>
        <w:tc>
          <w:tcPr>
            <w:tcW w:w="1140" w:type="dxa"/>
            <w:vAlign w:val="bottom"/>
          </w:tcPr>
          <w:p>
            <w:pPr>
              <w:jc w:val="right"/>
              <w:ind w:right="279"/>
              <w:spacing w:after="0"/>
              <w:rPr>
                <w:sz w:val="20"/>
                <w:szCs w:val="20"/>
                <w:color w:val="auto"/>
              </w:rPr>
            </w:pPr>
            <w:r>
              <w:rPr>
                <w:rFonts w:ascii="Arial" w:cs="Arial" w:eastAsia="Arial" w:hAnsi="Arial"/>
                <w:sz w:val="18"/>
                <w:szCs w:val="18"/>
                <w:color w:val="auto"/>
              </w:rPr>
              <w:t>14.6</w:t>
            </w:r>
          </w:p>
        </w:tc>
        <w:tc>
          <w:tcPr>
            <w:tcW w:w="860" w:type="dxa"/>
            <w:vAlign w:val="bottom"/>
          </w:tcPr>
          <w:p>
            <w:pPr>
              <w:jc w:val="right"/>
              <w:ind w:right="101"/>
              <w:spacing w:after="0"/>
              <w:rPr>
                <w:sz w:val="20"/>
                <w:szCs w:val="20"/>
                <w:color w:val="auto"/>
              </w:rPr>
            </w:pPr>
            <w:r>
              <w:rPr>
                <w:rFonts w:ascii="Arial" w:cs="Arial" w:eastAsia="Arial" w:hAnsi="Arial"/>
                <w:sz w:val="18"/>
                <w:szCs w:val="18"/>
                <w:color w:val="auto"/>
              </w:rPr>
              <w:t>879</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769</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rPr>
              <w:t>14.2</w:t>
            </w:r>
          </w:p>
        </w:tc>
      </w:tr>
      <w:tr>
        <w:trPr>
          <w:trHeight w:val="216"/>
        </w:trPr>
        <w:tc>
          <w:tcPr>
            <w:tcW w:w="5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Corporate and Other</w:t>
            </w:r>
          </w:p>
        </w:tc>
        <w:tc>
          <w:tcPr>
            <w:tcW w:w="102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24</w:t>
            </w:r>
          </w:p>
        </w:tc>
        <w:tc>
          <w:tcPr>
            <w:tcW w:w="114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color w:val="auto"/>
              </w:rPr>
              <w:t>(12.6)</w:t>
            </w:r>
          </w:p>
        </w:tc>
        <w:tc>
          <w:tcPr>
            <w:tcW w:w="860" w:type="dxa"/>
            <w:vAlign w:val="bottom"/>
            <w:tcBorders>
              <w:bottom w:val="single" w:sz="8" w:color="auto"/>
            </w:tcBorders>
            <w:shd w:val="clear" w:color="auto" w:fill="E5E5E5"/>
          </w:tcPr>
          <w:p>
            <w:pPr>
              <w:jc w:val="right"/>
              <w:ind w:right="101"/>
              <w:spacing w:after="0"/>
              <w:rPr>
                <w:sz w:val="20"/>
                <w:szCs w:val="20"/>
                <w:color w:val="auto"/>
              </w:rPr>
            </w:pPr>
            <w:r>
              <w:rPr>
                <w:rFonts w:ascii="Arial" w:cs="Arial" w:eastAsia="Arial" w:hAnsi="Arial"/>
                <w:sz w:val="18"/>
                <w:szCs w:val="18"/>
                <w:color w:val="auto"/>
              </w:rPr>
              <w:t>41</w:t>
            </w: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color w:val="auto"/>
              </w:rPr>
              <w:t>(8.6)</w:t>
            </w:r>
          </w:p>
        </w:tc>
      </w:tr>
      <w:tr>
        <w:trPr>
          <w:trHeight w:val="21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$ 2,389</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$ 2,161</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10.6%</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$4,667</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$4,227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r>
    </w:tbl>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Consolidated depreciation and amortization expenses increased for the three and six months ended June 30, 2016 primarily due to increases in capital expenditures, as well as expenditures for software, in our Cable Communications segment in recent years and the acquisition of a 51% interest in Universal Studios Japan in NBCUniversal’s Theme Parks segment. We continue to invest in customer premise equipment, primarily for our X1 platform, wireless gateways and Cloud DVR technology, and in equipment to increase our network capacity. In addition, because these assets generally have shorter estimated useful lives, our depreciation expense increased for the three and six months ended June 30, 2016.</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condensed consolidated financial statements (see Note 13 to Comcast’s condensed consolidated financial statements and Note 11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adjusted prior period segment operating results to reflect certain changes in our management reporting presentation. See Note 13 to Comcast’s condensed consolidated financial statements and Note 11 to NBCUniversal’s condensed consolidated financial statements for additional information on these changes.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3"/>
          </w:tcPr>
          <w:p>
            <w:pPr>
              <w:jc w:val="right"/>
              <w:ind w:right="414"/>
              <w:spacing w:after="0"/>
              <w:rPr>
                <w:sz w:val="20"/>
                <w:szCs w:val="20"/>
                <w:color w:val="auto"/>
              </w:rPr>
            </w:pPr>
            <w:r>
              <w:rPr>
                <w:rFonts w:ascii="Arial" w:cs="Arial" w:eastAsia="Arial" w:hAnsi="Arial"/>
                <w:sz w:val="14"/>
                <w:szCs w:val="14"/>
                <w:color w:val="auto"/>
                <w:w w:val="99"/>
              </w:rPr>
              <w:t>Three Months Ended</w:t>
            </w:r>
          </w:p>
        </w:tc>
        <w:tc>
          <w:tcPr>
            <w:tcW w:w="340" w:type="dxa"/>
            <w:vAlign w:val="bottom"/>
          </w:tcPr>
          <w:p>
            <w:pPr>
              <w:spacing w:after="0"/>
              <w:rPr>
                <w:sz w:val="14"/>
                <w:szCs w:val="14"/>
                <w:color w:val="auto"/>
              </w:rPr>
            </w:pPr>
          </w:p>
        </w:tc>
        <w:tc>
          <w:tcPr>
            <w:tcW w:w="132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2016</w:t>
            </w: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04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5,581</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5,431</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99"/>
              </w:rPr>
              <w:t>$150</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3,369</w:t>
            </w:r>
          </w:p>
        </w:tc>
        <w:tc>
          <w:tcPr>
            <w:tcW w:w="6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3,101</w:t>
            </w:r>
          </w:p>
        </w:tc>
        <w:tc>
          <w:tcPr>
            <w:tcW w:w="34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268</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893</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903</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(10)</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1,360</w:t>
            </w:r>
          </w:p>
        </w:tc>
        <w:tc>
          <w:tcPr>
            <w:tcW w:w="6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1,163</w:t>
            </w:r>
          </w:p>
        </w:tc>
        <w:tc>
          <w:tcPr>
            <w:tcW w:w="34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197</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17.0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597</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20</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565</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79</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13.7</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12,444</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3"/>
              </w:rPr>
              <w:t>11,740</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b w:val="1"/>
                <w:bCs w:val="1"/>
                <w:color w:val="auto"/>
              </w:rPr>
              <w:t>704</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2,863</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2,666</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197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6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1,479</w:t>
            </w:r>
          </w:p>
        </w:tc>
        <w:tc>
          <w:tcPr>
            <w:tcW w:w="34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89</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615</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35</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w:t>
            </w:r>
          </w:p>
        </w:tc>
        <w:tc>
          <w:tcPr>
            <w:tcW w:w="6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23</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879</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842</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37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1,049</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52</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5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7,396</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6,963</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433</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4,777</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$271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20" w:type="dxa"/>
            <w:vAlign w:val="bottom"/>
            <w:gridSpan w:val="3"/>
          </w:tcPr>
          <w:p>
            <w:pPr>
              <w:jc w:val="right"/>
              <w:ind w:right="514"/>
              <w:spacing w:after="0"/>
              <w:rPr>
                <w:sz w:val="20"/>
                <w:szCs w:val="20"/>
                <w:color w:val="auto"/>
              </w:rPr>
            </w:pPr>
            <w:r>
              <w:rPr>
                <w:rFonts w:ascii="Arial" w:cs="Arial" w:eastAsia="Arial" w:hAnsi="Arial"/>
                <w:sz w:val="14"/>
                <w:szCs w:val="14"/>
                <w:color w:val="auto"/>
              </w:rPr>
              <w:t>Six Months Ended</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w w:val="80"/>
              </w:rPr>
              <w:t>June 30</w:t>
            </w: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w w:val="89"/>
              </w:rPr>
              <w:t>2016</w:t>
            </w: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2015</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540" w:type="dxa"/>
            <w:vAlign w:val="bottom"/>
            <w:gridSpan w:val="4"/>
            <w:shd w:val="clear" w:color="auto" w:fill="E5E5E5"/>
          </w:tcPr>
          <w:p>
            <w:pPr>
              <w:jc w:val="right"/>
              <w:spacing w:after="0"/>
              <w:rPr>
                <w:sz w:val="20"/>
                <w:szCs w:val="20"/>
                <w:color w:val="auto"/>
              </w:rPr>
            </w:pPr>
            <w:r>
              <w:rPr>
                <w:rFonts w:ascii="Arial" w:cs="Arial" w:eastAsia="Arial" w:hAnsi="Arial"/>
                <w:sz w:val="18"/>
                <w:szCs w:val="18"/>
                <w:color w:val="auto"/>
              </w:rPr>
              <w:t>$ 11,119</w:t>
            </w:r>
          </w:p>
        </w:tc>
        <w:tc>
          <w:tcPr>
            <w:tcW w:w="1320" w:type="dxa"/>
            <w:vAlign w:val="bottom"/>
            <w:gridSpan w:val="2"/>
            <w:shd w:val="clear" w:color="auto" w:fill="E5E5E5"/>
          </w:tcPr>
          <w:p>
            <w:pPr>
              <w:jc w:val="right"/>
              <w:ind w:right="194"/>
              <w:spacing w:after="0"/>
              <w:rPr>
                <w:sz w:val="20"/>
                <w:szCs w:val="20"/>
                <w:color w:val="auto"/>
              </w:rPr>
            </w:pPr>
            <w:r>
              <w:rPr>
                <w:rFonts w:ascii="Arial" w:cs="Arial" w:eastAsia="Arial" w:hAnsi="Arial"/>
                <w:sz w:val="18"/>
                <w:szCs w:val="18"/>
                <w:color w:val="auto"/>
              </w:rPr>
              <w:t>$10,762</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357</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6,644</w:t>
            </w:r>
          </w:p>
        </w:tc>
        <w:tc>
          <w:tcPr>
            <w:tcW w:w="6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6,145</w:t>
            </w:r>
          </w:p>
        </w:tc>
        <w:tc>
          <w:tcPr>
            <w:tcW w:w="34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499</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1,789</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1,809</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(20)</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2,671</w:t>
            </w:r>
          </w:p>
        </w:tc>
        <w:tc>
          <w:tcPr>
            <w:tcW w:w="6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2,279</w:t>
            </w:r>
          </w:p>
        </w:tc>
        <w:tc>
          <w:tcPr>
            <w:tcW w:w="34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392</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17.2</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1,156</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1,076</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80</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1,269</w:t>
            </w: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3"/>
              </w:rPr>
              <w:t>1,110</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159</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14.2</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540" w:type="dxa"/>
            <w:vAlign w:val="bottom"/>
            <w:gridSpan w:val="4"/>
            <w:shd w:val="clear" w:color="auto" w:fill="E5E5E5"/>
          </w:tcPr>
          <w:p>
            <w:pPr>
              <w:jc w:val="right"/>
              <w:spacing w:after="0"/>
              <w:rPr>
                <w:sz w:val="20"/>
                <w:szCs w:val="20"/>
                <w:color w:val="auto"/>
              </w:rPr>
            </w:pPr>
            <w:r>
              <w:rPr>
                <w:rFonts w:ascii="Arial" w:cs="Arial" w:eastAsia="Arial" w:hAnsi="Arial"/>
                <w:sz w:val="18"/>
                <w:szCs w:val="18"/>
                <w:b w:val="1"/>
                <w:bCs w:val="1"/>
                <w:color w:val="auto"/>
              </w:rPr>
              <w:t>24,648</w:t>
            </w:r>
          </w:p>
        </w:tc>
        <w:tc>
          <w:tcPr>
            <w:tcW w:w="1320" w:type="dxa"/>
            <w:vAlign w:val="bottom"/>
            <w:gridSpan w:val="2"/>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23,181</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b w:val="1"/>
                <w:bCs w:val="1"/>
                <w:color w:val="auto"/>
                <w:w w:val="84"/>
              </w:rPr>
              <w:t>1,467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5,754</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5,310</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444</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3,098</w:t>
            </w:r>
          </w:p>
        </w:tc>
        <w:tc>
          <w:tcPr>
            <w:tcW w:w="6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2,919</w:t>
            </w:r>
          </w:p>
        </w:tc>
        <w:tc>
          <w:tcPr>
            <w:tcW w:w="34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179</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1,244</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1,162</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82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6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25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1,716</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1,631</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85</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2,164</w:t>
            </w: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3"/>
              </w:rPr>
              <w:t>2,043</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121</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540" w:type="dxa"/>
            <w:vAlign w:val="bottom"/>
            <w:tcBorders>
              <w:bottom w:val="single" w:sz="8" w:color="auto"/>
            </w:tcBorders>
            <w:gridSpan w:val="4"/>
            <w:shd w:val="clear" w:color="auto" w:fill="E5E5E5"/>
          </w:tcPr>
          <w:p>
            <w:pPr>
              <w:jc w:val="right"/>
              <w:spacing w:after="0"/>
              <w:rPr>
                <w:sz w:val="20"/>
                <w:szCs w:val="20"/>
                <w:color w:val="auto"/>
              </w:rPr>
            </w:pPr>
            <w:r>
              <w:rPr>
                <w:rFonts w:ascii="Arial" w:cs="Arial" w:eastAsia="Arial" w:hAnsi="Arial"/>
                <w:sz w:val="18"/>
                <w:szCs w:val="18"/>
                <w:color w:val="auto"/>
              </w:rPr>
              <w:t>14,711</w:t>
            </w:r>
          </w:p>
        </w:tc>
        <w:tc>
          <w:tcPr>
            <w:tcW w:w="1320" w:type="dxa"/>
            <w:vAlign w:val="bottom"/>
            <w:tcBorders>
              <w:bottom w:val="single" w:sz="8" w:color="auto"/>
            </w:tcBorders>
            <w:gridSpan w:val="2"/>
            <w:shd w:val="clear" w:color="auto" w:fill="E5E5E5"/>
          </w:tcPr>
          <w:p>
            <w:pPr>
              <w:jc w:val="right"/>
              <w:ind w:right="194"/>
              <w:spacing w:after="0"/>
              <w:rPr>
                <w:sz w:val="20"/>
                <w:szCs w:val="20"/>
                <w:color w:val="auto"/>
              </w:rPr>
            </w:pPr>
            <w:r>
              <w:rPr>
                <w:rFonts w:ascii="Arial" w:cs="Arial" w:eastAsia="Arial" w:hAnsi="Arial"/>
                <w:sz w:val="18"/>
                <w:szCs w:val="18"/>
                <w:color w:val="auto"/>
              </w:rPr>
              <w:t>13,746</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965</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9,937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3"/>
              </w:rPr>
              <w:t>9,435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502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500" w:type="dxa"/>
            <w:vAlign w:val="bottom"/>
          </w:tcPr>
          <w:p>
            <w:pPr>
              <w:jc w:val="right"/>
              <w:ind w:right="1492"/>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8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4"/>
                <w:szCs w:val="14"/>
                <w:color w:val="auto"/>
              </w:rPr>
              <w:t>Total Customers</w:t>
            </w:r>
          </w:p>
        </w:tc>
        <w:tc>
          <w:tcPr>
            <w:tcW w:w="1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Net Additional Customers</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gridSpan w:val="2"/>
          </w:tcPr>
          <w:p>
            <w:pPr>
              <w:jc w:val="right"/>
              <w:ind w:right="397"/>
              <w:spacing w:after="0" w:line="131" w:lineRule="exact"/>
              <w:rPr>
                <w:sz w:val="20"/>
                <w:szCs w:val="20"/>
                <w:color w:val="auto"/>
              </w:rPr>
            </w:pPr>
            <w:r>
              <w:rPr>
                <w:rFonts w:ascii="Arial" w:cs="Arial" w:eastAsia="Arial" w:hAnsi="Arial"/>
                <w:sz w:val="14"/>
                <w:szCs w:val="14"/>
                <w:color w:val="auto"/>
              </w:rPr>
              <w:t>Three Months Ended</w:t>
            </w:r>
          </w:p>
        </w:tc>
        <w:tc>
          <w:tcPr>
            <w:tcW w:w="1720" w:type="dxa"/>
            <w:vAlign w:val="bottom"/>
            <w:gridSpan w:val="2"/>
          </w:tcPr>
          <w:p>
            <w:pPr>
              <w:jc w:val="right"/>
              <w:ind w:right="277"/>
              <w:spacing w:after="0" w:line="131"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56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7"/>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color w:val="auto"/>
              </w:rPr>
              <w:t>2015</w:t>
            </w:r>
          </w:p>
        </w:tc>
        <w:tc>
          <w:tcPr>
            <w:tcW w:w="1120" w:type="dxa"/>
            <w:vAlign w:val="bottom"/>
            <w:tcBorders>
              <w:bottom w:val="single" w:sz="8" w:color="auto"/>
            </w:tcBorders>
          </w:tcPr>
          <w:p>
            <w:pPr>
              <w:jc w:val="right"/>
              <w:ind w:right="498"/>
              <w:spacing w:after="0" w:line="142" w:lineRule="exact"/>
              <w:rPr>
                <w:sz w:val="20"/>
                <w:szCs w:val="20"/>
                <w:color w:val="auto"/>
              </w:rPr>
            </w:pPr>
            <w:r>
              <w:rPr>
                <w:rFonts w:ascii="Arial" w:cs="Arial" w:eastAsia="Arial" w:hAnsi="Arial"/>
                <w:sz w:val="14"/>
                <w:szCs w:val="14"/>
                <w:color w:val="auto"/>
              </w:rPr>
              <w:t>2016</w:t>
            </w:r>
          </w:p>
        </w:tc>
        <w:tc>
          <w:tcPr>
            <w:tcW w:w="8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2016</w:t>
            </w:r>
          </w:p>
        </w:tc>
        <w:tc>
          <w:tcPr>
            <w:tcW w:w="10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5680" w:type="dxa"/>
            <w:vAlign w:val="bottom"/>
            <w:shd w:val="clear" w:color="auto" w:fill="E5E5E5"/>
          </w:tcPr>
          <w:p>
            <w:pPr>
              <w:spacing w:after="0"/>
              <w:rPr>
                <w:sz w:val="20"/>
                <w:szCs w:val="20"/>
                <w:color w:val="auto"/>
              </w:rPr>
            </w:pPr>
            <w:r>
              <w:rPr>
                <w:rFonts w:ascii="Arial" w:cs="Arial" w:eastAsia="Arial" w:hAnsi="Arial"/>
                <w:sz w:val="18"/>
                <w:szCs w:val="18"/>
                <w:color w:val="auto"/>
              </w:rPr>
              <w:t>Total customer relationships</w:t>
            </w:r>
          </w:p>
        </w:tc>
        <w:tc>
          <w:tcPr>
            <w:tcW w:w="128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28,085</w:t>
            </w:r>
          </w:p>
        </w:tc>
        <w:tc>
          <w:tcPr>
            <w:tcW w:w="8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0"/>
              </w:rPr>
              <w:t>27,265</w:t>
            </w:r>
          </w:p>
        </w:tc>
        <w:tc>
          <w:tcPr>
            <w:tcW w:w="11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115</w:t>
            </w:r>
          </w:p>
        </w:tc>
        <w:tc>
          <w:tcPr>
            <w:tcW w:w="8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31</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384</w:t>
            </w: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Single product customers</w:t>
            </w:r>
          </w:p>
        </w:tc>
        <w:tc>
          <w:tcPr>
            <w:tcW w:w="1280" w:type="dxa"/>
            <w:vAlign w:val="bottom"/>
          </w:tcPr>
          <w:p>
            <w:pPr>
              <w:jc w:val="right"/>
              <w:ind w:right="338"/>
              <w:spacing w:after="0"/>
              <w:rPr>
                <w:sz w:val="20"/>
                <w:szCs w:val="20"/>
                <w:color w:val="auto"/>
              </w:rPr>
            </w:pPr>
            <w:r>
              <w:rPr>
                <w:rFonts w:ascii="Arial" w:cs="Arial" w:eastAsia="Arial" w:hAnsi="Arial"/>
                <w:sz w:val="18"/>
                <w:szCs w:val="18"/>
                <w:color w:val="auto"/>
              </w:rPr>
              <w:t>8,416</w:t>
            </w:r>
          </w:p>
        </w:tc>
        <w:tc>
          <w:tcPr>
            <w:tcW w:w="800" w:type="dxa"/>
            <w:vAlign w:val="bottom"/>
          </w:tcPr>
          <w:p>
            <w:pPr>
              <w:jc w:val="right"/>
              <w:ind w:right="195"/>
              <w:spacing w:after="0"/>
              <w:rPr>
                <w:sz w:val="20"/>
                <w:szCs w:val="20"/>
                <w:color w:val="auto"/>
              </w:rPr>
            </w:pPr>
            <w:r>
              <w:rPr>
                <w:rFonts w:ascii="Arial" w:cs="Arial" w:eastAsia="Arial" w:hAnsi="Arial"/>
                <w:sz w:val="18"/>
                <w:szCs w:val="18"/>
                <w:color w:val="auto"/>
              </w:rPr>
              <w:t>8,343</w:t>
            </w:r>
          </w:p>
        </w:tc>
        <w:tc>
          <w:tcPr>
            <w:tcW w:w="1120" w:type="dxa"/>
            <w:vAlign w:val="bottom"/>
          </w:tcPr>
          <w:p>
            <w:pPr>
              <w:jc w:val="right"/>
              <w:ind w:right="358"/>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157"/>
              <w:spacing w:after="0"/>
              <w:rPr>
                <w:sz w:val="20"/>
                <w:szCs w:val="20"/>
                <w:color w:val="auto"/>
              </w:rPr>
            </w:pPr>
            <w:r>
              <w:rPr>
                <w:rFonts w:ascii="Arial" w:cs="Arial" w:eastAsia="Arial" w:hAnsi="Arial"/>
                <w:sz w:val="18"/>
                <w:szCs w:val="18"/>
                <w:color w:val="auto"/>
              </w:rPr>
              <w:t>(56)</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6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Double product customers</w:t>
            </w:r>
          </w:p>
        </w:tc>
        <w:tc>
          <w:tcPr>
            <w:tcW w:w="128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9,399</w:t>
            </w:r>
          </w:p>
        </w:tc>
        <w:tc>
          <w:tcPr>
            <w:tcW w:w="8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8,936</w:t>
            </w:r>
          </w:p>
        </w:tc>
        <w:tc>
          <w:tcPr>
            <w:tcW w:w="11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53</w:t>
            </w:r>
          </w:p>
        </w:tc>
        <w:tc>
          <w:tcPr>
            <w:tcW w:w="8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46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w:t>
            </w: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Triple product customers</w:t>
            </w:r>
          </w:p>
        </w:tc>
        <w:tc>
          <w:tcPr>
            <w:tcW w:w="128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rPr>
              <w:t>10,269</w:t>
            </w: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9,987</w:t>
            </w: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56</w:t>
            </w: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42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568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28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rPr>
              <w:t>22,396</w:t>
            </w:r>
          </w:p>
        </w:tc>
        <w:tc>
          <w:tcPr>
            <w:tcW w:w="8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0"/>
              </w:rPr>
              <w:t>22,306</w:t>
            </w:r>
          </w:p>
        </w:tc>
        <w:tc>
          <w:tcPr>
            <w:tcW w:w="112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(4)</w:t>
            </w:r>
          </w:p>
        </w:tc>
        <w:tc>
          <w:tcPr>
            <w:tcW w:w="8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(69)</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280" w:type="dxa"/>
            <w:vAlign w:val="bottom"/>
          </w:tcPr>
          <w:p>
            <w:pPr>
              <w:jc w:val="right"/>
              <w:ind w:right="338"/>
              <w:spacing w:after="0"/>
              <w:rPr>
                <w:sz w:val="20"/>
                <w:szCs w:val="20"/>
                <w:color w:val="auto"/>
              </w:rPr>
            </w:pPr>
            <w:r>
              <w:rPr>
                <w:rFonts w:ascii="Arial" w:cs="Arial" w:eastAsia="Arial" w:hAnsi="Arial"/>
                <w:sz w:val="18"/>
                <w:szCs w:val="18"/>
                <w:color w:val="auto"/>
              </w:rPr>
              <w:t>23,987</w:t>
            </w:r>
          </w:p>
        </w:tc>
        <w:tc>
          <w:tcPr>
            <w:tcW w:w="800" w:type="dxa"/>
            <w:vAlign w:val="bottom"/>
          </w:tcPr>
          <w:p>
            <w:pPr>
              <w:jc w:val="right"/>
              <w:ind w:right="195"/>
              <w:spacing w:after="0"/>
              <w:rPr>
                <w:sz w:val="20"/>
                <w:szCs w:val="20"/>
                <w:color w:val="auto"/>
              </w:rPr>
            </w:pPr>
            <w:r>
              <w:rPr>
                <w:rFonts w:ascii="Arial" w:cs="Arial" w:eastAsia="Arial" w:hAnsi="Arial"/>
                <w:sz w:val="18"/>
                <w:szCs w:val="18"/>
                <w:color w:val="auto"/>
                <w:w w:val="90"/>
              </w:rPr>
              <w:t>22,548</w:t>
            </w:r>
          </w:p>
        </w:tc>
        <w:tc>
          <w:tcPr>
            <w:tcW w:w="1120" w:type="dxa"/>
            <w:vAlign w:val="bottom"/>
          </w:tcPr>
          <w:p>
            <w:pPr>
              <w:jc w:val="right"/>
              <w:ind w:right="358"/>
              <w:spacing w:after="0"/>
              <w:rPr>
                <w:sz w:val="20"/>
                <w:szCs w:val="20"/>
                <w:color w:val="auto"/>
              </w:rPr>
            </w:pPr>
            <w:r>
              <w:rPr>
                <w:rFonts w:ascii="Arial" w:cs="Arial" w:eastAsia="Arial" w:hAnsi="Arial"/>
                <w:sz w:val="18"/>
                <w:szCs w:val="18"/>
                <w:color w:val="auto"/>
              </w:rPr>
              <w:t>220</w:t>
            </w:r>
          </w:p>
        </w:tc>
        <w:tc>
          <w:tcPr>
            <w:tcW w:w="820" w:type="dxa"/>
            <w:vAlign w:val="bottom"/>
          </w:tcPr>
          <w:p>
            <w:pPr>
              <w:jc w:val="right"/>
              <w:ind w:right="217"/>
              <w:spacing w:after="0"/>
              <w:rPr>
                <w:sz w:val="20"/>
                <w:szCs w:val="20"/>
                <w:color w:val="auto"/>
              </w:rPr>
            </w:pPr>
            <w:r>
              <w:rPr>
                <w:rFonts w:ascii="Arial" w:cs="Arial" w:eastAsia="Arial" w:hAnsi="Arial"/>
                <w:sz w:val="18"/>
                <w:szCs w:val="18"/>
                <w:color w:val="auto"/>
              </w:rPr>
              <w:t>180</w:t>
            </w: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280" w:type="dxa"/>
            <w:vAlign w:val="bottom"/>
            <w:tcBorders>
              <w:bottom w:val="single" w:sz="8" w:color="auto"/>
            </w:tcBorders>
            <w:shd w:val="clear" w:color="auto" w:fill="E5E5E5"/>
          </w:tcPr>
          <w:p>
            <w:pPr>
              <w:jc w:val="right"/>
              <w:ind w:right="338"/>
              <w:spacing w:after="0"/>
              <w:rPr>
                <w:sz w:val="20"/>
                <w:szCs w:val="20"/>
                <w:color w:val="auto"/>
              </w:rPr>
            </w:pPr>
            <w:r>
              <w:rPr>
                <w:rFonts w:ascii="Arial" w:cs="Arial" w:eastAsia="Arial" w:hAnsi="Arial"/>
                <w:sz w:val="18"/>
                <w:szCs w:val="18"/>
                <w:color w:val="auto"/>
              </w:rPr>
              <w:t>11,641</w:t>
            </w:r>
          </w:p>
        </w:tc>
        <w:tc>
          <w:tcPr>
            <w:tcW w:w="8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90"/>
              </w:rPr>
              <w:t>11,319</w:t>
            </w:r>
          </w:p>
        </w:tc>
        <w:tc>
          <w:tcPr>
            <w:tcW w:w="112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color w:val="auto"/>
              </w:rPr>
              <w:t>64</w:t>
            </w:r>
          </w:p>
        </w:tc>
        <w:tc>
          <w:tcPr>
            <w:tcW w:w="8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49</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165</w:t>
            </w:r>
          </w:p>
        </w:tc>
        <w:tc>
          <w:tcPr>
            <w:tcW w:w="10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 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47"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Average monthly total revenue per customer relationship for the three and six months ended June 30, 2016 was $147.99 and $147.27, respectively. Average monthly total revenue per customer relationship for the three and six months ended June 30, 2015 was $143.61 and $142.30, respectively.</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operating margin is operating income before depreciation and amortization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Video revenue increased 2.8% and 3.3% for the three and six months ended June 30, 2016, respectively, compared to the same periods in 2015. The primary contributors to revenue growth were rate adjustments and, to a lesser extent, increases in the number of residential customers subscribing to additional services such as premium channels and advanced services. These contributors accounted for increases in revenue of 2.9% and 3.6% for the three and six months ended June 30, 2016, respectively. These increases were partially offset by additional revenue in the prior year periods associated with a boxing event available on pay-per-view. We have in the past, and may in the future, experience declines in the number of residential video customers due to competitive pressures and the impact of rate adjustments.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High-speed Internet revenue increased 8.6% and 8.1% for the three and six months ended June 30, 2016, respectively, compared to the same periods in 2015. Increases in the number of residential customers receiving our high-speed Internet service accounted for increases in revenue of 6.0% for both the three and six months ended June 30, 2016. The remaining increases in revenue for the three and six months ended June 30, 2016 were primarily due to increases in the number of customers receiving higher levels of service and rate adjustments. Our customer base continues to grow as consumers continue to choose our high-speed Internet service and seek higher-speed offerings.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Voice revenue decreased 1.1% for both the three and six months ended June 30, 2016 compared to the same periods in 2015. While the number of residential customers receiving voice services through our discounted bundled service offerings increased for the three and six months ended June 30, 2016, revenue was negatively impacted by the allocation of voice revenue for our customers who receive bundled services compared to the same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periods in 2015. The amount allocated to voice revenue in the rate charged for bundled services decreased for the three and six months ended June 30, 2016 because video and high-speed Internet rates increased while voice rates remained relatively flat.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services revenue increased 17.0% and 17.2% for the three and six months ended June 30, 2016, respectively, compared to the same periods in 2015. The increases were primarily due to increases in the number of small business customers, as well as the continued growth in our medium-sized business services, including Ethernet network and advanced voice services. We believe the increases in the number of business customers are primarily the result of our efforts to gain market share from competitors by offering competitive services and pricing.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Advertising revenue increased 3.5% and 7.5% for the three and six months ended June 30, 2016, respectively, compared to the same periods in 2015 primarily due to increases in political advertising revenue.</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six months ended June 30, 2016, 4% and 5%, respectively, of our Cable Communications segment advertising revenue was generated from our NBCUniversal segments. For the three and six months ended June 30, 2015, 6% and 5%,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13.7% and 14.2% for the three and six months ended June 30, 2016, respectively, compared to the same periods in 2015 primarily due to increases in our home security and automation services and increases in cable franchise and other regulatory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Programming expenses increased for the three and six months ended June 30, 2016 compared to the same periods in 2015 primarily due to increases in programming license fees, including contract renewals, retransmission consent fees, sports programming costs and fees to secure rights for additional programming for our customers across an increasing number of platforms, which were partially offset by fees in the prior year periods associated with a boxing event available on pay-per-view.</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Technical and product support expenses increased for the three and six months ended June 30, 2016 compared to the same periods in 2015 primarily due to expenses related to the development, delivery and support of our enhanced devices and services, including our X1 platform, Cloud DVR technology and wireless gateways, and the continued growth in business services and home security and automation services. The increases were also due to expenses related to investments to improve the customer experience.</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for the three and six months ended June 30, 2016 compared to the same periods in 2015 primarily due to increased support for improving the customer experience and increases in total labor costs, reflecting sales and support activities associated with the continued deployment of our enhanced devices and services, which include our X1 platform, wireless gateways, and home security and automation services, and the continued growth of business services.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six months ended June 30, 2016 compared to the same periods in 2015 primarily due to increases in the revenue on which the fees apply.</w:t>
      </w:r>
    </w:p>
    <w:p>
      <w:pPr>
        <w:spacing w:after="0" w:line="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six months ended June 30, 2016 compared to the same periods in 2015 primarily due to increases in spending associated with attracting new residential and business services customers and encouraging existing customers to add additional or higher-tier services.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costs and expenses increased for the three and six months ended June 30, 2016 compared to the same periods in 2015 primarily due to increases in costs to support our advertising sales business, as well as increases in other administrative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Actual and Pro Forma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color w:val="auto"/>
                <w:w w:val="88"/>
              </w:rPr>
              <w:t>Three Months Ended June 30</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Increase/(Decrease)</w:t>
            </w:r>
          </w:p>
        </w:tc>
      </w:tr>
      <w:tr>
        <w:trPr>
          <w:trHeight w:val="142"/>
        </w:trPr>
        <w:tc>
          <w:tcPr>
            <w:tcW w:w="5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35"/>
              <w:spacing w:after="0" w:line="142" w:lineRule="exact"/>
              <w:rPr>
                <w:sz w:val="20"/>
                <w:szCs w:val="20"/>
                <w:color w:val="auto"/>
              </w:rPr>
            </w:pPr>
            <w:r>
              <w:rPr>
                <w:rFonts w:ascii="Arial" w:cs="Arial" w:eastAsia="Arial" w:hAnsi="Arial"/>
                <w:sz w:val="14"/>
                <w:szCs w:val="14"/>
                <w:color w:val="auto"/>
                <w:w w:val="83"/>
              </w:rPr>
              <w:t>2016</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16"/>
              <w:spacing w:after="0" w:line="142" w:lineRule="exact"/>
              <w:rPr>
                <w:sz w:val="20"/>
                <w:szCs w:val="20"/>
                <w:color w:val="auto"/>
              </w:rPr>
            </w:pPr>
            <w:r>
              <w:rPr>
                <w:rFonts w:ascii="Arial" w:cs="Arial" w:eastAsia="Arial" w:hAnsi="Arial"/>
                <w:sz w:val="14"/>
                <w:szCs w:val="14"/>
                <w:color w:val="auto"/>
                <w:w w:val="89"/>
              </w:rPr>
              <w:t>2015</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right="142"/>
              <w:spacing w:after="0" w:line="142" w:lineRule="exact"/>
              <w:rPr>
                <w:sz w:val="20"/>
                <w:szCs w:val="20"/>
                <w:color w:val="auto"/>
              </w:rPr>
            </w:pPr>
            <w:r>
              <w:rPr>
                <w:rFonts w:ascii="Arial" w:cs="Arial" w:eastAsia="Arial" w:hAnsi="Arial"/>
                <w:sz w:val="14"/>
                <w:szCs w:val="14"/>
                <w:color w:val="auto"/>
                <w:w w:val="96"/>
              </w:rPr>
              <w:t>%</w:t>
            </w:r>
          </w:p>
        </w:tc>
      </w:tr>
      <w:tr>
        <w:trPr>
          <w:trHeight w:val="115"/>
        </w:trPr>
        <w:tc>
          <w:tcPr>
            <w:tcW w:w="5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96"/>
              <w:spacing w:after="0" w:line="115" w:lineRule="exact"/>
              <w:rPr>
                <w:sz w:val="20"/>
                <w:szCs w:val="20"/>
                <w:color w:val="auto"/>
              </w:rPr>
            </w:pPr>
            <w:r>
              <w:rPr>
                <w:rFonts w:ascii="Arial" w:cs="Arial" w:eastAsia="Arial" w:hAnsi="Arial"/>
                <w:sz w:val="12"/>
                <w:szCs w:val="12"/>
                <w:color w:val="auto"/>
              </w:rPr>
              <w:t>Pro Forma</w:t>
            </w:r>
          </w:p>
        </w:tc>
        <w:tc>
          <w:tcPr>
            <w:tcW w:w="800" w:type="dxa"/>
            <w:vAlign w:val="bottom"/>
            <w:gridSpan w:val="2"/>
          </w:tcPr>
          <w:p>
            <w:pPr>
              <w:ind w:left="120"/>
              <w:spacing w:after="0" w:line="115" w:lineRule="exact"/>
              <w:rPr>
                <w:sz w:val="20"/>
                <w:szCs w:val="20"/>
                <w:color w:val="auto"/>
              </w:rPr>
            </w:pPr>
            <w:r>
              <w:rPr>
                <w:rFonts w:ascii="Arial" w:cs="Arial" w:eastAsia="Arial" w:hAnsi="Arial"/>
                <w:sz w:val="12"/>
                <w:szCs w:val="12"/>
                <w:color w:val="auto"/>
              </w:rPr>
              <w:t>Pro Forma</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jc w:val="center"/>
              <w:ind w:right="122"/>
              <w:spacing w:after="0" w:line="115" w:lineRule="exact"/>
              <w:rPr>
                <w:sz w:val="20"/>
                <w:szCs w:val="20"/>
                <w:color w:val="auto"/>
              </w:rPr>
            </w:pPr>
            <w:r>
              <w:rPr>
                <w:rFonts w:ascii="Arial" w:cs="Arial" w:eastAsia="Arial" w:hAnsi="Arial"/>
                <w:sz w:val="12"/>
                <w:szCs w:val="12"/>
                <w:color w:val="auto"/>
              </w:rPr>
              <w:t>Pro Forma</w:t>
            </w:r>
          </w:p>
        </w:tc>
      </w:tr>
      <w:tr>
        <w:trPr>
          <w:trHeight w:val="176"/>
        </w:trPr>
        <w:tc>
          <w:tcPr>
            <w:tcW w:w="5320" w:type="dxa"/>
            <w:vAlign w:val="bottom"/>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Actual</w:t>
            </w:r>
          </w:p>
        </w:tc>
        <w:tc>
          <w:tcPr>
            <w:tcW w:w="3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color w:val="auto"/>
                <w:w w:val="92"/>
              </w:rPr>
              <w:t>Actual</w:t>
            </w:r>
          </w:p>
        </w:tc>
        <w:tc>
          <w:tcPr>
            <w:tcW w:w="112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Adjustments</w:t>
            </w:r>
            <w:r>
              <w:rPr>
                <w:rFonts w:ascii="Arial" w:cs="Arial" w:eastAsia="Arial" w:hAnsi="Arial"/>
                <w:sz w:val="20"/>
                <w:szCs w:val="20"/>
                <w:color w:val="auto"/>
                <w:vertAlign w:val="superscript"/>
              </w:rPr>
              <w:t>(a)</w:t>
            </w:r>
          </w:p>
        </w:tc>
        <w:tc>
          <w:tcPr>
            <w:tcW w:w="1100" w:type="dxa"/>
            <w:vAlign w:val="bottom"/>
            <w:gridSpan w:val="3"/>
          </w:tcPr>
          <w:p>
            <w:pPr>
              <w:ind w:left="120"/>
              <w:spacing w:after="0"/>
              <w:rPr>
                <w:sz w:val="20"/>
                <w:szCs w:val="20"/>
                <w:color w:val="auto"/>
              </w:rPr>
            </w:pPr>
            <w:r>
              <w:rPr>
                <w:rFonts w:ascii="Arial" w:cs="Arial" w:eastAsia="Arial" w:hAnsi="Arial"/>
                <w:sz w:val="14"/>
                <w:szCs w:val="14"/>
                <w:color w:val="auto"/>
              </w:rPr>
              <w:t>Combined</w:t>
            </w:r>
          </w:p>
        </w:tc>
        <w:tc>
          <w:tcPr>
            <w:tcW w:w="780" w:type="dxa"/>
            <w:vAlign w:val="bottom"/>
          </w:tcPr>
          <w:p>
            <w:pPr>
              <w:jc w:val="right"/>
              <w:ind w:right="276"/>
              <w:spacing w:after="0"/>
              <w:rPr>
                <w:sz w:val="20"/>
                <w:szCs w:val="20"/>
                <w:color w:val="auto"/>
              </w:rPr>
            </w:pPr>
            <w:r>
              <w:rPr>
                <w:rFonts w:ascii="Arial" w:cs="Arial" w:eastAsia="Arial" w:hAnsi="Arial"/>
                <w:sz w:val="14"/>
                <w:szCs w:val="14"/>
                <w:color w:val="auto"/>
              </w:rPr>
              <w:t>Actual</w:t>
            </w:r>
          </w:p>
        </w:tc>
        <w:tc>
          <w:tcPr>
            <w:tcW w:w="940" w:type="dxa"/>
            <w:vAlign w:val="bottom"/>
          </w:tcPr>
          <w:p>
            <w:pPr>
              <w:jc w:val="center"/>
              <w:ind w:right="142"/>
              <w:spacing w:after="0"/>
              <w:rPr>
                <w:sz w:val="20"/>
                <w:szCs w:val="20"/>
                <w:color w:val="auto"/>
              </w:rPr>
            </w:pPr>
            <w:r>
              <w:rPr>
                <w:rFonts w:ascii="Arial" w:cs="Arial" w:eastAsia="Arial" w:hAnsi="Arial"/>
                <w:sz w:val="14"/>
                <w:szCs w:val="14"/>
                <w:color w:val="auto"/>
                <w:w w:val="87"/>
              </w:rPr>
              <w:t>Combined</w:t>
            </w:r>
          </w:p>
        </w:tc>
      </w:tr>
      <w:tr>
        <w:trPr>
          <w:trHeight w:val="210"/>
        </w:trPr>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E5E5E5"/>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2,566</w:t>
            </w: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2,450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2,450</w:t>
            </w:r>
          </w:p>
        </w:tc>
        <w:tc>
          <w:tcPr>
            <w:tcW w:w="300" w:type="dxa"/>
            <w:vAlign w:val="bottom"/>
          </w:tcPr>
          <w:p>
            <w:pPr>
              <w:spacing w:after="0"/>
              <w:rPr>
                <w:sz w:val="18"/>
                <w:szCs w:val="18"/>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2,128</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1,813</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3"/>
              </w:rPr>
              <w:t>1,813</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17.3</w:t>
            </w:r>
          </w:p>
        </w:tc>
        <w:tc>
          <w:tcPr>
            <w:tcW w:w="9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2,266</w:t>
            </w:r>
          </w:p>
        </w:tc>
        <w:tc>
          <w:tcPr>
            <w:tcW w:w="22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2,266</w:t>
            </w:r>
          </w:p>
        </w:tc>
        <w:tc>
          <w:tcPr>
            <w:tcW w:w="300" w:type="dxa"/>
            <w:vAlign w:val="bottom"/>
          </w:tcPr>
          <w:p>
            <w:pPr>
              <w:spacing w:after="0"/>
              <w:rPr>
                <w:sz w:val="18"/>
                <w:szCs w:val="18"/>
                <w:color w:val="auto"/>
              </w:rPr>
            </w:pPr>
          </w:p>
        </w:tc>
        <w:tc>
          <w:tcPr>
            <w:tcW w:w="780" w:type="dxa"/>
            <w:vAlign w:val="bottom"/>
          </w:tcPr>
          <w:p>
            <w:pPr>
              <w:jc w:val="right"/>
              <w:ind w:right="176"/>
              <w:spacing w:after="0"/>
              <w:rPr>
                <w:sz w:val="20"/>
                <w:szCs w:val="20"/>
                <w:color w:val="auto"/>
              </w:rPr>
            </w:pPr>
            <w:r>
              <w:rPr>
                <w:rFonts w:ascii="Arial" w:cs="Arial" w:eastAsia="Arial" w:hAnsi="Arial"/>
                <w:sz w:val="18"/>
                <w:szCs w:val="18"/>
                <w:color w:val="auto"/>
              </w:rPr>
              <w:t>(40.4)</w:t>
            </w: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3"/>
              </w:rPr>
              <w:t>1,028</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47.0</w:t>
            </w:r>
          </w:p>
        </w:tc>
        <w:tc>
          <w:tcPr>
            <w:tcW w:w="94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10.6%</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E5E5E5"/>
            </w:tcBorders>
          </w:tcPr>
          <w:p>
            <w:pPr>
              <w:spacing w:after="0"/>
              <w:rPr>
                <w:sz w:val="18"/>
                <w:szCs w:val="18"/>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NM</w:t>
            </w:r>
          </w:p>
        </w:tc>
        <w:tc>
          <w:tcPr>
            <w:tcW w:w="940" w:type="dxa"/>
            <w:vAlign w:val="bottom"/>
            <w:tcBorders>
              <w:bottom w:val="single" w:sz="8" w:color="auto"/>
            </w:tcBorders>
          </w:tcPr>
          <w:p>
            <w:pPr>
              <w:spacing w:after="0"/>
              <w:rPr>
                <w:sz w:val="18"/>
                <w:szCs w:val="18"/>
                <w:color w:val="auto"/>
              </w:rPr>
            </w:pPr>
          </w:p>
        </w:tc>
      </w:tr>
      <w:tr>
        <w:trPr>
          <w:trHeight w:val="217"/>
        </w:trPr>
        <w:tc>
          <w:tcPr>
            <w:tcW w:w="5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7,103</w:t>
            </w:r>
          </w:p>
        </w:tc>
        <w:tc>
          <w:tcPr>
            <w:tcW w:w="28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7,230</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254</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93"/>
              </w:rPr>
              <w:t>7,484</w:t>
            </w:r>
          </w:p>
        </w:tc>
        <w:tc>
          <w:tcPr>
            <w:tcW w:w="30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8.3%</w:t>
            </w:r>
          </w:p>
        </w:tc>
        <w:tc>
          <w:tcPr>
            <w:tcW w:w="9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70.5</w:t>
            </w: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56</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422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(86.7)</w:t>
            </w:r>
          </w:p>
        </w:tc>
        <w:tc>
          <w:tcPr>
            <w:tcW w:w="9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40.5</w:t>
            </w:r>
          </w:p>
        </w:tc>
        <w:tc>
          <w:tcPr>
            <w:tcW w:w="940" w:type="dxa"/>
            <w:vAlign w:val="bottom"/>
          </w:tcPr>
          <w:p>
            <w:pPr>
              <w:jc w:val="right"/>
              <w:ind w:right="62"/>
              <w:spacing w:after="0"/>
              <w:rPr>
                <w:sz w:val="20"/>
                <w:szCs w:val="20"/>
                <w:color w:val="auto"/>
              </w:rPr>
            </w:pPr>
            <w:r>
              <w:rPr>
                <w:rFonts w:ascii="Arial" w:cs="Arial" w:eastAsia="Arial" w:hAnsi="Arial"/>
                <w:sz w:val="18"/>
                <w:szCs w:val="18"/>
                <w:color w:val="auto"/>
              </w:rPr>
              <w:t>5.3%</w:t>
            </w:r>
          </w:p>
        </w:tc>
      </w:tr>
      <w:tr>
        <w:trPr>
          <w:trHeight w:val="216"/>
        </w:trPr>
        <w:tc>
          <w:tcPr>
            <w:tcW w:w="5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NM</w:t>
            </w:r>
          </w:p>
        </w:tc>
        <w:tc>
          <w:tcPr>
            <w:tcW w:w="940" w:type="dxa"/>
            <w:vAlign w:val="bottom"/>
            <w:tcBorders>
              <w:bottom w:val="single" w:sz="8" w:color="auto"/>
            </w:tcBorders>
            <w:shd w:val="clear" w:color="auto" w:fill="E5E5E5"/>
          </w:tcPr>
          <w:p>
            <w:pPr>
              <w:spacing w:after="0"/>
              <w:rPr>
                <w:sz w:val="18"/>
                <w:szCs w:val="18"/>
                <w:color w:val="auto"/>
              </w:rPr>
            </w:pPr>
          </w:p>
        </w:tc>
      </w:tr>
      <w:tr>
        <w:trPr>
          <w:trHeight w:val="21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1,689</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1,692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112</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3"/>
              </w:rPr>
              <w:t>1,804</w:t>
            </w:r>
          </w:p>
        </w:tc>
        <w:tc>
          <w:tcPr>
            <w:tcW w:w="3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r>
      <w:tr>
        <w:trPr>
          <w:trHeight w:val="243"/>
        </w:trPr>
        <w:tc>
          <w:tcPr>
            <w:tcW w:w="5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color w:val="auto"/>
                <w:w w:val="93"/>
              </w:rPr>
              <w:t>Six Months Ended June 30</w:t>
            </w: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Increase/(Decrease)</w:t>
            </w:r>
          </w:p>
        </w:tc>
      </w:tr>
      <w:tr>
        <w:trPr>
          <w:trHeight w:val="142"/>
        </w:trPr>
        <w:tc>
          <w:tcPr>
            <w:tcW w:w="5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35"/>
              <w:spacing w:after="0" w:line="142" w:lineRule="exact"/>
              <w:rPr>
                <w:sz w:val="20"/>
                <w:szCs w:val="20"/>
                <w:color w:val="auto"/>
              </w:rPr>
            </w:pPr>
            <w:r>
              <w:rPr>
                <w:rFonts w:ascii="Arial" w:cs="Arial" w:eastAsia="Arial" w:hAnsi="Arial"/>
                <w:sz w:val="14"/>
                <w:szCs w:val="14"/>
                <w:color w:val="auto"/>
                <w:w w:val="83"/>
              </w:rPr>
              <w:t>2016</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16"/>
              <w:spacing w:after="0" w:line="142" w:lineRule="exact"/>
              <w:rPr>
                <w:sz w:val="20"/>
                <w:szCs w:val="20"/>
                <w:color w:val="auto"/>
              </w:rPr>
            </w:pPr>
            <w:r>
              <w:rPr>
                <w:rFonts w:ascii="Arial" w:cs="Arial" w:eastAsia="Arial" w:hAnsi="Arial"/>
                <w:sz w:val="14"/>
                <w:szCs w:val="14"/>
                <w:color w:val="auto"/>
                <w:w w:val="89"/>
              </w:rPr>
              <w:t>2015</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right="142"/>
              <w:spacing w:after="0" w:line="142" w:lineRule="exact"/>
              <w:rPr>
                <w:sz w:val="20"/>
                <w:szCs w:val="20"/>
                <w:color w:val="auto"/>
              </w:rPr>
            </w:pPr>
            <w:r>
              <w:rPr>
                <w:rFonts w:ascii="Arial" w:cs="Arial" w:eastAsia="Arial" w:hAnsi="Arial"/>
                <w:sz w:val="14"/>
                <w:szCs w:val="14"/>
                <w:color w:val="auto"/>
                <w:w w:val="96"/>
              </w:rPr>
              <w:t>%</w:t>
            </w:r>
          </w:p>
        </w:tc>
      </w:tr>
      <w:tr>
        <w:trPr>
          <w:trHeight w:val="115"/>
        </w:trPr>
        <w:tc>
          <w:tcPr>
            <w:tcW w:w="5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96"/>
              <w:spacing w:after="0" w:line="115" w:lineRule="exact"/>
              <w:rPr>
                <w:sz w:val="20"/>
                <w:szCs w:val="20"/>
                <w:color w:val="auto"/>
              </w:rPr>
            </w:pPr>
            <w:r>
              <w:rPr>
                <w:rFonts w:ascii="Arial" w:cs="Arial" w:eastAsia="Arial" w:hAnsi="Arial"/>
                <w:sz w:val="12"/>
                <w:szCs w:val="12"/>
                <w:color w:val="auto"/>
              </w:rPr>
              <w:t>Pro Forma</w:t>
            </w:r>
          </w:p>
        </w:tc>
        <w:tc>
          <w:tcPr>
            <w:tcW w:w="800" w:type="dxa"/>
            <w:vAlign w:val="bottom"/>
            <w:gridSpan w:val="2"/>
          </w:tcPr>
          <w:p>
            <w:pPr>
              <w:ind w:left="120"/>
              <w:spacing w:after="0" w:line="115" w:lineRule="exact"/>
              <w:rPr>
                <w:sz w:val="20"/>
                <w:szCs w:val="20"/>
                <w:color w:val="auto"/>
              </w:rPr>
            </w:pPr>
            <w:r>
              <w:rPr>
                <w:rFonts w:ascii="Arial" w:cs="Arial" w:eastAsia="Arial" w:hAnsi="Arial"/>
                <w:sz w:val="12"/>
                <w:szCs w:val="12"/>
                <w:color w:val="auto"/>
              </w:rPr>
              <w:t>Pro Forma</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jc w:val="center"/>
              <w:ind w:right="122"/>
              <w:spacing w:after="0" w:line="115" w:lineRule="exact"/>
              <w:rPr>
                <w:sz w:val="20"/>
                <w:szCs w:val="20"/>
                <w:color w:val="auto"/>
              </w:rPr>
            </w:pPr>
            <w:r>
              <w:rPr>
                <w:rFonts w:ascii="Arial" w:cs="Arial" w:eastAsia="Arial" w:hAnsi="Arial"/>
                <w:sz w:val="12"/>
                <w:szCs w:val="12"/>
                <w:color w:val="auto"/>
              </w:rPr>
              <w:t>Pro Forma</w:t>
            </w:r>
          </w:p>
        </w:tc>
      </w:tr>
      <w:tr>
        <w:trPr>
          <w:trHeight w:val="176"/>
        </w:trPr>
        <w:tc>
          <w:tcPr>
            <w:tcW w:w="5320" w:type="dxa"/>
            <w:vAlign w:val="bottom"/>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Actual</w:t>
            </w:r>
          </w:p>
        </w:tc>
        <w:tc>
          <w:tcPr>
            <w:tcW w:w="3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color w:val="auto"/>
                <w:w w:val="92"/>
              </w:rPr>
              <w:t>Actual</w:t>
            </w:r>
          </w:p>
        </w:tc>
        <w:tc>
          <w:tcPr>
            <w:tcW w:w="112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Adjustments</w:t>
            </w:r>
            <w:r>
              <w:rPr>
                <w:rFonts w:ascii="Arial" w:cs="Arial" w:eastAsia="Arial" w:hAnsi="Arial"/>
                <w:sz w:val="20"/>
                <w:szCs w:val="20"/>
                <w:color w:val="auto"/>
                <w:vertAlign w:val="superscript"/>
              </w:rPr>
              <w:t>(a)</w:t>
            </w:r>
          </w:p>
        </w:tc>
        <w:tc>
          <w:tcPr>
            <w:tcW w:w="1100" w:type="dxa"/>
            <w:vAlign w:val="bottom"/>
            <w:gridSpan w:val="3"/>
          </w:tcPr>
          <w:p>
            <w:pPr>
              <w:ind w:left="120"/>
              <w:spacing w:after="0"/>
              <w:rPr>
                <w:sz w:val="20"/>
                <w:szCs w:val="20"/>
                <w:color w:val="auto"/>
              </w:rPr>
            </w:pPr>
            <w:r>
              <w:rPr>
                <w:rFonts w:ascii="Arial" w:cs="Arial" w:eastAsia="Arial" w:hAnsi="Arial"/>
                <w:sz w:val="14"/>
                <w:szCs w:val="14"/>
                <w:color w:val="auto"/>
              </w:rPr>
              <w:t>Combined</w:t>
            </w:r>
          </w:p>
        </w:tc>
        <w:tc>
          <w:tcPr>
            <w:tcW w:w="780" w:type="dxa"/>
            <w:vAlign w:val="bottom"/>
          </w:tcPr>
          <w:p>
            <w:pPr>
              <w:jc w:val="right"/>
              <w:ind w:right="276"/>
              <w:spacing w:after="0"/>
              <w:rPr>
                <w:sz w:val="20"/>
                <w:szCs w:val="20"/>
                <w:color w:val="auto"/>
              </w:rPr>
            </w:pPr>
            <w:r>
              <w:rPr>
                <w:rFonts w:ascii="Arial" w:cs="Arial" w:eastAsia="Arial" w:hAnsi="Arial"/>
                <w:sz w:val="14"/>
                <w:szCs w:val="14"/>
                <w:color w:val="auto"/>
              </w:rPr>
              <w:t>Actual</w:t>
            </w:r>
          </w:p>
        </w:tc>
        <w:tc>
          <w:tcPr>
            <w:tcW w:w="940" w:type="dxa"/>
            <w:vAlign w:val="bottom"/>
          </w:tcPr>
          <w:p>
            <w:pPr>
              <w:jc w:val="center"/>
              <w:ind w:right="142"/>
              <w:spacing w:after="0"/>
              <w:rPr>
                <w:sz w:val="20"/>
                <w:szCs w:val="20"/>
                <w:color w:val="auto"/>
              </w:rPr>
            </w:pPr>
            <w:r>
              <w:rPr>
                <w:rFonts w:ascii="Arial" w:cs="Arial" w:eastAsia="Arial" w:hAnsi="Arial"/>
                <w:sz w:val="14"/>
                <w:szCs w:val="14"/>
                <w:color w:val="auto"/>
                <w:w w:val="87"/>
              </w:rPr>
              <w:t>Combined</w:t>
            </w:r>
          </w:p>
        </w:tc>
      </w:tr>
      <w:tr>
        <w:trPr>
          <w:trHeight w:val="210"/>
        </w:trPr>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E5E5E5"/>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5,019</w:t>
            </w: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4,809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4,809</w:t>
            </w:r>
          </w:p>
        </w:tc>
        <w:tc>
          <w:tcPr>
            <w:tcW w:w="300" w:type="dxa"/>
            <w:vAlign w:val="bottom"/>
          </w:tcPr>
          <w:p>
            <w:pPr>
              <w:spacing w:after="0"/>
              <w:rPr>
                <w:sz w:val="18"/>
                <w:szCs w:val="18"/>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4.4%</w:t>
            </w: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4,212</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4,061</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3"/>
              </w:rPr>
              <w:t>4,061</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3.7</w:t>
            </w:r>
          </w:p>
        </w:tc>
        <w:tc>
          <w:tcPr>
            <w:tcW w:w="9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2,734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3,712</w:t>
            </w:r>
          </w:p>
        </w:tc>
        <w:tc>
          <w:tcPr>
            <w:tcW w:w="22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3,712</w:t>
            </w:r>
          </w:p>
        </w:tc>
        <w:tc>
          <w:tcPr>
            <w:tcW w:w="300" w:type="dxa"/>
            <w:vAlign w:val="bottom"/>
          </w:tcPr>
          <w:p>
            <w:pPr>
              <w:spacing w:after="0"/>
              <w:rPr>
                <w:sz w:val="18"/>
                <w:szCs w:val="18"/>
                <w:color w:val="auto"/>
              </w:rPr>
            </w:pPr>
          </w:p>
        </w:tc>
        <w:tc>
          <w:tcPr>
            <w:tcW w:w="780" w:type="dxa"/>
            <w:vAlign w:val="bottom"/>
          </w:tcPr>
          <w:p>
            <w:pPr>
              <w:jc w:val="right"/>
              <w:ind w:right="176"/>
              <w:spacing w:after="0"/>
              <w:rPr>
                <w:sz w:val="20"/>
                <w:szCs w:val="20"/>
                <w:color w:val="auto"/>
              </w:rPr>
            </w:pPr>
            <w:r>
              <w:rPr>
                <w:rFonts w:ascii="Arial" w:cs="Arial" w:eastAsia="Arial" w:hAnsi="Arial"/>
                <w:sz w:val="18"/>
                <w:szCs w:val="18"/>
                <w:color w:val="auto"/>
              </w:rPr>
              <w:t>(26.4)</w:t>
            </w: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2,162</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3"/>
              </w:rPr>
              <w:t>1,963</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51.8</w:t>
            </w:r>
          </w:p>
        </w:tc>
        <w:tc>
          <w:tcPr>
            <w:tcW w:w="94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10.2%</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E5E5E5"/>
            </w:tcBorders>
          </w:tcPr>
          <w:p>
            <w:pPr>
              <w:spacing w:after="0"/>
              <w:rPr>
                <w:sz w:val="18"/>
                <w:szCs w:val="18"/>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NM</w:t>
            </w:r>
          </w:p>
        </w:tc>
        <w:tc>
          <w:tcPr>
            <w:tcW w:w="940" w:type="dxa"/>
            <w:vAlign w:val="bottom"/>
            <w:tcBorders>
              <w:bottom w:val="single" w:sz="8" w:color="auto"/>
            </w:tcBorders>
          </w:tcPr>
          <w:p>
            <w:pPr>
              <w:spacing w:after="0"/>
              <w:rPr>
                <w:sz w:val="18"/>
                <w:szCs w:val="18"/>
                <w:color w:val="auto"/>
              </w:rPr>
            </w:pPr>
          </w:p>
        </w:tc>
      </w:tr>
      <w:tr>
        <w:trPr>
          <w:trHeight w:val="217"/>
        </w:trPr>
        <w:tc>
          <w:tcPr>
            <w:tcW w:w="5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w w:val="83"/>
              </w:rPr>
              <w:t>13,964</w:t>
            </w:r>
          </w:p>
        </w:tc>
        <w:tc>
          <w:tcPr>
            <w:tcW w:w="280" w:type="dxa"/>
            <w:vAlign w:val="bottom"/>
            <w:tcBorders>
              <w:bottom w:val="single" w:sz="8" w:color="E5E5E5"/>
            </w:tcBorders>
            <w:shd w:val="clear" w:color="auto" w:fill="E5E5E5"/>
          </w:tcPr>
          <w:p>
            <w:pPr>
              <w:spacing w:after="0"/>
              <w:rPr>
                <w:sz w:val="18"/>
                <w:szCs w:val="18"/>
                <w:color w:val="auto"/>
              </w:rPr>
            </w:pPr>
          </w:p>
        </w:tc>
        <w:tc>
          <w:tcPr>
            <w:tcW w:w="980" w:type="dxa"/>
            <w:vAlign w:val="bottom"/>
            <w:tcBorders>
              <w:bottom w:val="single" w:sz="8" w:color="auto"/>
            </w:tcBorders>
            <w:gridSpan w:val="2"/>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$13,834</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538</w:t>
            </w:r>
          </w:p>
        </w:tc>
        <w:tc>
          <w:tcPr>
            <w:tcW w:w="80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$14,372</w:t>
            </w:r>
          </w:p>
        </w:tc>
        <w:tc>
          <w:tcPr>
            <w:tcW w:w="30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b w:val="1"/>
                <w:bCs w:val="1"/>
                <w:color w:val="auto"/>
              </w:rPr>
              <w:t>0.9%</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(2.8)%</w:t>
            </w: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1,900</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3"/>
              </w:rPr>
              <w:t>1,770</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7.3%</w:t>
            </w:r>
          </w:p>
        </w:tc>
        <w:tc>
          <w:tcPr>
            <w:tcW w:w="9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64.3</w:t>
            </w:r>
          </w:p>
        </w:tc>
        <w:tc>
          <w:tcPr>
            <w:tcW w:w="9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(68.8)</w:t>
            </w:r>
          </w:p>
        </w:tc>
        <w:tc>
          <w:tcPr>
            <w:tcW w:w="9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844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Arial" w:cs="Arial" w:eastAsia="Arial" w:hAnsi="Arial"/>
                <w:sz w:val="18"/>
                <w:szCs w:val="18"/>
                <w:color w:val="auto"/>
              </w:rPr>
              <w:t>46.0</w:t>
            </w:r>
          </w:p>
        </w:tc>
        <w:tc>
          <w:tcPr>
            <w:tcW w:w="940" w:type="dxa"/>
            <w:vAlign w:val="bottom"/>
          </w:tcPr>
          <w:p>
            <w:pPr>
              <w:jc w:val="right"/>
              <w:ind w:right="62"/>
              <w:spacing w:after="0"/>
              <w:rPr>
                <w:sz w:val="20"/>
                <w:szCs w:val="20"/>
                <w:color w:val="auto"/>
              </w:rPr>
            </w:pPr>
            <w:r>
              <w:rPr>
                <w:rFonts w:ascii="Arial" w:cs="Arial" w:eastAsia="Arial" w:hAnsi="Arial"/>
                <w:sz w:val="18"/>
                <w:szCs w:val="18"/>
                <w:color w:val="auto"/>
              </w:rPr>
              <w:t>4.4%</w:t>
            </w:r>
          </w:p>
        </w:tc>
      </w:tr>
      <w:tr>
        <w:trPr>
          <w:trHeight w:val="216"/>
        </w:trPr>
        <w:tc>
          <w:tcPr>
            <w:tcW w:w="5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(334)</w:t>
            </w:r>
          </w:p>
        </w:tc>
        <w:tc>
          <w:tcPr>
            <w:tcW w:w="28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NM</w:t>
            </w:r>
          </w:p>
        </w:tc>
        <w:tc>
          <w:tcPr>
            <w:tcW w:w="940" w:type="dxa"/>
            <w:vAlign w:val="bottom"/>
            <w:tcBorders>
              <w:bottom w:val="single" w:sz="8" w:color="auto"/>
            </w:tcBorders>
            <w:shd w:val="clear" w:color="auto" w:fill="E5E5E5"/>
          </w:tcPr>
          <w:p>
            <w:pPr>
              <w:spacing w:after="0"/>
              <w:rPr>
                <w:sz w:val="18"/>
                <w:szCs w:val="18"/>
                <w:color w:val="auto"/>
              </w:rPr>
            </w:pPr>
          </w:p>
        </w:tc>
      </w:tr>
      <w:tr>
        <w:trPr>
          <w:trHeight w:val="21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3,311</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3,167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231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3"/>
              </w:rPr>
              <w:t>3,398</w:t>
            </w:r>
          </w:p>
        </w:tc>
        <w:tc>
          <w:tcPr>
            <w:tcW w:w="300" w:type="dxa"/>
            <w:vAlign w:val="bottom"/>
          </w:tcPr>
          <w:p>
            <w:pPr>
              <w:spacing w:after="0"/>
              <w:rPr>
                <w:sz w:val="18"/>
                <w:szCs w:val="18"/>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jc w:val="both"/>
        <w:ind w:left="34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 forma adjustments are presented as if the acquisition of the 51% interest of Universal Studios Japan occurred on January 1, 2014. Pro forma information does not include adjustments for transaction-related costs, costs related to integration activities, or cost savings or synergies that have been or may be achieved by the combined businesses. The pro forma amounts are primarily based on historical results of operations and are subject to change as valuations are finalized. Pro forma amounts are not necessarily indicative of what our results would have been had we operated Universal Studios Japan since January 1, 2014, nor of our future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80" w:type="dxa"/>
            <w:vAlign w:val="bottom"/>
            <w:gridSpan w:val="3"/>
          </w:tcPr>
          <w:p>
            <w:pPr>
              <w:jc w:val="right"/>
              <w:ind w:right="74"/>
              <w:spacing w:after="0"/>
              <w:rPr>
                <w:sz w:val="20"/>
                <w:szCs w:val="20"/>
                <w:color w:val="auto"/>
              </w:rPr>
            </w:pPr>
            <w:r>
              <w:rPr>
                <w:rFonts w:ascii="Arial" w:cs="Arial" w:eastAsia="Arial" w:hAnsi="Arial"/>
                <w:sz w:val="14"/>
                <w:szCs w:val="14"/>
                <w:color w:val="auto"/>
                <w:w w:val="99"/>
              </w:rPr>
              <w:t>Three Months Ended</w:t>
            </w:r>
          </w:p>
        </w:tc>
        <w:tc>
          <w:tcPr>
            <w:tcW w:w="200" w:type="dxa"/>
            <w:vAlign w:val="bottom"/>
          </w:tcPr>
          <w:p>
            <w:pPr>
              <w:spacing w:after="0"/>
              <w:rPr>
                <w:sz w:val="14"/>
                <w:szCs w:val="14"/>
                <w:color w:val="auto"/>
              </w:rPr>
            </w:pPr>
          </w:p>
        </w:tc>
        <w:tc>
          <w:tcPr>
            <w:tcW w:w="108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73"/>
        </w:trPr>
        <w:tc>
          <w:tcPr>
            <w:tcW w:w="86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34"/>
              <w:spacing w:after="0"/>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42"/>
        </w:trPr>
        <w:tc>
          <w:tcPr>
            <w:tcW w:w="8660" w:type="dxa"/>
            <w:vAlign w:val="bottom"/>
            <w:gridSpan w:val="2"/>
            <w:vMerge w:val="continue"/>
          </w:tcPr>
          <w:p>
            <w:pPr>
              <w:spacing w:after="0"/>
              <w:rPr>
                <w:sz w:val="12"/>
                <w:szCs w:val="12"/>
                <w:color w:val="auto"/>
              </w:rPr>
            </w:pPr>
          </w:p>
        </w:tc>
        <w:tc>
          <w:tcPr>
            <w:tcW w:w="740" w:type="dxa"/>
            <w:vAlign w:val="bottom"/>
          </w:tcPr>
          <w:p>
            <w:pPr>
              <w:jc w:val="right"/>
              <w:ind w:right="157"/>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200" w:type="dxa"/>
            <w:vAlign w:val="bottom"/>
          </w:tcPr>
          <w:p>
            <w:pPr>
              <w:spacing w:after="0"/>
              <w:rPr>
                <w:sz w:val="12"/>
                <w:szCs w:val="12"/>
                <w:color w:val="auto"/>
              </w:rPr>
            </w:pPr>
          </w:p>
        </w:tc>
        <w:tc>
          <w:tcPr>
            <w:tcW w:w="400" w:type="dxa"/>
            <w:vAlign w:val="bottom"/>
          </w:tcPr>
          <w:p>
            <w:pPr>
              <w:jc w:val="right"/>
              <w:ind w:right="198"/>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$ 1,434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1,341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8"/>
              <w:spacing w:after="0"/>
              <w:rPr>
                <w:sz w:val="20"/>
                <w:szCs w:val="20"/>
                <w:color w:val="auto"/>
              </w:rPr>
            </w:pPr>
            <w:r>
              <w:rPr>
                <w:rFonts w:ascii="Arial" w:cs="Arial" w:eastAsia="Arial" w:hAnsi="Arial"/>
                <w:sz w:val="18"/>
                <w:szCs w:val="18"/>
                <w:color w:val="auto"/>
              </w:rPr>
              <w:t>93</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26</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2,566</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2,450</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58"/>
              <w:spacing w:after="0"/>
              <w:rPr>
                <w:sz w:val="20"/>
                <w:szCs w:val="20"/>
                <w:color w:val="auto"/>
              </w:rPr>
            </w:pPr>
            <w:r>
              <w:rPr>
                <w:rFonts w:ascii="Arial" w:cs="Arial" w:eastAsia="Arial" w:hAnsi="Arial"/>
                <w:sz w:val="18"/>
                <w:szCs w:val="18"/>
                <w:b w:val="1"/>
                <w:bCs w:val="1"/>
                <w:color w:val="auto"/>
                <w:w w:val="79"/>
              </w:rPr>
              <w:t>116</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1,194</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1,125</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69</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7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(18)</w:t>
            </w: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1,578</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44</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7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  944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872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72</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480" w:type="dxa"/>
            <w:vAlign w:val="bottom"/>
            <w:gridSpan w:val="3"/>
          </w:tcPr>
          <w:p>
            <w:pPr>
              <w:jc w:val="right"/>
              <w:ind w:right="154"/>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24"/>
                <w:szCs w:val="24"/>
                <w:color w:val="auto"/>
              </w:rPr>
            </w:pPr>
          </w:p>
        </w:tc>
        <w:tc>
          <w:tcPr>
            <w:tcW w:w="108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86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34"/>
              <w:spacing w:after="0" w:line="159" w:lineRule="exact"/>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42"/>
        </w:trPr>
        <w:tc>
          <w:tcPr>
            <w:tcW w:w="8660" w:type="dxa"/>
            <w:vAlign w:val="bottom"/>
            <w:gridSpan w:val="2"/>
            <w:vMerge w:val="continue"/>
          </w:tcPr>
          <w:p>
            <w:pPr>
              <w:spacing w:after="0"/>
              <w:rPr>
                <w:sz w:val="12"/>
                <w:szCs w:val="12"/>
                <w:color w:val="auto"/>
              </w:rPr>
            </w:pPr>
          </w:p>
        </w:tc>
        <w:tc>
          <w:tcPr>
            <w:tcW w:w="740" w:type="dxa"/>
            <w:vAlign w:val="bottom"/>
          </w:tcPr>
          <w:p>
            <w:pPr>
              <w:jc w:val="right"/>
              <w:ind w:right="157"/>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200" w:type="dxa"/>
            <w:vAlign w:val="bottom"/>
          </w:tcPr>
          <w:p>
            <w:pPr>
              <w:spacing w:after="0"/>
              <w:rPr>
                <w:sz w:val="12"/>
                <w:szCs w:val="12"/>
                <w:color w:val="auto"/>
              </w:rPr>
            </w:pPr>
          </w:p>
        </w:tc>
        <w:tc>
          <w:tcPr>
            <w:tcW w:w="400" w:type="dxa"/>
            <w:vAlign w:val="bottom"/>
          </w:tcPr>
          <w:p>
            <w:pPr>
              <w:jc w:val="right"/>
              <w:ind w:right="198"/>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$ 2,872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2,699</w:t>
            </w:r>
          </w:p>
        </w:tc>
        <w:tc>
          <w:tcPr>
            <w:tcW w:w="600" w:type="dxa"/>
            <w:vAlign w:val="bottom"/>
            <w:gridSpan w:val="2"/>
          </w:tcPr>
          <w:p>
            <w:pPr>
              <w:jc w:val="right"/>
              <w:ind w:right="58"/>
              <w:spacing w:after="0"/>
              <w:rPr>
                <w:sz w:val="20"/>
                <w:szCs w:val="20"/>
                <w:color w:val="auto"/>
              </w:rPr>
            </w:pPr>
            <w:r>
              <w:rPr>
                <w:rFonts w:ascii="Arial" w:cs="Arial" w:eastAsia="Arial" w:hAnsi="Arial"/>
                <w:sz w:val="18"/>
                <w:szCs w:val="18"/>
                <w:color w:val="auto"/>
              </w:rPr>
              <w:t>$173</w:t>
            </w: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1,768</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382</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40</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5,019</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4,809</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58"/>
              <w:spacing w:after="0"/>
              <w:rPr>
                <w:sz w:val="20"/>
                <w:szCs w:val="20"/>
                <w:color w:val="auto"/>
              </w:rPr>
            </w:pPr>
            <w:r>
              <w:rPr>
                <w:rFonts w:ascii="Arial" w:cs="Arial" w:eastAsia="Arial" w:hAnsi="Arial"/>
                <w:sz w:val="18"/>
                <w:szCs w:val="18"/>
                <w:b w:val="1"/>
                <w:bCs w:val="1"/>
                <w:color w:val="auto"/>
                <w:w w:val="79"/>
              </w:rPr>
              <w:t>210</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7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2,148</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w w:val="79"/>
              </w:rPr>
              <w:t>104</w:t>
            </w: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7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266</w:t>
            </w:r>
          </w:p>
        </w:tc>
        <w:tc>
          <w:tcPr>
            <w:tcW w:w="2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(19)</w:t>
            </w: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3,119</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3,039</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80</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7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$ 1,900</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1,770</w:t>
            </w:r>
          </w:p>
        </w:tc>
        <w:tc>
          <w:tcPr>
            <w:tcW w:w="600" w:type="dxa"/>
            <w:vAlign w:val="bottom"/>
            <w:tcBorders>
              <w:bottom w:val="single" w:sz="8" w:color="auto"/>
            </w:tcBorders>
            <w:gridSpan w:val="2"/>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$130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Cable Networks revenue increased for the three and six months ended June 30, 2016 compared to the same periods in 2015 due to increases in distribution revenue and content licensing and other revenue, which were partially offset by slight decreases in advertising revenue. The increases in distribution revenue were primarily due to increases in the contractual rates charged under distribution agreements and contract renewals, which were partially offset by declines in the number of subscribers at our cable networks. The increases in content licensing and other revenue were primarily due to the timing of content provided under our licensing agreements. The decreases in advertising revenue were primarily due to continued declines in audience ratings at our networks, which were partially offset by higher prices for advertising units sold.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both the three and six months ended June 30, 2016, 14% of our Cable Networks segment revenue was generated from our Cable Communications segment.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both the three and six months ended June 30, 2015, 13% of our Cable Networks segment revenue was generated from our Cable Communications segment.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eliminated in our condensed consolidated financial statements but are included in the amounts presented 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increased for the three and six months ended June 30, 2016 compared to the same periods in 2015 primarily due to increases in programming and production costs, which were partially offset by decreases in advertising, marketing and promotion expenses and other operating and administrative expenses. The increases in programming and production costs were primarily due to increases in sports programming rights costs and our continued investment in original programming.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4"/>
                <w:szCs w:val="14"/>
                <w:color w:val="auto"/>
                <w:w w:val="99"/>
              </w:rPr>
              <w:t>Three Months Ended</w:t>
            </w:r>
          </w:p>
        </w:tc>
        <w:tc>
          <w:tcPr>
            <w:tcW w:w="1360" w:type="dxa"/>
            <w:vAlign w:val="bottom"/>
            <w:gridSpan w:val="2"/>
          </w:tcPr>
          <w:p>
            <w:pPr>
              <w:jc w:val="center"/>
              <w:ind w:right="7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8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7"/>
              <w:spacing w:after="0" w:line="142" w:lineRule="exact"/>
              <w:rPr>
                <w:sz w:val="20"/>
                <w:szCs w:val="20"/>
                <w:color w:val="auto"/>
              </w:rPr>
            </w:pPr>
            <w:r>
              <w:rPr>
                <w:rFonts w:ascii="Arial" w:cs="Arial" w:eastAsia="Arial" w:hAnsi="Arial"/>
                <w:sz w:val="14"/>
                <w:szCs w:val="14"/>
                <w:color w:val="auto"/>
                <w:w w:val="89"/>
              </w:rPr>
              <w:t>2016</w:t>
            </w: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660" w:type="dxa"/>
            <w:vAlign w:val="bottom"/>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w w:val="93"/>
              </w:rPr>
              <w:t>1,285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1,250</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  35</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320</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192</w:t>
            </w: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Distribution and other</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243</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88</w:t>
            </w: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b w:val="1"/>
                <w:bCs w:val="1"/>
                <w:color w:val="auto"/>
                <w:w w:val="93"/>
              </w:rPr>
              <w:t>2,128</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1,813</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315</w:t>
            </w: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w w:val="93"/>
              </w:rPr>
              <w:t>1,304</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1,150</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154</w:t>
            </w: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14</w:t>
            </w:r>
          </w:p>
        </w:tc>
        <w:tc>
          <w:tcPr>
            <w:tcW w:w="700" w:type="dxa"/>
            <w:vAlign w:val="bottom"/>
          </w:tcPr>
          <w:p>
            <w:pPr>
              <w:jc w:val="right"/>
              <w:ind w:right="17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111</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3"/>
              </w:rPr>
              <w:t>1,734</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1,582</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152</w:t>
            </w: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394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231</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$ 163</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70.5%</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right"/>
              <w:ind w:right="154"/>
              <w:spacing w:after="0"/>
              <w:rPr>
                <w:sz w:val="20"/>
                <w:szCs w:val="20"/>
                <w:color w:val="auto"/>
              </w:rPr>
            </w:pPr>
            <w:r>
              <w:rPr>
                <w:rFonts w:ascii="Arial" w:cs="Arial" w:eastAsia="Arial" w:hAnsi="Arial"/>
                <w:sz w:val="14"/>
                <w:szCs w:val="14"/>
                <w:color w:val="auto"/>
                <w:w w:val="89"/>
              </w:rPr>
              <w:t>Six Months Ended</w:t>
            </w:r>
          </w:p>
        </w:tc>
        <w:tc>
          <w:tcPr>
            <w:tcW w:w="1360" w:type="dxa"/>
            <w:vAlign w:val="bottom"/>
            <w:gridSpan w:val="2"/>
          </w:tcPr>
          <w:p>
            <w:pPr>
              <w:jc w:val="center"/>
              <w:ind w:right="7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8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7"/>
              <w:spacing w:after="0" w:line="142" w:lineRule="exact"/>
              <w:rPr>
                <w:sz w:val="20"/>
                <w:szCs w:val="20"/>
                <w:color w:val="auto"/>
              </w:rPr>
            </w:pPr>
            <w:r>
              <w:rPr>
                <w:rFonts w:ascii="Arial" w:cs="Arial" w:eastAsia="Arial" w:hAnsi="Arial"/>
                <w:sz w:val="14"/>
                <w:szCs w:val="14"/>
                <w:color w:val="auto"/>
                <w:w w:val="89"/>
              </w:rPr>
              <w:t>2016</w:t>
            </w: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660" w:type="dxa"/>
            <w:vAlign w:val="bottom"/>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w w:val="93"/>
              </w:rPr>
              <w:t>2,560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2,789</w:t>
            </w: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w w:val="93"/>
              </w:rPr>
              <w:t>1,002</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805</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197</w:t>
            </w: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Distribution and other</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650</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467</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183</w:t>
            </w: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b w:val="1"/>
                <w:bCs w:val="1"/>
                <w:color w:val="auto"/>
                <w:w w:val="93"/>
              </w:rPr>
              <w:t>4,212</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8"/>
              </w:rPr>
              <w:t>4,061</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151</w:t>
            </w:r>
          </w:p>
        </w:tc>
        <w:tc>
          <w:tcPr>
            <w:tcW w:w="70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w w:val="93"/>
              </w:rPr>
              <w:t>2,667</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8"/>
              </w:rPr>
              <w:t>2,776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w:t>
            </w: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631</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22</w:t>
            </w:r>
          </w:p>
        </w:tc>
        <w:tc>
          <w:tcPr>
            <w:tcW w:w="700" w:type="dxa"/>
            <w:vAlign w:val="bottom"/>
          </w:tcPr>
          <w:p>
            <w:pPr>
              <w:jc w:val="right"/>
              <w:ind w:right="17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241</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7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3"/>
              </w:rPr>
              <w:t>3,534</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3,648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678</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413</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$ 265</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64.3%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Broadcast Television revenue increased for the three months ended June 30, 2016 compared to the same period in 2015 due to increases in content licensing revenue, distribution and other revenue, and advertising revenue. The increase in content licensing revenue was primarily due to the timing of content provided under our licensing agreements. The increase in distribution and other revenue was primarily due to an increase in fees recognized under our retransmission consent agreements. The increase in advertising revenue was primarily due to higher prices for advertising units sold, which was partially offset by declines in audience ratings.</w:t>
      </w:r>
    </w:p>
    <w:p>
      <w:pPr>
        <w:spacing w:after="0" w:line="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Broadcast Television revenue increased for the six months ended June 30, 2016 compared to the same period in 2015 primarily due to increases in content licensing revenue and distribution and other revenue, which were partially offset by a decrease in advertising revenue. The increase in content licensing revenue was primarily due to the timing of content provided under our licensing agreements. The increase in distribution and other revenue was primarily due to an increase in fees recognized under our retransmission consent agreements. The decrease in advertising revenue was primarily due to additional advertising revenue in the prior year period associated with our broadcast of the 2015 Super Bowl. Excluding $376 million of revenue associated with our broadcast of the 2015 Super Bowl in the prior year period, revenue increased 14.3% for the six months ended June 30,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Operating costs and expenses increased for the three months ended June 30, 2016 compared to the same period in 2015 primarily due to an increase in programming and production costs. The increase in programming and production costs was primarily due to higher studio production costs.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costs and expenses decreased for the six months ended June 30, 2016 compared to the same period in 2015 primarily due to higher programming and production costs in the prior year associated with our broadcast of the 2015 Super Bowl.</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500" w:type="dxa"/>
            <w:vAlign w:val="bottom"/>
            <w:gridSpan w:val="4"/>
          </w:tcPr>
          <w:p>
            <w:pPr>
              <w:jc w:val="right"/>
              <w:ind w:right="94"/>
              <w:spacing w:after="0"/>
              <w:rPr>
                <w:sz w:val="20"/>
                <w:szCs w:val="20"/>
                <w:color w:val="auto"/>
              </w:rPr>
            </w:pPr>
            <w:r>
              <w:rPr>
                <w:rFonts w:ascii="Arial" w:cs="Arial" w:eastAsia="Arial" w:hAnsi="Arial"/>
                <w:sz w:val="14"/>
                <w:szCs w:val="14"/>
                <w:color w:val="auto"/>
                <w:w w:val="99"/>
              </w:rPr>
              <w:t>Three Months Ended</w:t>
            </w:r>
          </w:p>
        </w:tc>
        <w:tc>
          <w:tcPr>
            <w:tcW w:w="260" w:type="dxa"/>
            <w:vAlign w:val="bottom"/>
          </w:tcPr>
          <w:p>
            <w:pPr>
              <w:spacing w:after="0"/>
              <w:rPr>
                <w:sz w:val="14"/>
                <w:szCs w:val="14"/>
                <w:color w:val="auto"/>
              </w:rPr>
            </w:pPr>
          </w:p>
        </w:tc>
        <w:tc>
          <w:tcPr>
            <w:tcW w:w="1260" w:type="dxa"/>
            <w:vAlign w:val="bottom"/>
            <w:gridSpan w:val="2"/>
          </w:tcPr>
          <w:p>
            <w:pPr>
              <w:jc w:val="center"/>
              <w:ind w:right="354"/>
              <w:spacing w:after="0"/>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159"/>
        </w:trPr>
        <w:tc>
          <w:tcPr>
            <w:tcW w:w="8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3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84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3"/>
              </w:rPr>
              <w:t>2015</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1,406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(78.8)%</w:t>
            </w:r>
          </w:p>
        </w:tc>
        <w:tc>
          <w:tcPr>
            <w:tcW w:w="0" w:type="dxa"/>
            <w:vAlign w:val="bottom"/>
          </w:tcPr>
          <w:p>
            <w:pPr>
              <w:spacing w:after="0"/>
              <w:rPr>
                <w:sz w:val="1"/>
                <w:szCs w:val="1"/>
                <w:color w:val="auto"/>
              </w:rPr>
            </w:pPr>
          </w:p>
        </w:tc>
      </w:tr>
      <w:tr>
        <w:trPr>
          <w:trHeight w:val="216"/>
        </w:trPr>
        <w:tc>
          <w:tcPr>
            <w:tcW w:w="8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231</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b w:val="1"/>
                <w:bCs w:val="1"/>
                <w:color w:val="auto"/>
                <w:w w:val="93"/>
              </w:rPr>
              <w:t>1,351</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b w:val="1"/>
                <w:bCs w:val="1"/>
                <w:color w:val="auto"/>
                <w:w w:val="88"/>
              </w:rPr>
              <w:t>2,266</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720" w:type="dxa"/>
            <w:vAlign w:val="bottom"/>
          </w:tcPr>
          <w:p>
            <w:pPr>
              <w:jc w:val="right"/>
              <w:ind w:right="134"/>
              <w:spacing w:after="0"/>
              <w:rPr>
                <w:sz w:val="20"/>
                <w:szCs w:val="20"/>
                <w:color w:val="auto"/>
              </w:rPr>
            </w:pPr>
            <w:r>
              <w:rPr>
                <w:rFonts w:ascii="Arial" w:cs="Arial" w:eastAsia="Arial" w:hAnsi="Arial"/>
                <w:sz w:val="18"/>
                <w:szCs w:val="18"/>
                <w:b w:val="1"/>
                <w:bCs w:val="1"/>
                <w:color w:val="auto"/>
              </w:rPr>
              <w:t>(40.4)</w:t>
            </w:r>
          </w:p>
        </w:tc>
        <w:tc>
          <w:tcPr>
            <w:tcW w:w="0" w:type="dxa"/>
            <w:vAlign w:val="bottom"/>
          </w:tcPr>
          <w:p>
            <w:pPr>
              <w:spacing w:after="0"/>
              <w:rPr>
                <w:sz w:val="1"/>
                <w:szCs w:val="1"/>
                <w:color w:val="auto"/>
              </w:rPr>
            </w:pPr>
          </w:p>
        </w:tc>
      </w:tr>
      <w:tr>
        <w:trPr>
          <w:trHeight w:val="216"/>
        </w:trPr>
        <w:tc>
          <w:tcPr>
            <w:tcW w:w="8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1,149</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8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13</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481</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93"/>
              </w:rPr>
              <w:t>1,295</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8"/>
              </w:rPr>
              <w:t>1,844</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(549)</w:t>
            </w: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7"/>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w:t>
            </w:r>
          </w:p>
        </w:tc>
        <w:tc>
          <w:tcPr>
            <w:tcW w:w="0" w:type="dxa"/>
            <w:vAlign w:val="bottom"/>
          </w:tcPr>
          <w:p>
            <w:pPr>
              <w:spacing w:after="0"/>
              <w:rPr>
                <w:sz w:val="1"/>
                <w:szCs w:val="1"/>
                <w:color w:val="auto"/>
              </w:rPr>
            </w:pPr>
          </w:p>
        </w:tc>
      </w:tr>
      <w:tr>
        <w:trPr>
          <w:trHeight w:val="286"/>
        </w:trPr>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154"/>
              <w:spacing w:after="0"/>
              <w:rPr>
                <w:sz w:val="20"/>
                <w:szCs w:val="20"/>
                <w:color w:val="auto"/>
              </w:rPr>
            </w:pPr>
            <w:r>
              <w:rPr>
                <w:rFonts w:ascii="Arial" w:cs="Arial" w:eastAsia="Arial" w:hAnsi="Arial"/>
                <w:sz w:val="14"/>
                <w:szCs w:val="14"/>
                <w:color w:val="auto"/>
                <w:w w:val="89"/>
              </w:rPr>
              <w:t>Six Months Ended</w:t>
            </w:r>
          </w:p>
        </w:tc>
        <w:tc>
          <w:tcPr>
            <w:tcW w:w="260" w:type="dxa"/>
            <w:vAlign w:val="bottom"/>
          </w:tcPr>
          <w:p>
            <w:pPr>
              <w:spacing w:after="0"/>
              <w:rPr>
                <w:sz w:val="24"/>
                <w:szCs w:val="24"/>
                <w:color w:val="auto"/>
              </w:rPr>
            </w:pPr>
          </w:p>
        </w:tc>
        <w:tc>
          <w:tcPr>
            <w:tcW w:w="1260" w:type="dxa"/>
            <w:vAlign w:val="bottom"/>
            <w:gridSpan w:val="2"/>
          </w:tcPr>
          <w:p>
            <w:pPr>
              <w:jc w:val="center"/>
              <w:ind w:right="354"/>
              <w:spacing w:after="0"/>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172"/>
        </w:trPr>
        <w:tc>
          <w:tcPr>
            <w:tcW w:w="8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54"/>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3"/>
        </w:trPr>
        <w:tc>
          <w:tcPr>
            <w:tcW w:w="84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3" w:lineRule="exact"/>
              <w:rPr>
                <w:sz w:val="20"/>
                <w:szCs w:val="20"/>
                <w:color w:val="auto"/>
              </w:rPr>
            </w:pPr>
            <w:r>
              <w:rPr>
                <w:rFonts w:ascii="Arial" w:cs="Arial" w:eastAsia="Arial" w:hAnsi="Arial"/>
                <w:sz w:val="14"/>
                <w:szCs w:val="14"/>
                <w:color w:val="auto"/>
                <w:w w:val="89"/>
              </w:rPr>
              <w:t>2016</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4"/>
              <w:spacing w:after="0" w:line="143" w:lineRule="exact"/>
              <w:rPr>
                <w:sz w:val="20"/>
                <w:szCs w:val="20"/>
                <w:color w:val="auto"/>
              </w:rPr>
            </w:pPr>
            <w:r>
              <w:rPr>
                <w:rFonts w:ascii="Arial" w:cs="Arial" w:eastAsia="Arial" w:hAnsi="Arial"/>
                <w:sz w:val="14"/>
                <w:szCs w:val="14"/>
                <w:color w:val="auto"/>
                <w:w w:val="83"/>
              </w:rPr>
              <w:t>2015</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97"/>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54"/>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533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1,777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(70.0)%</w:t>
            </w:r>
          </w:p>
        </w:tc>
        <w:tc>
          <w:tcPr>
            <w:tcW w:w="0" w:type="dxa"/>
            <w:vAlign w:val="bottom"/>
          </w:tcPr>
          <w:p>
            <w:pPr>
              <w:spacing w:after="0"/>
              <w:rPr>
                <w:sz w:val="1"/>
                <w:szCs w:val="1"/>
                <w:color w:val="auto"/>
              </w:rPr>
            </w:pPr>
          </w:p>
        </w:tc>
      </w:tr>
      <w:tr>
        <w:trPr>
          <w:trHeight w:val="216"/>
        </w:trPr>
        <w:tc>
          <w:tcPr>
            <w:tcW w:w="8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93"/>
              </w:rPr>
              <w:t>1,250</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345</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(170)</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435</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344</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91</w:t>
            </w: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b w:val="1"/>
                <w:bCs w:val="1"/>
                <w:color w:val="auto"/>
                <w:w w:val="93"/>
              </w:rPr>
              <w:t>2,734</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b w:val="1"/>
                <w:bCs w:val="1"/>
                <w:color w:val="auto"/>
                <w:w w:val="88"/>
              </w:rPr>
              <w:t>3,712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720" w:type="dxa"/>
            <w:vAlign w:val="bottom"/>
          </w:tcPr>
          <w:p>
            <w:pPr>
              <w:jc w:val="right"/>
              <w:ind w:right="134"/>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16"/>
        </w:trPr>
        <w:tc>
          <w:tcPr>
            <w:tcW w:w="8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w w:val="93"/>
              </w:rPr>
              <w:t>1,250</w:t>
            </w:r>
          </w:p>
        </w:tc>
        <w:tc>
          <w:tcPr>
            <w:tcW w:w="2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1,760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8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26</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825</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827</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93"/>
              </w:rPr>
              <w:t>2,511</w:t>
            </w:r>
          </w:p>
        </w:tc>
        <w:tc>
          <w:tcPr>
            <w:tcW w:w="2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8"/>
              </w:rPr>
              <w:t>2,997</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(486)</w:t>
            </w: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7"/>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Filmed Entertainment revenue decreased for the three and six months ended June 30, 2016 compared to the same periods in 2015 primarily due to decreases in theatrical revenue and home entertainment revenue, which were partially offset by increases in content licensing revenue and other revenue. The decreases in theatrical revenue were primarily due to the strong performance of our prior year period releases, including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and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The decreases in home entertainment revenue were primarily due to the strong performance of several releases in the prior year period, including </w:t>
      </w:r>
      <w:r>
        <w:rPr>
          <w:rFonts w:ascii="Arial" w:cs="Arial" w:eastAsia="Arial" w:hAnsi="Arial"/>
          <w:sz w:val="16"/>
          <w:szCs w:val="16"/>
          <w:i w:val="1"/>
          <w:iCs w:val="1"/>
          <w:color w:val="auto"/>
        </w:rPr>
        <w:t>Fifty Shades of Grey</w:t>
      </w:r>
      <w:r>
        <w:rPr>
          <w:rFonts w:ascii="Arial" w:cs="Arial" w:eastAsia="Arial" w:hAnsi="Arial"/>
          <w:sz w:val="16"/>
          <w:szCs w:val="16"/>
          <w:color w:val="auto"/>
        </w:rPr>
        <w:t>. The increases in content licensing revenue were primarily due to the timing of when content related to our 2015 film slate was made available under licensing agreements. The increases in other revenue were primarily due to increases in revenue from Fandango.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Operating costs and expenses decreased for the three and six months ended June 30, 2016 compared to the same periods in 2015 primarily due to decreases in programming and production costs. The decreases in programming and production costs were primarily due to lower amortization of film production costs in the current year periods due to our larger film slate in 2015, which included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and </w:t>
      </w:r>
      <w:r>
        <w:rPr>
          <w:rFonts w:ascii="Arial" w:cs="Arial" w:eastAsia="Arial" w:hAnsi="Arial"/>
          <w:sz w:val="16"/>
          <w:szCs w:val="16"/>
          <w:i w:val="1"/>
          <w:iCs w:val="1"/>
          <w:color w:val="auto"/>
        </w:rPr>
        <w:t>Jurassic World</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Actual and Pro Forma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1"/>
              </w:rPr>
              <w:t>Three Months Ended June 30</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7"/>
              </w:rPr>
              <w:t>Increase/(Decrease)</w:t>
            </w:r>
          </w:p>
        </w:tc>
        <w:tc>
          <w:tcPr>
            <w:tcW w:w="640" w:type="dxa"/>
            <w:vAlign w:val="bottom"/>
            <w:tcBorders>
              <w:bottom w:val="single" w:sz="8" w:color="auto"/>
            </w:tcBorders>
          </w:tcPr>
          <w:p>
            <w:pPr>
              <w:spacing w:after="0"/>
              <w:rPr>
                <w:sz w:val="14"/>
                <w:szCs w:val="14"/>
                <w:color w:val="auto"/>
              </w:rPr>
            </w:pPr>
          </w:p>
        </w:tc>
      </w:tr>
      <w:tr>
        <w:trPr>
          <w:trHeight w:val="131"/>
        </w:trPr>
        <w:tc>
          <w:tcPr>
            <w:tcW w:w="5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60"/>
              <w:spacing w:after="0" w:line="131" w:lineRule="exact"/>
              <w:rPr>
                <w:sz w:val="20"/>
                <w:szCs w:val="20"/>
                <w:color w:val="auto"/>
              </w:rPr>
            </w:pPr>
            <w:r>
              <w:rPr>
                <w:rFonts w:ascii="Arial" w:cs="Arial" w:eastAsia="Arial" w:hAnsi="Arial"/>
                <w:sz w:val="14"/>
                <w:szCs w:val="14"/>
                <w:color w:val="auto"/>
              </w:rPr>
              <w:t>Pro Forma</w:t>
            </w:r>
          </w:p>
        </w:tc>
      </w:tr>
      <w:tr>
        <w:trPr>
          <w:trHeight w:val="159"/>
        </w:trPr>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center"/>
              <w:ind w:right="100"/>
              <w:spacing w:after="0" w:line="159" w:lineRule="exact"/>
              <w:rPr>
                <w:sz w:val="20"/>
                <w:szCs w:val="20"/>
                <w:color w:val="auto"/>
              </w:rPr>
            </w:pPr>
            <w:r>
              <w:rPr>
                <w:rFonts w:ascii="Arial" w:cs="Arial" w:eastAsia="Arial" w:hAnsi="Arial"/>
                <w:sz w:val="14"/>
                <w:szCs w:val="14"/>
                <w:color w:val="auto"/>
                <w:w w:val="89"/>
              </w:rPr>
              <w:t>2016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7"/>
              <w:spacing w:after="0" w:line="159"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Actual</w:t>
            </w:r>
          </w:p>
        </w:tc>
        <w:tc>
          <w:tcPr>
            <w:tcW w:w="200" w:type="dxa"/>
            <w:vAlign w:val="bottom"/>
          </w:tcPr>
          <w:p>
            <w:pPr>
              <w:spacing w:after="0"/>
              <w:rPr>
                <w:sz w:val="13"/>
                <w:szCs w:val="13"/>
                <w:color w:val="auto"/>
              </w:rPr>
            </w:pPr>
          </w:p>
        </w:tc>
        <w:tc>
          <w:tcPr>
            <w:tcW w:w="10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Combined</w:t>
            </w:r>
          </w:p>
        </w:tc>
      </w:tr>
      <w:tr>
        <w:trPr>
          <w:trHeight w:val="131"/>
        </w:trPr>
        <w:tc>
          <w:tcPr>
            <w:tcW w:w="5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77"/>
              <w:spacing w:after="0" w:line="131" w:lineRule="exact"/>
              <w:rPr>
                <w:sz w:val="20"/>
                <w:szCs w:val="20"/>
                <w:color w:val="auto"/>
              </w:rPr>
            </w:pPr>
            <w:r>
              <w:rPr>
                <w:rFonts w:ascii="Arial" w:cs="Arial" w:eastAsia="Arial" w:hAnsi="Arial"/>
                <w:sz w:val="14"/>
                <w:szCs w:val="14"/>
                <w:color w:val="auto"/>
              </w:rPr>
              <w:t>Pro Forma</w:t>
            </w:r>
          </w:p>
        </w:tc>
        <w:tc>
          <w:tcPr>
            <w:tcW w:w="760" w:type="dxa"/>
            <w:vAlign w:val="bottom"/>
            <w:tcBorders>
              <w:top w:val="single" w:sz="8" w:color="auto"/>
            </w:tcBorders>
            <w:gridSpan w:val="2"/>
          </w:tcPr>
          <w:p>
            <w:pPr>
              <w:ind w:left="80"/>
              <w:spacing w:after="0" w:line="131" w:lineRule="exact"/>
              <w:rPr>
                <w:sz w:val="20"/>
                <w:szCs w:val="20"/>
                <w:color w:val="auto"/>
              </w:rPr>
            </w:pPr>
            <w:r>
              <w:rPr>
                <w:rFonts w:ascii="Arial" w:cs="Arial" w:eastAsia="Arial" w:hAnsi="Arial"/>
                <w:sz w:val="14"/>
                <w:szCs w:val="14"/>
                <w:color w:val="auto"/>
                <w:w w:val="99"/>
              </w:rPr>
              <w:t>Pro Forma</w:t>
            </w: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9"/>
        </w:trPr>
        <w:tc>
          <w:tcPr>
            <w:tcW w:w="540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3"/>
                <w:szCs w:val="13"/>
                <w:color w:val="auto"/>
              </w:rPr>
            </w:pPr>
          </w:p>
        </w:tc>
        <w:tc>
          <w:tcPr>
            <w:tcW w:w="540" w:type="dxa"/>
            <w:vAlign w:val="bottom"/>
          </w:tcPr>
          <w:p>
            <w:pPr>
              <w:jc w:val="center"/>
              <w:ind w:right="100"/>
              <w:spacing w:after="0" w:line="159" w:lineRule="exact"/>
              <w:rPr>
                <w:sz w:val="20"/>
                <w:szCs w:val="20"/>
                <w:color w:val="auto"/>
              </w:rPr>
            </w:pPr>
            <w:r>
              <w:rPr>
                <w:rFonts w:ascii="Arial" w:cs="Arial" w:eastAsia="Arial" w:hAnsi="Arial"/>
                <w:sz w:val="14"/>
                <w:szCs w:val="14"/>
                <w:color w:val="auto"/>
                <w:w w:val="92"/>
              </w:rPr>
              <w:t>Actual</w:t>
            </w:r>
          </w:p>
        </w:tc>
        <w:tc>
          <w:tcPr>
            <w:tcW w:w="180" w:type="dxa"/>
            <w:vAlign w:val="bottom"/>
          </w:tcPr>
          <w:p>
            <w:pPr>
              <w:spacing w:after="0"/>
              <w:rPr>
                <w:sz w:val="13"/>
                <w:szCs w:val="13"/>
                <w:color w:val="auto"/>
              </w:rPr>
            </w:pPr>
          </w:p>
        </w:tc>
        <w:tc>
          <w:tcPr>
            <w:tcW w:w="70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Actual</w:t>
            </w:r>
          </w:p>
        </w:tc>
        <w:tc>
          <w:tcPr>
            <w:tcW w:w="8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Adjustments</w:t>
            </w:r>
          </w:p>
        </w:tc>
        <w:tc>
          <w:tcPr>
            <w:tcW w:w="94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Combined</w:t>
            </w:r>
          </w:p>
        </w:tc>
        <w:tc>
          <w:tcPr>
            <w:tcW w:w="560" w:type="dxa"/>
            <w:vAlign w:val="bottom"/>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7"/>
              <w:spacing w:after="0" w:line="159" w:lineRule="exact"/>
              <w:rPr>
                <w:sz w:val="20"/>
                <w:szCs w:val="20"/>
                <w:color w:val="auto"/>
              </w:rPr>
            </w:pPr>
            <w:r>
              <w:rPr>
                <w:rFonts w:ascii="Arial" w:cs="Arial" w:eastAsia="Arial" w:hAnsi="Arial"/>
                <w:sz w:val="14"/>
                <w:szCs w:val="14"/>
                <w:color w:val="auto"/>
              </w:rPr>
              <w:t>%</w:t>
            </w:r>
          </w:p>
        </w:tc>
      </w:tr>
      <w:tr>
        <w:trPr>
          <w:trHeight w:val="210"/>
        </w:trPr>
        <w:tc>
          <w:tcPr>
            <w:tcW w:w="5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1,136</w:t>
            </w:r>
          </w:p>
        </w:tc>
        <w:tc>
          <w:tcPr>
            <w:tcW w:w="18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773</w:t>
            </w:r>
          </w:p>
        </w:tc>
        <w:tc>
          <w:tcPr>
            <w:tcW w:w="26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3"/>
              </w:rPr>
              <w:t>1,028</w:t>
            </w:r>
          </w:p>
        </w:tc>
        <w:tc>
          <w:tcPr>
            <w:tcW w:w="180" w:type="dxa"/>
            <w:vAlign w:val="bottom"/>
            <w:tcBorders>
              <w:top w:val="single" w:sz="8" w:color="E5E5E5"/>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$363</w:t>
            </w:r>
          </w:p>
        </w:tc>
        <w:tc>
          <w:tcPr>
            <w:tcW w:w="6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7"/>
              </w:rPr>
              <w:t>47.0%</w:t>
            </w:r>
          </w:p>
        </w:tc>
        <w:tc>
          <w:tcPr>
            <w:tcW w:w="180" w:type="dxa"/>
            <w:vAlign w:val="bottom"/>
            <w:tcBorders>
              <w:top w:val="single" w:sz="8" w:color="E5E5E5"/>
            </w:tcBorders>
            <w:shd w:val="clear" w:color="auto" w:fill="E5E5E5"/>
          </w:tcPr>
          <w:p>
            <w:pPr>
              <w:spacing w:after="0"/>
              <w:rPr>
                <w:sz w:val="18"/>
                <w:szCs w:val="18"/>
                <w:color w:val="auto"/>
              </w:rPr>
            </w:pPr>
          </w:p>
        </w:tc>
        <w:tc>
          <w:tcPr>
            <w:tcW w:w="580" w:type="dxa"/>
            <w:vAlign w:val="bottom"/>
            <w:tcBorders>
              <w:top w:val="single" w:sz="8" w:color="auto"/>
            </w:tcBorders>
            <w:gridSpan w:val="2"/>
            <w:shd w:val="clear" w:color="auto" w:fill="E5E5E5"/>
          </w:tcPr>
          <w:p>
            <w:pPr>
              <w:jc w:val="right"/>
              <w:ind w:right="44"/>
              <w:spacing w:after="0"/>
              <w:rPr>
                <w:sz w:val="20"/>
                <w:szCs w:val="20"/>
                <w:color w:val="auto"/>
              </w:rPr>
            </w:pPr>
            <w:r>
              <w:rPr>
                <w:rFonts w:ascii="Arial" w:cs="Arial" w:eastAsia="Arial" w:hAnsi="Arial"/>
                <w:sz w:val="18"/>
                <w:szCs w:val="18"/>
                <w:color w:val="auto"/>
              </w:rPr>
              <w:t>$108</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583</w:t>
            </w:r>
          </w:p>
        </w:tc>
        <w:tc>
          <w:tcPr>
            <w:tcW w:w="180" w:type="dxa"/>
            <w:vAlign w:val="bottom"/>
            <w:tcBorders>
              <w:bottom w:val="single" w:sz="8" w:color="E5E5E5"/>
            </w:tcBorders>
          </w:tcPr>
          <w:p>
            <w:pPr>
              <w:spacing w:after="0"/>
              <w:rPr>
                <w:sz w:val="18"/>
                <w:szCs w:val="18"/>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228</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51.9</w:t>
            </w:r>
          </w:p>
        </w:tc>
        <w:tc>
          <w:tcPr>
            <w:tcW w:w="18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84</w:t>
            </w: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14.7</w:t>
            </w:r>
          </w:p>
        </w:tc>
      </w:tr>
      <w:tr>
        <w:trPr>
          <w:trHeight w:val="217"/>
        </w:trPr>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469</w:t>
            </w:r>
          </w:p>
        </w:tc>
        <w:tc>
          <w:tcPr>
            <w:tcW w:w="18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334</w:t>
            </w:r>
          </w:p>
        </w:tc>
        <w:tc>
          <w:tcPr>
            <w:tcW w:w="2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111</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445</w:t>
            </w:r>
          </w:p>
        </w:tc>
        <w:tc>
          <w:tcPr>
            <w:tcW w:w="180" w:type="dxa"/>
            <w:vAlign w:val="bottom"/>
            <w:tcBorders>
              <w:bottom w:val="single" w:sz="8" w:color="E5E5E5"/>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$135</w:t>
            </w:r>
          </w:p>
        </w:tc>
        <w:tc>
          <w:tcPr>
            <w:tcW w:w="6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7"/>
              </w:rPr>
              <w:t>40.5%</w:t>
            </w:r>
          </w:p>
        </w:tc>
        <w:tc>
          <w:tcPr>
            <w:tcW w:w="18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ind w:right="44"/>
              <w:spacing w:after="0"/>
              <w:rPr>
                <w:sz w:val="20"/>
                <w:szCs w:val="20"/>
                <w:color w:val="auto"/>
              </w:rPr>
            </w:pPr>
            <w:r>
              <w:rPr>
                <w:rFonts w:ascii="Arial" w:cs="Arial" w:eastAsia="Arial" w:hAnsi="Arial"/>
                <w:sz w:val="18"/>
                <w:szCs w:val="18"/>
                <w:b w:val="1"/>
                <w:bCs w:val="1"/>
                <w:color w:val="auto"/>
              </w:rPr>
              <w:t>24</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5.3%</w:t>
            </w:r>
          </w:p>
        </w:tc>
      </w:tr>
      <w:tr>
        <w:trPr>
          <w:trHeight w:val="297"/>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4"/>
                <w:szCs w:val="14"/>
                <w:color w:val="auto"/>
                <w:w w:val="95"/>
              </w:rPr>
              <w:t>Six Months Ended June 30</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7"/>
              </w:rPr>
              <w:t>Increase/(Decrease)</w:t>
            </w:r>
          </w:p>
        </w:tc>
        <w:tc>
          <w:tcPr>
            <w:tcW w:w="640" w:type="dxa"/>
            <w:vAlign w:val="bottom"/>
            <w:tcBorders>
              <w:bottom w:val="single" w:sz="8" w:color="auto"/>
            </w:tcBorders>
          </w:tcPr>
          <w:p>
            <w:pPr>
              <w:spacing w:after="0"/>
              <w:rPr>
                <w:sz w:val="24"/>
                <w:szCs w:val="24"/>
                <w:color w:val="auto"/>
              </w:rPr>
            </w:pPr>
          </w:p>
        </w:tc>
      </w:tr>
      <w:tr>
        <w:trPr>
          <w:trHeight w:val="131"/>
        </w:trPr>
        <w:tc>
          <w:tcPr>
            <w:tcW w:w="5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60"/>
              <w:spacing w:after="0" w:line="131" w:lineRule="exact"/>
              <w:rPr>
                <w:sz w:val="20"/>
                <w:szCs w:val="20"/>
                <w:color w:val="auto"/>
              </w:rPr>
            </w:pPr>
            <w:r>
              <w:rPr>
                <w:rFonts w:ascii="Arial" w:cs="Arial" w:eastAsia="Arial" w:hAnsi="Arial"/>
                <w:sz w:val="14"/>
                <w:szCs w:val="14"/>
                <w:color w:val="auto"/>
              </w:rPr>
              <w:t>Pro Forma</w:t>
            </w:r>
          </w:p>
        </w:tc>
      </w:tr>
      <w:tr>
        <w:trPr>
          <w:trHeight w:val="159"/>
        </w:trPr>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center"/>
              <w:ind w:right="100"/>
              <w:spacing w:after="0" w:line="159" w:lineRule="exact"/>
              <w:rPr>
                <w:sz w:val="20"/>
                <w:szCs w:val="20"/>
                <w:color w:val="auto"/>
              </w:rPr>
            </w:pPr>
            <w:r>
              <w:rPr>
                <w:rFonts w:ascii="Arial" w:cs="Arial" w:eastAsia="Arial" w:hAnsi="Arial"/>
                <w:sz w:val="14"/>
                <w:szCs w:val="14"/>
                <w:color w:val="auto"/>
                <w:w w:val="89"/>
              </w:rPr>
              <w:t>2016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7"/>
              <w:spacing w:after="0" w:line="159"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Actual</w:t>
            </w:r>
          </w:p>
        </w:tc>
        <w:tc>
          <w:tcPr>
            <w:tcW w:w="200" w:type="dxa"/>
            <w:vAlign w:val="bottom"/>
          </w:tcPr>
          <w:p>
            <w:pPr>
              <w:spacing w:after="0"/>
              <w:rPr>
                <w:sz w:val="13"/>
                <w:szCs w:val="13"/>
                <w:color w:val="auto"/>
              </w:rPr>
            </w:pPr>
          </w:p>
        </w:tc>
        <w:tc>
          <w:tcPr>
            <w:tcW w:w="10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Combined</w:t>
            </w:r>
          </w:p>
        </w:tc>
      </w:tr>
      <w:tr>
        <w:trPr>
          <w:trHeight w:val="131"/>
        </w:trPr>
        <w:tc>
          <w:tcPr>
            <w:tcW w:w="5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77"/>
              <w:spacing w:after="0" w:line="131" w:lineRule="exact"/>
              <w:rPr>
                <w:sz w:val="20"/>
                <w:szCs w:val="20"/>
                <w:color w:val="auto"/>
              </w:rPr>
            </w:pPr>
            <w:r>
              <w:rPr>
                <w:rFonts w:ascii="Arial" w:cs="Arial" w:eastAsia="Arial" w:hAnsi="Arial"/>
                <w:sz w:val="14"/>
                <w:szCs w:val="14"/>
                <w:color w:val="auto"/>
              </w:rPr>
              <w:t>Pro Forma</w:t>
            </w:r>
          </w:p>
        </w:tc>
        <w:tc>
          <w:tcPr>
            <w:tcW w:w="760" w:type="dxa"/>
            <w:vAlign w:val="bottom"/>
            <w:tcBorders>
              <w:top w:val="single" w:sz="8" w:color="auto"/>
            </w:tcBorders>
            <w:gridSpan w:val="2"/>
          </w:tcPr>
          <w:p>
            <w:pPr>
              <w:ind w:left="80"/>
              <w:spacing w:after="0" w:line="131" w:lineRule="exact"/>
              <w:rPr>
                <w:sz w:val="20"/>
                <w:szCs w:val="20"/>
                <w:color w:val="auto"/>
              </w:rPr>
            </w:pPr>
            <w:r>
              <w:rPr>
                <w:rFonts w:ascii="Arial" w:cs="Arial" w:eastAsia="Arial" w:hAnsi="Arial"/>
                <w:sz w:val="14"/>
                <w:szCs w:val="14"/>
                <w:color w:val="auto"/>
                <w:w w:val="99"/>
              </w:rPr>
              <w:t>Pro Forma</w:t>
            </w: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9"/>
        </w:trPr>
        <w:tc>
          <w:tcPr>
            <w:tcW w:w="540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3"/>
                <w:szCs w:val="13"/>
                <w:color w:val="auto"/>
              </w:rPr>
            </w:pPr>
          </w:p>
        </w:tc>
        <w:tc>
          <w:tcPr>
            <w:tcW w:w="540" w:type="dxa"/>
            <w:vAlign w:val="bottom"/>
          </w:tcPr>
          <w:p>
            <w:pPr>
              <w:jc w:val="center"/>
              <w:ind w:right="100"/>
              <w:spacing w:after="0" w:line="159" w:lineRule="exact"/>
              <w:rPr>
                <w:sz w:val="20"/>
                <w:szCs w:val="20"/>
                <w:color w:val="auto"/>
              </w:rPr>
            </w:pPr>
            <w:r>
              <w:rPr>
                <w:rFonts w:ascii="Arial" w:cs="Arial" w:eastAsia="Arial" w:hAnsi="Arial"/>
                <w:sz w:val="14"/>
                <w:szCs w:val="14"/>
                <w:color w:val="auto"/>
                <w:w w:val="92"/>
              </w:rPr>
              <w:t>Actual</w:t>
            </w:r>
          </w:p>
        </w:tc>
        <w:tc>
          <w:tcPr>
            <w:tcW w:w="180" w:type="dxa"/>
            <w:vAlign w:val="bottom"/>
          </w:tcPr>
          <w:p>
            <w:pPr>
              <w:spacing w:after="0"/>
              <w:rPr>
                <w:sz w:val="13"/>
                <w:szCs w:val="13"/>
                <w:color w:val="auto"/>
              </w:rPr>
            </w:pPr>
          </w:p>
        </w:tc>
        <w:tc>
          <w:tcPr>
            <w:tcW w:w="70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Actual</w:t>
            </w:r>
          </w:p>
        </w:tc>
        <w:tc>
          <w:tcPr>
            <w:tcW w:w="8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Adjustments</w:t>
            </w:r>
          </w:p>
        </w:tc>
        <w:tc>
          <w:tcPr>
            <w:tcW w:w="94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Combined</w:t>
            </w:r>
          </w:p>
        </w:tc>
        <w:tc>
          <w:tcPr>
            <w:tcW w:w="560" w:type="dxa"/>
            <w:vAlign w:val="bottom"/>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7"/>
              <w:spacing w:after="0" w:line="159" w:lineRule="exact"/>
              <w:rPr>
                <w:sz w:val="20"/>
                <w:szCs w:val="20"/>
                <w:color w:val="auto"/>
              </w:rPr>
            </w:pPr>
            <w:r>
              <w:rPr>
                <w:rFonts w:ascii="Arial" w:cs="Arial" w:eastAsia="Arial" w:hAnsi="Arial"/>
                <w:sz w:val="14"/>
                <w:szCs w:val="14"/>
                <w:color w:val="auto"/>
              </w:rPr>
              <w:t>%</w:t>
            </w:r>
          </w:p>
        </w:tc>
      </w:tr>
      <w:tr>
        <w:trPr>
          <w:trHeight w:val="210"/>
        </w:trPr>
        <w:tc>
          <w:tcPr>
            <w:tcW w:w="5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2,162</w:t>
            </w:r>
          </w:p>
        </w:tc>
        <w:tc>
          <w:tcPr>
            <w:tcW w:w="180" w:type="dxa"/>
            <w:vAlign w:val="bottom"/>
            <w:tcBorders>
              <w:top w:val="single" w:sz="8" w:color="E5E5E5"/>
            </w:tcBorders>
            <w:shd w:val="clear" w:color="auto" w:fill="E5E5E5"/>
          </w:tcPr>
          <w:p>
            <w:pPr>
              <w:spacing w:after="0"/>
              <w:rPr>
                <w:sz w:val="18"/>
                <w:szCs w:val="18"/>
                <w:color w:val="auto"/>
              </w:rPr>
            </w:pPr>
          </w:p>
        </w:tc>
        <w:tc>
          <w:tcPr>
            <w:tcW w:w="700" w:type="dxa"/>
            <w:vAlign w:val="bottom"/>
            <w:tcBorders>
              <w:top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$1,424</w:t>
            </w:r>
          </w:p>
        </w:tc>
        <w:tc>
          <w:tcPr>
            <w:tcW w:w="26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539</w:t>
            </w:r>
          </w:p>
        </w:tc>
        <w:tc>
          <w:tcPr>
            <w:tcW w:w="22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3"/>
              </w:rPr>
              <w:t>1,963</w:t>
            </w:r>
          </w:p>
        </w:tc>
        <w:tc>
          <w:tcPr>
            <w:tcW w:w="180" w:type="dxa"/>
            <w:vAlign w:val="bottom"/>
            <w:tcBorders>
              <w:top w:val="single" w:sz="8" w:color="E5E5E5"/>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$738</w:t>
            </w:r>
          </w:p>
        </w:tc>
        <w:tc>
          <w:tcPr>
            <w:tcW w:w="6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7"/>
              </w:rPr>
              <w:t>51.8%</w:t>
            </w:r>
          </w:p>
        </w:tc>
        <w:tc>
          <w:tcPr>
            <w:tcW w:w="180" w:type="dxa"/>
            <w:vAlign w:val="bottom"/>
            <w:tcBorders>
              <w:top w:val="single" w:sz="8" w:color="E5E5E5"/>
            </w:tcBorders>
            <w:shd w:val="clear" w:color="auto" w:fill="E5E5E5"/>
          </w:tcPr>
          <w:p>
            <w:pPr>
              <w:spacing w:after="0"/>
              <w:rPr>
                <w:sz w:val="18"/>
                <w:szCs w:val="18"/>
                <w:color w:val="auto"/>
              </w:rPr>
            </w:pPr>
          </w:p>
        </w:tc>
        <w:tc>
          <w:tcPr>
            <w:tcW w:w="580" w:type="dxa"/>
            <w:vAlign w:val="bottom"/>
            <w:tcBorders>
              <w:top w:val="single" w:sz="8" w:color="auto"/>
            </w:tcBorders>
            <w:gridSpan w:val="2"/>
            <w:shd w:val="clear" w:color="auto" w:fill="E5E5E5"/>
          </w:tcPr>
          <w:p>
            <w:pPr>
              <w:jc w:val="right"/>
              <w:ind w:right="44"/>
              <w:spacing w:after="0"/>
              <w:rPr>
                <w:sz w:val="20"/>
                <w:szCs w:val="20"/>
                <w:color w:val="auto"/>
              </w:rPr>
            </w:pPr>
            <w:r>
              <w:rPr>
                <w:rFonts w:ascii="Arial" w:cs="Arial" w:eastAsia="Arial" w:hAnsi="Arial"/>
                <w:sz w:val="18"/>
                <w:szCs w:val="18"/>
                <w:color w:val="auto"/>
              </w:rPr>
              <w:t>$199</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1,318</w:t>
            </w:r>
          </w:p>
        </w:tc>
        <w:tc>
          <w:tcPr>
            <w:tcW w:w="18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1,155</w:t>
            </w:r>
          </w:p>
        </w:tc>
        <w:tc>
          <w:tcPr>
            <w:tcW w:w="180" w:type="dxa"/>
            <w:vAlign w:val="bottom"/>
            <w:tcBorders>
              <w:bottom w:val="single" w:sz="8" w:color="E5E5E5"/>
            </w:tcBorders>
          </w:tcPr>
          <w:p>
            <w:pPr>
              <w:spacing w:after="0"/>
              <w:rPr>
                <w:sz w:val="18"/>
                <w:szCs w:val="18"/>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472</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55.7</w:t>
            </w:r>
          </w:p>
        </w:tc>
        <w:tc>
          <w:tcPr>
            <w:tcW w:w="18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w w:val="79"/>
              </w:rPr>
              <w:t>163</w:t>
            </w: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14.2</w:t>
            </w:r>
          </w:p>
        </w:tc>
      </w:tr>
      <w:tr>
        <w:trPr>
          <w:trHeight w:val="217"/>
        </w:trPr>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844</w:t>
            </w:r>
          </w:p>
        </w:tc>
        <w:tc>
          <w:tcPr>
            <w:tcW w:w="18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578</w:t>
            </w:r>
          </w:p>
        </w:tc>
        <w:tc>
          <w:tcPr>
            <w:tcW w:w="2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230</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808</w:t>
            </w:r>
          </w:p>
        </w:tc>
        <w:tc>
          <w:tcPr>
            <w:tcW w:w="180" w:type="dxa"/>
            <w:vAlign w:val="bottom"/>
            <w:tcBorders>
              <w:bottom w:val="single" w:sz="8" w:color="E5E5E5"/>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$266</w:t>
            </w:r>
          </w:p>
        </w:tc>
        <w:tc>
          <w:tcPr>
            <w:tcW w:w="6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7"/>
              </w:rPr>
              <w:t>46.0%</w:t>
            </w:r>
          </w:p>
        </w:tc>
        <w:tc>
          <w:tcPr>
            <w:tcW w:w="18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ind w:right="44"/>
              <w:spacing w:after="0"/>
              <w:rPr>
                <w:sz w:val="20"/>
                <w:szCs w:val="20"/>
                <w:color w:val="auto"/>
              </w:rPr>
            </w:pPr>
            <w:r>
              <w:rPr>
                <w:rFonts w:ascii="Arial" w:cs="Arial" w:eastAsia="Arial" w:hAnsi="Arial"/>
                <w:sz w:val="18"/>
                <w:szCs w:val="18"/>
                <w:b w:val="1"/>
                <w:bCs w:val="1"/>
                <w:color w:val="auto"/>
              </w:rPr>
              <w:t>36</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Theme Parks revenue increased for the three and six months ended June 30, 2016 compared to the pro forma combined revenue in the same periods in 2015 primarily due to increases in guest spending and the successful opening of our new attraction </w:t>
      </w:r>
      <w:r>
        <w:rPr>
          <w:rFonts w:ascii="Arial" w:cs="Arial" w:eastAsia="Arial" w:hAnsi="Arial"/>
          <w:sz w:val="18"/>
          <w:szCs w:val="18"/>
          <w:i w:val="1"/>
          <w:iCs w:val="1"/>
          <w:color w:val="auto"/>
        </w:rPr>
        <w:t>The Wizarding World of Harry Potte</w:t>
      </w:r>
      <w:r>
        <w:rPr>
          <w:rFonts w:ascii="Arial" w:cs="Arial" w:eastAsia="Arial" w:hAnsi="Arial"/>
          <w:sz w:val="18"/>
          <w:szCs w:val="18"/>
          <w:color w:val="auto"/>
        </w:rPr>
        <w:t>r™ in Hollywood in April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Operating costs and expenses increased for the three and six months ended June 30, 2016 compared to the pro forma combined operating costs and expenses in the same periods in 2015 primarily due to additional costs associated with newer attractions, such as </w:t>
      </w:r>
      <w:r>
        <w:rPr>
          <w:rFonts w:ascii="Arial" w:cs="Arial" w:eastAsia="Arial" w:hAnsi="Arial"/>
          <w:sz w:val="18"/>
          <w:szCs w:val="18"/>
          <w:i w:val="1"/>
          <w:iCs w:val="1"/>
          <w:color w:val="auto"/>
        </w:rPr>
        <w:t>The Wizarding World of Harry Potte</w:t>
      </w:r>
      <w:r>
        <w:rPr>
          <w:rFonts w:ascii="Arial" w:cs="Arial" w:eastAsia="Arial" w:hAnsi="Arial"/>
          <w:sz w:val="18"/>
          <w:szCs w:val="18"/>
          <w:color w:val="auto"/>
        </w:rPr>
        <w:t>r™ attraction in Hollywood and pre-opening costs associated with a new attraction in Orlando.</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color w:val="auto"/>
                <w:w w:val="87"/>
              </w:rPr>
              <w:t>Three Months Ended</w:t>
            </w:r>
          </w:p>
        </w:tc>
        <w:tc>
          <w:tcPr>
            <w:tcW w:w="1280" w:type="dxa"/>
            <w:vAlign w:val="bottom"/>
            <w:gridSpan w:val="2"/>
          </w:tcPr>
          <w:p>
            <w:pPr>
              <w:jc w:val="right"/>
              <w:ind w:right="41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86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color w:val="auto"/>
                <w:w w:val="84"/>
              </w:rPr>
              <w:t>June 30</w:t>
            </w: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86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color w:val="auto"/>
                <w:w w:val="89"/>
              </w:rPr>
              <w:t>2016</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w w:val="83"/>
              </w:rPr>
              <w:t>2015</w:t>
            </w:r>
          </w:p>
        </w:tc>
        <w:tc>
          <w:tcPr>
            <w:tcW w:w="5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61"/>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164</w:t>
            </w:r>
          </w:p>
        </w:tc>
        <w:tc>
          <w:tcPr>
            <w:tcW w:w="56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$ 16</w:t>
            </w:r>
          </w:p>
        </w:tc>
        <w:tc>
          <w:tcPr>
            <w:tcW w:w="7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395</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76</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7"/>
        </w:trPr>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
              <w:spacing w:after="0"/>
              <w:rPr>
                <w:sz w:val="20"/>
                <w:szCs w:val="20"/>
                <w:color w:val="auto"/>
              </w:rPr>
            </w:pPr>
            <w:r>
              <w:rPr>
                <w:rFonts w:ascii="Arial" w:cs="Arial" w:eastAsia="Arial" w:hAnsi="Arial"/>
                <w:sz w:val="18"/>
                <w:szCs w:val="18"/>
                <w:b w:val="1"/>
                <w:bCs w:val="1"/>
                <w:color w:val="auto"/>
              </w:rPr>
              <w:t>(291)</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(231)</w:t>
            </w: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8"/>
                <w:szCs w:val="18"/>
                <w:b w:val="1"/>
                <w:bCs w:val="1"/>
                <w:color w:val="auto"/>
              </w:rPr>
              <w:t>$(60)</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(25.8)%</w:t>
            </w:r>
          </w:p>
        </w:tc>
        <w:tc>
          <w:tcPr>
            <w:tcW w:w="0" w:type="dxa"/>
            <w:vAlign w:val="bottom"/>
          </w:tcPr>
          <w:p>
            <w:pPr>
              <w:spacing w:after="0"/>
              <w:rPr>
                <w:sz w:val="1"/>
                <w:szCs w:val="1"/>
                <w:color w:val="auto"/>
              </w:rPr>
            </w:pPr>
          </w:p>
        </w:tc>
      </w:tr>
      <w:tr>
        <w:trPr>
          <w:trHeight w:val="205"/>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157"/>
              <w:spacing w:after="0"/>
              <w:rPr>
                <w:sz w:val="20"/>
                <w:szCs w:val="20"/>
                <w:color w:val="auto"/>
              </w:rPr>
            </w:pPr>
            <w:r>
              <w:rPr>
                <w:rFonts w:ascii="Arial" w:cs="Arial" w:eastAsia="Arial" w:hAnsi="Arial"/>
                <w:sz w:val="14"/>
                <w:szCs w:val="14"/>
                <w:color w:val="auto"/>
                <w:w w:val="87"/>
              </w:rPr>
              <w:t>Six Months Ended</w:t>
            </w:r>
          </w:p>
        </w:tc>
        <w:tc>
          <w:tcPr>
            <w:tcW w:w="1280" w:type="dxa"/>
            <w:vAlign w:val="bottom"/>
            <w:gridSpan w:val="2"/>
          </w:tcPr>
          <w:p>
            <w:pPr>
              <w:jc w:val="right"/>
              <w:ind w:right="41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86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color w:val="auto"/>
                <w:w w:val="84"/>
              </w:rPr>
              <w:t>June 30</w:t>
            </w: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86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color w:val="auto"/>
                <w:w w:val="89"/>
              </w:rPr>
              <w:t>2016</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w w:val="83"/>
              </w:rPr>
              <w:t>2015</w:t>
            </w:r>
          </w:p>
        </w:tc>
        <w:tc>
          <w:tcPr>
            <w:tcW w:w="5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61"/>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357</w:t>
            </w:r>
          </w:p>
        </w:tc>
        <w:tc>
          <w:tcPr>
            <w:tcW w:w="56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$ 22</w:t>
            </w:r>
          </w:p>
        </w:tc>
        <w:tc>
          <w:tcPr>
            <w:tcW w:w="7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824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797</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27</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
              <w:spacing w:after="0"/>
              <w:rPr>
                <w:sz w:val="20"/>
                <w:szCs w:val="20"/>
                <w:color w:val="auto"/>
              </w:rPr>
            </w:pPr>
            <w:r>
              <w:rPr>
                <w:rFonts w:ascii="Arial" w:cs="Arial" w:eastAsia="Arial" w:hAnsi="Arial"/>
                <w:sz w:val="18"/>
                <w:szCs w:val="18"/>
                <w:b w:val="1"/>
                <w:bCs w:val="1"/>
                <w:color w:val="auto"/>
              </w:rPr>
              <w:t>(445)</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(440)</w:t>
            </w: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8"/>
                <w:szCs w:val="18"/>
                <w:b w:val="1"/>
                <w:bCs w:val="1"/>
                <w:color w:val="auto"/>
              </w:rPr>
              <w:t>$ (5)</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for the three and six months ended June 30, 2016 compared to the same periods in 2015 primarily due to increases in revenue from several of our Comcast Spectacor businesses.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includes overhead, personnel costs, the costs of corporate initiatives and branding, and operating costs and expenses associated with Comcast Spectacor.</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Corporate and Other operating costs and expenses for the three and six months ended June 30, 2016 included expenses related to the settlement of insurance obligations. Corporate and Other operating costs and expenses for the three and six months ended June 30, 2015 included $79 million and $178 million, respectively, of transaction-related costs associated with the Time Warner Cable merger and divestiture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540" w:type="dxa"/>
            <w:vAlign w:val="bottom"/>
            <w:gridSpan w:val="4"/>
          </w:tcPr>
          <w:p>
            <w:pPr>
              <w:jc w:val="right"/>
              <w:ind w:right="136"/>
              <w:spacing w:after="0"/>
              <w:rPr>
                <w:sz w:val="20"/>
                <w:szCs w:val="20"/>
                <w:color w:val="auto"/>
              </w:rPr>
            </w:pPr>
            <w:r>
              <w:rPr>
                <w:rFonts w:ascii="Arial" w:cs="Arial" w:eastAsia="Arial" w:hAnsi="Arial"/>
                <w:sz w:val="14"/>
                <w:szCs w:val="14"/>
                <w:color w:val="auto"/>
                <w:w w:val="99"/>
              </w:rPr>
              <w:t>Three Months Ended</w:t>
            </w:r>
          </w:p>
        </w:tc>
        <w:tc>
          <w:tcPr>
            <w:tcW w:w="1440" w:type="dxa"/>
            <w:vAlign w:val="bottom"/>
            <w:gridSpan w:val="2"/>
          </w:tcPr>
          <w:p>
            <w:pPr>
              <w:jc w:val="right"/>
              <w:ind w:right="156"/>
              <w:spacing w:after="0"/>
              <w:rPr>
                <w:sz w:val="20"/>
                <w:szCs w:val="20"/>
                <w:color w:val="auto"/>
              </w:rPr>
            </w:pPr>
            <w:r>
              <w:rPr>
                <w:rFonts w:ascii="Arial" w:cs="Arial" w:eastAsia="Arial" w:hAnsi="Arial"/>
                <w:sz w:val="14"/>
                <w:szCs w:val="14"/>
                <w:color w:val="auto"/>
              </w:rPr>
              <w:t>Six Months Ended</w:t>
            </w:r>
          </w:p>
        </w:tc>
      </w:tr>
      <w:tr>
        <w:trPr>
          <w:trHeight w:val="172"/>
        </w:trPr>
        <w:tc>
          <w:tcPr>
            <w:tcW w:w="8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4"/>
                <w:szCs w:val="14"/>
                <w:color w:val="auto"/>
              </w:rPr>
              <w:t>June 30</w:t>
            </w:r>
          </w:p>
        </w:tc>
      </w:tr>
      <w:tr>
        <w:trPr>
          <w:trHeight w:val="143"/>
        </w:trPr>
        <w:tc>
          <w:tcPr>
            <w:tcW w:w="84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8"/>
              <w:spacing w:after="0" w:line="143" w:lineRule="exact"/>
              <w:rPr>
                <w:sz w:val="20"/>
                <w:szCs w:val="20"/>
                <w:color w:val="auto"/>
              </w:rPr>
            </w:pPr>
            <w:r>
              <w:rPr>
                <w:rFonts w:ascii="Arial" w:cs="Arial" w:eastAsia="Arial" w:hAnsi="Arial"/>
                <w:sz w:val="14"/>
                <w:szCs w:val="14"/>
                <w:color w:val="auto"/>
                <w:w w:val="83"/>
              </w:rPr>
              <w:t>2016</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6"/>
              <w:spacing w:after="0" w:line="143" w:lineRule="exact"/>
              <w:rPr>
                <w:sz w:val="20"/>
                <w:szCs w:val="20"/>
                <w:color w:val="auto"/>
              </w:rPr>
            </w:pPr>
            <w:r>
              <w:rPr>
                <w:rFonts w:ascii="Arial" w:cs="Arial" w:eastAsia="Arial" w:hAnsi="Arial"/>
                <w:sz w:val="14"/>
                <w:szCs w:val="14"/>
                <w:color w:val="auto"/>
                <w:w w:val="83"/>
              </w:rPr>
              <w:t>2015</w:t>
            </w:r>
          </w:p>
        </w:tc>
        <w:tc>
          <w:tcPr>
            <w:tcW w:w="740" w:type="dxa"/>
            <w:vAlign w:val="bottom"/>
            <w:tcBorders>
              <w:bottom w:val="single" w:sz="8" w:color="auto"/>
            </w:tcBorders>
          </w:tcPr>
          <w:p>
            <w:pPr>
              <w:jc w:val="right"/>
              <w:ind w:right="180"/>
              <w:spacing w:after="0" w:line="143" w:lineRule="exact"/>
              <w:rPr>
                <w:sz w:val="20"/>
                <w:szCs w:val="20"/>
                <w:color w:val="auto"/>
              </w:rPr>
            </w:pPr>
            <w:r>
              <w:rPr>
                <w:rFonts w:ascii="Arial" w:cs="Arial" w:eastAsia="Arial" w:hAnsi="Arial"/>
                <w:sz w:val="14"/>
                <w:szCs w:val="14"/>
                <w:color w:val="auto"/>
              </w:rPr>
              <w:t>2016</w:t>
            </w:r>
          </w:p>
        </w:tc>
        <w:tc>
          <w:tcPr>
            <w:tcW w:w="700" w:type="dxa"/>
            <w:vAlign w:val="bottom"/>
            <w:tcBorders>
              <w:bottom w:val="single" w:sz="8" w:color="auto"/>
            </w:tcBorders>
          </w:tcPr>
          <w:p>
            <w:pPr>
              <w:jc w:val="right"/>
              <w:ind w:right="156"/>
              <w:spacing w:after="0" w:line="143" w:lineRule="exact"/>
              <w:rPr>
                <w:sz w:val="20"/>
                <w:szCs w:val="20"/>
                <w:color w:val="auto"/>
              </w:rPr>
            </w:pPr>
            <w:r>
              <w:rPr>
                <w:rFonts w:ascii="Arial" w:cs="Arial" w:eastAsia="Arial" w:hAnsi="Arial"/>
                <w:sz w:val="14"/>
                <w:szCs w:val="14"/>
                <w:color w:val="auto"/>
              </w:rPr>
              <w:t>2015</w:t>
            </w:r>
          </w:p>
        </w:tc>
      </w:tr>
      <w:tr>
        <w:trPr>
          <w:trHeight w:val="210"/>
        </w:trPr>
        <w:tc>
          <w:tcPr>
            <w:tcW w:w="844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(713)</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$(1,435)</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$(1,369)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220" w:type="dxa"/>
            <w:vAlign w:val="bottom"/>
          </w:tcPr>
          <w:p>
            <w:pPr>
              <w:spacing w:after="0"/>
              <w:rPr>
                <w:sz w:val="18"/>
                <w:szCs w:val="18"/>
                <w:color w:val="auto"/>
              </w:rPr>
            </w:pPr>
          </w:p>
        </w:tc>
        <w:tc>
          <w:tcPr>
            <w:tcW w:w="560" w:type="dxa"/>
            <w:vAlign w:val="bottom"/>
          </w:tcPr>
          <w:p>
            <w:pPr>
              <w:jc w:val="right"/>
              <w:ind w:right="58"/>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17</w:t>
            </w:r>
          </w:p>
        </w:tc>
        <w:tc>
          <w:tcPr>
            <w:tcW w:w="740" w:type="dxa"/>
            <w:vAlign w:val="bottom"/>
          </w:tcPr>
          <w:p>
            <w:pPr>
              <w:jc w:val="right"/>
              <w:ind w:right="40"/>
              <w:spacing w:after="0"/>
              <w:rPr>
                <w:sz w:val="20"/>
                <w:szCs w:val="20"/>
                <w:color w:val="auto"/>
              </w:rPr>
            </w:pPr>
            <w:r>
              <w:rPr>
                <w:rFonts w:ascii="Arial" w:cs="Arial" w:eastAsia="Arial" w:hAnsi="Arial"/>
                <w:sz w:val="18"/>
                <w:szCs w:val="18"/>
                <w:color w:val="auto"/>
              </w:rPr>
              <w:t>88</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50</w:t>
            </w:r>
          </w:p>
        </w:tc>
      </w:tr>
      <w:tr>
        <w:trPr>
          <w:trHeight w:val="216"/>
        </w:trPr>
        <w:tc>
          <w:tcPr>
            <w:tcW w:w="84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315</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115</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417</w:t>
            </w:r>
          </w:p>
        </w:tc>
      </w:tr>
      <w:tr>
        <w:trPr>
          <w:trHeight w:val="217"/>
        </w:trPr>
        <w:tc>
          <w:tcPr>
            <w:tcW w:w="8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(708)</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(617)</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$(1,262)</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$(1,105)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increased for the three and six months ended June 30, 2016 compared to the same periods in 2015 primarily due to increases in our debt outstanding.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2016 and 2015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changes in equity in net income (losses) of investees, net for the three and six months ended June 30, 2016 compared to the same periods in 2015 were primarily due to an impairment charge related to goodwill recorded by The Weather Channel in the prior year periods. We recorded an expense of $252 million in the three and six months ended June 30, 2015 representing NBCUniversal’s proportionate share of this impairment charge. The changes in equity in net income (losses) of investees, net were also due to increases in our proportionate share of losses at Hulu, LLC.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for the three months ended June 30, 2015 included gains of $171 million related to the sale of an investment and $240 million on the settlement of a contingent consideration liability with General Electric Company related to the acquisition of NBCUniversal, which were offset by $96 million of expenses related to fair value adjustments to a contractual obligation.</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income (expense), net for the six months ended June 30, 2016 included a $108 million gain related to the sale of our investment in The Weather Channel’s product and technology businesses. Other income (expense), net for the six months ended June 30, 2015 included a $164 million gain related to the sale of a business, which was partially offset by $136 million of expenses related to fair value adjustments to a contractual obligation.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three and six months ended June 30, 2016 and 2015 reflects an effective income tax rate that differs from the federal statutory rate primarily due to state income taxes and adjustments associated with uncertain tax positions. We expect our 2016 annual effective tax rate to be in the range of 37% to 39%, absent changes in tax laws or significant changes in uncertain tax positions.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28, 2016, we entered into an agreement to acquire all of the outstanding stock of DreamWorks Animation SKG, Inc. (“DreamWorks”) for $3.8 billion. DreamWorks stockholders will receive $41 in cash for each share of DreamWorks common stock. We intend to use the proceeds from our recent issuance of debt in July to fund this transaction (see Note 8). The transaction is expected to close in 2016, subject to receipt of certain international regulatory approvals and the satisfaction of other customary closing conditions.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174"/>
              <w:spacing w:after="0"/>
              <w:rPr>
                <w:sz w:val="20"/>
                <w:szCs w:val="20"/>
                <w:color w:val="auto"/>
              </w:rPr>
            </w:pPr>
            <w:r>
              <w:rPr>
                <w:rFonts w:ascii="Arial" w:cs="Arial" w:eastAsia="Arial" w:hAnsi="Arial"/>
                <w:sz w:val="14"/>
                <w:szCs w:val="14"/>
                <w:color w:val="auto"/>
                <w:w w:val="91"/>
              </w:rPr>
              <w:t>Six Months Ended</w:t>
            </w:r>
          </w:p>
        </w:tc>
        <w:tc>
          <w:tcPr>
            <w:tcW w:w="0" w:type="dxa"/>
            <w:vAlign w:val="bottom"/>
          </w:tcPr>
          <w:p>
            <w:pPr>
              <w:spacing w:after="0"/>
              <w:rPr>
                <w:sz w:val="1"/>
                <w:szCs w:val="1"/>
                <w:color w:val="auto"/>
              </w:rPr>
            </w:pPr>
          </w:p>
        </w:tc>
      </w:tr>
      <w:tr>
        <w:trPr>
          <w:trHeight w:val="159"/>
        </w:trPr>
        <w:tc>
          <w:tcPr>
            <w:tcW w:w="9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474"/>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99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w w:val="96"/>
              </w:rPr>
              <w:t>2016</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8,155</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16"/>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4,667</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0"/>
        </w:trPr>
        <w:tc>
          <w:tcPr>
            <w:tcW w:w="9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w w:val="83"/>
              </w:rPr>
              <w:t>12,822</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12,222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2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9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990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2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w w:val="83"/>
              </w:rPr>
              <w:t>12,344</w:t>
            </w:r>
          </w:p>
        </w:tc>
        <w:tc>
          <w:tcPr>
            <w:tcW w:w="1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12,212</w:t>
            </w:r>
          </w:p>
        </w:tc>
        <w:tc>
          <w:tcPr>
            <w:tcW w:w="0" w:type="dxa"/>
            <w:vAlign w:val="bottom"/>
          </w:tcPr>
          <w:p>
            <w:pPr>
              <w:spacing w:after="0"/>
              <w:rPr>
                <w:sz w:val="1"/>
                <w:szCs w:val="1"/>
                <w:color w:val="auto"/>
              </w:rPr>
            </w:pPr>
          </w:p>
        </w:tc>
      </w:tr>
      <w:tr>
        <w:trPr>
          <w:trHeight w:val="216"/>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(1,235)</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(1,241)</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(1,685)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(1,999)</w:t>
            </w:r>
          </w:p>
        </w:tc>
        <w:tc>
          <w:tcPr>
            <w:tcW w:w="0" w:type="dxa"/>
            <w:vAlign w:val="bottom"/>
          </w:tcPr>
          <w:p>
            <w:pPr>
              <w:spacing w:after="0"/>
              <w:rPr>
                <w:sz w:val="1"/>
                <w:szCs w:val="1"/>
                <w:color w:val="auto"/>
              </w:rPr>
            </w:pPr>
          </w:p>
        </w:tc>
      </w:tr>
      <w:tr>
        <w:trPr>
          <w:trHeight w:val="216"/>
        </w:trPr>
        <w:tc>
          <w:tcPr>
            <w:tcW w:w="990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9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9,383</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8,834</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variance in changes in operating assets and liabilities for the six months ended June 30, 2016 compared to the same period in 2015 was primarily due to an increase in certain benefit payments and the timing of film and television spending, including participations and residuals, in the current year period. These items were partially offset by the change in receivables compared to the prior year period, which included a significant increase in receivables associated with the success of our 2015 film slate.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investing activities for the six months ended June 30, 2016 consisted primarily of cash paid for capital expenditures, intangible assets, purchases of investments, and acquisitions and construction of real estate properties, which was partially offset by proceeds from the sale of businesses and investments. Capital expenditures increased for the six months ended June 30, 2016 compared to the same period in 2015 primarily due to increased spending in our Cable Communications segment associated with increased investment in line extensions, continued investment in scalable infrastructure to increase network capacity, and continued spending on customer premise equipment related to the deployment of our X1 platform and wireless gateways. Capital expenditures in our NBCUniversal segments also increased primarily due to continued investment in our Universal theme parks, including Universal Studios Japan. Purchases of investments for the six months ended June 30, 2016 is comprised primarily of capital contributions of $429 million to Atairos Group, Inc.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six months ended June 30, 2016 consisted primarily of repayments of debt, repurchases of our common stock and dividend payments, which were partially offset by proceeds from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8 to Comcast’s condensed consolidated financial statements for additional information on our financing activities, including details of our debt repayments and borrowings.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8 to Comcast’s condensed consolidated financial statements for additional information on the new Comcast and NBCUniversal Enterprise revolving credit facilities.</w:t>
      </w:r>
    </w:p>
    <w:p>
      <w:pPr>
        <w:spacing w:after="0" w:line="3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As of June 30, 2016, amounts available under the new consolidated revolving credit facilities, net of amounts outstanding under our commercial paper programs and outstanding letters of credit, totaled $7.1 billion, which included $326 million available under the NBCUniversal Enterprise revolving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January 1, 2016, our Board of Directors increased our share repurchase program authorization to $10 billion, which does not have an expiration date. Under the authorization, we may repurchase shares in the open market or in private transactions. During the six months ended June 30, 2016, we repurchased a total of 40 million shares of our Class A common stock for approximately $2.4 billion. We expect to make $2.6 billion more in repurchases during the remainder of 2016, subject to market conditions.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approved a 10.0% increase in our dividend to $1.10 per share on an annualized basis. In each of February and May 2016, our Board of Directors approved a quarterly dividend of $0.275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120" w:type="dxa"/>
            <w:vAlign w:val="bottom"/>
            <w:tcBorders>
              <w:bottom w:val="single" w:sz="8" w:color="auto"/>
            </w:tcBorders>
            <w:gridSpan w:val="2"/>
          </w:tcPr>
          <w:p>
            <w:pPr>
              <w:ind w:left="3260"/>
              <w:spacing w:after="0"/>
              <w:rPr>
                <w:sz w:val="20"/>
                <w:szCs w:val="20"/>
                <w:color w:val="auto"/>
              </w:rPr>
            </w:pPr>
            <w:r>
              <w:rPr>
                <w:rFonts w:ascii="Arial" w:cs="Arial" w:eastAsia="Arial" w:hAnsi="Arial"/>
                <w:sz w:val="14"/>
                <w:szCs w:val="14"/>
                <w:color w:val="auto"/>
              </w:rPr>
              <w:t>Amount</w:t>
            </w:r>
          </w:p>
        </w:tc>
        <w:tc>
          <w:tcPr>
            <w:tcW w:w="144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color w:val="auto"/>
                <w:w w:val="89"/>
              </w:rPr>
              <w:t>Month of Payment</w:t>
            </w:r>
          </w:p>
        </w:tc>
      </w:tr>
      <w:tr>
        <w:trPr>
          <w:trHeight w:val="210"/>
        </w:trPr>
        <w:tc>
          <w:tcPr>
            <w:tcW w:w="586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2016</w:t>
            </w:r>
          </w:p>
        </w:tc>
        <w:tc>
          <w:tcPr>
            <w:tcW w:w="3400" w:type="dxa"/>
            <w:vAlign w:val="bottom"/>
            <w:shd w:val="clear" w:color="auto" w:fill="E5E5E5"/>
          </w:tcPr>
          <w:p>
            <w:pPr>
              <w:ind w:left="3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3"/>
              </w:rPr>
              <w:t>670</w:t>
            </w:r>
          </w:p>
        </w:tc>
        <w:tc>
          <w:tcPr>
            <w:tcW w:w="1440" w:type="dxa"/>
            <w:vAlign w:val="bottom"/>
            <w:shd w:val="clear" w:color="auto" w:fill="E5E5E5"/>
          </w:tcPr>
          <w:p>
            <w:pPr>
              <w:jc w:val="center"/>
              <w:ind w:left="339"/>
              <w:spacing w:after="0"/>
              <w:rPr>
                <w:sz w:val="20"/>
                <w:szCs w:val="20"/>
                <w:color w:val="auto"/>
              </w:rPr>
            </w:pPr>
            <w:r>
              <w:rPr>
                <w:rFonts w:ascii="Arial" w:cs="Arial" w:eastAsia="Arial" w:hAnsi="Arial"/>
                <w:sz w:val="18"/>
                <w:szCs w:val="18"/>
                <w:color w:val="auto"/>
              </w:rPr>
              <w:t>April</w:t>
            </w:r>
          </w:p>
        </w:tc>
      </w:tr>
      <w:tr>
        <w:trPr>
          <w:trHeight w:val="216"/>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2016</w:t>
            </w:r>
          </w:p>
        </w:tc>
        <w:tc>
          <w:tcPr>
            <w:tcW w:w="340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3"/>
              </w:rPr>
              <w:t>663</w:t>
            </w:r>
          </w:p>
        </w:tc>
        <w:tc>
          <w:tcPr>
            <w:tcW w:w="144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3"/>
              </w:rPr>
              <w:t>July</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2015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12 to Comcast’s condensed consolidated financial statements included in this Quarterly Report on Form 10-Q for a discussion of legal proceedings.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2015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June 30, 2016.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center"/>
              <w:ind w:right="283"/>
              <w:spacing w:after="0"/>
              <w:rPr>
                <w:sz w:val="20"/>
                <w:szCs w:val="20"/>
                <w:color w:val="auto"/>
              </w:rPr>
            </w:pPr>
            <w:r>
              <w:rPr>
                <w:rFonts w:ascii="Arial" w:cs="Arial" w:eastAsia="Arial" w:hAnsi="Arial"/>
                <w:sz w:val="14"/>
                <w:szCs w:val="14"/>
                <w:color w:val="auto"/>
                <w:w w:val="89"/>
              </w:rPr>
              <w:t>Total Dollar</w:t>
            </w:r>
          </w:p>
        </w:tc>
        <w:tc>
          <w:tcPr>
            <w:tcW w:w="1500" w:type="dxa"/>
            <w:vAlign w:val="bottom"/>
          </w:tcPr>
          <w:p>
            <w:pPr>
              <w:jc w:val="center"/>
              <w:ind w:left="84"/>
              <w:spacing w:after="0"/>
              <w:rPr>
                <w:sz w:val="20"/>
                <w:szCs w:val="20"/>
                <w:color w:val="auto"/>
              </w:rPr>
            </w:pPr>
            <w:r>
              <w:rPr>
                <w:rFonts w:ascii="Arial" w:cs="Arial" w:eastAsia="Arial" w:hAnsi="Arial"/>
                <w:sz w:val="14"/>
                <w:szCs w:val="14"/>
                <w:color w:val="auto"/>
                <w:w w:val="92"/>
              </w:rPr>
              <w:t>Maximum Dollar</w:t>
            </w:r>
          </w:p>
        </w:tc>
      </w:tr>
      <w:tr>
        <w:trPr>
          <w:trHeight w:val="149"/>
        </w:trPr>
        <w:tc>
          <w:tcPr>
            <w:tcW w:w="2720" w:type="dxa"/>
            <w:vAlign w:val="bottom"/>
          </w:tcPr>
          <w:p>
            <w:pPr>
              <w:spacing w:after="0"/>
              <w:rPr>
                <w:sz w:val="12"/>
                <w:szCs w:val="12"/>
                <w:color w:val="auto"/>
              </w:rPr>
            </w:pPr>
          </w:p>
        </w:tc>
        <w:tc>
          <w:tcPr>
            <w:tcW w:w="2580" w:type="dxa"/>
            <w:vAlign w:val="bottom"/>
          </w:tcPr>
          <w:p>
            <w:pPr>
              <w:jc w:val="center"/>
              <w:ind w:left="1142"/>
              <w:spacing w:after="0" w:line="149" w:lineRule="exact"/>
              <w:rPr>
                <w:sz w:val="20"/>
                <w:szCs w:val="20"/>
                <w:color w:val="auto"/>
              </w:rPr>
            </w:pPr>
            <w:r>
              <w:rPr>
                <w:rFonts w:ascii="Arial" w:cs="Arial" w:eastAsia="Arial" w:hAnsi="Arial"/>
                <w:sz w:val="14"/>
                <w:szCs w:val="14"/>
                <w:color w:val="auto"/>
                <w:w w:val="89"/>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28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720" w:type="dxa"/>
            <w:vAlign w:val="bottom"/>
          </w:tcPr>
          <w:p>
            <w:pPr>
              <w:spacing w:after="0"/>
              <w:rPr>
                <w:sz w:val="12"/>
                <w:szCs w:val="12"/>
                <w:color w:val="auto"/>
              </w:rPr>
            </w:pPr>
          </w:p>
        </w:tc>
        <w:tc>
          <w:tcPr>
            <w:tcW w:w="2580" w:type="dxa"/>
            <w:vAlign w:val="bottom"/>
          </w:tcPr>
          <w:p>
            <w:pPr>
              <w:jc w:val="center"/>
              <w:ind w:left="1142"/>
              <w:spacing w:after="0" w:line="149" w:lineRule="exact"/>
              <w:rPr>
                <w:sz w:val="20"/>
                <w:szCs w:val="20"/>
                <w:color w:val="auto"/>
              </w:rPr>
            </w:pPr>
            <w:r>
              <w:rPr>
                <w:rFonts w:ascii="Arial" w:cs="Arial" w:eastAsia="Arial" w:hAnsi="Arial"/>
                <w:sz w:val="14"/>
                <w:szCs w:val="14"/>
                <w:color w:val="auto"/>
                <w:w w:val="91"/>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28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8"/>
              </w:rPr>
              <w:t>May Yet Be</w:t>
            </w:r>
          </w:p>
        </w:tc>
      </w:tr>
      <w:tr>
        <w:trPr>
          <w:trHeight w:val="146"/>
        </w:trPr>
        <w:tc>
          <w:tcPr>
            <w:tcW w:w="2720" w:type="dxa"/>
            <w:vAlign w:val="bottom"/>
          </w:tcPr>
          <w:p>
            <w:pPr>
              <w:spacing w:after="0"/>
              <w:rPr>
                <w:sz w:val="12"/>
                <w:szCs w:val="12"/>
                <w:color w:val="auto"/>
              </w:rPr>
            </w:pPr>
          </w:p>
        </w:tc>
        <w:tc>
          <w:tcPr>
            <w:tcW w:w="2580" w:type="dxa"/>
            <w:vAlign w:val="bottom"/>
          </w:tcPr>
          <w:p>
            <w:pPr>
              <w:jc w:val="center"/>
              <w:ind w:left="1142"/>
              <w:spacing w:after="0" w:line="146" w:lineRule="exact"/>
              <w:rPr>
                <w:sz w:val="20"/>
                <w:szCs w:val="20"/>
                <w:color w:val="auto"/>
              </w:rPr>
            </w:pPr>
            <w:r>
              <w:rPr>
                <w:rFonts w:ascii="Arial" w:cs="Arial" w:eastAsia="Arial" w:hAnsi="Arial"/>
                <w:sz w:val="14"/>
                <w:szCs w:val="14"/>
                <w:color w:val="auto"/>
                <w:w w:val="81"/>
              </w:rPr>
              <w:t>Shares</w:t>
            </w: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82"/>
              </w:rPr>
              <w:t>Per</w:t>
            </w:r>
          </w:p>
        </w:tc>
        <w:tc>
          <w:tcPr>
            <w:tcW w:w="1940" w:type="dxa"/>
            <w:vAlign w:val="bottom"/>
          </w:tcPr>
          <w:p>
            <w:pPr>
              <w:jc w:val="center"/>
              <w:spacing w:after="0" w:line="146" w:lineRule="exact"/>
              <w:rPr>
                <w:sz w:val="20"/>
                <w:szCs w:val="20"/>
                <w:color w:val="auto"/>
              </w:rPr>
            </w:pPr>
            <w:r>
              <w:rPr>
                <w:rFonts w:ascii="Arial" w:cs="Arial" w:eastAsia="Arial" w:hAnsi="Arial"/>
                <w:sz w:val="14"/>
                <w:szCs w:val="14"/>
                <w:color w:val="auto"/>
                <w:w w:val="92"/>
              </w:rPr>
              <w:t>as Part of Publicly</w:t>
            </w:r>
          </w:p>
        </w:tc>
        <w:tc>
          <w:tcPr>
            <w:tcW w:w="360" w:type="dxa"/>
            <w:vAlign w:val="bottom"/>
          </w:tcPr>
          <w:p>
            <w:pPr>
              <w:spacing w:after="0"/>
              <w:rPr>
                <w:sz w:val="12"/>
                <w:szCs w:val="12"/>
                <w:color w:val="auto"/>
              </w:rPr>
            </w:pPr>
          </w:p>
        </w:tc>
        <w:tc>
          <w:tcPr>
            <w:tcW w:w="1280" w:type="dxa"/>
            <w:vAlign w:val="bottom"/>
          </w:tcPr>
          <w:p>
            <w:pPr>
              <w:jc w:val="center"/>
              <w:ind w:right="303"/>
              <w:spacing w:after="0" w:line="146"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4"/>
              <w:spacing w:after="0" w:line="146"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580" w:type="dxa"/>
            <w:vAlign w:val="bottom"/>
            <w:tcBorders>
              <w:bottom w:val="single" w:sz="8" w:color="auto"/>
            </w:tcBorders>
          </w:tcPr>
          <w:p>
            <w:pPr>
              <w:jc w:val="center"/>
              <w:ind w:left="1142"/>
              <w:spacing w:after="0"/>
              <w:rPr>
                <w:sz w:val="20"/>
                <w:szCs w:val="20"/>
                <w:color w:val="auto"/>
              </w:rPr>
            </w:pPr>
            <w:r>
              <w:rPr>
                <w:rFonts w:ascii="Arial" w:cs="Arial" w:eastAsia="Arial" w:hAnsi="Arial"/>
                <w:sz w:val="14"/>
                <w:szCs w:val="14"/>
                <w:color w:val="auto"/>
                <w:w w:val="83"/>
              </w:rPr>
              <w:t>Purchased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720" w:type="dxa"/>
            <w:vAlign w:val="bottom"/>
            <w:shd w:val="clear" w:color="auto" w:fill="E5E5E5"/>
          </w:tcPr>
          <w:p>
            <w:pPr>
              <w:spacing w:after="0"/>
              <w:rPr>
                <w:sz w:val="20"/>
                <w:szCs w:val="20"/>
                <w:color w:val="auto"/>
              </w:rPr>
            </w:pPr>
            <w:r>
              <w:rPr>
                <w:rFonts w:ascii="Arial" w:cs="Arial" w:eastAsia="Arial" w:hAnsi="Arial"/>
                <w:sz w:val="18"/>
                <w:szCs w:val="18"/>
                <w:color w:val="auto"/>
              </w:rPr>
              <w:t>April 1-30, 2016</w:t>
            </w:r>
          </w:p>
        </w:tc>
        <w:tc>
          <w:tcPr>
            <w:tcW w:w="258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120</w:t>
            </w:r>
          </w:p>
        </w:tc>
        <w:tc>
          <w:tcPr>
            <w:tcW w:w="1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$61.43</w:t>
            </w:r>
          </w:p>
        </w:tc>
        <w:tc>
          <w:tcPr>
            <w:tcW w:w="194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4"/>
              <w:spacing w:after="0"/>
              <w:rPr>
                <w:sz w:val="20"/>
                <w:szCs w:val="20"/>
                <w:color w:val="auto"/>
              </w:rPr>
            </w:pPr>
            <w:r>
              <w:rPr>
                <w:rFonts w:ascii="Arial" w:cs="Arial" w:eastAsia="Arial" w:hAnsi="Arial"/>
                <w:sz w:val="18"/>
                <w:szCs w:val="18"/>
                <w:color w:val="auto"/>
                <w:w w:val="86"/>
              </w:rPr>
              <w:t>$ 8,750,582,365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May 1-31, 2016</w:t>
            </w:r>
          </w:p>
        </w:tc>
        <w:tc>
          <w:tcPr>
            <w:tcW w:w="2580" w:type="dxa"/>
            <w:vAlign w:val="bottom"/>
          </w:tcPr>
          <w:p>
            <w:pPr>
              <w:jc w:val="right"/>
              <w:ind w:right="182"/>
              <w:spacing w:after="0"/>
              <w:rPr>
                <w:sz w:val="20"/>
                <w:szCs w:val="20"/>
                <w:color w:val="auto"/>
              </w:rPr>
            </w:pPr>
            <w:r>
              <w:rPr>
                <w:rFonts w:ascii="Arial" w:cs="Arial" w:eastAsia="Arial" w:hAnsi="Arial"/>
                <w:sz w:val="18"/>
                <w:szCs w:val="18"/>
                <w:color w:val="auto"/>
              </w:rPr>
              <w:t>8,361,170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$61.08</w:t>
            </w:r>
          </w:p>
        </w:tc>
        <w:tc>
          <w:tcPr>
            <w:tcW w:w="1940" w:type="dxa"/>
            <w:vAlign w:val="bottom"/>
          </w:tcPr>
          <w:p>
            <w:pPr>
              <w:jc w:val="right"/>
              <w:ind w:right="202"/>
              <w:spacing w:after="0"/>
              <w:rPr>
                <w:sz w:val="20"/>
                <w:szCs w:val="20"/>
                <w:color w:val="auto"/>
              </w:rPr>
            </w:pPr>
            <w:r>
              <w:rPr>
                <w:rFonts w:ascii="Arial" w:cs="Arial" w:eastAsia="Arial" w:hAnsi="Arial"/>
                <w:sz w:val="18"/>
                <w:szCs w:val="18"/>
                <w:color w:val="auto"/>
              </w:rPr>
              <w:t>8,361,170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3"/>
              <w:spacing w:after="0"/>
              <w:rPr>
                <w:sz w:val="20"/>
                <w:szCs w:val="20"/>
                <w:color w:val="auto"/>
              </w:rPr>
            </w:pPr>
            <w:r>
              <w:rPr>
                <w:rFonts w:ascii="Arial" w:cs="Arial" w:eastAsia="Arial" w:hAnsi="Arial"/>
                <w:sz w:val="18"/>
                <w:szCs w:val="18"/>
                <w:color w:val="auto"/>
                <w:w w:val="99"/>
              </w:rPr>
              <w:t>510,699,704</w:t>
            </w:r>
          </w:p>
        </w:tc>
        <w:tc>
          <w:tcPr>
            <w:tcW w:w="1500" w:type="dxa"/>
            <w:vAlign w:val="bottom"/>
          </w:tcPr>
          <w:p>
            <w:pPr>
              <w:jc w:val="center"/>
              <w:ind w:left="104"/>
              <w:spacing w:after="0"/>
              <w:rPr>
                <w:sz w:val="20"/>
                <w:szCs w:val="20"/>
                <w:color w:val="auto"/>
              </w:rPr>
            </w:pPr>
            <w:r>
              <w:rPr>
                <w:rFonts w:ascii="Arial" w:cs="Arial" w:eastAsia="Arial" w:hAnsi="Arial"/>
                <w:sz w:val="18"/>
                <w:szCs w:val="18"/>
                <w:color w:val="auto"/>
                <w:w w:val="86"/>
              </w:rPr>
              <w:t>$ 8,239,882,661</w:t>
            </w:r>
          </w:p>
        </w:tc>
      </w:tr>
      <w:tr>
        <w:trPr>
          <w:trHeight w:val="216"/>
        </w:trPr>
        <w:tc>
          <w:tcPr>
            <w:tcW w:w="2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2016</w:t>
            </w:r>
          </w:p>
        </w:tc>
        <w:tc>
          <w:tcPr>
            <w:tcW w:w="258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10,056,966</w:t>
            </w: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0"/>
              </w:rPr>
              <w:t>$62.15</w:t>
            </w:r>
          </w:p>
        </w:tc>
        <w:tc>
          <w:tcPr>
            <w:tcW w:w="194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10,056,966</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99"/>
              </w:rPr>
              <w:t>625,000,000</w:t>
            </w:r>
          </w:p>
        </w:tc>
        <w:tc>
          <w:tcPr>
            <w:tcW w:w="1500" w:type="dxa"/>
            <w:vAlign w:val="bottom"/>
            <w:tcBorders>
              <w:bottom w:val="single" w:sz="8" w:color="auto"/>
            </w:tcBorders>
            <w:shd w:val="clear" w:color="auto" w:fill="E5E5E5"/>
          </w:tcPr>
          <w:p>
            <w:pPr>
              <w:jc w:val="center"/>
              <w:ind w:left="104"/>
              <w:spacing w:after="0"/>
              <w:rPr>
                <w:sz w:val="20"/>
                <w:szCs w:val="20"/>
                <w:color w:val="auto"/>
              </w:rPr>
            </w:pPr>
            <w:r>
              <w:rPr>
                <w:rFonts w:ascii="Arial" w:cs="Arial" w:eastAsia="Arial" w:hAnsi="Arial"/>
                <w:sz w:val="18"/>
                <w:szCs w:val="18"/>
                <w:color w:val="auto"/>
                <w:w w:val="86"/>
              </w:rPr>
              <w:t>$ 7,614,882,661</w:t>
            </w:r>
          </w:p>
        </w:tc>
      </w:tr>
      <w:tr>
        <w:trPr>
          <w:trHeight w:val="21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18,418,256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$61.66</w:t>
            </w:r>
          </w:p>
        </w:tc>
        <w:tc>
          <w:tcPr>
            <w:tcW w:w="19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18,418,136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6"/>
              </w:rPr>
              <w:t>1,135,699,704</w:t>
            </w:r>
          </w:p>
        </w:tc>
        <w:tc>
          <w:tcPr>
            <w:tcW w:w="1500" w:type="dxa"/>
            <w:vAlign w:val="bottom"/>
            <w:tcBorders>
              <w:bottom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86"/>
              </w:rPr>
              <w:t>$ 7,614,882,661</w:t>
            </w:r>
          </w:p>
        </w:tc>
      </w:tr>
    </w:tbl>
    <w:p>
      <w:pPr>
        <w:spacing w:after="0" w:line="57" w:lineRule="exact"/>
        <w:rPr>
          <w:sz w:val="20"/>
          <w:szCs w:val="20"/>
          <w:color w:val="auto"/>
        </w:rPr>
      </w:pPr>
    </w:p>
    <w:p>
      <w:pPr>
        <w:ind w:left="340" w:hanging="332"/>
        <w:spacing w:after="0" w:line="31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Effective January 1, 2016, our Board of Directors increased our share repurchase authorization to $10 billion, which does not have an expiration date. Under this authorization, we may repurchase shares in the open market or in private transactions. We expect to make $2.6 billion more in repurchases during the remainder of 2016, subject to market conditions.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2016 includes 120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May 31, 2016).</w:t>
      </w:r>
    </w:p>
    <w:p>
      <w:pPr>
        <w:jc w:val="both"/>
        <w:ind w:left="820" w:right="20" w:hanging="722"/>
        <w:spacing w:after="0" w:line="250"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16 to Employment Agreement with Brian L. Roberts, dated as of June 30, 2016 (incorporated by reference to exhibit 99.1 to Comcast’s Current Report on Form 8-K filed on July 1, 2016).</w:t>
      </w:r>
    </w:p>
    <w:p>
      <w:pPr>
        <w:spacing w:after="0" w:line="1" w:lineRule="exact"/>
        <w:rPr>
          <w:sz w:val="20"/>
          <w:szCs w:val="20"/>
          <w:color w:val="auto"/>
        </w:rPr>
      </w:pPr>
    </w:p>
    <w:p>
      <w:pPr>
        <w:jc w:val="both"/>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Comcast Corporation 2002 Restricted Plan, as amended and restated effective February 22, 2016 (incorporated by reference to Appendix A to Comcast’s Definitive Proxy Statement on Schedule 14A filed on April 8, 2016).</w:t>
      </w:r>
    </w:p>
    <w:p>
      <w:pPr>
        <w:spacing w:after="0" w:line="1" w:lineRule="exact"/>
        <w:rPr>
          <w:sz w:val="20"/>
          <w:szCs w:val="20"/>
          <w:color w:val="auto"/>
        </w:rPr>
      </w:pPr>
    </w:p>
    <w:p>
      <w:pPr>
        <w:jc w:val="both"/>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Comcast Corporation 2003 Stock Option Plan, as amended and restated effective February 22, 2016 (incorporated by reference to Appendix B to Comcast’s Definitive Proxy Statement on Schedule 14A filed on April 8, 2016).</w:t>
      </w:r>
    </w:p>
    <w:p>
      <w:pPr>
        <w:spacing w:after="0" w:line="1" w:lineRule="exact"/>
        <w:rPr>
          <w:sz w:val="20"/>
          <w:szCs w:val="20"/>
          <w:color w:val="auto"/>
        </w:rPr>
      </w:pPr>
    </w:p>
    <w:p>
      <w:pPr>
        <w:jc w:val="both"/>
        <w:ind w:left="820" w:right="20" w:hanging="722"/>
        <w:spacing w:after="0" w:line="250"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Comcast Corporation 2002 Employee Stock Purchase Plan, as amended and restated effective February 22, 2016 (incorporated by reference to Appendix C to Comcast’s Definitive Proxy Statement on Schedule 14A filed on April 8, 2016).</w:t>
      </w:r>
    </w:p>
    <w:p>
      <w:pPr>
        <w:spacing w:after="0" w:line="1" w:lineRule="exact"/>
        <w:rPr>
          <w:sz w:val="20"/>
          <w:szCs w:val="20"/>
          <w:color w:val="auto"/>
        </w:rPr>
      </w:pPr>
    </w:p>
    <w:p>
      <w:pPr>
        <w:jc w:val="both"/>
        <w:ind w:left="820" w:right="20" w:hanging="722"/>
        <w:spacing w:after="0" w:line="250"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Comcast-NBCUniversal Employee Stock Purchase Plan, as amended and restated effective February 22, 2016 (incorporated by reference to Appendix D to Comcast’s Definitive Proxy Statement on Schedule 14A filed on April 8, 2016).</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six months ended June 30, 2016, filed with the Securities and Exchange Commission on July 27, 2016,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May 31, 2016).</w:t>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and six months ended June 30, 2016, filed with the Securities and Exchange Commission on July 27, 2016,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and Chief Accounting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2016</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50">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48</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49</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50</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51</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52</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53</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780" w:type="dxa"/>
            <w:vAlign w:val="bottom"/>
            <w:gridSpan w:val="2"/>
          </w:tcPr>
          <w:p>
            <w:pPr>
              <w:jc w:val="right"/>
              <w:ind w:right="253"/>
              <w:spacing w:after="0"/>
              <w:rPr>
                <w:sz w:val="20"/>
                <w:szCs w:val="20"/>
                <w:color w:val="auto"/>
              </w:rPr>
            </w:pPr>
            <w:r>
              <w:rPr>
                <w:rFonts w:ascii="Arial" w:cs="Arial" w:eastAsia="Arial" w:hAnsi="Arial"/>
                <w:sz w:val="14"/>
                <w:szCs w:val="14"/>
                <w:color w:val="auto"/>
              </w:rPr>
              <w:t>June 30,</w:t>
            </w: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7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3"/>
                <w:szCs w:val="13"/>
                <w:color w:val="auto"/>
              </w:rPr>
            </w:pPr>
          </w:p>
        </w:tc>
        <w:tc>
          <w:tcPr>
            <w:tcW w:w="760" w:type="dxa"/>
            <w:vAlign w:val="bottom"/>
          </w:tcPr>
          <w:p>
            <w:pPr>
              <w:jc w:val="right"/>
              <w:ind w:right="353"/>
              <w:spacing w:after="0" w:line="159" w:lineRule="exact"/>
              <w:rPr>
                <w:sz w:val="20"/>
                <w:szCs w:val="20"/>
                <w:color w:val="auto"/>
              </w:rPr>
            </w:pPr>
            <w:r>
              <w:rPr>
                <w:rFonts w:ascii="Arial" w:cs="Arial" w:eastAsia="Arial" w:hAnsi="Arial"/>
                <w:sz w:val="14"/>
                <w:szCs w:val="14"/>
                <w:color w:val="auto"/>
                <w:w w:val="96"/>
              </w:rPr>
              <w:t>2016</w:t>
            </w:r>
          </w:p>
        </w:tc>
        <w:tc>
          <w:tcPr>
            <w:tcW w:w="44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1,155</w:t>
            </w:r>
          </w:p>
        </w:tc>
        <w:tc>
          <w:tcPr>
            <w:tcW w:w="4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5,228</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1,427</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2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916</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8,726</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5,806</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979</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$3,108 and $2,779</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10,197</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21,143</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$6,121 and $5,654</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13,884</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0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1,190</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83"/>
              </w:rPr>
              <w:t>61,925</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60,690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1,426</w:t>
            </w:r>
          </w:p>
        </w:tc>
        <w:tc>
          <w:tcPr>
            <w:tcW w:w="4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1,542</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572</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1,547</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1,374</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1,884</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182</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8,527</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11,861</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202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1,133</w:t>
            </w:r>
          </w:p>
        </w:tc>
        <w:tc>
          <w:tcPr>
            <w:tcW w:w="4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3,875</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367</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33,921</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2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34,016</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2,146</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0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3"/>
              </w:rPr>
              <w:t>36,162</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34,303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83"/>
              </w:rPr>
              <w:t>61,925</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60,690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3"/>
          </w:tcPr>
          <w:p>
            <w:pPr>
              <w:jc w:val="right"/>
              <w:ind w:right="453"/>
              <w:spacing w:after="0"/>
              <w:rPr>
                <w:sz w:val="20"/>
                <w:szCs w:val="20"/>
                <w:color w:val="auto"/>
              </w:rPr>
            </w:pPr>
            <w:r>
              <w:rPr>
                <w:rFonts w:ascii="Arial" w:cs="Arial" w:eastAsia="Arial" w:hAnsi="Arial"/>
                <w:sz w:val="14"/>
                <w:szCs w:val="14"/>
                <w:color w:val="auto"/>
                <w:w w:val="96"/>
              </w:rPr>
              <w:t>Three Months Ended</w:t>
            </w:r>
          </w:p>
        </w:tc>
        <w:tc>
          <w:tcPr>
            <w:tcW w:w="340" w:type="dxa"/>
            <w:vAlign w:val="bottom"/>
          </w:tcPr>
          <w:p>
            <w:pPr>
              <w:spacing w:after="0"/>
              <w:rPr>
                <w:sz w:val="14"/>
                <w:szCs w:val="14"/>
                <w:color w:val="auto"/>
              </w:rPr>
            </w:pPr>
          </w:p>
        </w:tc>
        <w:tc>
          <w:tcPr>
            <w:tcW w:w="1600" w:type="dxa"/>
            <w:vAlign w:val="bottom"/>
            <w:gridSpan w:val="3"/>
          </w:tcPr>
          <w:p>
            <w:pPr>
              <w:jc w:val="right"/>
              <w:ind w:right="373"/>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59"/>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0"/>
              </w:rPr>
              <w:t>June 30</w:t>
            </w: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color w:val="auto"/>
                <w:w w:val="89"/>
              </w:rPr>
              <w:t>2016</w:t>
            </w:r>
          </w:p>
        </w:tc>
        <w:tc>
          <w:tcPr>
            <w:tcW w:w="580" w:type="dxa"/>
            <w:vAlign w:val="bottom"/>
          </w:tcPr>
          <w:p>
            <w:pPr>
              <w:spacing w:after="0"/>
              <w:rPr>
                <w:sz w:val="12"/>
                <w:szCs w:val="12"/>
                <w:color w:val="auto"/>
              </w:rPr>
            </w:pPr>
          </w:p>
        </w:tc>
        <w:tc>
          <w:tcPr>
            <w:tcW w:w="740" w:type="dxa"/>
            <w:vAlign w:val="bottom"/>
          </w:tcPr>
          <w:p>
            <w:pPr>
              <w:jc w:val="right"/>
              <w:ind w:right="353"/>
              <w:spacing w:after="0" w:line="142" w:lineRule="exact"/>
              <w:rPr>
                <w:sz w:val="20"/>
                <w:szCs w:val="20"/>
                <w:color w:val="auto"/>
              </w:rPr>
            </w:pPr>
            <w:r>
              <w:rPr>
                <w:rFonts w:ascii="Arial" w:cs="Arial" w:eastAsia="Arial" w:hAnsi="Arial"/>
                <w:sz w:val="14"/>
                <w:szCs w:val="14"/>
                <w:color w:val="auto"/>
                <w:w w:val="89"/>
              </w:rPr>
              <w:t>2015</w:t>
            </w:r>
          </w:p>
        </w:tc>
        <w:tc>
          <w:tcPr>
            <w:tcW w:w="340" w:type="dxa"/>
            <w:vAlign w:val="bottom"/>
          </w:tcPr>
          <w:p>
            <w:pPr>
              <w:spacing w:after="0"/>
              <w:rPr>
                <w:sz w:val="12"/>
                <w:szCs w:val="12"/>
                <w:color w:val="auto"/>
              </w:rPr>
            </w:pPr>
          </w:p>
        </w:tc>
        <w:tc>
          <w:tcPr>
            <w:tcW w:w="680" w:type="dxa"/>
            <w:vAlign w:val="bottom"/>
          </w:tcPr>
          <w:p>
            <w:pPr>
              <w:jc w:val="right"/>
              <w:ind w:right="275"/>
              <w:spacing w:after="0" w:line="142" w:lineRule="exact"/>
              <w:rPr>
                <w:sz w:val="20"/>
                <w:szCs w:val="20"/>
                <w:color w:val="auto"/>
              </w:rPr>
            </w:pPr>
            <w:r>
              <w:rPr>
                <w:rFonts w:ascii="Arial" w:cs="Arial" w:eastAsia="Arial" w:hAnsi="Arial"/>
                <w:sz w:val="14"/>
                <w:szCs w:val="14"/>
                <w:color w:val="auto"/>
                <w:w w:val="96"/>
              </w:rPr>
              <w:t>2016</w:t>
            </w:r>
          </w:p>
        </w:tc>
        <w:tc>
          <w:tcPr>
            <w:tcW w:w="220" w:type="dxa"/>
            <w:vAlign w:val="bottom"/>
          </w:tcPr>
          <w:p>
            <w:pPr>
              <w:spacing w:after="0"/>
              <w:rPr>
                <w:sz w:val="12"/>
                <w:szCs w:val="12"/>
                <w:color w:val="auto"/>
              </w:rPr>
            </w:pPr>
          </w:p>
        </w:tc>
        <w:tc>
          <w:tcPr>
            <w:tcW w:w="70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7,103</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93"/>
              </w:rPr>
              <w:t>7,230</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13,964</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3"/>
              </w:rPr>
              <w:t>13,834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3,037</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3"/>
              </w:rPr>
              <w:t>3,339</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6,002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1,652</w:t>
            </w:r>
          </w:p>
        </w:tc>
        <w:tc>
          <w:tcPr>
            <w:tcW w:w="58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w w:val="93"/>
              </w:rPr>
              <w:t>1,438</w:t>
            </w:r>
          </w:p>
        </w:tc>
        <w:tc>
          <w:tcPr>
            <w:tcW w:w="3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3,247</w:t>
            </w:r>
          </w:p>
        </w:tc>
        <w:tc>
          <w:tcPr>
            <w:tcW w:w="22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725</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58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242</w:t>
            </w:r>
          </w:p>
        </w:tc>
        <w:tc>
          <w:tcPr>
            <w:tcW w:w="5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5,879</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3"/>
              </w:rPr>
              <w:t>5,923</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11,532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3"/>
              </w:rPr>
              <w:t>11,397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1,224</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3"/>
              </w:rPr>
              <w:t>1,307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2,432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(300)</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1,049</w:t>
            </w:r>
          </w:p>
        </w:tc>
        <w:tc>
          <w:tcPr>
            <w:tcW w:w="58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w w:val="93"/>
              </w:rPr>
              <w:t>1,007</w:t>
            </w:r>
          </w:p>
        </w:tc>
        <w:tc>
          <w:tcPr>
            <w:tcW w:w="3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5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975</w:t>
            </w:r>
          </w:p>
        </w:tc>
        <w:tc>
          <w:tcPr>
            <w:tcW w:w="58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rPr>
              <w:t>944</w:t>
            </w:r>
          </w:p>
        </w:tc>
        <w:tc>
          <w:tcPr>
            <w:tcW w:w="34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5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912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1,935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1,764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color w:val="auto"/>
                <w:w w:val="94"/>
              </w:rPr>
              <w:t>Three Months Ended</w:t>
            </w:r>
          </w:p>
        </w:tc>
        <w:tc>
          <w:tcPr>
            <w:tcW w:w="2060" w:type="dxa"/>
            <w:vAlign w:val="bottom"/>
            <w:gridSpan w:val="3"/>
          </w:tcPr>
          <w:p>
            <w:pPr>
              <w:jc w:val="right"/>
              <w:ind w:right="37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0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8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4"/>
                <w:szCs w:val="14"/>
                <w:color w:val="auto"/>
                <w:w w:val="89"/>
              </w:rPr>
              <w:t>2016</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2015</w:t>
            </w:r>
          </w:p>
        </w:tc>
        <w:tc>
          <w:tcPr>
            <w:tcW w:w="8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944</w:t>
            </w:r>
          </w:p>
        </w:tc>
        <w:tc>
          <w:tcPr>
            <w:tcW w:w="8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$ 2,057</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Deferred gains (losses) on cash flow hedges, net</w:t>
            </w:r>
          </w:p>
        </w:tc>
        <w:tc>
          <w:tcPr>
            <w:tcW w:w="500" w:type="dxa"/>
            <w:vAlign w:val="bottom"/>
          </w:tcPr>
          <w:p>
            <w:pPr>
              <w:spacing w:after="0"/>
              <w:rPr>
                <w:sz w:val="18"/>
                <w:szCs w:val="18"/>
                <w:color w:val="auto"/>
              </w:rPr>
            </w:pPr>
          </w:p>
        </w:tc>
        <w:tc>
          <w:tcPr>
            <w:tcW w:w="920" w:type="dxa"/>
            <w:vAlign w:val="bottom"/>
          </w:tcPr>
          <w:p>
            <w:pPr>
              <w:jc w:val="right"/>
              <w:ind w:right="398"/>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(18)</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w:t>
            </w: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602</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w w:val="93"/>
              </w:rPr>
              <w:t>1,288</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973</w:t>
            </w:r>
          </w:p>
        </w:tc>
        <w:tc>
          <w:tcPr>
            <w:tcW w:w="8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2,651</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Pr>
          <w:p>
            <w:pPr>
              <w:spacing w:after="0"/>
              <w:rPr>
                <w:sz w:val="18"/>
                <w:szCs w:val="18"/>
                <w:color w:val="auto"/>
              </w:rPr>
            </w:pPr>
          </w:p>
        </w:tc>
        <w:tc>
          <w:tcPr>
            <w:tcW w:w="920" w:type="dxa"/>
            <w:vAlign w:val="bottom"/>
          </w:tcPr>
          <w:p>
            <w:pPr>
              <w:jc w:val="right"/>
              <w:ind w:right="338"/>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(32)</w:t>
            </w: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38"/>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(287)</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w w:val="93"/>
              </w:rPr>
              <w:t>1,096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936</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$ 2,242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1,737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2"/>
          </w:tcPr>
          <w:p>
            <w:pPr>
              <w:jc w:val="right"/>
              <w:ind w:right="33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jc w:val="right"/>
              <w:ind w:right="633"/>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$ 2,478</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$ 2,621</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(655)</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(114)</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of real estate properties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(78)</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102</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(62)</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(852)</w:t>
            </w:r>
          </w:p>
        </w:tc>
        <w:tc>
          <w:tcPr>
            <w:tcW w:w="9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borrowings from Comcast, net</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134</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(1,083)</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(104)</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Distributions to member</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(853)</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25</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(1,881)</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(2,386)</w:t>
            </w:r>
          </w:p>
        </w:tc>
        <w:tc>
          <w:tcPr>
            <w:tcW w:w="0" w:type="dxa"/>
            <w:vAlign w:val="bottom"/>
          </w:tcPr>
          <w:p>
            <w:pPr>
              <w:spacing w:after="0"/>
              <w:rPr>
                <w:sz w:val="1"/>
                <w:szCs w:val="1"/>
                <w:color w:val="auto"/>
              </w:rPr>
            </w:pP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(255)</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1,410</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7"/>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$ 1,155</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$ 1,013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720" w:type="dxa"/>
            <w:vAlign w:val="bottom"/>
            <w:tcBorders>
              <w:right w:val="single" w:sz="8" w:color="auto"/>
            </w:tcBorders>
            <w:gridSpan w:val="2"/>
          </w:tcPr>
          <w:p>
            <w:pPr>
              <w:jc w:val="right"/>
              <w:ind w:right="654"/>
              <w:spacing w:after="0" w:line="149" w:lineRule="exact"/>
              <w:rPr>
                <w:sz w:val="20"/>
                <w:szCs w:val="20"/>
                <w:color w:val="auto"/>
              </w:rPr>
            </w:pPr>
            <w:r>
              <w:rPr>
                <w:rFonts w:ascii="Arial" w:cs="Arial" w:eastAsia="Arial" w:hAnsi="Arial"/>
                <w:sz w:val="14"/>
                <w:szCs w:val="14"/>
                <w:color w:val="auto"/>
              </w:rPr>
              <w:t>Redeemable</w:t>
            </w: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375"/>
              <w:spacing w:after="0" w:line="149" w:lineRule="exact"/>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40" w:type="dxa"/>
            <w:vAlign w:val="bottom"/>
          </w:tcPr>
          <w:p>
            <w:pPr>
              <w:spacing w:after="0"/>
              <w:rPr>
                <w:sz w:val="12"/>
                <w:szCs w:val="12"/>
                <w:color w:val="auto"/>
              </w:rPr>
            </w:pPr>
          </w:p>
        </w:tc>
        <w:tc>
          <w:tcPr>
            <w:tcW w:w="1720" w:type="dxa"/>
            <w:vAlign w:val="bottom"/>
            <w:tcBorders>
              <w:right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1200" w:type="dxa"/>
            <w:vAlign w:val="bottom"/>
          </w:tcPr>
          <w:p>
            <w:pPr>
              <w:jc w:val="right"/>
              <w:ind w:right="195"/>
              <w:spacing w:after="0" w:line="149" w:lineRule="exact"/>
              <w:rPr>
                <w:sz w:val="20"/>
                <w:szCs w:val="20"/>
                <w:color w:val="auto"/>
              </w:rPr>
            </w:pPr>
            <w:r>
              <w:rPr>
                <w:rFonts w:ascii="Arial" w:cs="Arial" w:eastAsia="Arial" w:hAnsi="Arial"/>
                <w:sz w:val="14"/>
                <w:szCs w:val="14"/>
                <w:color w:val="auto"/>
              </w:rPr>
              <w:t>Member’s</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Comprehensive</w:t>
            </w: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8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jc w:val="right"/>
              <w:ind w:right="754"/>
              <w:spacing w:after="0" w:line="159" w:lineRule="exact"/>
              <w:rPr>
                <w:sz w:val="20"/>
                <w:szCs w:val="20"/>
                <w:color w:val="auto"/>
              </w:rPr>
            </w:pPr>
            <w:r>
              <w:rPr>
                <w:rFonts w:ascii="Arial" w:cs="Arial" w:eastAsia="Arial" w:hAnsi="Arial"/>
                <w:sz w:val="14"/>
                <w:szCs w:val="14"/>
                <w:color w:val="auto"/>
                <w:w w:val="89"/>
              </w:rPr>
              <w:t>Interests</w:t>
            </w:r>
          </w:p>
        </w:tc>
        <w:tc>
          <w:tcPr>
            <w:tcW w:w="120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Capital</w:t>
            </w:r>
          </w:p>
        </w:tc>
        <w:tc>
          <w:tcPr>
            <w:tcW w:w="13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4"/>
              <w:spacing w:after="0" w:line="159" w:lineRule="exact"/>
              <w:rPr>
                <w:sz w:val="20"/>
                <w:szCs w:val="20"/>
                <w:color w:val="auto"/>
              </w:rPr>
            </w:pPr>
            <w:r>
              <w:rPr>
                <w:rFonts w:ascii="Arial" w:cs="Arial" w:eastAsia="Arial" w:hAnsi="Arial"/>
                <w:sz w:val="14"/>
                <w:szCs w:val="14"/>
                <w:color w:val="auto"/>
                <w:w w:val="89"/>
              </w:rPr>
              <w:t>Interests</w:t>
            </w:r>
          </w:p>
        </w:tc>
        <w:tc>
          <w:tcPr>
            <w:tcW w:w="100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330</w:t>
            </w:r>
          </w:p>
        </w:tc>
        <w:tc>
          <w:tcPr>
            <w:tcW w:w="120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$30,529</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30,637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Dividends declared</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(79)</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Contribution from member</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252</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(27)</w:t>
            </w: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1,764</w:t>
            </w:r>
          </w:p>
        </w:tc>
        <w:tc>
          <w:tcPr>
            <w:tcW w:w="4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1,841</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2015</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337</w:t>
            </w: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$31,553</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(186)</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256</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31,623</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2015</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372</w:t>
            </w:r>
          </w:p>
        </w:tc>
        <w:tc>
          <w:tcPr>
            <w:tcW w:w="120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$32,834</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1,681</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34,303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Dividends declared</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(853)</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(29)</w:t>
            </w:r>
          </w:p>
        </w:tc>
        <w:tc>
          <w:tcPr>
            <w:tcW w:w="1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287</w:t>
            </w: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594</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spacing w:after="0"/>
              <w:rPr>
                <w:sz w:val="18"/>
                <w:szCs w:val="18"/>
                <w:color w:val="auto"/>
              </w:rPr>
            </w:pPr>
          </w:p>
        </w:tc>
        <w:tc>
          <w:tcPr>
            <w:tcW w:w="120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5</w:t>
            </w: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160</w:t>
            </w:r>
          </w:p>
        </w:tc>
      </w:tr>
      <w:tr>
        <w:trPr>
          <w:trHeight w:val="216"/>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24</w:t>
            </w: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1,935</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98</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2,033</w:t>
            </w:r>
          </w:p>
        </w:tc>
      </w:tr>
      <w:tr>
        <w:trPr>
          <w:trHeight w:val="217"/>
        </w:trPr>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b w:val="1"/>
                <w:bCs w:val="1"/>
                <w:color w:val="auto"/>
              </w:rPr>
              <w:t>367</w:t>
            </w:r>
          </w:p>
        </w:tc>
        <w:tc>
          <w:tcPr>
            <w:tcW w:w="120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$33,921</w:t>
            </w: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95</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2,146</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94"/>
              </w:rPr>
              <w:t>36,162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(“VIE”)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when the guidance is adopted with certain exceptions.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For a lessee, the recognition, measurement and presentation of expenses and cash flows arising from a lease do not significantly change from previous guidance. For a lessor, the accounting applied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updated guidance is effective for us as of January 1, 2017 and early adoption is permitted. The updated guidance provides companies with alternative methods of adoption, with certain items that are allowed to be applied retrospectively and certain other items that are only to be applied prospectively in the period of adoption. As a limited liability company, we do not expect the updated accounting guidance related to the excess income tax benefits or deficiencies to be recognized in the statement of income to have an impact on our consolidated financial statements. In addition, we do not expect the updated accounting guidance to have a material impact on our statement of cash flows.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April 28, 2016, Comcast entered into an agreement to acquire all of the outstanding stock of DreamWorks Animation SKG, Inc. (“DreamWorks”) for approximately $3.8 billion. DreamWorks stockholders will receive $41 in cash for each share of DreamWorks common stock. DreamWorks creates animated feature films, television series and specials, live entertainment and related consumer products. The transaction is expected to close in 2016, subject to receipt of certain international regulatory approvals and the satisfaction of other customary closing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November 13, 2015, we acquired a 51% economic interest in the Universal Studios theme park in Osaka, Japan (“Universal Studios Japan”) for $1.5 billion.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funded through cash on hand and borrowings under Comcast’s commercial paper program.</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our 51% interest. Universal Studios Japan’s results of operations are reported in our Theme Parks segment following the acquisition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assets and liabilities of Universal Studios Japan and the 49% noncontrolling interest were recorded at their estimated fair values. During the three months ended June 30, 2016, we updated the preliminary allocation of purchase price for Universal Studios Japan based on valuation analyses, which resulted in increases to property and equipment and intangible assets and a decrease in goodwill. The changes did not have a material impact on our consolidated financial statements. We may adjust these amounts further as valuations are finalized and we obtain information necessary to complete the analyses, but no later than one year from the acquisition date.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Universal Studios Japan.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900" w:type="dxa"/>
            <w:vAlign w:val="bottom"/>
          </w:tcPr>
          <w:p>
            <w:pPr>
              <w:jc w:val="right"/>
              <w:ind w:right="2912"/>
              <w:spacing w:after="0"/>
              <w:rPr>
                <w:sz w:val="20"/>
                <w:szCs w:val="20"/>
                <w:color w:val="auto"/>
              </w:rPr>
            </w:pPr>
            <w:r>
              <w:rPr>
                <w:rFonts w:ascii="Arial" w:cs="Arial" w:eastAsia="Arial" w:hAnsi="Arial"/>
                <w:sz w:val="18"/>
                <w:szCs w:val="18"/>
                <w:b w:val="1"/>
                <w:bCs w:val="1"/>
                <w:color w:val="auto"/>
              </w:rPr>
              <w:t>Preliminary Allocation of Purchase Price</w:t>
            </w:r>
          </w:p>
        </w:tc>
        <w:tc>
          <w:tcPr>
            <w:tcW w:w="1020" w:type="dxa"/>
            <w:vAlign w:val="bottom"/>
          </w:tcPr>
          <w:p>
            <w:pPr>
              <w:spacing w:after="0"/>
              <w:rPr>
                <w:sz w:val="20"/>
                <w:szCs w:val="20"/>
                <w:color w:val="auto"/>
              </w:rPr>
            </w:pP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w:t>
            </w:r>
          </w:p>
        </w:tc>
        <w:tc>
          <w:tcPr>
            <w:tcW w:w="6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793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Intangible assets</w:t>
            </w:r>
          </w:p>
        </w:tc>
        <w:tc>
          <w:tcPr>
            <w:tcW w:w="690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Debt</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(3,271)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and liabilities</w:t>
            </w:r>
          </w:p>
        </w:tc>
        <w:tc>
          <w:tcPr>
            <w:tcW w:w="69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Identifiable net assets (liabilities) acquired</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(2,145)</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Noncontrolling interest</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w w:val="87"/>
              </w:rPr>
              <w:t>(1,440)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6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7"/>
              </w:rPr>
              <w:t>5,084</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consideration transferred</w:t>
            </w:r>
          </w:p>
        </w:tc>
        <w:tc>
          <w:tcPr>
            <w:tcW w:w="6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w w:val="97"/>
              </w:rPr>
              <w:t>1,499</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Results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revenue for the three and six months ended June 30, 2016 included $283 million and $576 million, respectively, from the acquisition of Universal Studios Japan. Our consolidated net income attributable to NBCUniversal for the three and six months ended June 30, 2016 included $10 million and $28 million, respectively, from the acquisition of Universal Studios Japan.</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acquisition occurred on January 1, 2014. This information is primarily based on historical results of operations and is subject to change as valuations are finalized.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60" w:type="dxa"/>
            <w:vAlign w:val="bottom"/>
            <w:gridSpan w:val="2"/>
          </w:tcPr>
          <w:p>
            <w:pPr>
              <w:ind w:left="254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2"/>
          </w:tcPr>
          <w:p>
            <w:pPr>
              <w:ind w:left="600"/>
              <w:spacing w:after="0"/>
              <w:rPr>
                <w:sz w:val="20"/>
                <w:szCs w:val="20"/>
                <w:color w:val="auto"/>
              </w:rPr>
            </w:pPr>
            <w:r>
              <w:rPr>
                <w:rFonts w:ascii="Arial" w:cs="Arial" w:eastAsia="Arial" w:hAnsi="Arial"/>
                <w:sz w:val="14"/>
                <w:szCs w:val="14"/>
                <w:color w:val="auto"/>
                <w:w w:val="95"/>
              </w:rPr>
              <w:t>Six Months Ended</w:t>
            </w:r>
          </w:p>
        </w:tc>
      </w:tr>
      <w:tr>
        <w:trPr>
          <w:trHeight w:val="173"/>
        </w:trPr>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color w:val="auto"/>
                <w:w w:val="87"/>
              </w:rPr>
              <w:t>June 30, 2015</w:t>
            </w: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w w:val="85"/>
              </w:rPr>
              <w:t>June 30, 2015</w:t>
            </w:r>
          </w:p>
        </w:tc>
      </w:tr>
      <w:tr>
        <w:trPr>
          <w:trHeight w:val="210"/>
        </w:trPr>
        <w:tc>
          <w:tcPr>
            <w:tcW w:w="54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680" w:type="dxa"/>
            <w:vAlign w:val="bottom"/>
            <w:shd w:val="clear" w:color="auto" w:fill="E5E5E5"/>
          </w:tcPr>
          <w:p>
            <w:pPr>
              <w:ind w:left="25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7,484</w:t>
            </w:r>
          </w:p>
        </w:tc>
        <w:tc>
          <w:tcPr>
            <w:tcW w:w="700" w:type="dxa"/>
            <w:vAlign w:val="bottom"/>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14,372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2680" w:type="dxa"/>
            <w:vAlign w:val="bottom"/>
          </w:tcPr>
          <w:p>
            <w:pPr>
              <w:ind w:left="25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7"/>
              <w:spacing w:after="0"/>
              <w:rPr>
                <w:sz w:val="20"/>
                <w:szCs w:val="20"/>
                <w:color w:val="auto"/>
              </w:rPr>
            </w:pPr>
            <w:r>
              <w:rPr>
                <w:rFonts w:ascii="Arial" w:cs="Arial" w:eastAsia="Arial" w:hAnsi="Arial"/>
                <w:sz w:val="18"/>
                <w:szCs w:val="18"/>
                <w:color w:val="auto"/>
              </w:rPr>
              <w:t>977</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1,931</w:t>
            </w:r>
          </w:p>
        </w:tc>
      </w:tr>
      <w:tr>
        <w:trPr>
          <w:trHeight w:val="216"/>
        </w:trPr>
        <w:tc>
          <w:tcPr>
            <w:tcW w:w="5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NBCUniversal</w:t>
            </w:r>
          </w:p>
        </w:tc>
        <w:tc>
          <w:tcPr>
            <w:tcW w:w="2680" w:type="dxa"/>
            <w:vAlign w:val="bottom"/>
            <w:tcBorders>
              <w:bottom w:val="single" w:sz="8" w:color="auto"/>
            </w:tcBorders>
            <w:shd w:val="clear" w:color="auto" w:fill="E5E5E5"/>
          </w:tcPr>
          <w:p>
            <w:pPr>
              <w:ind w:left="25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928</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1,798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 is also the counterparty to one of our contractual obligations. As of June 30, 2016, the carrying value of the liability associated with this contractual obligation was $383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1500" w:type="dxa"/>
            <w:vAlign w:val="bottom"/>
            <w:gridSpan w:val="3"/>
          </w:tcPr>
          <w:p>
            <w:pPr>
              <w:ind w:left="640"/>
              <w:spacing w:after="0"/>
              <w:rPr>
                <w:sz w:val="20"/>
                <w:szCs w:val="20"/>
                <w:color w:val="auto"/>
              </w:rPr>
            </w:pPr>
            <w:r>
              <w:rPr>
                <w:rFonts w:ascii="Arial" w:cs="Arial" w:eastAsia="Arial" w:hAnsi="Arial"/>
                <w:sz w:val="14"/>
                <w:szCs w:val="14"/>
                <w:color w:val="auto"/>
                <w:w w:val="95"/>
              </w:rPr>
              <w:t>December 31,</w:t>
            </w:r>
          </w:p>
        </w:tc>
      </w:tr>
      <w:tr>
        <w:trPr>
          <w:trHeight w:val="173"/>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3"/>
              </w:rPr>
              <w:t>2016</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2015</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281</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239</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8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$1,884</w:t>
            </w:r>
          </w:p>
        </w:tc>
        <w:tc>
          <w:tcPr>
            <w:tcW w:w="8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1,750</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383</w:t>
            </w:r>
          </w:p>
        </w:tc>
      </w:tr>
      <w:tr>
        <w:trPr>
          <w:trHeight w:val="397"/>
        </w:trPr>
        <w:tc>
          <w:tcPr>
            <w:tcW w:w="7720" w:type="dxa"/>
            <w:vAlign w:val="bottom"/>
            <w:gridSpan w:val="3"/>
          </w:tcPr>
          <w:p>
            <w:pPr>
              <w:jc w:val="center"/>
              <w:ind w:left="3614"/>
              <w:spacing w:after="0"/>
              <w:rPr>
                <w:sz w:val="20"/>
                <w:szCs w:val="20"/>
                <w:color w:val="auto"/>
              </w:rPr>
            </w:pPr>
            <w:r>
              <w:rPr>
                <w:rFonts w:ascii="Arial" w:cs="Arial" w:eastAsia="Arial" w:hAnsi="Arial"/>
                <w:sz w:val="18"/>
                <w:szCs w:val="18"/>
                <w:b w:val="1"/>
                <w:bCs w:val="1"/>
                <w:color w:val="auto"/>
                <w:w w:val="97"/>
              </w:rPr>
              <w:t>Condensed Consolidated Statement of Income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53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0" w:type="dxa"/>
            <w:vAlign w:val="bottom"/>
            <w:gridSpan w:val="3"/>
          </w:tcPr>
          <w:p>
            <w:pPr>
              <w:jc w:val="right"/>
              <w:ind w:right="457"/>
              <w:spacing w:after="0"/>
              <w:rPr>
                <w:sz w:val="20"/>
                <w:szCs w:val="20"/>
                <w:color w:val="auto"/>
              </w:rPr>
            </w:pPr>
            <w:r>
              <w:rPr>
                <w:rFonts w:ascii="Arial" w:cs="Arial" w:eastAsia="Arial" w:hAnsi="Arial"/>
                <w:sz w:val="14"/>
                <w:szCs w:val="14"/>
                <w:color w:val="auto"/>
                <w:w w:val="94"/>
              </w:rPr>
              <w:t>Three Months Ended</w:t>
            </w:r>
          </w:p>
        </w:tc>
        <w:tc>
          <w:tcPr>
            <w:tcW w:w="400" w:type="dxa"/>
            <w:vAlign w:val="bottom"/>
          </w:tcPr>
          <w:p>
            <w:pPr>
              <w:spacing w:after="0"/>
              <w:rPr>
                <w:sz w:val="22"/>
                <w:szCs w:val="22"/>
                <w:color w:val="auto"/>
              </w:rPr>
            </w:pPr>
          </w:p>
        </w:tc>
        <w:tc>
          <w:tcPr>
            <w:tcW w:w="1500" w:type="dxa"/>
            <w:vAlign w:val="bottom"/>
            <w:gridSpan w:val="3"/>
          </w:tcPr>
          <w:p>
            <w:pPr>
              <w:jc w:val="right"/>
              <w:ind w:right="313"/>
              <w:spacing w:after="0"/>
              <w:rPr>
                <w:sz w:val="20"/>
                <w:szCs w:val="20"/>
                <w:color w:val="auto"/>
              </w:rPr>
            </w:pPr>
            <w:r>
              <w:rPr>
                <w:rFonts w:ascii="Arial" w:cs="Arial" w:eastAsia="Arial" w:hAnsi="Arial"/>
                <w:sz w:val="14"/>
                <w:szCs w:val="14"/>
                <w:color w:val="auto"/>
                <w:w w:val="95"/>
              </w:rPr>
              <w:t>Six Months Ended</w:t>
            </w:r>
          </w:p>
        </w:tc>
      </w:tr>
      <w:tr>
        <w:trPr>
          <w:trHeight w:val="172"/>
        </w:trPr>
        <w:tc>
          <w:tcPr>
            <w:tcW w:w="5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84"/>
              </w:rPr>
              <w:t>June 30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3"/>
        </w:trPr>
        <w:tc>
          <w:tcPr>
            <w:tcW w:w="53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2"/>
              <w:spacing w:after="0" w:line="143" w:lineRule="exact"/>
              <w:rPr>
                <w:sz w:val="20"/>
                <w:szCs w:val="20"/>
                <w:color w:val="auto"/>
              </w:rPr>
            </w:pPr>
            <w:r>
              <w:rPr>
                <w:rFonts w:ascii="Arial" w:cs="Arial" w:eastAsia="Arial" w:hAnsi="Arial"/>
                <w:sz w:val="14"/>
                <w:szCs w:val="14"/>
                <w:color w:val="auto"/>
                <w:w w:val="89"/>
              </w:rPr>
              <w:t>2016</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7"/>
              <w:spacing w:after="0" w:line="143" w:lineRule="exact"/>
              <w:rPr>
                <w:sz w:val="20"/>
                <w:szCs w:val="20"/>
                <w:color w:val="auto"/>
              </w:rPr>
            </w:pPr>
            <w:r>
              <w:rPr>
                <w:rFonts w:ascii="Arial" w:cs="Arial" w:eastAsia="Arial" w:hAnsi="Arial"/>
                <w:sz w:val="14"/>
                <w:szCs w:val="14"/>
                <w:color w:val="auto"/>
                <w:w w:val="89"/>
              </w:rPr>
              <w:t>2015</w:t>
            </w:r>
          </w:p>
        </w:tc>
        <w:tc>
          <w:tcPr>
            <w:tcW w:w="1220" w:type="dxa"/>
            <w:vAlign w:val="bottom"/>
            <w:tcBorders>
              <w:bottom w:val="single" w:sz="8" w:color="auto"/>
            </w:tcBorders>
            <w:gridSpan w:val="2"/>
          </w:tcPr>
          <w:p>
            <w:pPr>
              <w:jc w:val="right"/>
              <w:ind w:right="538"/>
              <w:spacing w:after="0" w:line="143"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3" w:lineRule="exact"/>
              <w:rPr>
                <w:sz w:val="20"/>
                <w:szCs w:val="20"/>
                <w:color w:val="auto"/>
              </w:rPr>
            </w:pPr>
            <w:r>
              <w:rPr>
                <w:rFonts w:ascii="Arial" w:cs="Arial" w:eastAsia="Arial" w:hAnsi="Arial"/>
                <w:sz w:val="14"/>
                <w:szCs w:val="14"/>
                <w:color w:val="auto"/>
                <w:w w:val="89"/>
              </w:rPr>
              <w:t>2015</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2"/>
              <w:spacing w:after="0"/>
              <w:rPr>
                <w:sz w:val="20"/>
                <w:szCs w:val="20"/>
                <w:color w:val="auto"/>
              </w:rPr>
            </w:pPr>
            <w:r>
              <w:rPr>
                <w:rFonts w:ascii="Arial" w:cs="Arial" w:eastAsia="Arial" w:hAnsi="Arial"/>
                <w:sz w:val="18"/>
                <w:szCs w:val="18"/>
                <w:color w:val="auto"/>
              </w:rPr>
              <w:t>407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37"/>
              <w:spacing w:after="0"/>
              <w:rPr>
                <w:sz w:val="20"/>
                <w:szCs w:val="20"/>
                <w:color w:val="auto"/>
              </w:rPr>
            </w:pPr>
            <w:r>
              <w:rPr>
                <w:rFonts w:ascii="Arial" w:cs="Arial" w:eastAsia="Arial" w:hAnsi="Arial"/>
                <w:sz w:val="18"/>
                <w:szCs w:val="18"/>
                <w:color w:val="auto"/>
              </w:rPr>
              <w:t>330</w:t>
            </w:r>
          </w:p>
        </w:tc>
        <w:tc>
          <w:tcPr>
            <w:tcW w:w="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8"/>
              <w:spacing w:after="0"/>
              <w:rPr>
                <w:sz w:val="20"/>
                <w:szCs w:val="20"/>
                <w:color w:val="auto"/>
              </w:rPr>
            </w:pPr>
            <w:r>
              <w:rPr>
                <w:rFonts w:ascii="Arial" w:cs="Arial" w:eastAsia="Arial" w:hAnsi="Arial"/>
                <w:sz w:val="18"/>
                <w:szCs w:val="18"/>
                <w:color w:val="auto"/>
              </w:rPr>
              <w:t>813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672</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24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42"/>
              <w:spacing w:after="0"/>
              <w:rPr>
                <w:sz w:val="20"/>
                <w:szCs w:val="20"/>
                <w:color w:val="auto"/>
              </w:rPr>
            </w:pPr>
            <w:r>
              <w:rPr>
                <w:rFonts w:ascii="Arial" w:cs="Arial" w:eastAsia="Arial" w:hAnsi="Arial"/>
                <w:sz w:val="18"/>
                <w:szCs w:val="18"/>
                <w:color w:val="auto"/>
              </w:rPr>
              <w:t>(44)</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(43)</w:t>
            </w:r>
          </w:p>
        </w:tc>
        <w:tc>
          <w:tcPr>
            <w:tcW w:w="4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338"/>
              <w:spacing w:after="0"/>
              <w:rPr>
                <w:sz w:val="20"/>
                <w:szCs w:val="20"/>
                <w:color w:val="auto"/>
              </w:rPr>
            </w:pPr>
            <w:r>
              <w:rPr>
                <w:rFonts w:ascii="Arial" w:cs="Arial" w:eastAsia="Arial" w:hAnsi="Arial"/>
                <w:sz w:val="18"/>
                <w:szCs w:val="18"/>
                <w:color w:val="auto"/>
                <w:w w:val="90"/>
              </w:rPr>
              <w:t>(104)</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2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436"/>
        </w:trPr>
        <w:tc>
          <w:tcPr>
            <w:tcW w:w="5320" w:type="dxa"/>
            <w:vAlign w:val="bottom"/>
          </w:tcPr>
          <w:p>
            <w:pPr>
              <w:spacing w:after="0"/>
              <w:rPr>
                <w:sz w:val="20"/>
                <w:szCs w:val="20"/>
                <w:color w:val="auto"/>
              </w:rPr>
            </w:pPr>
            <w:r>
              <w:rPr>
                <w:rFonts w:ascii="Arial" w:cs="Arial" w:eastAsia="Arial" w:hAnsi="Arial"/>
                <w:sz w:val="22"/>
                <w:szCs w:val="22"/>
                <w:b w:val="1"/>
                <w:bCs w:val="1"/>
                <w:color w:val="auto"/>
              </w:rPr>
              <w:t>Note 5: Film and Television Costs</w:t>
            </w:r>
          </w:p>
        </w:tc>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3"/>
        </w:trPr>
        <w:tc>
          <w:tcPr>
            <w:tcW w:w="53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1500" w:type="dxa"/>
            <w:vAlign w:val="bottom"/>
            <w:gridSpan w:val="3"/>
          </w:tcPr>
          <w:p>
            <w:pPr>
              <w:ind w:left="640"/>
              <w:spacing w:after="0"/>
              <w:rPr>
                <w:sz w:val="20"/>
                <w:szCs w:val="20"/>
                <w:color w:val="auto"/>
              </w:rPr>
            </w:pPr>
            <w:r>
              <w:rPr>
                <w:rFonts w:ascii="Arial" w:cs="Arial" w:eastAsia="Arial" w:hAnsi="Arial"/>
                <w:sz w:val="14"/>
                <w:szCs w:val="14"/>
                <w:color w:val="auto"/>
                <w:w w:val="95"/>
              </w:rPr>
              <w:t>December 31,</w:t>
            </w:r>
          </w:p>
        </w:tc>
      </w:tr>
      <w:tr>
        <w:trPr>
          <w:trHeight w:val="173"/>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3"/>
              </w:rPr>
              <w:t>2016</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2015</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820" w:type="dxa"/>
            <w:vAlign w:val="bottom"/>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1,275</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226</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1,005</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907</w:t>
            </w:r>
          </w:p>
        </w:tc>
      </w:tr>
      <w:tr>
        <w:trPr>
          <w:trHeight w:val="210"/>
        </w:trPr>
        <w:tc>
          <w:tcPr>
            <w:tcW w:w="532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2,531</w:t>
            </w: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2,408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Television Costs:</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1,577</w:t>
            </w: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1,573</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737</w:t>
            </w:r>
          </w:p>
        </w:tc>
      </w:tr>
      <w:tr>
        <w:trPr>
          <w:trHeight w:val="210"/>
        </w:trPr>
        <w:tc>
          <w:tcPr>
            <w:tcW w:w="532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2,212</w:t>
            </w: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2,310</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2,490</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2,329</w:t>
            </w:r>
          </w:p>
        </w:tc>
      </w:tr>
      <w:tr>
        <w:trPr>
          <w:trHeight w:val="210"/>
        </w:trPr>
        <w:tc>
          <w:tcPr>
            <w:tcW w:w="532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7,233</w:t>
            </w: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7,047</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1,427</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1,200</w:t>
            </w:r>
          </w:p>
        </w:tc>
      </w:tr>
      <w:tr>
        <w:trPr>
          <w:trHeight w:val="217"/>
        </w:trPr>
        <w:tc>
          <w:tcPr>
            <w:tcW w:w="5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18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$5,806</w:t>
            </w:r>
          </w:p>
        </w:tc>
        <w:tc>
          <w:tcPr>
            <w:tcW w:w="82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3"/>
              </w:rPr>
              <w:t>5,847</w:t>
            </w:r>
          </w:p>
        </w:tc>
      </w:tr>
      <w:tr>
        <w:trPr>
          <w:trHeight w:val="363"/>
        </w:trPr>
        <w:tc>
          <w:tcPr>
            <w:tcW w:w="5320" w:type="dxa"/>
            <w:vAlign w:val="bottom"/>
          </w:tcPr>
          <w:p>
            <w:pPr>
              <w:spacing w:after="0"/>
              <w:rPr>
                <w:sz w:val="24"/>
                <w:szCs w:val="24"/>
                <w:color w:val="auto"/>
              </w:rPr>
            </w:pPr>
          </w:p>
        </w:tc>
        <w:tc>
          <w:tcPr>
            <w:tcW w:w="1880" w:type="dxa"/>
            <w:vAlign w:val="bottom"/>
          </w:tcPr>
          <w:p>
            <w:pPr>
              <w:jc w:val="right"/>
              <w:ind w:right="1292"/>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860" w:type="dxa"/>
            <w:vAlign w:val="bottom"/>
            <w:gridSpan w:val="2"/>
          </w:tcPr>
          <w:p>
            <w:pPr>
              <w:ind w:left="4040"/>
              <w:spacing w:after="0"/>
              <w:rPr>
                <w:sz w:val="20"/>
                <w:szCs w:val="20"/>
                <w:color w:val="auto"/>
              </w:rPr>
            </w:pPr>
            <w:r>
              <w:rPr>
                <w:rFonts w:ascii="Arial" w:cs="Arial" w:eastAsia="Arial" w:hAnsi="Arial"/>
                <w:sz w:val="14"/>
                <w:szCs w:val="14"/>
                <w:color w:val="auto"/>
              </w:rPr>
              <w:t>June 30,</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73"/>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w w:val="83"/>
              </w:rPr>
              <w:t>2016</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2015</w:t>
            </w:r>
          </w:p>
        </w:tc>
      </w:tr>
      <w:tr>
        <w:trPr>
          <w:trHeight w:val="210"/>
        </w:trPr>
        <w:tc>
          <w:tcPr>
            <w:tcW w:w="534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4120" w:type="dxa"/>
            <w:vAlign w:val="bottom"/>
            <w:shd w:val="clear" w:color="auto" w:fill="E5E5E5"/>
          </w:tcPr>
          <w:p>
            <w:pPr>
              <w:ind w:left="40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7</w:t>
            </w:r>
          </w:p>
        </w:tc>
        <w:tc>
          <w:tcPr>
            <w:tcW w:w="5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Equity Method:</w:t>
            </w:r>
          </w:p>
        </w:tc>
        <w:tc>
          <w:tcPr>
            <w:tcW w:w="4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Hulu</w:t>
            </w:r>
          </w:p>
        </w:tc>
        <w:tc>
          <w:tcPr>
            <w:tcW w:w="4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170</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184</w:t>
            </w:r>
          </w:p>
        </w:tc>
      </w:tr>
      <w:tr>
        <w:trPr>
          <w:trHeight w:val="216"/>
        </w:trPr>
        <w:tc>
          <w:tcPr>
            <w:tcW w:w="5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332</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313</w:t>
            </w:r>
          </w:p>
        </w:tc>
      </w:tr>
      <w:tr>
        <w:trPr>
          <w:trHeight w:val="210"/>
        </w:trPr>
        <w:tc>
          <w:tcPr>
            <w:tcW w:w="5340" w:type="dxa"/>
            <w:vAlign w:val="bottom"/>
            <w:shd w:val="clear" w:color="auto" w:fill="E5E5E5"/>
          </w:tcPr>
          <w:p>
            <w:pPr>
              <w:spacing w:after="0"/>
              <w:rPr>
                <w:sz w:val="18"/>
                <w:szCs w:val="18"/>
                <w:color w:val="auto"/>
              </w:rPr>
            </w:pPr>
          </w:p>
        </w:tc>
        <w:tc>
          <w:tcPr>
            <w:tcW w:w="4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502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497</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4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470</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458</w:t>
            </w:r>
          </w:p>
        </w:tc>
      </w:tr>
      <w:tr>
        <w:trPr>
          <w:trHeight w:val="217"/>
        </w:trPr>
        <w:tc>
          <w:tcPr>
            <w:tcW w:w="5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4120" w:type="dxa"/>
            <w:vAlign w:val="bottom"/>
            <w:tcBorders>
              <w:bottom w:val="single" w:sz="8" w:color="auto"/>
            </w:tcBorders>
            <w:shd w:val="clear" w:color="auto" w:fill="E5E5E5"/>
          </w:tcPr>
          <w:p>
            <w:pPr>
              <w:ind w:left="402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b w:val="1"/>
                <w:bCs w:val="1"/>
                <w:color w:val="auto"/>
              </w:rPr>
              <w:t>979</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965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29,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for the six months ended June 30, 2016 of $108 million in other income (expense), net.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2015, The Weather Channel recorded an impairment charge related to goodwill. We recorded an expense of $252 million that represents our proportionate share of this impairment charge in equity in net income (losses) of investees, net in our condensed consolidated statement of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2016, we recognized our proportionate share of losses of $40 million and $65 million, respectively, related to our investment in Hulu, LLC (“Hulu”). For the three and six months ended June 30, 2015, we recognized our proportionate share of losses of $13 million and $24 million, respectively, related to our investment in Hulu.</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020" w:type="dxa"/>
            <w:vAlign w:val="bottom"/>
          </w:tcPr>
          <w:p>
            <w:pPr>
              <w:jc w:val="right"/>
              <w:ind w:right="298"/>
              <w:spacing w:after="0"/>
              <w:rPr>
                <w:sz w:val="20"/>
                <w:szCs w:val="20"/>
                <w:color w:val="auto"/>
              </w:rPr>
            </w:pPr>
            <w:r>
              <w:rPr>
                <w:rFonts w:ascii="Arial" w:cs="Arial" w:eastAsia="Arial" w:hAnsi="Arial"/>
                <w:sz w:val="14"/>
                <w:szCs w:val="14"/>
                <w:color w:val="auto"/>
              </w:rPr>
              <w:t>Cable</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Broadcast</w:t>
            </w:r>
          </w:p>
        </w:tc>
        <w:tc>
          <w:tcPr>
            <w:tcW w:w="400" w:type="dxa"/>
            <w:vAlign w:val="bottom"/>
          </w:tcPr>
          <w:p>
            <w:pPr>
              <w:spacing w:after="0"/>
              <w:rPr>
                <w:sz w:val="14"/>
                <w:szCs w:val="14"/>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color w:val="auto"/>
                <w:w w:val="99"/>
              </w:rPr>
              <w:t>Filmed</w:t>
            </w:r>
          </w:p>
        </w:tc>
        <w:tc>
          <w:tcPr>
            <w:tcW w:w="940" w:type="dxa"/>
            <w:vAlign w:val="bottom"/>
          </w:tcPr>
          <w:p>
            <w:pPr>
              <w:jc w:val="right"/>
              <w:ind w:right="178"/>
              <w:spacing w:after="0"/>
              <w:rPr>
                <w:sz w:val="20"/>
                <w:szCs w:val="20"/>
                <w:color w:val="auto"/>
              </w:rPr>
            </w:pPr>
            <w:r>
              <w:rPr>
                <w:rFonts w:ascii="Arial" w:cs="Arial" w:eastAsia="Arial" w:hAnsi="Arial"/>
                <w:sz w:val="14"/>
                <w:szCs w:val="14"/>
                <w:color w:val="auto"/>
              </w:rPr>
              <w:t>Theme</w:t>
            </w:r>
          </w:p>
        </w:tc>
        <w:tc>
          <w:tcPr>
            <w:tcW w:w="900" w:type="dxa"/>
            <w:vAlign w:val="bottom"/>
          </w:tcPr>
          <w:p>
            <w:pPr>
              <w:spacing w:after="0"/>
              <w:rPr>
                <w:sz w:val="14"/>
                <w:szCs w:val="14"/>
                <w:color w:val="auto"/>
              </w:rPr>
            </w:pPr>
          </w:p>
        </w:tc>
      </w:tr>
      <w:tr>
        <w:trPr>
          <w:trHeight w:val="159"/>
        </w:trPr>
        <w:tc>
          <w:tcPr>
            <w:tcW w:w="4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20" w:type="dxa"/>
            <w:vAlign w:val="bottom"/>
            <w:tcBorders>
              <w:bottom w:val="single" w:sz="8" w:color="auto"/>
            </w:tcBorders>
          </w:tcPr>
          <w:p>
            <w:pPr>
              <w:jc w:val="right"/>
              <w:ind w:right="198"/>
              <w:spacing w:after="0" w:line="159" w:lineRule="exact"/>
              <w:rPr>
                <w:sz w:val="20"/>
                <w:szCs w:val="20"/>
                <w:color w:val="auto"/>
              </w:rPr>
            </w:pPr>
            <w:r>
              <w:rPr>
                <w:rFonts w:ascii="Arial" w:cs="Arial" w:eastAsia="Arial" w:hAnsi="Arial"/>
                <w:sz w:val="14"/>
                <w:szCs w:val="14"/>
                <w:color w:val="auto"/>
              </w:rPr>
              <w:t>Networks</w:t>
            </w:r>
          </w:p>
        </w:tc>
        <w:tc>
          <w:tcPr>
            <w:tcW w:w="106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Television</w:t>
            </w:r>
          </w:p>
        </w:tc>
        <w:tc>
          <w:tcPr>
            <w:tcW w:w="128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Entertainment</w:t>
            </w:r>
          </w:p>
        </w:tc>
        <w:tc>
          <w:tcPr>
            <w:tcW w:w="940" w:type="dxa"/>
            <w:vAlign w:val="bottom"/>
            <w:tcBorders>
              <w:bottom w:val="single" w:sz="8" w:color="auto"/>
            </w:tcBorders>
          </w:tcPr>
          <w:p>
            <w:pPr>
              <w:jc w:val="right"/>
              <w:ind w:right="218"/>
              <w:spacing w:after="0" w:line="159" w:lineRule="exact"/>
              <w:rPr>
                <w:sz w:val="20"/>
                <w:szCs w:val="20"/>
                <w:color w:val="auto"/>
              </w:rPr>
            </w:pPr>
            <w:r>
              <w:rPr>
                <w:rFonts w:ascii="Arial" w:cs="Arial" w:eastAsia="Arial" w:hAnsi="Arial"/>
                <w:sz w:val="14"/>
                <w:szCs w:val="14"/>
                <w:color w:val="auto"/>
              </w:rPr>
              <w:t>Parks</w:t>
            </w:r>
          </w:p>
        </w:tc>
        <w:tc>
          <w:tcPr>
            <w:tcW w:w="90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2015</w:t>
            </w:r>
          </w:p>
        </w:tc>
        <w:tc>
          <w:tcPr>
            <w:tcW w:w="30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$12,947</w:t>
            </w:r>
          </w:p>
        </w:tc>
        <w:tc>
          <w:tcPr>
            <w:tcW w:w="4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806</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267</w:t>
            </w:r>
          </w:p>
        </w:tc>
        <w:tc>
          <w:tcPr>
            <w:tcW w:w="94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$6,344</w:t>
            </w: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$20,364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Acquisitions</w:t>
            </w:r>
          </w:p>
        </w:tc>
        <w:tc>
          <w:tcPr>
            <w:tcW w:w="302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8"/>
                <w:szCs w:val="18"/>
                <w:color w:val="auto"/>
              </w:rPr>
              <w:t>92</w:t>
            </w:r>
          </w:p>
        </w:tc>
        <w:tc>
          <w:tcPr>
            <w:tcW w:w="9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92</w:t>
            </w:r>
          </w:p>
        </w:tc>
      </w:tr>
      <w:tr>
        <w:trPr>
          <w:trHeight w:val="216"/>
        </w:trPr>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Adjustments</w:t>
            </w:r>
          </w:p>
        </w:tc>
        <w:tc>
          <w:tcPr>
            <w:tcW w:w="30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(289)</w:t>
            </w:r>
          </w:p>
        </w:tc>
        <w:tc>
          <w:tcPr>
            <w:tcW w:w="9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(289)</w:t>
            </w:r>
          </w:p>
        </w:tc>
      </w:tr>
      <w:tr>
        <w:trPr>
          <w:trHeight w:val="216"/>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30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957</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976</w:t>
            </w:r>
          </w:p>
        </w:tc>
      </w:tr>
      <w:tr>
        <w:trPr>
          <w:trHeight w:val="217"/>
        </w:trPr>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2016</w:t>
            </w:r>
          </w:p>
        </w:tc>
        <w:tc>
          <w:tcPr>
            <w:tcW w:w="302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b w:val="1"/>
                <w:bCs w:val="1"/>
                <w:color w:val="auto"/>
              </w:rPr>
              <w:t>$12,954</w:t>
            </w:r>
          </w:p>
        </w:tc>
        <w:tc>
          <w:tcPr>
            <w:tcW w:w="4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806</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371</w:t>
            </w:r>
          </w:p>
        </w:tc>
        <w:tc>
          <w:tcPr>
            <w:tcW w:w="94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$7,012</w:t>
            </w:r>
          </w:p>
        </w:tc>
        <w:tc>
          <w:tcPr>
            <w:tcW w:w="9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$21,143</w:t>
            </w: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Adjustments to goodwill during the six months ended June 30, 2016 included the updated preliminary allocation of the purchase price for Universal Studios Japan in our Theme Parks segment.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13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2016, our debt, excluding the note payable to Comcast, had a carrying value of $12.0 billion and an estimated fair value of $13.5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2016, we repaid at maturity $1 billion aggregate principal amount of 2.875% senior notes due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As of June 30, 2016, we guaranteed $38.5 billion of outstanding debt securities of Comcast and CCCL Parent. We also fully and unconditionally guarantee the $7 billion Comcast revolving credit facility due 2021, of which no amounts were outstanding as of June 30, 2016, and the associated commercial paper program.</w:t>
      </w:r>
    </w:p>
    <w:p>
      <w:pPr>
        <w:spacing w:after="0" w:line="4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$3.3 billion aggregate principal amount of senior notes, $1.5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restricted share units and stock options to certain employees and directors as part of its approach to long-term incentive compensation. Additionally, through its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gridSpan w:val="3"/>
          </w:tcPr>
          <w:p>
            <w:pPr>
              <w:jc w:val="right"/>
              <w:ind w:right="436"/>
              <w:spacing w:after="0"/>
              <w:rPr>
                <w:sz w:val="20"/>
                <w:szCs w:val="20"/>
                <w:color w:val="auto"/>
              </w:rPr>
            </w:pPr>
            <w:r>
              <w:rPr>
                <w:rFonts w:ascii="Arial" w:cs="Arial" w:eastAsia="Arial" w:hAnsi="Arial"/>
                <w:sz w:val="14"/>
                <w:szCs w:val="14"/>
                <w:color w:val="auto"/>
                <w:w w:val="90"/>
              </w:rPr>
              <w:t>Three Months Ended</w:t>
            </w:r>
          </w:p>
        </w:tc>
        <w:tc>
          <w:tcPr>
            <w:tcW w:w="4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w w:val="93"/>
              </w:rPr>
              <w:t>Six Months 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92"/>
              </w:rPr>
              <w:t>June 30</w:t>
            </w: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2"/>
              <w:spacing w:after="0" w:line="159" w:lineRule="exact"/>
              <w:rPr>
                <w:sz w:val="20"/>
                <w:szCs w:val="20"/>
                <w:color w:val="auto"/>
              </w:rPr>
            </w:pPr>
            <w:r>
              <w:rPr>
                <w:rFonts w:ascii="Arial" w:cs="Arial" w:eastAsia="Arial" w:hAnsi="Arial"/>
                <w:sz w:val="14"/>
                <w:szCs w:val="14"/>
                <w:color w:val="auto"/>
                <w:w w:val="92"/>
              </w:rPr>
              <w:t>June 30</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color w:val="auto"/>
              </w:rPr>
              <w:t>2016</w:t>
            </w: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w w:val="83"/>
              </w:rPr>
              <w:t>2015</w:t>
            </w:r>
          </w:p>
        </w:tc>
        <w:tc>
          <w:tcPr>
            <w:tcW w:w="740" w:type="dxa"/>
            <w:vAlign w:val="bottom"/>
            <w:tcBorders>
              <w:bottom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24</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80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Stock options</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680" w:type="dxa"/>
            <w:vAlign w:val="bottom"/>
          </w:tcPr>
          <w:p>
            <w:pPr>
              <w:jc w:val="right"/>
              <w:ind w:right="236"/>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29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50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20" w:type="dxa"/>
            <w:vAlign w:val="bottom"/>
          </w:tcPr>
          <w:p>
            <w:pPr>
              <w:jc w:val="right"/>
              <w:ind w:right="59"/>
              <w:spacing w:after="0"/>
              <w:rPr>
                <w:sz w:val="20"/>
                <w:szCs w:val="20"/>
                <w:color w:val="auto"/>
              </w:rPr>
            </w:pPr>
            <w:r>
              <w:rPr>
                <w:rFonts w:ascii="Arial" w:cs="Arial" w:eastAsia="Arial" w:hAnsi="Arial"/>
                <w:sz w:val="14"/>
                <w:szCs w:val="14"/>
                <w:color w:val="auto"/>
              </w:rPr>
              <w:t>June 30,</w:t>
            </w:r>
          </w:p>
        </w:tc>
        <w:tc>
          <w:tcPr>
            <w:tcW w:w="4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w w:val="95"/>
              </w:rPr>
              <w:t>December 31,</w:t>
            </w:r>
          </w:p>
        </w:tc>
      </w:tr>
      <w:tr>
        <w:trPr>
          <w:trHeight w:val="159"/>
        </w:trPr>
        <w:tc>
          <w:tcPr>
            <w:tcW w:w="8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5"/>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42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$5,597</w:t>
            </w:r>
          </w:p>
        </w:tc>
        <w:tc>
          <w:tcPr>
            <w:tcW w:w="480" w:type="dxa"/>
            <w:vAlign w:val="bottom"/>
            <w:shd w:val="clear" w:color="auto" w:fill="E5E5E5"/>
          </w:tcPr>
          <w:p>
            <w:pPr>
              <w:spacing w:after="0"/>
              <w:rPr>
                <w:sz w:val="18"/>
                <w:szCs w:val="18"/>
                <w:color w:val="auto"/>
              </w:rPr>
            </w:pPr>
          </w:p>
        </w:tc>
        <w:tc>
          <w:tcPr>
            <w:tcW w:w="200" w:type="dxa"/>
            <w:vAlign w:val="bottom"/>
            <w:shd w:val="clear" w:color="auto" w:fill="E5E5E5"/>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5"/>
              <w:spacing w:after="0"/>
              <w:rPr>
                <w:sz w:val="20"/>
                <w:szCs w:val="20"/>
                <w:color w:val="auto"/>
              </w:rPr>
            </w:pPr>
            <w:r>
              <w:rPr>
                <w:rFonts w:ascii="Arial" w:cs="Arial" w:eastAsia="Arial" w:hAnsi="Arial"/>
                <w:sz w:val="18"/>
                <w:szCs w:val="18"/>
                <w:color w:val="auto"/>
              </w:rPr>
              <w:t>5,949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288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469</w:t>
            </w:r>
          </w:p>
        </w:tc>
      </w:tr>
      <w:tr>
        <w:trPr>
          <w:trHeight w:val="216"/>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42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color w:val="auto"/>
              </w:rPr>
              <w:t>81</w:t>
            </w:r>
          </w:p>
        </w:tc>
        <w:tc>
          <w:tcPr>
            <w:tcW w:w="48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69</w:t>
            </w:r>
          </w:p>
        </w:tc>
      </w:tr>
      <w:tr>
        <w:trPr>
          <w:trHeight w:val="2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$5,228</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79"/>
              </w:rPr>
              <w:t>5,411</w:t>
            </w:r>
          </w:p>
        </w:tc>
      </w:tr>
      <w:tr>
        <w:trPr>
          <w:trHeight w:val="403"/>
        </w:trPr>
        <w:tc>
          <w:tcPr>
            <w:tcW w:w="862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1"/>
        </w:trPr>
        <w:tc>
          <w:tcPr>
            <w:tcW w:w="8620" w:type="dxa"/>
            <w:vAlign w:val="bottom"/>
          </w:tcPr>
          <w:p>
            <w:pPr>
              <w:spacing w:after="0"/>
              <w:rPr>
                <w:sz w:val="22"/>
                <w:szCs w:val="22"/>
                <w:color w:val="auto"/>
              </w:rPr>
            </w:pPr>
          </w:p>
        </w:tc>
        <w:tc>
          <w:tcPr>
            <w:tcW w:w="1900" w:type="dxa"/>
            <w:vAlign w:val="bottom"/>
            <w:gridSpan w:val="2"/>
          </w:tcPr>
          <w:p>
            <w:pPr>
              <w:ind w:left="1340"/>
              <w:spacing w:after="0"/>
              <w:rPr>
                <w:sz w:val="20"/>
                <w:szCs w:val="20"/>
                <w:color w:val="auto"/>
              </w:rPr>
            </w:pPr>
            <w:r>
              <w:rPr>
                <w:rFonts w:ascii="Arial" w:cs="Arial" w:eastAsia="Arial" w:hAnsi="Arial"/>
                <w:sz w:val="14"/>
                <w:szCs w:val="14"/>
                <w:color w:val="auto"/>
              </w:rPr>
              <w:t>June 30,</w:t>
            </w:r>
          </w:p>
        </w:tc>
        <w:tc>
          <w:tcPr>
            <w:tcW w:w="200" w:type="dxa"/>
            <w:vAlign w:val="bottom"/>
          </w:tcPr>
          <w:p>
            <w:pPr>
              <w:spacing w:after="0"/>
              <w:rPr>
                <w:sz w:val="22"/>
                <w:szCs w:val="22"/>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June 30,</w:t>
            </w:r>
          </w:p>
        </w:tc>
      </w:tr>
      <w:tr>
        <w:trPr>
          <w:trHeight w:val="173"/>
        </w:trPr>
        <w:tc>
          <w:tcPr>
            <w:tcW w:w="8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w w:val="83"/>
              </w:rPr>
              <w:t>2016</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3"/>
              </w:rPr>
              <w:t>2015</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w:t>
            </w:r>
          </w:p>
        </w:tc>
        <w:tc>
          <w:tcPr>
            <w:tcW w:w="1420" w:type="dxa"/>
            <w:vAlign w:val="bottom"/>
            <w:shd w:val="clear" w:color="auto" w:fill="E5E5E5"/>
          </w:tcPr>
          <w:p>
            <w:pPr>
              <w:ind w:left="13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5E5E5"/>
          </w:tcPr>
          <w:p>
            <w:pPr>
              <w:spacing w:after="0"/>
              <w:rPr>
                <w:sz w:val="18"/>
                <w:szCs w:val="18"/>
                <w:color w:val="auto"/>
              </w:rPr>
            </w:pPr>
          </w:p>
        </w:tc>
        <w:tc>
          <w:tcPr>
            <w:tcW w:w="220" w:type="dxa"/>
            <w:vAlign w:val="bottom"/>
            <w:shd w:val="clear" w:color="auto" w:fill="E5E5E5"/>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420" w:type="dxa"/>
            <w:vAlign w:val="bottom"/>
          </w:tcPr>
          <w:p>
            <w:pPr>
              <w:spacing w:after="0"/>
              <w:rPr>
                <w:sz w:val="18"/>
                <w:szCs w:val="18"/>
                <w:color w:val="auto"/>
              </w:rPr>
            </w:pP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14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(139)</w:t>
            </w:r>
          </w:p>
        </w:tc>
      </w:tr>
      <w:tr>
        <w:trPr>
          <w:trHeight w:val="2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4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95</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(186)</w:t>
            </w:r>
          </w:p>
        </w:tc>
      </w:tr>
      <w:tr>
        <w:trPr>
          <w:trHeight w:val="363"/>
        </w:trPr>
        <w:tc>
          <w:tcPr>
            <w:tcW w:w="8620" w:type="dxa"/>
            <w:vAlign w:val="bottom"/>
          </w:tcPr>
          <w:p>
            <w:pPr>
              <w:ind w:left="5620"/>
              <w:spacing w:after="0"/>
              <w:rPr>
                <w:sz w:val="20"/>
                <w:szCs w:val="20"/>
                <w:color w:val="auto"/>
              </w:rPr>
            </w:pPr>
            <w:r>
              <w:rPr>
                <w:rFonts w:ascii="Arial" w:cs="Arial" w:eastAsia="Arial" w:hAnsi="Arial"/>
                <w:sz w:val="18"/>
                <w:szCs w:val="18"/>
                <w:color w:val="auto"/>
              </w:rPr>
              <w:t>57</w:t>
            </w: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3"/>
          </w:tcPr>
          <w:p>
            <w:pPr>
              <w:jc w:val="right"/>
              <w:ind w:right="33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76"/>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2,057</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93"/>
              </w:rPr>
              <w:t>1,862</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879</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58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w:t>
            </w: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2,478</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w w:val="93"/>
              </w:rPr>
              <w:t>2,621</w:t>
            </w:r>
          </w:p>
        </w:tc>
        <w:tc>
          <w:tcPr>
            <w:tcW w:w="0" w:type="dxa"/>
            <w:vAlign w:val="bottom"/>
          </w:tcPr>
          <w:p>
            <w:pPr>
              <w:spacing w:after="0"/>
              <w:rPr>
                <w:sz w:val="1"/>
                <w:szCs w:val="1"/>
                <w:color w:val="auto"/>
              </w:rPr>
            </w:pPr>
          </w:p>
        </w:tc>
      </w:tr>
      <w:tr>
        <w:trPr>
          <w:trHeight w:val="403"/>
        </w:trPr>
        <w:tc>
          <w:tcPr>
            <w:tcW w:w="7640" w:type="dxa"/>
            <w:vAlign w:val="bottom"/>
            <w:gridSpan w:val="2"/>
          </w:tcPr>
          <w:p>
            <w:pPr>
              <w:ind w:left="3800"/>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3"/>
          </w:tcPr>
          <w:p>
            <w:pPr>
              <w:jc w:val="right"/>
              <w:ind w:right="159"/>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22"/>
                <w:szCs w:val="22"/>
                <w:color w:val="auto"/>
              </w:rPr>
            </w:pPr>
          </w:p>
        </w:tc>
        <w:tc>
          <w:tcPr>
            <w:tcW w:w="1580" w:type="dxa"/>
            <w:vAlign w:val="bottom"/>
            <w:gridSpan w:val="3"/>
          </w:tcPr>
          <w:p>
            <w:pPr>
              <w:jc w:val="right"/>
              <w:ind w:right="29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9"/>
              </w:rPr>
              <w:t>2016</w:t>
            </w: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2015</w:t>
            </w:r>
          </w:p>
        </w:tc>
        <w:tc>
          <w:tcPr>
            <w:tcW w:w="5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96"/>
              </w:rPr>
              <w:t>2016</w:t>
            </w:r>
          </w:p>
        </w:tc>
        <w:tc>
          <w:tcPr>
            <w:tcW w:w="5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285</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2016:</w:t>
      </w:r>
    </w:p>
    <w:p>
      <w:pPr>
        <w:spacing w:after="0" w:line="7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we acquired $215 million of property and equipment and intangible assets that were accrued but unpaid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studio production operations.</w:t>
      </w:r>
    </w:p>
    <w:p>
      <w:pPr>
        <w:spacing w:after="0" w:line="25" w:lineRule="exact"/>
        <w:rPr>
          <w:rFonts w:ascii="Arial" w:cs="Arial" w:eastAsia="Arial" w:hAnsi="Arial"/>
          <w:sz w:val="18"/>
          <w:szCs w:val="18"/>
          <w:color w:val="auto"/>
        </w:rPr>
      </w:pPr>
    </w:p>
    <w:p>
      <w:pPr>
        <w:jc w:val="both"/>
        <w:ind w:left="1020" w:right="1240" w:hanging="215"/>
        <w:spacing w:after="0" w:line="26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and our broadcast television studio production operations.</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color w:val="auto"/>
                <w:w w:val="85"/>
              </w:rPr>
              <w:t>Three Months Ended June 30, 2016</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(e)</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2,566</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2,128</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1,351</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56</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44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1,136</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7,103</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1,689</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465</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1,224</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360</w:t>
            </w:r>
          </w:p>
        </w:tc>
        <w:tc>
          <w:tcPr>
            <w:tcW w:w="0" w:type="dxa"/>
            <w:vAlign w:val="bottom"/>
          </w:tcPr>
          <w:p>
            <w:pPr>
              <w:spacing w:after="0"/>
              <w:rPr>
                <w:sz w:val="1"/>
                <w:szCs w:val="1"/>
                <w:color w:val="auto"/>
              </w:rPr>
            </w:pPr>
          </w:p>
        </w:tc>
      </w:tr>
      <w:tr>
        <w:trPr>
          <w:trHeight w:val="284"/>
        </w:trPr>
        <w:tc>
          <w:tcPr>
            <w:tcW w:w="5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color w:val="auto"/>
                <w:w w:val="85"/>
              </w:rPr>
              <w:t>Three Months Ended June 30, 2015</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(e)</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2,450</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1,813</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2,266</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82</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7"/>
              </w:rPr>
              <w:t>7,230</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1,712</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405</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1,307</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84"/>
        </w:trPr>
        <w:tc>
          <w:tcPr>
            <w:tcW w:w="5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color w:val="auto"/>
                <w:w w:val="87"/>
              </w:rPr>
              <w:t>Six Months Ended June 30, 2016</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(e)</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5,019</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377</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4,212</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2,734</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20</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2,162</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6"/>
              </w:rPr>
              <w:t>$ 13,964</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3,311</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879</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2,432</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655</w:t>
            </w:r>
          </w:p>
        </w:tc>
        <w:tc>
          <w:tcPr>
            <w:tcW w:w="0" w:type="dxa"/>
            <w:vAlign w:val="bottom"/>
          </w:tcPr>
          <w:p>
            <w:pPr>
              <w:spacing w:after="0"/>
              <w:rPr>
                <w:sz w:val="1"/>
                <w:szCs w:val="1"/>
                <w:color w:val="auto"/>
              </w:rPr>
            </w:pPr>
          </w:p>
        </w:tc>
      </w:tr>
      <w:tr>
        <w:trPr>
          <w:trHeight w:val="284"/>
        </w:trPr>
        <w:tc>
          <w:tcPr>
            <w:tcW w:w="5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color w:val="auto"/>
                <w:w w:val="87"/>
              </w:rPr>
              <w:t>Six Months Ended June 30, 2015</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94"/>
              </w:rPr>
              <w:t>Operating Income (Loss)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8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w w:val="97"/>
              </w:rPr>
              <w:t>Revenue</w:t>
            </w:r>
            <w:r>
              <w:rPr>
                <w:rFonts w:ascii="Arial" w:cs="Arial" w:eastAsia="Arial" w:hAnsi="Arial"/>
                <w:sz w:val="22"/>
                <w:szCs w:val="22"/>
                <w:color w:val="auto"/>
                <w:w w:val="97"/>
                <w:vertAlign w:val="superscript"/>
              </w:rPr>
              <w:t>(e)</w:t>
            </w:r>
          </w:p>
        </w:tc>
        <w:tc>
          <w:tcPr>
            <w:tcW w:w="154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5"/>
              </w:rPr>
              <w:t>Before Depreciation and</w:t>
            </w: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color w:val="auto"/>
                <w:w w:val="94"/>
              </w:rPr>
              <w:t>Depreciation and</w:t>
            </w:r>
          </w:p>
        </w:tc>
        <w:tc>
          <w:tcPr>
            <w:tcW w:w="1200" w:type="dxa"/>
            <w:vAlign w:val="bottom"/>
            <w:gridSpan w:val="2"/>
          </w:tcPr>
          <w:p>
            <w:pPr>
              <w:ind w:left="100"/>
              <w:spacing w:after="0" w:line="133" w:lineRule="exact"/>
              <w:rPr>
                <w:sz w:val="20"/>
                <w:szCs w:val="20"/>
                <w:color w:val="auto"/>
              </w:rPr>
            </w:pPr>
            <w:r>
              <w:rPr>
                <w:rFonts w:ascii="Arial" w:cs="Arial" w:eastAsia="Arial" w:hAnsi="Arial"/>
                <w:sz w:val="14"/>
                <w:szCs w:val="14"/>
                <w:color w:val="auto"/>
                <w:w w:val="97"/>
              </w:rPr>
              <w:t>Operating Income</w:t>
            </w:r>
          </w:p>
        </w:tc>
        <w:tc>
          <w:tcPr>
            <w:tcW w:w="2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9"/>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4,809</w:t>
            </w:r>
          </w:p>
        </w:tc>
        <w:tc>
          <w:tcPr>
            <w:tcW w:w="2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1,770</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(a)</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4,061</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7"/>
              </w:rPr>
              <w:t>3,712</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2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1,424</w:t>
            </w:r>
          </w:p>
        </w:tc>
        <w:tc>
          <w:tcPr>
            <w:tcW w:w="24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5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6"/>
              </w:rPr>
              <w:t>$ 13,834</w:t>
            </w:r>
          </w:p>
        </w:tc>
        <w:tc>
          <w:tcPr>
            <w:tcW w:w="2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3,206</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769</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2,437</w:t>
            </w:r>
          </w:p>
        </w:tc>
        <w:tc>
          <w:tcPr>
            <w:tcW w:w="2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2015 Super Bowl were reported in our Broadcast Television segment.</w:t>
      </w:r>
    </w:p>
    <w:p>
      <w:pPr>
        <w:spacing w:after="0" w:line="55" w:lineRule="exact"/>
        <w:rPr>
          <w:rFonts w:ascii="Arial" w:cs="Arial" w:eastAsia="Arial" w:hAnsi="Arial"/>
          <w:sz w:val="14"/>
          <w:szCs w:val="14"/>
          <w:color w:val="auto"/>
        </w:rPr>
      </w:pPr>
    </w:p>
    <w:p>
      <w:pPr>
        <w:ind w:left="340" w:hanging="332"/>
        <w:spacing w:after="0" w:line="31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Beginning in the fourth quarter of 2015, we changed our method of accounting for a contractual obligation that involves an interest in the revenue of certain theme parks. As a result of the change, amounts payable based on current period revenue are presented in operating costs and expenses. Amounts paid through the third quarter of 2015 were included in other income (expense), net in our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2" w:lineRule="exact"/>
        <w:rPr>
          <w:sz w:val="20"/>
          <w:szCs w:val="20"/>
          <w:color w:val="auto"/>
        </w:rPr>
      </w:pPr>
    </w:p>
    <w:p>
      <w:pPr>
        <w:ind w:left="340"/>
        <w:spacing w:after="0" w:line="317" w:lineRule="auto"/>
        <w:rPr>
          <w:sz w:val="20"/>
          <w:szCs w:val="20"/>
          <w:color w:val="auto"/>
        </w:rPr>
      </w:pPr>
      <w:r>
        <w:rPr>
          <w:rFonts w:ascii="Arial" w:cs="Arial" w:eastAsia="Arial" w:hAnsi="Arial"/>
          <w:sz w:val="12"/>
          <w:szCs w:val="12"/>
          <w:color w:val="auto"/>
        </w:rPr>
        <w:t>consolidated statement of income. For segment reporting purposes, we have adjusted periods prior to the fourth quarter of 2015 to reflect management reporting presentation for this expense on a consistent basis for all periods in the Theme Parks segment, which resulted in a corresponding offsetting adjustment in Eliminations to reconcile to consolidated totals.</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64" w:name="page65"/>
    <w:bookmarkEnd w:id="6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66" w:name="page67"/>
    <w:bookmarkEnd w:id="6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2016</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2016</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2"/>
    </w:lvl>
    <w:lvl w:ilvl="1">
      <w:lvlJc w:val="left"/>
      <w:lvlText w:val="•"/>
      <w:numFmt w:val="bullet"/>
      <w:start w:val="1"/>
    </w:lvl>
  </w:abstractNum>
  <w:abstractNum w:abstractNumId="7">
    <w:nsid w:val="7FDCC233"/>
    <w:multiLevelType w:val="hybridMultilevel"/>
    <w:lvl w:ilvl="0">
      <w:lvlJc w:val="left"/>
      <w:lvlText w:val="(%1)"/>
      <w:numFmt w:val="lowerLetter"/>
      <w:start w:val="6"/>
    </w:lvl>
    <w:lvl w:ilvl="1">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lvl w:ilvl="1">
      <w:lvlJc w:val="left"/>
      <w:lvlText w:val="%2"/>
      <w:numFmt w:val="decimal"/>
      <w:start w:val="101"/>
    </w:lvl>
  </w:abstractNum>
  <w:abstractNum w:abstractNumId="11">
    <w:nsid w:val="4E6AFB66"/>
    <w:multiLevelType w:val="hybridMultilevel"/>
    <w:lvl w:ilvl="0">
      <w:lvlJc w:val="left"/>
      <w:lvlText w:val="%1"/>
      <w:numFmt w:val="decimal"/>
      <w:start w:val="10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2019-12-29T11:17:51Z</dcterms:created>
  <dcterms:modified xsi:type="dcterms:W3CDTF">2019-12-29T11:17:51Z</dcterms:modified>
</cp:coreProperties>
</file>