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March 31, 2005</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Robert 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DeGennaro</w:t>
            </w:r>
          </w:p>
        </w:tc>
        <w:tc>
          <w:tcPr>
            <w:tcW w:w="15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Manager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 Projects</w:t>
            </w:r>
          </w:p>
        </w:tc>
        <w:tc>
          <w:tcPr>
            <w:tcW w:w="15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 373-2535</w:t>
            </w:r>
          </w:p>
        </w:tc>
        <w:tc>
          <w:tcPr>
            <w:tcW w:w="158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580" w:type="dxa"/>
            <w:vAlign w:val="bottom"/>
          </w:tcPr>
          <w:p>
            <w:pPr>
              <w:spacing w:after="0"/>
              <w:rPr>
                <w:sz w:val="24"/>
                <w:szCs w:val="24"/>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Robert R. DeGennaro</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rPr>
              <w:t>Fairfield, CT</w:t>
            </w:r>
          </w:p>
        </w:tc>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w w:val="95"/>
              </w:rPr>
              <w:t>April 29, 2005</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13F NOTICE.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2019-12-14T01:06:38Z</dcterms:created>
  <dcterms:modified xsi:type="dcterms:W3CDTF">2019-12-14T01:06:38Z</dcterms:modified>
</cp:coreProperties>
</file>