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As filed with the Securities and Exchange Commission on December 22, 2000</w:t>
      </w:r>
    </w:p>
    <w:p>
      <w:pPr>
        <w:spacing w:after="0" w:line="207" w:lineRule="exact"/>
        <w:rPr>
          <w:sz w:val="24"/>
          <w:szCs w:val="24"/>
          <w:color w:val="auto"/>
        </w:rPr>
      </w:pPr>
    </w:p>
    <w:p>
      <w:pPr>
        <w:ind w:left="1900" w:right="1879" w:hanging="1895"/>
        <w:spacing w:after="0" w:line="235" w:lineRule="auto"/>
        <w:rPr>
          <w:sz w:val="20"/>
          <w:szCs w:val="20"/>
          <w:color w:val="auto"/>
        </w:rPr>
      </w:pPr>
      <w:r>
        <w:rPr>
          <w:rFonts w:ascii="Courier New" w:cs="Courier New" w:eastAsia="Courier New" w:hAnsi="Courier New"/>
          <w:sz w:val="18"/>
          <w:szCs w:val="18"/>
          <w:color w:val="auto"/>
        </w:rPr>
        <w:t>Registration Nos. 002-78497, 002-81763, 33-41440, 33-25105, 33-54365, 33-54596, 33-52813, 33-03087, 33-38814, 33-25577 and 002-77691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POST-EFFECTIVE AMENDMENT NOS. 1 AND 2</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6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4841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Classification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65" w:orient="portrait"/>
          <w:cols w:equalWidth="0" w:num="3">
            <w:col w:w="2960" w:space="320"/>
            <w:col w:w="2940" w:space="220"/>
            <w:col w:w="3779"/>
          </w:cols>
          <w:pgMar w:left="240" w:top="649"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3480"/>
        <w:spacing w:after="0"/>
        <w:rPr>
          <w:sz w:val="20"/>
          <w:szCs w:val="20"/>
          <w:color w:val="auto"/>
        </w:rPr>
      </w:pPr>
      <w:r>
        <w:rPr>
          <w:rFonts w:ascii="Courier New" w:cs="Courier New" w:eastAsia="Courier New" w:hAnsi="Courier New"/>
          <w:sz w:val="18"/>
          <w:szCs w:val="18"/>
          <w:color w:val="auto"/>
        </w:rPr>
        <w:t>(215) 665-1700</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Comcast Corporation 1982 Incentive Stock Option Plan and</w:t>
      </w:r>
    </w:p>
    <w:p>
      <w:pPr>
        <w:ind w:left="1060"/>
        <w:spacing w:after="0" w:line="238" w:lineRule="auto"/>
        <w:rPr>
          <w:sz w:val="20"/>
          <w:szCs w:val="20"/>
          <w:color w:val="auto"/>
        </w:rPr>
      </w:pPr>
      <w:r>
        <w:rPr>
          <w:rFonts w:ascii="Courier New" w:cs="Courier New" w:eastAsia="Courier New" w:hAnsi="Courier New"/>
          <w:sz w:val="18"/>
          <w:szCs w:val="18"/>
          <w:color w:val="auto"/>
        </w:rPr>
        <w:t>Executive Nonqualified Restricted Stock Option and Incentive</w:t>
      </w:r>
    </w:p>
    <w:p>
      <w:pPr>
        <w:ind w:left="1280"/>
        <w:spacing w:after="0"/>
        <w:rPr>
          <w:sz w:val="20"/>
          <w:szCs w:val="20"/>
          <w:color w:val="auto"/>
        </w:rPr>
      </w:pPr>
      <w:r>
        <w:rPr>
          <w:rFonts w:ascii="Courier New" w:cs="Courier New" w:eastAsia="Courier New" w:hAnsi="Courier New"/>
          <w:sz w:val="18"/>
          <w:szCs w:val="18"/>
          <w:color w:val="auto"/>
        </w:rPr>
        <w:t>Stock Option Plan (formerly, 1977 Executive Nonqualified</w:t>
      </w:r>
    </w:p>
    <w:p>
      <w:pPr>
        <w:ind w:left="2640"/>
        <w:spacing w:after="0" w:line="237" w:lineRule="auto"/>
        <w:rPr>
          <w:sz w:val="20"/>
          <w:szCs w:val="20"/>
          <w:color w:val="auto"/>
        </w:rPr>
      </w:pPr>
      <w:r>
        <w:rPr>
          <w:rFonts w:ascii="Courier New" w:cs="Courier New" w:eastAsia="Courier New" w:hAnsi="Courier New"/>
          <w:sz w:val="18"/>
          <w:szCs w:val="18"/>
          <w:color w:val="auto"/>
        </w:rPr>
        <w:t>Restricted Stock Option Plan)</w:t>
      </w:r>
    </w:p>
    <w:p>
      <w:pPr>
        <w:ind w:left="1580"/>
        <w:spacing w:after="0" w:line="238" w:lineRule="auto"/>
        <w:rPr>
          <w:sz w:val="20"/>
          <w:szCs w:val="20"/>
          <w:color w:val="auto"/>
        </w:rPr>
      </w:pPr>
      <w:r>
        <w:rPr>
          <w:rFonts w:ascii="Courier New" w:cs="Courier New" w:eastAsia="Courier New" w:hAnsi="Courier New"/>
          <w:sz w:val="18"/>
          <w:szCs w:val="18"/>
          <w:color w:val="auto"/>
        </w:rPr>
        <w:t>The Comcast Corporation Retirement-Investment Plan</w:t>
      </w:r>
    </w:p>
    <w:p>
      <w:pPr>
        <w:ind w:left="2000"/>
        <w:spacing w:after="0"/>
        <w:rPr>
          <w:sz w:val="20"/>
          <w:szCs w:val="20"/>
          <w:color w:val="auto"/>
        </w:rPr>
      </w:pPr>
      <w:r>
        <w:rPr>
          <w:rFonts w:ascii="Courier New" w:cs="Courier New" w:eastAsia="Courier New" w:hAnsi="Courier New"/>
          <w:sz w:val="18"/>
          <w:szCs w:val="18"/>
          <w:color w:val="auto"/>
        </w:rPr>
        <w:t>Comcast Corporation 1987 Stock Option Plan</w:t>
      </w:r>
    </w:p>
    <w:p>
      <w:pPr>
        <w:ind w:left="1280"/>
        <w:spacing w:after="0" w:line="237" w:lineRule="auto"/>
        <w:rPr>
          <w:sz w:val="20"/>
          <w:szCs w:val="20"/>
          <w:color w:val="auto"/>
        </w:rPr>
      </w:pPr>
      <w:r>
        <w:rPr>
          <w:rFonts w:ascii="Courier New" w:cs="Courier New" w:eastAsia="Courier New" w:hAnsi="Courier New"/>
          <w:sz w:val="18"/>
          <w:szCs w:val="18"/>
          <w:color w:val="auto"/>
        </w:rPr>
        <w:t>Comcast Corporation 1986 Nonqualified Stock Option Plan</w:t>
      </w:r>
    </w:p>
    <w:p>
      <w:pPr>
        <w:ind w:left="640"/>
        <w:spacing w:after="0"/>
        <w:rPr>
          <w:sz w:val="20"/>
          <w:szCs w:val="20"/>
          <w:color w:val="auto"/>
        </w:rPr>
      </w:pPr>
      <w:r>
        <w:rPr>
          <w:rFonts w:ascii="Courier New" w:cs="Courier New" w:eastAsia="Courier New" w:hAnsi="Courier New"/>
          <w:sz w:val="18"/>
          <w:szCs w:val="18"/>
          <w:color w:val="auto"/>
        </w:rPr>
        <w:t>Comcast Corporation 1972 Non-Qualified Restricted Stock Option Plan</w:t>
      </w:r>
    </w:p>
    <w:p>
      <w:pPr>
        <w:ind w:left="1800"/>
        <w:spacing w:after="0" w:line="237" w:lineRule="auto"/>
        <w:rPr>
          <w:sz w:val="20"/>
          <w:szCs w:val="20"/>
          <w:color w:val="auto"/>
        </w:rPr>
      </w:pPr>
      <w:r>
        <w:rPr>
          <w:rFonts w:ascii="Courier New" w:cs="Courier New" w:eastAsia="Courier New" w:hAnsi="Courier New"/>
          <w:sz w:val="18"/>
          <w:szCs w:val="18"/>
          <w:color w:val="auto"/>
        </w:rPr>
        <w:t>Storer Communications Retirement Savings Plan</w:t>
      </w:r>
    </w:p>
    <w:p>
      <w:pPr>
        <w:jc w:val="center"/>
        <w:ind w:right="1879"/>
        <w:spacing w:after="0"/>
        <w:rPr>
          <w:sz w:val="20"/>
          <w:szCs w:val="20"/>
          <w:color w:val="auto"/>
        </w:rPr>
      </w:pPr>
      <w:r>
        <w:rPr>
          <w:rFonts w:ascii="Courier New" w:cs="Courier New" w:eastAsia="Courier New" w:hAnsi="Courier New"/>
          <w:sz w:val="18"/>
          <w:szCs w:val="18"/>
          <w:color w:val="auto"/>
        </w:rPr>
        <w:t>Jones Intercable, Inc. 1992 Stock Option Plan and a Separate Option for</w:t>
      </w:r>
    </w:p>
    <w:p>
      <w:pPr>
        <w:jc w:val="center"/>
        <w:ind w:right="1759"/>
        <w:spacing w:after="0" w:line="237" w:lineRule="auto"/>
        <w:rPr>
          <w:sz w:val="20"/>
          <w:szCs w:val="20"/>
          <w:color w:val="auto"/>
        </w:rPr>
      </w:pPr>
      <w:r>
        <w:rPr>
          <w:rFonts w:ascii="Courier New" w:cs="Courier New" w:eastAsia="Courier New" w:hAnsi="Courier New"/>
          <w:sz w:val="18"/>
          <w:szCs w:val="18"/>
          <w:color w:val="auto"/>
        </w:rPr>
        <w:t>200,000 Shares of Common Stock, $.01 par value</w:t>
      </w:r>
    </w:p>
    <w:p>
      <w:pPr>
        <w:spacing w:after="0" w:line="5"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Jones Intercable, Inc. et al Profit Sharing/Retirement Plan Jones Intercable, Inc. Non-Qualified Stock Option Plan Jones Intercable, Inc. Incentive Stock Option and</w:t>
      </w:r>
    </w:p>
    <w:p>
      <w:pPr>
        <w:spacing w:after="0" w:line="6"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Stock Appreciation Rights Plan Jones Intercable, Inc. 1983 Non-Qualified Stock Option Plan (Full title of the Plans)</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John R. Alchin</w:t>
      </w:r>
    </w:p>
    <w:p>
      <w:pPr>
        <w:ind w:left="2220"/>
        <w:spacing w:after="0" w:line="238" w:lineRule="auto"/>
        <w:rPr>
          <w:sz w:val="20"/>
          <w:szCs w:val="20"/>
          <w:color w:val="auto"/>
        </w:rPr>
      </w:pPr>
      <w:r>
        <w:rPr>
          <w:rFonts w:ascii="Courier New" w:cs="Courier New" w:eastAsia="Courier New" w:hAnsi="Courier New"/>
          <w:sz w:val="18"/>
          <w:szCs w:val="18"/>
          <w:color w:val="auto"/>
        </w:rPr>
        <w:t>Executive Vice President and Treasurer</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7" w:lineRule="auto"/>
        <w:rPr>
          <w:sz w:val="20"/>
          <w:szCs w:val="20"/>
          <w:color w:val="auto"/>
        </w:rPr>
      </w:pPr>
      <w:r>
        <w:rPr>
          <w:rFonts w:ascii="Courier New" w:cs="Courier New" w:eastAsia="Courier New" w:hAnsi="Courier New"/>
          <w:sz w:val="18"/>
          <w:szCs w:val="18"/>
          <w:color w:val="auto"/>
        </w:rPr>
        <w:t>1500 Market Street</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ind w:left="1060"/>
        <w:spacing w:after="0" w:line="237"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Comcast Corporation (the "Registrant") and Jones Intercable, Inc. ("Jones Intercable") had previously filed Registration Statements on Form S-8</w:t>
      </w:r>
    </w:p>
    <w:p>
      <w:pPr>
        <w:sectPr>
          <w:pgSz w:w="11900" w:h="16865" w:orient="portrait"/>
          <w:cols w:equalWidth="0" w:num="1">
            <w:col w:w="10219"/>
          </w:cols>
          <w:pgMar w:left="240" w:top="649" w:right="1440" w:bottom="0" w:gutter="0" w:footer="0" w:header="0"/>
          <w:type w:val="continuous"/>
        </w:sectPr>
      </w:pPr>
    </w:p>
    <w:bookmarkStart w:id="1" w:name="page2"/>
    <w:bookmarkEnd w:id="1"/>
    <w:p>
      <w:pPr>
        <w:ind w:right="1879"/>
        <w:spacing w:after="0" w:line="269" w:lineRule="auto"/>
        <w:rPr>
          <w:sz w:val="20"/>
          <w:szCs w:val="20"/>
          <w:color w:val="auto"/>
        </w:rPr>
      </w:pPr>
      <w:r>
        <w:rPr>
          <w:rFonts w:ascii="Courier New" w:cs="Courier New" w:eastAsia="Courier New" w:hAnsi="Courier New"/>
          <w:sz w:val="16"/>
          <w:szCs w:val="16"/>
          <w:color w:val="auto"/>
        </w:rPr>
        <w:t>(Registration File Nos. 002-78497, 002-81763, 33-41440, 33-25105, 33-54365, 33-54596, 33-52813, 33-03087, 33-38814, 33-25577 and 002-77691) in connection with Comcast Corporation 1982 Incentive Stock Option Plan and Executive Nonqualified Restricted Stock Option and Incentive Stock Option Plan (formerly, 1977 Executive Nonqualified Restricted Stock Option Plan), Comcast Corporation Retirement-Investment Plan, Comcast Corporation 1987 Stock Option Plan, Comcast Corporation 1986 Nonqualified Stock Option Plan, Comcast Corporation 1972 Non-Qualified Restricted Stock Option Plan, Storer Communications Retirement Savings Plan, Jones Intercable, Inc. 1992 Stock Option Plan and a Separate Option for 200,000 Shares of Common Stock, $.01 par value, Jones Intercable, Inc. et al Profit Sharing/Retirement Plan, Jones Intercable, Inc. Non-Qualified Stock Option Plan, Jones Intercable, Inc. Incentive Stock Option and Stock Appreciation Rights Plan, Jones Intercable, Inc. 1983 Non-Qualified Stock Option Plan. On March 2, 2000, the Registrant acquired the approximate 60% interest in Jones Intercable that was previously owned by public shareholders and the approximate 40% interest in Jones Intercable that was previously held by Comcast Cable Communications, Inc. ("Comcast Cable"), a wholly owned subsidiary of the Registrant. Also on that date, Jones Intercable was merged with and into Comcast JOIN Holdings, Inc., a wholly owned subsidiary of the Registrant ("JOIN Holdings") with JOIN Holdings as the successor to Jones Intercable. On August 1, 2000, JOIN Holdings was merged with and into Comcast Cable with Comcast Cable as the successor to JOIN Holdings.</w:t>
      </w:r>
    </w:p>
    <w:p>
      <w:pPr>
        <w:spacing w:after="0" w:line="200" w:lineRule="exact"/>
        <w:rPr>
          <w:sz w:val="20"/>
          <w:szCs w:val="20"/>
          <w:color w:val="auto"/>
        </w:rPr>
      </w:pPr>
    </w:p>
    <w:p>
      <w:pPr>
        <w:spacing w:after="0" w:line="396"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The purpose of this Post-Effective Amendment Nos. 1 and 2 to the Registration Statements on Form S-8 (Registration File Nos. 002-78497,</w:t>
      </w:r>
    </w:p>
    <w:p>
      <w:pPr>
        <w:ind w:right="2419"/>
        <w:spacing w:after="0" w:line="237" w:lineRule="auto"/>
        <w:rPr>
          <w:sz w:val="20"/>
          <w:szCs w:val="20"/>
          <w:color w:val="auto"/>
        </w:rPr>
      </w:pPr>
      <w:r>
        <w:rPr>
          <w:rFonts w:ascii="Courier New" w:cs="Courier New" w:eastAsia="Courier New" w:hAnsi="Courier New"/>
          <w:sz w:val="18"/>
          <w:szCs w:val="18"/>
          <w:color w:val="auto"/>
        </w:rPr>
        <w:t>002-81763, 33-41440, 33-25105, 33-54365, 33-54596, 33-52813, 33-03087, 33-38814, 33-25577 and 002-77691) is to terminate the effectiveness of such Registration Statements and to deregister all of the securities originally registered thereby which remain unsold as of the date hereof.</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following exhibit is filed as part of the Registration Statement hereby amended: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38" w:lineRule="auto"/>
        <w:rPr>
          <w:sz w:val="20"/>
          <w:szCs w:val="20"/>
          <w:color w:val="auto"/>
        </w:rPr>
      </w:pPr>
      <w:r>
        <w:rPr>
          <w:rFonts w:ascii="Courier New" w:cs="Courier New" w:eastAsia="Courier New" w:hAnsi="Courier New"/>
          <w:sz w:val="18"/>
          <w:szCs w:val="18"/>
          <w:color w:val="auto"/>
        </w:rPr>
        <w:t>- -----------</w:t>
      </w: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759"/>
        <w:spacing w:after="0"/>
        <w:rPr>
          <w:sz w:val="20"/>
          <w:szCs w:val="20"/>
          <w:color w:val="auto"/>
        </w:rPr>
      </w:pPr>
      <w:r>
        <w:rPr>
          <w:rFonts w:ascii="Courier New" w:cs="Courier New" w:eastAsia="Courier New" w:hAnsi="Courier New"/>
          <w:sz w:val="18"/>
          <w:szCs w:val="18"/>
          <w:color w:val="auto"/>
        </w:rPr>
        <w:t>SIGNATURES AND POWER OF ATTORNEY</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reasonable grounds to believe that it meets all of the requirements for filing on Form S-8 and has duly caused this Post-Effective Amendment Nos. 1 and 2 to the original Registration Statements to be signed on its behalf by the undersigned, thereunto duly authorized, in the city of Philadelphia, Pennsylvania, on this 22nd day of December, 2000.</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Alchin,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John R. Alchin, Executive Vice</w:t>
      </w:r>
    </w:p>
    <w:p>
      <w:pPr>
        <w:ind w:left="5060"/>
        <w:spacing w:after="0" w:line="238" w:lineRule="auto"/>
        <w:rPr>
          <w:sz w:val="20"/>
          <w:szCs w:val="20"/>
          <w:color w:val="auto"/>
        </w:rPr>
      </w:pPr>
      <w:r>
        <w:rPr>
          <w:rFonts w:ascii="Courier New" w:cs="Courier New" w:eastAsia="Courier New" w:hAnsi="Courier New"/>
          <w:sz w:val="18"/>
          <w:szCs w:val="18"/>
          <w:color w:val="auto"/>
        </w:rPr>
        <w:t>President and Treasurer</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Ralph J. Roberts, Brian L. Roberts, Julian A. Brodsky, John R. Alchin, Stanley Wang, Lawrence J. Salva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statements for amendment thereto filed pursuant to Rule 462 promulgated under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done by virtue hereof.</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219"/>
          </w:cols>
          <w:pgMar w:left="240" w:top="919" w:right="1440" w:bottom="159"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00" w:space="720"/>
            <w:col w:w="2440" w:space="720"/>
            <w:col w:w="3039"/>
          </w:cols>
          <w:pgMar w:left="240" w:top="919" w:right="1440" w:bottom="159"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J. Roberts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22, 2000</w:t>
      </w:r>
    </w:p>
    <w:p>
      <w:pPr>
        <w:spacing w:after="0" w:line="21" w:lineRule="exact"/>
        <w:rPr>
          <w:sz w:val="20"/>
          <w:szCs w:val="20"/>
          <w:color w:val="auto"/>
        </w:rPr>
      </w:pPr>
    </w:p>
    <w:p>
      <w:pPr>
        <w:sectPr>
          <w:pgSz w:w="11900" w:h="16838" w:orient="portrait"/>
          <w:cols w:equalWidth="0" w:num="3">
            <w:col w:w="2560" w:space="720"/>
            <w:col w:w="2640" w:space="720"/>
            <w:col w:w="3579"/>
          </w:cols>
          <w:pgMar w:left="240" w:top="919" w:right="1440" w:bottom="159" w:gutter="0" w:footer="0" w:header="0"/>
          <w:type w:val="continuous"/>
        </w:sectPr>
      </w:pPr>
    </w:p>
    <w:p>
      <w:pPr>
        <w:ind w:right="473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Directors; Director Ralph J. Roberts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Julian A. Brodsky</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Vice Chairman of the Board</w:t>
            </w:r>
          </w:p>
        </w:tc>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December 22, 2000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Directors; Director</w:t>
            </w:r>
          </w:p>
        </w:tc>
        <w:tc>
          <w:tcPr>
            <w:tcW w:w="18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3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President; Director</w:t>
            </w:r>
          </w:p>
        </w:tc>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December 22, 2000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8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3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John R. Alchin</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Executive Vice President;</w:t>
            </w:r>
          </w:p>
        </w:tc>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December 22, 2000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Treasurer (Principal Financial</w:t>
            </w:r>
          </w:p>
        </w:tc>
        <w:tc>
          <w:tcPr>
            <w:tcW w:w="18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800" w:type="dxa"/>
            <w:vAlign w:val="bottom"/>
          </w:tcPr>
          <w:p>
            <w:pPr>
              <w:spacing w:after="0"/>
              <w:rPr>
                <w:sz w:val="17"/>
                <w:szCs w:val="17"/>
                <w:color w:val="auto"/>
              </w:rPr>
            </w:pP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Lawrence J. Salva</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December 22, 2000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(Principal Accounting Officer)</w:t>
            </w:r>
          </w:p>
        </w:tc>
        <w:tc>
          <w:tcPr>
            <w:tcW w:w="18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J. Salva</w:t>
            </w:r>
          </w:p>
        </w:tc>
        <w:tc>
          <w:tcPr>
            <w:tcW w:w="3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Gustave G. Amsterdam</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December 22, 2000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3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220" w:type="dxa"/>
            <w:vAlign w:val="bottom"/>
          </w:tcPr>
          <w:p>
            <w:pPr>
              <w:spacing w:after="0"/>
              <w:rPr>
                <w:sz w:val="24"/>
                <w:szCs w:val="24"/>
                <w:color w:val="auto"/>
              </w:rPr>
            </w:pPr>
          </w:p>
        </w:tc>
        <w:tc>
          <w:tcPr>
            <w:tcW w:w="3420" w:type="dxa"/>
            <w:vAlign w:val="bottom"/>
          </w:tcPr>
          <w:p>
            <w:pPr>
              <w:ind w:left="900"/>
              <w:spacing w:after="0"/>
              <w:rPr>
                <w:sz w:val="20"/>
                <w:szCs w:val="20"/>
                <w:color w:val="auto"/>
              </w:rPr>
            </w:pPr>
            <w:r>
              <w:rPr>
                <w:rFonts w:ascii="Courier New" w:cs="Courier New" w:eastAsia="Courier New" w:hAnsi="Courier New"/>
                <w:sz w:val="18"/>
                <w:szCs w:val="18"/>
                <w:color w:val="auto"/>
              </w:rPr>
              <w:t>3</w:t>
            </w:r>
          </w:p>
        </w:tc>
        <w:tc>
          <w:tcPr>
            <w:tcW w:w="1800" w:type="dxa"/>
            <w:vAlign w:val="bottom"/>
          </w:tcPr>
          <w:p>
            <w:pPr>
              <w:spacing w:after="0"/>
              <w:rPr>
                <w:sz w:val="24"/>
                <w:szCs w:val="24"/>
                <w:color w:val="auto"/>
              </w:rPr>
            </w:pPr>
          </w:p>
        </w:tc>
      </w:tr>
    </w:tbl>
    <w:p>
      <w:pPr>
        <w:sectPr>
          <w:pgSz w:w="11900" w:h="16838" w:orient="portrait"/>
          <w:cols w:equalWidth="0" w:num="1">
            <w:col w:w="10219"/>
          </w:cols>
          <w:pgMar w:left="240" w:top="919" w:right="1440" w:bottom="159" w:gutter="0" w:footer="0" w:header="0"/>
          <w:type w:val="continuous"/>
        </w:sectPr>
      </w:pPr>
    </w:p>
    <w:bookmarkStart w:id="4" w:name="page5"/>
    <w:bookmarkEnd w:id="4"/>
    <w:p>
      <w:pPr>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Sheldon M. Bonowitz</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22, 2000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Sheldon M. Bonovitz</w:t>
      </w:r>
    </w:p>
    <w:p>
      <w:pPr>
        <w:spacing w:after="0" w:line="200" w:lineRule="exact"/>
        <w:rPr>
          <w:sz w:val="20"/>
          <w:szCs w:val="20"/>
          <w:color w:val="auto"/>
        </w:rPr>
      </w:pPr>
    </w:p>
    <w:p>
      <w:pPr>
        <w:spacing w:after="0" w:line="204" w:lineRule="exact"/>
        <w:rPr>
          <w:sz w:val="20"/>
          <w:szCs w:val="20"/>
          <w:color w:val="auto"/>
        </w:rPr>
      </w:pPr>
    </w:p>
    <w:p>
      <w:pPr>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Joseph L. Castle II</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22, 2000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Castle II</w:t>
      </w:r>
    </w:p>
    <w:p>
      <w:pPr>
        <w:spacing w:after="0" w:line="200" w:lineRule="exact"/>
        <w:rPr>
          <w:sz w:val="20"/>
          <w:szCs w:val="20"/>
          <w:color w:val="auto"/>
        </w:rPr>
      </w:pPr>
    </w:p>
    <w:p>
      <w:pPr>
        <w:spacing w:after="0" w:line="204" w:lineRule="exact"/>
        <w:rPr>
          <w:sz w:val="20"/>
          <w:szCs w:val="20"/>
          <w:color w:val="auto"/>
        </w:rPr>
      </w:pPr>
    </w:p>
    <w:p>
      <w:pPr>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Bernard C. Watson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22, 2000</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spacing w:after="0" w:line="204" w:lineRule="exact"/>
        <w:rPr>
          <w:sz w:val="20"/>
          <w:szCs w:val="20"/>
          <w:color w:val="auto"/>
        </w:rPr>
      </w:pPr>
    </w:p>
    <w:p>
      <w:pPr>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Irving A. Wechsler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22, 2000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Irving A. Wechsler</w:t>
      </w:r>
    </w:p>
    <w:p>
      <w:pPr>
        <w:spacing w:after="0" w:line="200" w:lineRule="exact"/>
        <w:rPr>
          <w:sz w:val="20"/>
          <w:szCs w:val="20"/>
          <w:color w:val="auto"/>
        </w:rPr>
      </w:pPr>
    </w:p>
    <w:p>
      <w:pPr>
        <w:spacing w:after="0" w:line="204" w:lineRule="exact"/>
        <w:rPr>
          <w:sz w:val="20"/>
          <w:szCs w:val="20"/>
          <w:color w:val="auto"/>
        </w:rPr>
      </w:pPr>
    </w:p>
    <w:p>
      <w:pPr>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Anne Wexler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22, 2000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Anne Wexler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15"/>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2019-12-12T08:42:38Z</dcterms:created>
  <dcterms:modified xsi:type="dcterms:W3CDTF">2019-12-12T08:42:38Z</dcterms:modified>
</cp:coreProperties>
</file>