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13970</wp:posOffset>
            </wp:positionV>
            <wp:extent cx="7047230" cy="4222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222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Cavanagh Michael J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3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220,088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220,088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409,750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were granted subject to satisfaction of a performance condition. Based on achievement of the performance condition, the restricted stock units vest in installments of 15%, 15%, 15%, 15% and 40% on the 13th-month, 2nd, 3rd, 4th, and 5th anniversaries of the date of the respective grant.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Elizabeth Wideman,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02/24/2022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448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2022-02-24T15:48:13Z</dcterms:created>
  <dcterms:modified xsi:type="dcterms:W3CDTF">2022-02-24T15:48:13Z</dcterms:modified>
</cp:coreProperties>
</file>