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444500</wp:posOffset>
            </wp:positionV>
            <wp:extent cx="142367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hanging="612"/>
        <w:spacing w:after="0"/>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62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gridSpan w:val="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00" w:type="dxa"/>
            <w:vAlign w:val="bottom"/>
            <w:gridSpan w:val="7"/>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60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2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2014 and 2013</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2014</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140" w:type="dxa"/>
            <w:vAlign w:val="bottom"/>
            <w:gridSpan w:val="2"/>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400" w:type="dxa"/>
            <w:vAlign w:val="bottom"/>
            <w:gridSpan w:val="7"/>
          </w:tcPr>
          <w:p>
            <w:pPr>
              <w:spacing w:after="0"/>
              <w:rPr>
                <w:sz w:val="20"/>
                <w:szCs w:val="20"/>
                <w:color w:val="auto"/>
              </w:rPr>
            </w:pPr>
            <w:r>
              <w:rPr>
                <w:rFonts w:ascii="Arial" w:cs="Arial" w:eastAsia="Arial" w:hAnsi="Arial"/>
                <w:sz w:val="18"/>
                <w:szCs w:val="18"/>
                <w:color w:val="auto"/>
              </w:rPr>
              <w:t>SUPPLEMENTAL SCHEDULES -</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802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Form 5500, Schedule H—Part IV, Line 4i—Schedule of Assets (Held at End of Year) as of December 31, 2014</w:t>
              </w:r>
            </w:hyperlink>
          </w:p>
        </w:tc>
        <w:tc>
          <w:tcPr>
            <w:tcW w:w="2200" w:type="dxa"/>
            <w:vAlign w:val="bottom"/>
          </w:tcPr>
          <w:p>
            <w:pPr>
              <w:spacing w:after="0"/>
              <w:rPr>
                <w:sz w:val="16"/>
                <w:szCs w:val="16"/>
                <w:color w:val="auto"/>
              </w:rPr>
            </w:pPr>
          </w:p>
        </w:tc>
        <w:tc>
          <w:tcPr>
            <w:tcW w:w="10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900" w:type="dxa"/>
            <w:vAlign w:val="bottom"/>
            <w:tcBorders>
              <w:bottom w:val="single" w:sz="8" w:color="0000EE"/>
            </w:tcBorders>
            <w:gridSpan w:val="5"/>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Form 5500, Schedule H—Part IV, Line 4a—Schedule of Delinquent Participant Contributions for years ended December 31, 2014, 2013,</w:t>
              </w:r>
            </w:hyperlink>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2012 and 2011</w:t>
              </w:r>
            </w:hyperlink>
          </w:p>
        </w:tc>
        <w:tc>
          <w:tcPr>
            <w:tcW w:w="922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12"/>
        </w:trPr>
        <w:tc>
          <w:tcPr>
            <w:tcW w:w="59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CONSENT OF INDEPENDENT REGISTERED PUBLIC ACCOUNTING FIRM</w:t>
              </w:r>
            </w:hyperlink>
          </w:p>
        </w:tc>
        <w:tc>
          <w:tcPr>
            <w:tcW w:w="47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1066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40" w:right="460"/>
        <w:spacing w:after="0" w:line="342" w:lineRule="auto"/>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Comcast-Spectacor 401(k) Plan (the “Plan”) as of December 31, 2014 and 2013, and the related statement of changes in net assets available for benefits for the year ended December 31, 2014.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supplemental schedules of (1) assets (held at end of year) as of December 31, 2014 and (2) delinquent participant contributions for the years ended December 31, 2014, 2013, 2012, and 2011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 AND 2013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Participant-directed investments, at fair value</w:t>
            </w:r>
          </w:p>
        </w:tc>
        <w:tc>
          <w:tcPr>
            <w:tcW w:w="4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105,225,378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93,262,686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participants</w:t>
            </w:r>
          </w:p>
        </w:tc>
        <w:tc>
          <w:tcPr>
            <w:tcW w:w="3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2,305,156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Contributions receivable from participants</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receivable from employer</w:t>
            </w:r>
          </w:p>
        </w:tc>
        <w:tc>
          <w:tcPr>
            <w:tcW w:w="3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receivables</w:t>
            </w:r>
          </w:p>
        </w:tc>
        <w:tc>
          <w:tcPr>
            <w:tcW w:w="3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2,305,156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107,530,534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95,971,280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72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0" w:gutter="0" w:footer="0" w:header="0"/>
        </w:sectPr>
      </w:pPr>
    </w:p>
    <w:bookmarkStart w:id="2" w:name="page3"/>
    <w:bookmarkEnd w:id="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5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5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4,519,649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40"/>
              <w:spacing w:after="0"/>
              <w:rPr>
                <w:sz w:val="20"/>
                <w:szCs w:val="20"/>
                <w:color w:val="auto"/>
              </w:rPr>
            </w:pPr>
            <w:r>
              <w:rPr>
                <w:rFonts w:ascii="Arial" w:cs="Arial" w:eastAsia="Arial" w:hAnsi="Arial"/>
                <w:sz w:val="18"/>
                <w:szCs w:val="18"/>
                <w:color w:val="auto"/>
              </w:rPr>
              <w:t>Net investment income</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6,716,776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Participant</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6,294,616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Rollover</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908,475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40"/>
              <w:spacing w:after="0"/>
              <w:rPr>
                <w:sz w:val="20"/>
                <w:szCs w:val="20"/>
                <w:color w:val="auto"/>
              </w:rPr>
            </w:pPr>
            <w:r>
              <w:rPr>
                <w:rFonts w:ascii="Arial" w:cs="Arial" w:eastAsia="Arial" w:hAnsi="Arial"/>
                <w:sz w:val="18"/>
                <w:szCs w:val="18"/>
                <w:color w:val="auto"/>
              </w:rPr>
              <w:t>Total contributions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11,307,056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Interest income on notes receivable from participants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additions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18,152,939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DEDUCTIONS: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to participants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6,544,125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deductions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6,593,685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in net assets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11,559,254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95,971,280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5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107,530,534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840" w:type="dxa"/>
            <w:vAlign w:val="bottom"/>
            <w:gridSpan w:val="2"/>
          </w:tcPr>
          <w:p>
            <w:pPr>
              <w:spacing w:after="0"/>
              <w:rPr>
                <w:sz w:val="20"/>
                <w:szCs w:val="20"/>
                <w:color w:val="auto"/>
              </w:rPr>
            </w:pPr>
            <w:r>
              <w:rPr>
                <w:rFonts w:ascii="Arial" w:cs="Arial" w:eastAsia="Arial" w:hAnsi="Arial"/>
                <w:sz w:val="18"/>
                <w:szCs w:val="18"/>
                <w:color w:val="auto"/>
              </w:rPr>
              <w:t>See accompanying notes to financial statements.</w:t>
            </w:r>
          </w:p>
        </w:tc>
        <w:tc>
          <w:tcPr>
            <w:tcW w:w="5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20" w:type="dxa"/>
            <w:vAlign w:val="bottom"/>
          </w:tcPr>
          <w:p>
            <w:pPr>
              <w:jc w:val="right"/>
              <w:ind w:right="41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 AND 2013, AND FOR THE YEAR ENDED DECEMBER 31, 2014</w:t>
      </w:r>
    </w:p>
    <w:p>
      <w:pPr>
        <w:spacing w:after="0" w:line="207" w:lineRule="exact"/>
        <w:rPr>
          <w:sz w:val="20"/>
          <w:szCs w:val="20"/>
          <w:color w:val="auto"/>
        </w:rPr>
      </w:pPr>
    </w:p>
    <w:p>
      <w:pPr>
        <w:ind w:left="440" w:right="9220" w:hanging="432"/>
        <w:spacing w:after="0" w:line="503" w:lineRule="auto"/>
        <w:tabs>
          <w:tab w:leader="none" w:pos="44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Comcast-Spectacor 401(k) Plan (the “Plan”) provides only general information. Plan participants should refer to the Plan document for a complete description of the Plan’s provisions.</w:t>
      </w:r>
    </w:p>
    <w:p>
      <w:pPr>
        <w:spacing w:after="0" w:line="170" w:lineRule="exact"/>
        <w:rPr>
          <w:rFonts w:ascii="Arial" w:cs="Arial" w:eastAsia="Arial" w:hAnsi="Arial"/>
          <w:sz w:val="18"/>
          <w:szCs w:val="18"/>
          <w:b w:val="1"/>
          <w:bCs w:val="1"/>
          <w:color w:val="auto"/>
        </w:rPr>
      </w:pPr>
    </w:p>
    <w:p>
      <w:pPr>
        <w:jc w:val="both"/>
        <w:ind w:left="440" w:right="3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146" w:lineRule="exact"/>
        <w:rPr>
          <w:rFonts w:ascii="Arial" w:cs="Arial" w:eastAsia="Arial" w:hAnsi="Arial"/>
          <w:sz w:val="18"/>
          <w:szCs w:val="18"/>
          <w:b w:val="1"/>
          <w:bCs w:val="1"/>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 Spectacor, L.P. (Plan Sponsor or Plan Administrator)</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LLC</w:t>
      </w:r>
    </w:p>
    <w:p>
      <w:pPr>
        <w:sectPr>
          <w:pgSz w:w="11900" w:h="16860" w:orient="portrait"/>
          <w:cols w:equalWidth="0" w:num="1">
            <w:col w:w="11460"/>
          </w:cols>
          <w:pgMar w:left="240" w:top="517" w:right="199" w:bottom="0" w:gutter="0" w:footer="0" w:header="0"/>
        </w:sectPr>
      </w:pPr>
    </w:p>
    <w:bookmarkStart w:id="3" w:name="page4"/>
    <w:bookmarkEnd w:id="3"/>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FPS Rinks,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Pilots II, Inc.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Front Row Marketing Services,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225"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 Effective January 1, 2012, a Roth contribution feature was added to the Plan.</w:t>
      </w:r>
    </w:p>
    <w:p>
      <w:pPr>
        <w:spacing w:after="0" w:line="18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The safe-harbor matching contribution shall be determined on an annual basis and shall be adjusted to the extent necessary after the end of each Plan year.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also provides for discretionary profit sharing contributions. There were no such contributions for the 2014 Plan year.</w:t>
      </w:r>
    </w:p>
    <w:p>
      <w:pPr>
        <w:spacing w:after="0" w:line="225"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the Company’s matching contributions are based on participant elective deferrals to the Plan. Allocations of profit sharing contributions are in proportion to total compensation.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Upon enrollment, or as requested from the Plan Administrator, participants can receive a description of each investment fund in the Plan Enrollment Guide.</w:t>
      </w:r>
    </w:p>
    <w:p>
      <w:pPr>
        <w:spacing w:after="0" w:line="170" w:lineRule="exact"/>
        <w:rPr>
          <w:sz w:val="20"/>
          <w:szCs w:val="20"/>
          <w:color w:val="auto"/>
        </w:rPr>
      </w:pPr>
    </w:p>
    <w:p>
      <w:pPr>
        <w:ind w:left="440" w:right="80"/>
        <w:spacing w:after="0" w:line="264"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on or after January 1, 2005 are fully and immediately vested. Company matching contributions for Plan years prior to January 1, 2005 vest according to years of service.</w:t>
      </w:r>
    </w:p>
    <w:p>
      <w:pPr>
        <w:spacing w:after="0" w:line="18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Comcast - Spectacor, L.P., in its sole discretion may from time to time designate additional investment fund options of the same or different types or modify, cease to offer or eliminate any existing investment fund options.</w:t>
      </w:r>
    </w:p>
    <w:p>
      <w:pPr>
        <w:spacing w:after="0" w:line="187"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retirement as defined by the Plan, while an employee, a participant’s account becomes fully vested in all Company contributions. All benefits under the Plan are paid as lump-sum distributions. In-kind distributions are not provided for under the Plan.</w:t>
      </w:r>
    </w:p>
    <w:p>
      <w:pPr>
        <w:spacing w:after="0" w:line="181" w:lineRule="exact"/>
        <w:rPr>
          <w:sz w:val="20"/>
          <w:szCs w:val="20"/>
          <w:color w:val="auto"/>
        </w:rPr>
      </w:pPr>
    </w:p>
    <w:p>
      <w:pPr>
        <w:ind w:left="440"/>
        <w:spacing w:after="0" w:line="297" w:lineRule="auto"/>
        <w:rPr>
          <w:sz w:val="20"/>
          <w:szCs w:val="20"/>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w:t>
      </w:r>
      <w:r>
        <w:rPr>
          <w:rFonts w:ascii="Arial" w:cs="Arial" w:eastAsia="Arial" w:hAnsi="Arial"/>
          <w:sz w:val="15"/>
          <w:szCs w:val="15"/>
          <w:color w:val="auto"/>
        </w:rPr>
        <w:t>. There were $47,086 of forfeitures applied to reduce Plan administrative expenses for the year ended December 31, 2014</w:t>
      </w:r>
      <w:r>
        <w:rPr>
          <w:rFonts w:ascii="Arial" w:cs="Arial" w:eastAsia="Arial" w:hAnsi="Arial"/>
          <w:sz w:val="16"/>
          <w:szCs w:val="16"/>
          <w:color w:val="auto"/>
        </w:rPr>
        <w:t>. There were no outstanding forfeitures not yet applied as of December 31, 2014. Outstanding forfeitures not yet applied as of December 31, 2013 were $32,141.</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 Trustee and Record-keeper for the Plan is Voya Financial (the “Trustee”), formerly ING National Trust, and ING Institutional Plan Services, LLC, respectively. Generally, all costs associated with administering the Plan are paid by the Plan Administrator.</w:t>
      </w:r>
    </w:p>
    <w:p>
      <w:pPr>
        <w:spacing w:after="0" w:line="166" w:lineRule="exact"/>
        <w:rPr>
          <w:sz w:val="20"/>
          <w:szCs w:val="20"/>
          <w:color w:val="auto"/>
        </w:rPr>
      </w:pPr>
    </w:p>
    <w:p>
      <w:pPr>
        <w:ind w:left="440" w:right="622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Plan’s investments are stated at fair value. Fair value of a financial instrument is the price that would be received to sell an asset or paid to transfer a liability in an orderly transaction between market participants at the measurement date.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 The stable value fund is stated at contract value as described below.</w:t>
      </w:r>
    </w:p>
    <w:p>
      <w:pPr>
        <w:sectPr>
          <w:pgSz w:w="11900" w:h="16838" w:orient="portrait"/>
          <w:cols w:equalWidth="0" w:num="1">
            <w:col w:w="11360"/>
          </w:cols>
          <w:pgMar w:left="240" w:top="341" w:right="299" w:bottom="47" w:gutter="0" w:footer="0" w:header="0"/>
        </w:sectPr>
      </w:pPr>
    </w:p>
    <w:bookmarkStart w:id="4" w:name="page5"/>
    <w:bookmarkEnd w:id="4"/>
    <w:p>
      <w:pPr>
        <w:spacing w:after="0" w:line="25"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Investment contracts, such as those included in the Voya Stable Value Fund, are reported at contract value as provided by the contract issuer. Contract value is the relevant measure of fully benefit-responsive investment contracts since that is the amount participants would receive if they were to initiate permitted transactions under the terms of the Plan. The adjustment of fully benefit-responsive investment contracts from fair value to contract value is not material and is excluded from the Statement of Net Assets Available for Benefits.</w:t>
      </w:r>
    </w:p>
    <w:p>
      <w:pPr>
        <w:spacing w:after="0" w:line="187" w:lineRule="exact"/>
        <w:rPr>
          <w:sz w:val="20"/>
          <w:szCs w:val="20"/>
          <w:color w:val="auto"/>
        </w:rPr>
      </w:pPr>
    </w:p>
    <w:p>
      <w:pPr>
        <w:ind w:left="440" w:right="200"/>
        <w:spacing w:after="0" w:line="312"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ind w:left="440" w:right="22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440" w:right="34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right="60"/>
        <w:spacing w:after="0" w:line="302" w:lineRule="auto"/>
        <w:rPr>
          <w:sz w:val="20"/>
          <w:szCs w:val="20"/>
          <w:color w:val="auto"/>
        </w:rPr>
      </w:pPr>
      <w:r>
        <w:rPr>
          <w:rFonts w:ascii="Arial" w:cs="Arial" w:eastAsia="Arial" w:hAnsi="Arial"/>
          <w:sz w:val="16"/>
          <w:szCs w:val="16"/>
          <w:color w:val="auto"/>
        </w:rPr>
        <w:t>In August 2014, the Financial Accounting Standards Board (“FASB”) issued Accounting Standards Update No. 2014-15 (“ASU 2014-15”) Presentation of Financial Statements - Going Concern. ASU 2014-15 provides guidance on management’s responsibility to evaluate whether there is substantial doubt about a plan sponsor’s ability to continue as a going concern and guidance on related footnote disclosure. ASU 2014-15 is effective for annual reporting periods beginning after December 15, 2016. The Plan does not expect there to be an impact to the financial statements.</w:t>
      </w:r>
    </w:p>
    <w:p>
      <w:pPr>
        <w:spacing w:after="0" w:line="154"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In May 2015, the FASB issued Accounting Standards Update No. 2015-07 (“ASU 2015-07”) Disclosures for Investments in Certain Entities That Calculate Net Asset Value per Share (or Its Equivalent), which removes the requirement to categorize within the fair value hierarchy all investments for which the fair value is measured using the net asset value per share practical expedient. ASU 2015-07 also removes the requirement to make certain disclosures for all investments that are eligible to be measured at fair value using the net asset value per share practical expedient. ASU 2015-07 is effective for annual reporting periods beginning after December 15, 2015. Management is currently evaluating the impact of adopting this new accounting standard update on the Plan’s financial statements.</w:t>
      </w:r>
    </w:p>
    <w:p>
      <w:pPr>
        <w:spacing w:after="0" w:line="1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11,567,637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$ 10,500,311</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Mutual Funds: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EuroPacific Growth Fund - F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5,656,908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5,453,676</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Washington Mutual Investors Fund - F Share</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10,327,523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9,159,002</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Baron Growth Fund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7,259,855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6,868,882</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Janus Balanced Fund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7,706,092</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7,086,107</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Wells Fargo Advantage Government Securities Fund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6,679,141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6,437,179</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Oppenheimer Developing Markets Fund</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7,117,857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7,491,312</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 Stay Large Cap Growth Fund - R2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13,823,862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12,435,110</w:t>
            </w:r>
          </w:p>
        </w:tc>
      </w:tr>
    </w:tbl>
    <w:p>
      <w:pPr>
        <w:spacing w:after="0" w:line="202"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During 2014, the Plan’s investments, including investments purchased and sold, as well as held during the year, appreciated (depreciated) in fair value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5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Mutual Funds:</w:t>
            </w:r>
          </w:p>
        </w:tc>
        <w:tc>
          <w:tcPr>
            <w:tcW w:w="5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Stock Fund</w:t>
            </w:r>
          </w:p>
        </w:tc>
        <w:tc>
          <w:tcPr>
            <w:tcW w:w="5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Balanced Funds</w:t>
            </w:r>
          </w:p>
        </w:tc>
        <w:tc>
          <w:tcPr>
            <w:tcW w:w="5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893,430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Bond Fund</w:t>
            </w:r>
          </w:p>
        </w:tc>
        <w:tc>
          <w:tcPr>
            <w:tcW w:w="5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Stable Value Fund</w:t>
            </w:r>
          </w:p>
        </w:tc>
        <w:tc>
          <w:tcPr>
            <w:tcW w:w="5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5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2,197,127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20" w:type="dxa"/>
            <w:vAlign w:val="bottom"/>
            <w:vMerge w:val="restart"/>
          </w:tcPr>
          <w:p>
            <w:pPr>
              <w:jc w:val="right"/>
              <w:ind w:right="4110"/>
              <w:spacing w:after="0"/>
              <w:rPr>
                <w:sz w:val="20"/>
                <w:szCs w:val="20"/>
                <w:color w:val="auto"/>
              </w:rPr>
            </w:pPr>
            <w:r>
              <w:rPr>
                <w:rFonts w:ascii="Arial" w:cs="Arial" w:eastAsia="Arial" w:hAnsi="Arial"/>
                <w:sz w:val="18"/>
                <w:szCs w:val="18"/>
                <w:color w:val="auto"/>
              </w:rPr>
              <w:t>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4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As described in Note 2, included in the Voya Stable Value Fund are fully benefit-responsive investment contracts, which are carried at contract value. Purchases and redemption of shares may only be effected with the investee fund at contract value. As a result, the Trustee considers contract value to be fair value.</w:t>
      </w:r>
    </w:p>
    <w:p>
      <w:pPr>
        <w:sectPr>
          <w:pgSz w:w="11900" w:h="16864" w:orient="portrait"/>
          <w:cols w:equalWidth="0" w:num="1">
            <w:col w:w="11460"/>
          </w:cols>
          <w:pgMar w:left="240" w:top="125" w:right="199" w:bottom="0" w:gutter="0" w:footer="0" w:header="0"/>
        </w:sectPr>
      </w:pPr>
    </w:p>
    <w:bookmarkStart w:id="5" w:name="page6"/>
    <w:bookmarkEnd w:id="5"/>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ectPr>
          <w:pgSz w:w="11900" w:h="16838" w:orient="portrait"/>
          <w:cols w:equalWidth="0" w:num="1">
            <w:col w:w="11340"/>
          </w:cols>
          <w:pgMar w:left="240" w:top="337" w:right="319" w:bottom="0" w:gutter="0" w:footer="0" w:header="0"/>
        </w:sectPr>
      </w:pP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Consists of financial instruments whose values are based on quoted market prices for identical financial instruments in an active market.</w:t>
      </w:r>
    </w:p>
    <w:p>
      <w:pPr>
        <w:spacing w:after="0" w:line="170" w:lineRule="exact"/>
        <w:rPr>
          <w:sz w:val="20"/>
          <w:szCs w:val="20"/>
          <w:color w:val="auto"/>
        </w:rPr>
      </w:pPr>
    </w:p>
    <w:p>
      <w:pPr>
        <w:sectPr>
          <w:pgSz w:w="11900" w:h="16838" w:orient="portrait"/>
          <w:cols w:equalWidth="0" w:num="2">
            <w:col w:w="1040" w:space="580"/>
            <w:col w:w="9720"/>
          </w:cols>
          <w:pgMar w:left="240" w:top="337" w:right="319" w:bottom="0" w:gutter="0" w:footer="0" w:header="0"/>
          <w:type w:val="continuous"/>
        </w:sectPr>
      </w:pPr>
    </w:p>
    <w:p>
      <w:pPr>
        <w:ind w:left="50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170" w:lineRule="exact"/>
        <w:rPr>
          <w:sz w:val="20"/>
          <w:szCs w:val="20"/>
          <w:color w:val="auto"/>
        </w:rPr>
      </w:pPr>
    </w:p>
    <w:p>
      <w:pPr>
        <w:sectPr>
          <w:pgSz w:w="11900" w:h="16838" w:orient="portrait"/>
          <w:cols w:equalWidth="0" w:num="2">
            <w:col w:w="1040" w:space="580"/>
            <w:col w:w="9720"/>
          </w:cols>
          <w:pgMar w:left="240" w:top="337" w:right="319" w:bottom="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Quoted prices for similar assets or liabilities in active markets;</w:t>
      </w:r>
    </w:p>
    <w:p>
      <w:pPr>
        <w:spacing w:after="0" w:line="222" w:lineRule="exact"/>
        <w:rPr>
          <w:sz w:val="20"/>
          <w:szCs w:val="20"/>
          <w:color w:val="auto"/>
        </w:rPr>
      </w:pPr>
    </w:p>
    <w:p>
      <w:pPr>
        <w:sectPr>
          <w:pgSz w:w="11900" w:h="16838" w:orient="portrait"/>
          <w:cols w:equalWidth="0" w:num="2">
            <w:col w:w="1680" w:space="240"/>
            <w:col w:w="9420"/>
          </w:cols>
          <w:pgMar w:left="240" w:top="337" w:right="319" w:bottom="0" w:gutter="0" w:footer="0" w:header="0"/>
          <w:type w:val="continuous"/>
        </w:sectPr>
      </w:pP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identical or similar assets or liabilities in markets that are not active;</w:t>
      </w:r>
    </w:p>
    <w:p>
      <w:pPr>
        <w:spacing w:after="0" w:line="222" w:lineRule="exact"/>
        <w:rPr>
          <w:sz w:val="20"/>
          <w:szCs w:val="20"/>
          <w:color w:val="auto"/>
        </w:rPr>
      </w:pPr>
    </w:p>
    <w:p>
      <w:pPr>
        <w:sectPr>
          <w:pgSz w:w="11900" w:h="16838" w:orient="portrait"/>
          <w:cols w:equalWidth="0" w:num="2">
            <w:col w:w="1680" w:space="240"/>
            <w:col w:w="9420"/>
          </w:cols>
          <w:pgMar w:left="240" w:top="337" w:right="319" w:bottom="0" w:gutter="0" w:footer="0" w:header="0"/>
          <w:type w:val="continuous"/>
        </w:sectPr>
      </w:pP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Pricing models whose inputs are observable for substantially the full term of the financial instrument; and</w:t>
      </w:r>
    </w:p>
    <w:p>
      <w:pPr>
        <w:spacing w:after="0" w:line="222" w:lineRule="exact"/>
        <w:rPr>
          <w:sz w:val="20"/>
          <w:szCs w:val="20"/>
          <w:color w:val="auto"/>
        </w:rPr>
      </w:pPr>
    </w:p>
    <w:p>
      <w:pPr>
        <w:sectPr>
          <w:pgSz w:w="11900" w:h="16838" w:orient="portrait"/>
          <w:cols w:equalWidth="0" w:num="2">
            <w:col w:w="1680" w:space="240"/>
            <w:col w:w="9420"/>
          </w:cols>
          <w:pgMar w:left="240" w:top="337" w:right="319" w:bottom="0" w:gutter="0" w:footer="0" w:header="0"/>
          <w:type w:val="continuous"/>
        </w:sectPr>
      </w:pP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760" w:hanging="35"/>
        <w:spacing w:after="0" w:line="277" w:lineRule="auto"/>
        <w:rPr>
          <w:sz w:val="20"/>
          <w:szCs w:val="20"/>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sectPr>
          <w:pgSz w:w="11900" w:h="16838" w:orient="portrait"/>
          <w:cols w:equalWidth="0" w:num="2">
            <w:col w:w="1680" w:space="280"/>
            <w:col w:w="9380"/>
          </w:cols>
          <w:pgMar w:left="240" w:top="337" w:right="319" w:bottom="0" w:gutter="0" w:footer="0" w:header="0"/>
          <w:type w:val="continuous"/>
        </w:sectPr>
      </w:pPr>
    </w:p>
    <w:p>
      <w:pPr>
        <w:ind w:left="50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1040"/>
        <w:spacing w:after="0" w:line="264" w:lineRule="auto"/>
        <w:rPr>
          <w:sz w:val="20"/>
          <w:szCs w:val="20"/>
          <w:color w:val="auto"/>
        </w:rPr>
      </w:pP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sectPr>
          <w:pgSz w:w="11900" w:h="16838" w:orient="portrait"/>
          <w:cols w:equalWidth="0" w:num="2">
            <w:col w:w="1040" w:space="580"/>
            <w:col w:w="9720"/>
          </w:cols>
          <w:pgMar w:left="240" w:top="337" w:right="319" w:bottom="0" w:gutter="0" w:footer="0" w:header="0"/>
          <w:type w:val="continuous"/>
        </w:sectPr>
      </w:pPr>
    </w:p>
    <w:p>
      <w:pPr>
        <w:ind w:left="440" w:right="16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160"/>
        <w:spacing w:after="0" w:line="279" w:lineRule="auto"/>
        <w:rPr>
          <w:sz w:val="20"/>
          <w:szCs w:val="20"/>
          <w:color w:val="auto"/>
        </w:rPr>
      </w:pPr>
      <w:r>
        <w:rPr>
          <w:rFonts w:ascii="Arial" w:cs="Arial" w:eastAsia="Arial" w:hAnsi="Arial"/>
          <w:sz w:val="17"/>
          <w:szCs w:val="17"/>
          <w:color w:val="auto"/>
        </w:rPr>
        <w:t>Mutual funds and stable value fund: Valued at the net asset value of shares held by the Plan at year end. The mutual funds held by the Plan are classified as Level 1 investments as their investment values are based on quoted market prices for identical financial instruments in an active market. The stable value fund held by the Plan is classified as a Level 2 investment as this investment value is based on a pricing model whose inputs are derived principally from or corroborated by observable market data.</w:t>
      </w:r>
    </w:p>
    <w:p>
      <w:pPr>
        <w:spacing w:after="0" w:line="171"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The common stock fund is classified as a Level 2 investment as it is valued at the market value of the CMCSA stock and the cost plus accrued interest of certain short-term investments which approximates their fair value, at year end.</w:t>
      </w:r>
    </w:p>
    <w:p>
      <w:pPr>
        <w:spacing w:after="0" w:line="170" w:lineRule="exact"/>
        <w:rPr>
          <w:sz w:val="20"/>
          <w:szCs w:val="20"/>
          <w:color w:val="auto"/>
        </w:rPr>
      </w:pPr>
    </w:p>
    <w:p>
      <w:pPr>
        <w:ind w:left="440" w:right="100"/>
        <w:spacing w:after="0" w:line="279"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2014 and 2013.</w:t>
      </w:r>
    </w:p>
    <w:p>
      <w:pPr>
        <w:spacing w:after="0" w:line="17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2014 and 2013 there were no transfers between levels.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92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0" w:type="dxa"/>
            <w:vAlign w:val="bottom"/>
            <w:gridSpan w:val="11"/>
          </w:tcPr>
          <w:p>
            <w:pPr>
              <w:spacing w:after="0"/>
              <w:rPr>
                <w:sz w:val="20"/>
                <w:szCs w:val="20"/>
                <w:color w:val="auto"/>
              </w:rPr>
            </w:pPr>
            <w:r>
              <w:rPr>
                <w:rFonts w:ascii="Arial" w:cs="Arial" w:eastAsia="Arial" w:hAnsi="Arial"/>
                <w:sz w:val="18"/>
                <w:szCs w:val="18"/>
                <w:color w:val="auto"/>
                <w:w w:val="91"/>
              </w:rPr>
              <w:t>The table below sets forth by level, within the fair value hierarchy, the Plan’s assets at fair value as of December 31, 2014 and</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2013:</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60" w:type="dxa"/>
            <w:vAlign w:val="bottom"/>
            <w:gridSpan w:val="7"/>
          </w:tcPr>
          <w:p>
            <w:pPr>
              <w:ind w:left="900"/>
              <w:spacing w:after="0"/>
              <w:rPr>
                <w:sz w:val="20"/>
                <w:szCs w:val="20"/>
                <w:color w:val="auto"/>
              </w:rPr>
            </w:pPr>
            <w:r>
              <w:rPr>
                <w:rFonts w:ascii="Arial" w:cs="Arial" w:eastAsia="Arial" w:hAnsi="Arial"/>
                <w:sz w:val="18"/>
                <w:szCs w:val="18"/>
                <w:b w:val="1"/>
                <w:bCs w:val="1"/>
                <w:color w:val="auto"/>
              </w:rPr>
              <w:t>Assets at Fair Value as of December 31, 2014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Balanced Funds</w:t>
            </w:r>
          </w:p>
        </w:tc>
        <w:tc>
          <w:tcPr>
            <w:tcW w:w="1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73,190,485</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73,190,485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Stock Fund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7,393,532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7,393,532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Bond Fund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12,390,778</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12,390,778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Comcast Stock Fund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11,567,637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11,567,637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Stable Value Fund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682,946</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92,974,795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12,250,583</w:t>
            </w: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105,225,378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60" w:type="dxa"/>
            <w:vAlign w:val="bottom"/>
            <w:gridSpan w:val="7"/>
          </w:tcPr>
          <w:p>
            <w:pPr>
              <w:ind w:left="900"/>
              <w:spacing w:after="0"/>
              <w:rPr>
                <w:sz w:val="20"/>
                <w:szCs w:val="20"/>
                <w:color w:val="auto"/>
              </w:rPr>
            </w:pPr>
            <w:r>
              <w:rPr>
                <w:rFonts w:ascii="Arial" w:cs="Arial" w:eastAsia="Arial" w:hAnsi="Arial"/>
                <w:sz w:val="18"/>
                <w:szCs w:val="18"/>
                <w:b w:val="1"/>
                <w:bCs w:val="1"/>
                <w:color w:val="auto"/>
              </w:rPr>
              <w:t>Assets at Fair Value as of December 31, 2013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Balanced Funds</w:t>
            </w:r>
          </w:p>
        </w:tc>
        <w:tc>
          <w:tcPr>
            <w:tcW w:w="1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63,156,484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63,156,484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Stock Fund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7,678,181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7,678,181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Bond Fund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11,289,546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11,289,546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0" w:gutter="0" w:footer="0" w:header="0"/>
          <w:type w:val="continuous"/>
        </w:sectPr>
      </w:pPr>
    </w:p>
    <w:bookmarkStart w:id="6" w:name="page7"/>
    <w:bookmarkEnd w:id="6"/>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Comcast Stock Fund</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10,500,311</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10,500,311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Stable Value Fund</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638,164</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82,124,211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11,138,475</w:t>
            </w:r>
          </w:p>
        </w:tc>
        <w:tc>
          <w:tcPr>
            <w:tcW w:w="1360" w:type="dxa"/>
            <w:vAlign w:val="bottom"/>
            <w:shd w:val="clear" w:color="auto" w:fill="CCEEFF"/>
          </w:tcPr>
          <w:p>
            <w:pPr>
              <w:jc w:val="right"/>
              <w:ind w:right="120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93,262,686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w:t>
      </w:r>
    </w:p>
    <w:p>
      <w:pPr>
        <w:spacing w:after="0" w:line="229" w:lineRule="exact"/>
        <w:rPr>
          <w:rFonts w:ascii="Arial" w:cs="Arial" w:eastAsia="Arial" w:hAnsi="Arial"/>
          <w:sz w:val="18"/>
          <w:szCs w:val="18"/>
          <w:b w:val="1"/>
          <w:bCs w:val="1"/>
          <w:color w:val="auto"/>
        </w:rPr>
      </w:pPr>
    </w:p>
    <w:p>
      <w:pPr>
        <w:ind w:left="4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IRS and the Department of Labor (“DOL”). In general, a participant may borrow a minimum of $1,000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are permissible for the purchase of a primary residence or may exist under the Plan as a result of rollovers from merged plans).</w:t>
      </w:r>
    </w:p>
    <w:p>
      <w:pPr>
        <w:spacing w:after="0" w:line="158" w:lineRule="exact"/>
        <w:rPr>
          <w:rFonts w:ascii="Arial" w:cs="Arial" w:eastAsia="Arial" w:hAnsi="Arial"/>
          <w:sz w:val="18"/>
          <w:szCs w:val="18"/>
          <w:b w:val="1"/>
          <w:bCs w:val="1"/>
          <w:color w:val="auto"/>
        </w:rPr>
      </w:pPr>
    </w:p>
    <w:p>
      <w:pPr>
        <w:ind w:left="44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Interest accrues at the rate of prime plus 2% as of the month the loan application is approved. Principal and interest are paid through payroll deductions or participant initiated payments. Interest rates ranged from 4.25% to 9.75% as of December 31, 2014. Maturities on outstanding loans ranged from 2015 to 2044 as of December 31, 2014. Loan transactions are treated as a transfer between the investment fund and notes receivable from participants.</w:t>
      </w:r>
    </w:p>
    <w:p>
      <w:pPr>
        <w:spacing w:after="0" w:line="147" w:lineRule="exact"/>
        <w:rPr>
          <w:sz w:val="20"/>
          <w:szCs w:val="20"/>
          <w:color w:val="auto"/>
        </w:rPr>
      </w:pPr>
    </w:p>
    <w:p>
      <w:pPr>
        <w:jc w:val="both"/>
        <w:ind w:left="440" w:right="300"/>
        <w:spacing w:after="0" w:line="264" w:lineRule="auto"/>
        <w:rPr>
          <w:sz w:val="20"/>
          <w:szCs w:val="20"/>
          <w:color w:val="auto"/>
        </w:rPr>
      </w:pPr>
      <w:r>
        <w:rPr>
          <w:rFonts w:ascii="Arial" w:cs="Arial" w:eastAsia="Arial" w:hAnsi="Arial"/>
          <w:sz w:val="18"/>
          <w:szCs w:val="18"/>
          <w:color w:val="auto"/>
        </w:rPr>
        <w:t>A loan is considered to be in default if payment is not received by the end of the calendar quarter following the calendar quarter in which the missed payment was due. Defaulted loans are treated as distributions for tax purposes and become taxable income to the participant in the year in which the default occurs.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2014 and 2013 and the increase in net assets available for benefits per the financial statements to the net income per the Form 5500 for the year ended December 31, 2014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107,530,534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107,526,786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95,971,280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Adjustment from accrual basis to cash basis for participant and employer contributions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(170,547)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95,796,984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Prior year adjustment from accrual basis to cash basis for participant and employer contributions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170,547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Prior year accrued interest on notes receivable from participants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year accrued interest on notes receivable from participants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 per Form 5500</w:t>
            </w: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11,729,802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Comcast - Spectacor, L.P.,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Plan investments are shares of registered investment companies managed by Voya Financial, the Trustee and a party-in-interest to the Plan. The Plan issues loans to participants, which are secured by the vested balances in the participants’ accounts. Fees paid by the Plan for investment management services are included as a reduction of the return earned on each fund.</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Comcast - Spectacor, L.P. has the right to terminate the Plan. In the event of Plan termination, participants will become 100% vested in their accounts.</w:t>
      </w:r>
    </w:p>
    <w:p>
      <w:pPr>
        <w:spacing w:after="0" w:line="161" w:lineRule="exact"/>
        <w:rPr>
          <w:rFonts w:ascii="Arial" w:cs="Arial" w:eastAsia="Arial" w:hAnsi="Arial"/>
          <w:sz w:val="18"/>
          <w:szCs w:val="18"/>
          <w:b w:val="1"/>
          <w:bCs w:val="1"/>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right="20" w:hanging="441"/>
        <w:spacing w:after="0" w:line="312" w:lineRule="auto"/>
        <w:tabs>
          <w:tab w:leader="none" w:pos="1434"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 The IRS made a favorable determination on the Plan through a letter dated July 8, 2013 stating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is qualified under Section 401(a) of the Internal Revenue Code (the “Code”) subject to the adoption of an amendment which was adopted on July 18, 2013 and was effective on various dates, the earliest being January 1, 2002. As a result, the Plan remains exempt from</w:t>
      </w:r>
    </w:p>
    <w:p>
      <w:pPr>
        <w:sectPr>
          <w:pgSz w:w="11900" w:h="16844" w:orient="portrait"/>
          <w:cols w:equalWidth="0" w:num="1">
            <w:col w:w="11420"/>
          </w:cols>
          <w:pgMar w:left="240" w:top="125" w:right="239" w:bottom="0" w:gutter="0" w:footer="0" w:header="0"/>
        </w:sectPr>
      </w:pPr>
    </w:p>
    <w:bookmarkStart w:id="7" w:name="page8"/>
    <w:bookmarkEnd w:id="7"/>
    <w:p>
      <w:pPr>
        <w:ind w:left="1440" w:right="100"/>
        <w:spacing w:after="0" w:line="277" w:lineRule="auto"/>
        <w:rPr>
          <w:sz w:val="20"/>
          <w:szCs w:val="20"/>
          <w:color w:val="auto"/>
        </w:rPr>
      </w:pPr>
      <w:r>
        <w:rPr>
          <w:rFonts w:ascii="Arial" w:cs="Arial" w:eastAsia="Arial" w:hAnsi="Arial"/>
          <w:sz w:val="18"/>
          <w:szCs w:val="18"/>
          <w:color w:val="auto"/>
        </w:rPr>
        <w:t>taxation. The Plan is required to operate in conformity with the Code to maintain its qualified status. The Plan Administrator believes the Plan is being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40" w:right="260"/>
        <w:spacing w:after="0" w:line="277" w:lineRule="auto"/>
        <w:rPr>
          <w:sz w:val="20"/>
          <w:szCs w:val="20"/>
          <w:color w:val="auto"/>
        </w:rPr>
      </w:pPr>
      <w:r>
        <w:rPr>
          <w:rFonts w:ascii="Arial" w:cs="Arial" w:eastAsia="Arial" w:hAnsi="Arial"/>
          <w:sz w:val="18"/>
          <w:szCs w:val="18"/>
          <w:color w:val="auto"/>
        </w:rPr>
        <w:t>operated in compliance with the applicable requirements of the Code and no provision for income taxes has been included in the Plan’s financial statements.</w:t>
      </w:r>
    </w:p>
    <w:p>
      <w:pPr>
        <w:spacing w:after="0" w:line="170" w:lineRule="exact"/>
        <w:rPr>
          <w:sz w:val="20"/>
          <w:szCs w:val="20"/>
          <w:color w:val="auto"/>
        </w:rPr>
      </w:pPr>
    </w:p>
    <w:p>
      <w:pPr>
        <w:jc w:val="both"/>
        <w:ind w:left="1440" w:right="700" w:hanging="441"/>
        <w:spacing w:after="0" w:line="264" w:lineRule="auto"/>
        <w:tabs>
          <w:tab w:leader="none" w:pos="1444"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120" w:hanging="441"/>
        <w:spacing w:after="0" w:line="342" w:lineRule="auto"/>
        <w:tabs>
          <w:tab w:leader="none" w:pos="1448"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Administrator believes it is no longer subject to income tax examinations for years prior to 2011.</w:t>
      </w:r>
    </w:p>
    <w:p>
      <w:pPr>
        <w:spacing w:after="0" w:line="119" w:lineRule="exact"/>
        <w:rPr>
          <w:rFonts w:ascii="Arial" w:cs="Arial" w:eastAsia="Arial" w:hAnsi="Arial"/>
          <w:sz w:val="16"/>
          <w:szCs w:val="16"/>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PARTY-IN-INTEREST TRANSACTIONS</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Plan years 2014, 2013, 2012 and 2011 the Company has not remitted certain participant contributions and loan repayments to the Trustee in a timely manner based on when the participant contributions and loan repayments were withheld from participant paychecks as required under Department of Labor Regulation §2510.3-102.</w:t>
      </w:r>
    </w:p>
    <w:p>
      <w:pPr>
        <w:spacing w:after="0" w:line="181" w:lineRule="exact"/>
        <w:rPr>
          <w:rFonts w:ascii="Arial" w:cs="Arial" w:eastAsia="Arial" w:hAnsi="Arial"/>
          <w:sz w:val="18"/>
          <w:szCs w:val="18"/>
          <w:b w:val="1"/>
          <w:bCs w:val="1"/>
          <w:color w:val="auto"/>
        </w:rPr>
      </w:pPr>
    </w:p>
    <w:p>
      <w:pPr>
        <w:ind w:left="4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in the process of filing IRS Form 5330 to report and pay an excise tax with respect to the 2014, 2013, 2012 and 2011 late remittances, and participant accounts will be credited with the amount of investment income that would have been earned had the participant contributions been remitted on a timely basis. Such amounts are not material to the Plan’s financial statements.</w:t>
      </w:r>
    </w:p>
    <w:p>
      <w:pPr>
        <w:spacing w:after="0" w:line="177"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44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Effective January 1, 2015, the Plan was amended and restated to change the Trustee and Record-keeper from Voya Financial and ING Institutional Plan Services, LLC to Fidelity Management Trust Company, and to direct the transfer of Plan assets to the Comcast Corporation Employee Savings Plans Master Trust. These Plan changes were completed on January 8 and January 14, 2015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H—PART IV—LINE 4i-SCHEDULE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3"/>
              </w:rPr>
              <w:t>EIN 23-2303756</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2"/>
              </w:rPr>
              <w:t>(c) Description of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Investment,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(e) Current</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56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Maturity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3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18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EuroPacific Growth Fund - F Share</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5,656,908</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 Mutual Investors Fund - F Share</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10,327,523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Baron Growth Fund</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7,259,855</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Cohen and Steers Realty Shares</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2,866,981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Dreyfus US Treasury Long Term Fund</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2,053,089</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Janus Balanced Fund</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7,706,092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Advantage Gov’t Securities Fund (Wells Fargo)</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6,679,141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Royce Total Return Fund</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4,838,939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Western Asset Gov’t Money</w:t>
            </w:r>
          </w:p>
        </w:tc>
        <w:tc>
          <w:tcPr>
            <w:tcW w:w="2920" w:type="dxa"/>
            <w:vAlign w:val="bottom"/>
          </w:tcPr>
          <w:p>
            <w:pPr>
              <w:jc w:val="center"/>
              <w:spacing w:after="0"/>
              <w:rPr>
                <w:sz w:val="20"/>
                <w:szCs w:val="20"/>
                <w:color w:val="auto"/>
              </w:rPr>
            </w:pPr>
            <w:r>
              <w:rPr>
                <w:rFonts w:ascii="Arial" w:cs="Arial" w:eastAsia="Arial" w:hAnsi="Arial"/>
                <w:sz w:val="18"/>
                <w:szCs w:val="18"/>
                <w:color w:val="auto"/>
                <w:w w:val="94"/>
              </w:rPr>
              <w:t>Money Market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3,006,583</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 Rowe Price International Bond Advisor</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1,922,281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Pru, Jenn Resources</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405,541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Pimco Real Return</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970,640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T Rowe Price Retirement Target Funds</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4,766,139</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Oppenheimer Developing Markets Fund</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7,117,857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Jennison Mid Cap Growth Fund - Cl A</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2,047,259</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MainStay Large Cap Growth Fund - R2</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13,823,862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T Rowe Price Retirement Income Fund Advisor</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57,283</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Total Intl Stock Index Fund Admiral</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874,151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Vanguard Emerging Mkts Stock Index Fund Signal Admiral</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275,675</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Small - Capital Index Fund Admiral</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1,076,199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Vanguard Growth Index Fund Ins</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1,440,767</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500 Index Fund - Admiral</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4,423,080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Vanguard Value Index Fund Ins</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1,533,616</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Balanced Index Fund - Admiral shares</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Vanguard Intermediate - Term Bond Index Fund - Admiral</w:t>
            </w:r>
          </w:p>
        </w:tc>
        <w:tc>
          <w:tcPr>
            <w:tcW w:w="3820" w:type="dxa"/>
            <w:vAlign w:val="bottom"/>
            <w:gridSpan w:val="2"/>
          </w:tcPr>
          <w:p>
            <w:pPr>
              <w:jc w:val="center"/>
              <w:spacing w:after="0"/>
              <w:rPr>
                <w:sz w:val="20"/>
                <w:szCs w:val="20"/>
                <w:color w:val="auto"/>
              </w:rPr>
            </w:pPr>
            <w:r>
              <w:rPr>
                <w:rFonts w:ascii="Arial" w:cs="Arial" w:eastAsia="Arial" w:hAnsi="Arial"/>
                <w:sz w:val="18"/>
                <w:szCs w:val="18"/>
                <w:color w:val="auto"/>
                <w:w w:val="93"/>
              </w:rPr>
              <w:t>Mutual Fund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Vanguard Intermediate - Term Govt Bond Index</w:t>
            </w:r>
          </w:p>
        </w:tc>
        <w:tc>
          <w:tcPr>
            <w:tcW w:w="3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BlackRock Liquidity TempFund CM</w:t>
            </w:r>
          </w:p>
        </w:tc>
        <w:tc>
          <w:tcPr>
            <w:tcW w:w="3820" w:type="dxa"/>
            <w:vAlign w:val="bottom"/>
            <w:gridSpan w:val="2"/>
          </w:tcPr>
          <w:p>
            <w:pPr>
              <w:jc w:val="center"/>
              <w:spacing w:after="0"/>
              <w:rPr>
                <w:sz w:val="20"/>
                <w:szCs w:val="20"/>
                <w:color w:val="auto"/>
              </w:rPr>
            </w:pPr>
            <w:r>
              <w:rPr>
                <w:rFonts w:ascii="Arial" w:cs="Arial" w:eastAsia="Arial" w:hAnsi="Arial"/>
                <w:sz w:val="18"/>
                <w:szCs w:val="18"/>
                <w:color w:val="auto"/>
                <w:w w:val="94"/>
              </w:rPr>
              <w:t>Money Market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20" w:type="dxa"/>
            <w:vAlign w:val="bottom"/>
          </w:tcPr>
          <w:p>
            <w:pPr>
              <w:ind w:left="300"/>
              <w:spacing w:after="0" w:line="196" w:lineRule="exact"/>
              <w:rPr>
                <w:sz w:val="20"/>
                <w:szCs w:val="20"/>
                <w:color w:val="auto"/>
              </w:rPr>
            </w:pPr>
            <w:r>
              <w:rPr>
                <w:rFonts w:ascii="Arial" w:cs="Arial" w:eastAsia="Arial" w:hAnsi="Arial"/>
                <w:sz w:val="18"/>
                <w:szCs w:val="18"/>
                <w:color w:val="auto"/>
              </w:rPr>
              <w:t>Stable Value Fund (at fair value)</w:t>
            </w: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4"/>
              </w:rPr>
              <w:t>*</w:t>
            </w: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Voya Stable Value Fund</w:t>
            </w:r>
          </w:p>
        </w:tc>
        <w:tc>
          <w:tcPr>
            <w:tcW w:w="3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Stable Value Fund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4"/>
              </w:rPr>
              <w:t>*</w:t>
            </w: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Comcast Stock Fund</w:t>
            </w:r>
          </w:p>
        </w:tc>
        <w:tc>
          <w:tcPr>
            <w:tcW w:w="3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Unitized stock Fund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4"/>
              </w:rPr>
              <w:t>*</w:t>
            </w: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receivable from participants</w:t>
            </w:r>
          </w:p>
        </w:tc>
        <w:tc>
          <w:tcPr>
            <w:tcW w:w="3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Interest rates from 4.25% - 9.75%;</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(principal balance plus accrued but unpaid interest)</w:t>
            </w:r>
          </w:p>
        </w:tc>
        <w:tc>
          <w:tcPr>
            <w:tcW w:w="3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maturities from 2015 - 2044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107,530,534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FORM 5500, SCHEDULE H—PART IV—LINE 4a—SCHEDULE OF DELINQUENT PARTICIPANT CONTRIBUTIONS FOR THE YEARS ENDED DECEMBER 31, 2014, 2013, 2012 and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EIN 23-2303756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Total that Constitute Nonexempt Prohibited</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7"/>
              </w:rPr>
              <w:t>Total Fully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Contributions</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Contributions</w:t>
            </w:r>
          </w:p>
        </w:tc>
        <w:tc>
          <w:tcPr>
            <w:tcW w:w="26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Contributions</w:t>
            </w: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Pending</w:t>
            </w:r>
          </w:p>
        </w:tc>
        <w:tc>
          <w:tcPr>
            <w:tcW w:w="260" w:type="dxa"/>
            <w:vAlign w:val="bottom"/>
          </w:tcPr>
          <w:p>
            <w:pPr>
              <w:spacing w:after="0"/>
              <w:rPr>
                <w:sz w:val="12"/>
                <w:szCs w:val="12"/>
                <w:color w:val="auto"/>
              </w:rPr>
            </w:pPr>
          </w:p>
        </w:tc>
        <w:tc>
          <w:tcPr>
            <w:tcW w:w="1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Corrected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Corrected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Correction</w:t>
            </w:r>
          </w:p>
        </w:tc>
        <w:tc>
          <w:tcPr>
            <w:tcW w:w="260" w:type="dxa"/>
            <w:vAlign w:val="bottom"/>
          </w:tcPr>
          <w:p>
            <w:pPr>
              <w:spacing w:after="0"/>
              <w:rPr>
                <w:sz w:val="12"/>
                <w:szCs w:val="12"/>
                <w:color w:val="auto"/>
              </w:rPr>
            </w:pPr>
          </w:p>
        </w:tc>
        <w:tc>
          <w:tcPr>
            <w:tcW w:w="1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VFCP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Not Corrected</w:t>
            </w:r>
          </w:p>
        </w:tc>
        <w:tc>
          <w:tcPr>
            <w:tcW w:w="14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Outside VFCP</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 VFCP</w:t>
            </w:r>
          </w:p>
        </w:tc>
        <w:tc>
          <w:tcPr>
            <w:tcW w:w="260" w:type="dxa"/>
            <w:vAlign w:val="bottom"/>
          </w:tcPr>
          <w:p>
            <w:pPr>
              <w:spacing w:after="0"/>
              <w:rPr>
                <w:sz w:val="14"/>
                <w:szCs w:val="14"/>
                <w:color w:val="auto"/>
              </w:rPr>
            </w:pPr>
          </w:p>
        </w:tc>
        <w:tc>
          <w:tcPr>
            <w:tcW w:w="1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PTE 2002-51*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 Contributions</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12/31/2014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954,217</w:t>
            </w:r>
          </w:p>
        </w:tc>
        <w:tc>
          <w:tcPr>
            <w:tcW w:w="152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12/31/2013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782,925</w:t>
            </w:r>
          </w:p>
        </w:tc>
        <w:tc>
          <w:tcPr>
            <w:tcW w:w="152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12/31/2012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160,323</w:t>
            </w:r>
          </w:p>
        </w:tc>
        <w:tc>
          <w:tcPr>
            <w:tcW w:w="152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12/31/2011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256,821</w:t>
            </w:r>
          </w:p>
        </w:tc>
        <w:tc>
          <w:tcPr>
            <w:tcW w:w="152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Prohibited Transaction Exemption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19, 2015, relating to the financial statements and supplemental schedules of the Comcast-Spectacor 401(k) Plan, appearing in this Annual Report on Form 11-K of the Comcast-Spectacor 401(k) Plan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125" w:right="239" w:bottom="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COMCAST - SPECTACOR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tab/>
        <w:t>/s/ Lawrence J. Salva</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Executive Vice President and Chief Accounting Officer</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0"/>
      </w:cols>
      <w:pgMar w:left="24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2"/>
    </w:lvl>
  </w:abstractNum>
  <w:abstractNum w:abstractNumId="11">
    <w:nsid w:val="66EF438D"/>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2019-12-08T00:17:33Z</dcterms:created>
  <dcterms:modified xsi:type="dcterms:W3CDTF">2019-12-08T00:17:33Z</dcterms:modified>
</cp:coreProperties>
</file>