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FORM S-4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REGISTRATION STATEMENT</w:t>
      </w:r>
    </w:p>
    <w:p>
      <w:pPr>
        <w:jc w:val="center"/>
        <w:spacing w:after="0"/>
        <w:rPr>
          <w:sz w:val="20"/>
          <w:szCs w:val="20"/>
          <w:color w:val="auto"/>
        </w:rPr>
      </w:pPr>
      <w:r>
        <w:rPr>
          <w:rFonts w:ascii="Arial" w:cs="Arial" w:eastAsia="Arial" w:hAnsi="Arial"/>
          <w:sz w:val="20"/>
          <w:szCs w:val="20"/>
          <w:color w:val="auto"/>
        </w:rPr>
        <w:t>UNDER</w:t>
      </w:r>
    </w:p>
    <w:p>
      <w:pPr>
        <w:jc w:val="center"/>
        <w:spacing w:after="0"/>
        <w:rPr>
          <w:sz w:val="20"/>
          <w:szCs w:val="20"/>
          <w:color w:val="auto"/>
        </w:rPr>
      </w:pPr>
      <w:r>
        <w:rPr>
          <w:rFonts w:ascii="Arial" w:cs="Arial" w:eastAsia="Arial" w:hAnsi="Arial"/>
          <w:sz w:val="20"/>
          <w:szCs w:val="20"/>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51435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Comcast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Registrants as Specified in Their Charters)</w:t>
      </w:r>
    </w:p>
    <w:p>
      <w:pPr>
        <w:spacing w:after="0" w:line="99"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88"/>
              </w:rPr>
              <w:t>Pennsylvania</w:t>
            </w:r>
          </w:p>
        </w:tc>
        <w:tc>
          <w:tcPr>
            <w:tcW w:w="3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4841</w:t>
            </w:r>
          </w:p>
        </w:tc>
        <w:tc>
          <w:tcPr>
            <w:tcW w:w="26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3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4841</w:t>
            </w:r>
          </w:p>
        </w:tc>
        <w:tc>
          <w:tcPr>
            <w:tcW w:w="26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14-1682529</w:t>
            </w:r>
          </w:p>
        </w:tc>
      </w:tr>
      <w:tr>
        <w:trPr>
          <w:trHeight w:val="220"/>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3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4841</w:t>
            </w:r>
          </w:p>
        </w:tc>
        <w:tc>
          <w:tcPr>
            <w:tcW w:w="26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23-2175755</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color w:val="auto"/>
                <w:w w:val="91"/>
              </w:rPr>
              <w:t>(State or Other Jurisdiction of</w:t>
            </w:r>
          </w:p>
        </w:tc>
        <w:tc>
          <w:tcPr>
            <w:tcW w:w="3880" w:type="dxa"/>
            <w:vAlign w:val="bottom"/>
          </w:tcPr>
          <w:p>
            <w:pPr>
              <w:jc w:val="center"/>
              <w:ind w:right="10"/>
              <w:spacing w:after="0"/>
              <w:rPr>
                <w:sz w:val="20"/>
                <w:szCs w:val="20"/>
                <w:color w:val="auto"/>
              </w:rPr>
            </w:pPr>
            <w:r>
              <w:rPr>
                <w:rFonts w:ascii="Arial" w:cs="Arial" w:eastAsia="Arial" w:hAnsi="Arial"/>
                <w:sz w:val="18"/>
                <w:szCs w:val="18"/>
                <w:color w:val="auto"/>
                <w:w w:val="91"/>
              </w:rPr>
              <w:t>(Primary Standard Industrial</w:t>
            </w:r>
          </w:p>
        </w:tc>
        <w:tc>
          <w:tcPr>
            <w:tcW w:w="260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880" w:type="dxa"/>
            <w:vAlign w:val="bottom"/>
          </w:tcPr>
          <w:p>
            <w:pPr>
              <w:jc w:val="center"/>
              <w:ind w:right="30"/>
              <w:spacing w:after="0"/>
              <w:rPr>
                <w:sz w:val="20"/>
                <w:szCs w:val="20"/>
                <w:color w:val="auto"/>
              </w:rPr>
            </w:pPr>
            <w:r>
              <w:rPr>
                <w:rFonts w:ascii="Arial" w:cs="Arial" w:eastAsia="Arial" w:hAnsi="Arial"/>
                <w:sz w:val="18"/>
                <w:szCs w:val="18"/>
                <w:color w:val="auto"/>
                <w:w w:val="92"/>
              </w:rPr>
              <w:t>Classification Code Number)</w:t>
            </w:r>
          </w:p>
        </w:tc>
        <w:tc>
          <w:tcPr>
            <w:tcW w:w="2600" w:type="dxa"/>
            <w:vAlign w:val="bottom"/>
          </w:tcPr>
          <w:p>
            <w:pPr>
              <w:jc w:val="center"/>
              <w:ind w:left="850"/>
              <w:spacing w:after="0"/>
              <w:rPr>
                <w:sz w:val="20"/>
                <w:szCs w:val="20"/>
                <w:color w:val="auto"/>
              </w:rPr>
            </w:pPr>
            <w:r>
              <w:rPr>
                <w:rFonts w:ascii="Arial" w:cs="Arial" w:eastAsia="Arial" w:hAnsi="Arial"/>
                <w:sz w:val="18"/>
                <w:szCs w:val="18"/>
                <w:color w:val="auto"/>
                <w:w w:val="94"/>
              </w:rPr>
              <w:t>Identification Number)</w:t>
            </w:r>
          </w:p>
        </w:tc>
      </w:tr>
    </w:tbl>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ind w:left="5640" w:hanging="443"/>
        <w:spacing w:after="0"/>
        <w:tabs>
          <w:tab w:leader="none" w:pos="5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286-1700</w:t>
      </w:r>
    </w:p>
    <w:p>
      <w:pPr>
        <w:spacing w:after="0" w:line="9"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30 Rockefeller Plaza</w:t>
      </w:r>
    </w:p>
    <w:p>
      <w:pPr>
        <w:spacing w:after="0" w:line="207" w:lineRule="exact"/>
        <w:rPr>
          <w:sz w:val="24"/>
          <w:szCs w:val="24"/>
          <w:color w:val="auto"/>
        </w:rPr>
      </w:pPr>
    </w:p>
    <w:p>
      <w:pPr>
        <w:ind w:left="5660" w:hanging="441"/>
        <w:spacing w:after="0"/>
        <w:tabs>
          <w:tab w:leader="none" w:pos="5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664-4444</w:t>
      </w:r>
    </w:p>
    <w:p>
      <w:pPr>
        <w:spacing w:after="0" w:line="27" w:lineRule="exact"/>
        <w:rPr>
          <w:rFonts w:ascii="Arial" w:cs="Arial" w:eastAsia="Arial" w:hAnsi="Arial"/>
          <w:sz w:val="18"/>
          <w:szCs w:val="18"/>
          <w:b w:val="1"/>
          <w:bCs w:val="1"/>
          <w:color w:val="auto"/>
        </w:rPr>
      </w:pPr>
    </w:p>
    <w:p>
      <w:pPr>
        <w:ind w:left="4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6"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Bruce K. Dallas, Esq.</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(650) 752-2000</w:t>
      </w:r>
    </w:p>
    <w:p>
      <w:pPr>
        <w:spacing w:after="0" w:line="99"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133" w:lineRule="exact"/>
        <w:rPr>
          <w:sz w:val="24"/>
          <w:szCs w:val="24"/>
          <w:color w:val="auto"/>
        </w:rPr>
      </w:pPr>
    </w:p>
    <w:p>
      <w:pPr>
        <w:ind w:right="440" w:firstLine="324"/>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right="4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00" w:orient="portrait"/>
          <w:cols w:equalWidth="0" w:num="1">
            <w:col w:w="11420"/>
          </w:cols>
          <w:pgMar w:left="240" w:top="472" w:right="239" w:bottom="0" w:gutter="0" w:footer="0" w:header="0"/>
        </w:sectPr>
      </w:pP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900" w:orient="portrait"/>
          <w:cols w:equalWidth="0" w:num="3">
            <w:col w:w="5220" w:space="500"/>
            <w:col w:w="1980" w:space="80"/>
            <w:col w:w="3640"/>
          </w:cols>
          <w:pgMar w:left="240" w:top="472" w:right="239" w:bottom="0" w:gutter="0" w:footer="0" w:header="0"/>
          <w:type w:val="continuous"/>
        </w:sect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23"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Exchange Act Rule 14d-l(d) (Cross-Border Third-Party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38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15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1920" w:type="dxa"/>
            <w:vAlign w:val="bottom"/>
            <w:tcBorders>
              <w:top w:val="single" w:sz="8" w:color="auto"/>
            </w:tcBorders>
          </w:tcPr>
          <w:p>
            <w:pPr>
              <w:spacing w:after="0"/>
              <w:rPr>
                <w:sz w:val="17"/>
                <w:szCs w:val="17"/>
                <w:color w:val="auto"/>
              </w:rPr>
            </w:pPr>
          </w:p>
        </w:tc>
      </w:tr>
      <w:tr>
        <w:trPr>
          <w:trHeight w:val="216"/>
        </w:trPr>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4"/>
              </w:rPr>
              <w:t>Amount Of</w:t>
            </w:r>
          </w:p>
        </w:tc>
      </w:tr>
      <w:tr>
        <w:trPr>
          <w:trHeight w:val="234"/>
        </w:trPr>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Unit(1)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Price(1)</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Fee(3)</w:t>
            </w:r>
          </w:p>
        </w:tc>
      </w:tr>
      <w:tr>
        <w:trPr>
          <w:trHeight w:val="64"/>
        </w:trPr>
        <w:tc>
          <w:tcPr>
            <w:tcW w:w="438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580" w:type="dxa"/>
            <w:vAlign w:val="bottom"/>
            <w:tcBorders>
              <w:right w:val="single" w:sz="8" w:color="auto"/>
            </w:tcBorders>
          </w:tcPr>
          <w:p>
            <w:pPr>
              <w:spacing w:after="0"/>
              <w:rPr>
                <w:sz w:val="5"/>
                <w:szCs w:val="5"/>
                <w:color w:val="auto"/>
              </w:rPr>
            </w:pPr>
          </w:p>
        </w:tc>
        <w:tc>
          <w:tcPr>
            <w:tcW w:w="1920" w:type="dxa"/>
            <w:vAlign w:val="bottom"/>
          </w:tcPr>
          <w:p>
            <w:pPr>
              <w:spacing w:after="0"/>
              <w:rPr>
                <w:sz w:val="5"/>
                <w:szCs w:val="5"/>
                <w:color w:val="auto"/>
              </w:rPr>
            </w:pPr>
          </w:p>
        </w:tc>
      </w:tr>
    </w:tbl>
    <w:p>
      <w:pPr>
        <w:sectPr>
          <w:pgSz w:w="11900" w:h="16900" w:orient="portrait"/>
          <w:cols w:equalWidth="0" w:num="1">
            <w:col w:w="11420"/>
          </w:cols>
          <w:pgMar w:left="240" w:top="472"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3.969% Notes due 2047</w:t>
            </w:r>
          </w:p>
        </w:tc>
        <w:tc>
          <w:tcPr>
            <w:tcW w:w="18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$2,000,000,000</w:t>
            </w:r>
          </w:p>
        </w:tc>
        <w:tc>
          <w:tcPr>
            <w:tcW w:w="17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$2,000,000,000</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$249,000.00</w:t>
            </w:r>
          </w:p>
        </w:tc>
      </w:tr>
      <w:tr>
        <w:trPr>
          <w:trHeight w:val="210"/>
        </w:trPr>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3.999% Notes due 2049</w:t>
            </w:r>
          </w:p>
        </w:tc>
        <w:tc>
          <w:tcPr>
            <w:tcW w:w="18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$1,999,999,000</w:t>
            </w:r>
          </w:p>
        </w:tc>
        <w:tc>
          <w:tcPr>
            <w:tcW w:w="17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$1,999,999,000</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$248,999.88</w:t>
            </w:r>
          </w:p>
        </w:tc>
      </w:tr>
      <w:tr>
        <w:trPr>
          <w:trHeight w:val="210"/>
        </w:trPr>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4.049% Notes due 2052</w:t>
            </w:r>
          </w:p>
        </w:tc>
        <w:tc>
          <w:tcPr>
            <w:tcW w:w="18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$1,499,967,000</w:t>
            </w:r>
          </w:p>
        </w:tc>
        <w:tc>
          <w:tcPr>
            <w:tcW w:w="170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$1,499,967,000</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$186,745.89</w:t>
            </w:r>
          </w:p>
        </w:tc>
      </w:tr>
      <w:tr>
        <w:trPr>
          <w:trHeight w:val="217"/>
        </w:trPr>
        <w:tc>
          <w:tcPr>
            <w:tcW w:w="43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$5,499,966,000(2)</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$684,745.77</w:t>
            </w:r>
          </w:p>
        </w:tc>
      </w:tr>
    </w:tbl>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the aggregate principal amount of each series of notes to be offered in the exchange offers to which the registration statement relates.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the maximum aggregate offering price of all notes to be offered in the exchange offers to which the registration statement relates.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in accordance with Rule 457(f) of the Securities Act of 1933.</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p>
      <w:pPr>
        <w:spacing w:after="0" w:line="266" w:lineRule="auto"/>
        <w:rPr>
          <w:sz w:val="20"/>
          <w:szCs w:val="20"/>
          <w:color w:val="auto"/>
        </w:rPr>
      </w:pPr>
      <w:r>
        <w:rPr>
          <w:rFonts w:ascii="Arial" w:cs="Arial" w:eastAsia="Arial" w:hAnsi="Arial"/>
          <w:sz w:val="18"/>
          <w:szCs w:val="18"/>
          <w:b w:val="1"/>
          <w:bCs w:val="1"/>
          <w:color w:val="EB0029"/>
        </w:rPr>
        <w:t>The information in this prospectus may change. We may not complete the exchange offers and issue these securities until the registration statement filed with the Securities and Exchange Commission is effective. This prospectus is not an offer to sell these securities and it is not soliciting an offer to buy these securities in any state where the offer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NOVEMBER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Offers to Exchange</w:t>
      </w:r>
    </w:p>
    <w:p>
      <w:pPr>
        <w:spacing w:after="0" w:line="242"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Up to $2,000,000,000 aggregate principal amount of new 3.969% Notes due 2047 registered under the Securities Act of 1933, for any and all outstanding unregistered 3.969% Notes due 2047,</w:t>
      </w:r>
    </w:p>
    <w:p>
      <w:pPr>
        <w:spacing w:after="0" w:line="162"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Up to $1,999,999,000 aggregate principal amount of new 3.999% Notes due 2049 registered under the Securities Act of 1933, for any and all outstanding unregistered 3.999% Notes due 2049, and</w:t>
      </w:r>
    </w:p>
    <w:p>
      <w:pPr>
        <w:spacing w:after="0" w:line="162" w:lineRule="exact"/>
        <w:rPr>
          <w:sz w:val="20"/>
          <w:szCs w:val="20"/>
          <w:color w:val="auto"/>
        </w:rPr>
      </w:pPr>
    </w:p>
    <w:p>
      <w:pPr>
        <w:jc w:val="center"/>
        <w:ind w:right="40"/>
        <w:spacing w:after="0" w:line="261" w:lineRule="auto"/>
        <w:rPr>
          <w:sz w:val="20"/>
          <w:szCs w:val="20"/>
          <w:color w:val="auto"/>
        </w:rPr>
      </w:pPr>
      <w:r>
        <w:rPr>
          <w:rFonts w:ascii="Arial" w:cs="Arial" w:eastAsia="Arial" w:hAnsi="Arial"/>
          <w:sz w:val="18"/>
          <w:szCs w:val="18"/>
          <w:b w:val="1"/>
          <w:bCs w:val="1"/>
          <w:color w:val="auto"/>
        </w:rPr>
        <w:t>Up to $1,499,967,000 aggregate principal amount of new 4.049% Notes due 2052 registered under the Securities Act of 1933, for any and all outstanding unregistered 4.049% Notes due 2052</w:t>
      </w:r>
    </w:p>
    <w:p>
      <w:pPr>
        <w:ind w:left="5000"/>
        <w:spacing w:after="0"/>
        <w:rPr>
          <w:sz w:val="20"/>
          <w:szCs w:val="20"/>
          <w:color w:val="auto"/>
        </w:rPr>
      </w:pPr>
      <w:r>
        <w:rPr>
          <w:rFonts w:ascii="Arial" w:cs="Arial" w:eastAsia="Arial" w:hAnsi="Arial"/>
          <w:sz w:val="18"/>
          <w:szCs w:val="18"/>
          <w:color w:val="auto"/>
        </w:rPr>
        <w:t>________________</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Comcast Corporation (“Comcast”) is offering to exchange: (i) new registered 3.969% Notes due 2047 (the “2047 Exchange Notes”) for its outstanding unregistered 3.969% Notes due 2047 (the “2047 Original Notes”); (ii) new registered 3.999% Notes due 2049 (the “2049 Exchange Notes”) for its outstanding unregistered 3.999% Notes due 2049 (the “2049 Original Notes”) and (iii) new registered 4.049% Notes due 2052 (the “2052 Exchange Notes” and, together with the 2047 Exchange Notes and the 2049 Exchange Notes, the “Exchange Notes”) for its outstanding unregistered 4.049% Notes due 2052 (the “2052 Original Notes” and, together with the 2047 Original Notes and the 2049 Original Notes, the “Original Notes”). The Original Notes and the Exchange Notes are sometimes referred to in this prospectus together as the “Notes”. The terms of each series of the Exchange Notes are substantially identical to the terms of the applicable series of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w:t>
      </w:r>
    </w:p>
    <w:p>
      <w:pPr>
        <w:spacing w:after="0" w:line="1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Original Notes may only be tendered in an amount equal to $2,000 in principal amount and in multiples of $1,000 thereafter. Interest on the Exchange Notes will accrue from the date of original issuance of the Original Notes (October 19, 2017) or from the most recent date on which interest on the Original Notes has been paid, whichever is later, and will be payable semi-annually in arrears on May 1 and November 1, commencing on May 1, 2018. We will deem the right to receive any interest accrued but unpaid on the Original Notes waived by you if we accept your Original Notes for exchange. Accordingly, holders whose tenders are accepted for exchange will not receive any payment in respect of accrued interest on such Original Notes, unless the record date for any such interest payment occurs before the completion of the Exchange Offers. We refer to these offers as the “Exchange Offers”. For a more detailed description of the Exchange Notes, see “Description of Exchange Notes and the Guarantees”.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not asking you for a proxy and you are requested not to send us a proxy. You do not have dissenters’ rights of appraisal in connection with the Exchange Offers. See “The Exchange Offers — Absence of Dissenters’ Rights of Appraisal”.</w:t>
      </w:r>
    </w:p>
    <w:p>
      <w:pPr>
        <w:spacing w:after="0" w:line="16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No public market currently exists for the Original Notes and we cannot assure you that any public market for the Exchange Notes will develop. The Exchange Notes will not be listed on any national securities exchange.</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Each broker-dealer that receives Exchange Notes for its own account pursuant to the Exchange Offers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right="80"/>
        <w:spacing w:after="0" w:line="277" w:lineRule="auto"/>
        <w:rPr>
          <w:sz w:val="20"/>
          <w:szCs w:val="20"/>
          <w:color w:val="auto"/>
        </w:rPr>
      </w:pPr>
      <w:r>
        <w:rPr>
          <w:rFonts w:ascii="Arial" w:cs="Arial" w:eastAsia="Arial" w:hAnsi="Arial"/>
          <w:sz w:val="18"/>
          <w:szCs w:val="18"/>
          <w:color w:val="auto"/>
        </w:rPr>
        <w:t>We have agreed that, for a period of 90 days after the Expiration Date (as defined herein), we will make this prospectus available to any broker-dealer for use in connection with any such resale. See “Plan of Distribution”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Holders may withdraw their tendered Original Notes at any time at or prior to the Expiration Date (as defined below) of the Exchange Offers. The</w:t>
      </w:r>
    </w:p>
    <w:p>
      <w:pPr>
        <w:spacing w:after="0" w:line="4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Exchange Offers will expire at 11:59 p.m., New York City time, on , 2017, unless extended or earlier terminated by us (such date, as the same may be extended or earlier terminated with respect to any series of Exchange Notes, the “Expiration Date”). The Exchange Offers are subject to customary conditions discussed under “The Exchange Offers — Conditions to the Exchange Offers”. No Exchange Offer is conditioned upon the other Exchange Offers, and we may terminate or extend any Exchange Offer without terminating or extending the other Exchange Offers.</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07"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Investing in the Exchange Notes involves risks. See “Risk Factors” beginning on page 25 of our Annual Report on Form 10-K for the fiscal year ended December 31, 2016, which is incorporated by reference herein, and on page 10 of this prospectus, to read about factors you should consider before investing in the Exchange Notes.</w:t>
      </w:r>
    </w:p>
    <w:p>
      <w:pPr>
        <w:spacing w:after="0" w:line="176"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4340"/>
              <w:spacing w:after="0"/>
              <w:rPr>
                <w:sz w:val="20"/>
                <w:szCs w:val="20"/>
                <w:color w:val="auto"/>
              </w:rPr>
            </w:pPr>
            <w:r>
              <w:rPr>
                <w:rFonts w:ascii="Arial" w:cs="Arial" w:eastAsia="Arial" w:hAnsi="Arial"/>
                <w:sz w:val="18"/>
                <w:szCs w:val="18"/>
                <w:b w:val="1"/>
                <w:bCs w:val="1"/>
                <w:color w:val="auto"/>
              </w:rPr>
              <w:t>Prospectus dated</w:t>
            </w:r>
          </w:p>
        </w:tc>
        <w:tc>
          <w:tcPr>
            <w:tcW w:w="5300" w:type="dxa"/>
            <w:vAlign w:val="bottom"/>
          </w:tcPr>
          <w:p>
            <w:pPr>
              <w:jc w:val="right"/>
              <w:ind w:right="4250"/>
              <w:spacing w:after="0"/>
              <w:rPr>
                <w:sz w:val="20"/>
                <w:szCs w:val="20"/>
                <w:color w:val="auto"/>
              </w:rPr>
            </w:pPr>
            <w:r>
              <w:rPr>
                <w:rFonts w:ascii="Arial" w:cs="Arial" w:eastAsia="Arial" w:hAnsi="Arial"/>
                <w:sz w:val="18"/>
                <w:szCs w:val="18"/>
                <w:b w:val="1"/>
                <w:bCs w:val="1"/>
                <w:color w:val="auto"/>
              </w:rPr>
              <w:t>, 2017.</w:t>
            </w:r>
          </w:p>
        </w:tc>
      </w:tr>
      <w:tr>
        <w:trPr>
          <w:trHeight w:val="635"/>
        </w:trPr>
        <w:tc>
          <w:tcPr>
            <w:tcW w:w="61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6"/>
          </w:tcPr>
          <w:p>
            <w:pPr>
              <w:ind w:left="30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tcPr>
          <w:p>
            <w:pPr>
              <w:spacing w:after="0"/>
              <w:rPr>
                <w:sz w:val="21"/>
                <w:szCs w:val="21"/>
                <w:color w:val="auto"/>
              </w:rPr>
            </w:pPr>
          </w:p>
        </w:tc>
        <w:tc>
          <w:tcPr>
            <w:tcW w:w="2700" w:type="dxa"/>
            <w:vAlign w:val="bottom"/>
            <w:gridSpan w:val="5"/>
            <w:vMerge w:val="restart"/>
          </w:tcPr>
          <w:p>
            <w:pPr>
              <w:ind w:left="2340"/>
              <w:spacing w:after="0"/>
              <w:rPr>
                <w:sz w:val="20"/>
                <w:szCs w:val="20"/>
                <w:color w:val="auto"/>
              </w:rPr>
            </w:pPr>
            <w:r>
              <w:rPr>
                <w:rFonts w:ascii="Arial" w:cs="Arial" w:eastAsia="Arial" w:hAnsi="Arial"/>
                <w:sz w:val="18"/>
                <w:szCs w:val="18"/>
                <w:color w:val="auto"/>
                <w:w w:val="90"/>
              </w:rPr>
              <w:t>P</w:t>
            </w:r>
            <w:r>
              <w:rPr>
                <w:rFonts w:ascii="Arial" w:cs="Arial" w:eastAsia="Arial" w:hAnsi="Arial"/>
                <w:sz w:val="12"/>
                <w:szCs w:val="12"/>
                <w:color w:val="auto"/>
                <w:w w:val="90"/>
              </w:rPr>
              <w: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7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2"/>
            <w:shd w:val="clear" w:color="auto" w:fill="D5EAEA"/>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Where You Can Find More Information</w:t>
              </w:r>
            </w:hyperlink>
          </w:p>
        </w:tc>
        <w:tc>
          <w:tcPr>
            <w:tcW w:w="1380" w:type="dxa"/>
            <w:vAlign w:val="bottom"/>
            <w:gridSpan w:val="4"/>
            <w:shd w:val="clear" w:color="auto" w:fill="D5EAEA"/>
          </w:tcPr>
          <w:p>
            <w:pPr>
              <w:spacing w:after="0"/>
              <w:rPr>
                <w:sz w:val="15"/>
                <w:szCs w:val="15"/>
                <w:color w:val="auto"/>
              </w:rPr>
            </w:pPr>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480" w:type="dxa"/>
            <w:vAlign w:val="bottom"/>
            <w:tcBorders>
              <w:top w:val="single" w:sz="8" w:color="0000EE"/>
            </w:tcBorders>
            <w:shd w:val="clear" w:color="auto" w:fill="D5EAEA"/>
          </w:tcPr>
          <w:p>
            <w:pPr>
              <w:spacing w:after="0" w:line="20" w:lineRule="exact"/>
              <w:rPr>
                <w:sz w:val="1"/>
                <w:szCs w:val="1"/>
                <w:color w:val="auto"/>
              </w:rPr>
            </w:pPr>
          </w:p>
        </w:tc>
        <w:tc>
          <w:tcPr>
            <w:tcW w:w="50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Incorporation of Certain Information by Reference</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4"/>
            <w:shd w:val="clear" w:color="auto" w:fill="D5EAEA"/>
          </w:tcPr>
          <w:p>
            <w:pPr>
              <w:spacing w:after="0" w:line="17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Use of Proceeds</w:t>
              </w:r>
            </w:hyperlink>
          </w:p>
        </w:tc>
        <w:tc>
          <w:tcPr>
            <w:tcW w:w="3080" w:type="dxa"/>
            <w:vAlign w:val="bottom"/>
            <w:tcBorders>
              <w:bottom w:val="single" w:sz="8" w:color="D5EAEA"/>
            </w:tcBorders>
            <w:gridSpan w:val="12"/>
            <w:shd w:val="clear" w:color="auto" w:fill="D5EAEA"/>
          </w:tcPr>
          <w:p>
            <w:pPr>
              <w:spacing w:after="0"/>
              <w:rPr>
                <w:sz w:val="17"/>
                <w:szCs w:val="17"/>
                <w:color w:val="auto"/>
              </w:rPr>
            </w:pPr>
          </w:p>
        </w:tc>
        <w:tc>
          <w:tcPr>
            <w:tcW w:w="6980" w:type="dxa"/>
            <w:vAlign w:val="bottom"/>
            <w:tcBorders>
              <w:bottom w:val="single" w:sz="8" w:color="D5EAEA"/>
            </w:tcBorders>
            <w:gridSpan w:val="3"/>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Ratios of Earnings to Fixed Charges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The Exchange Offers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Description of the Exchange Notes and the Guarantees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Certain U.S. Federal Income Tax Considerations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39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760" w:type="dxa"/>
            <w:vAlign w:val="bottom"/>
            <w:tcBorders>
              <w:top w:val="single" w:sz="8" w:color="D5EAEA"/>
            </w:tcBorders>
            <w:gridSpan w:val="3"/>
          </w:tcPr>
          <w:p>
            <w:pPr>
              <w:spacing w:after="0"/>
              <w:rPr>
                <w:sz w:val="15"/>
                <w:szCs w:val="15"/>
                <w:color w:val="auto"/>
              </w:rPr>
            </w:pPr>
          </w:p>
        </w:tc>
        <w:tc>
          <w:tcPr>
            <w:tcW w:w="6980" w:type="dxa"/>
            <w:vAlign w:val="bottom"/>
            <w:tcBorders>
              <w:top w:val="single" w:sz="8" w:color="D5EAEA"/>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The Exchange Agent</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Validity of Securities</w:t>
              </w:r>
            </w:hyperlink>
          </w:p>
        </w:tc>
        <w:tc>
          <w:tcPr>
            <w:tcW w:w="7160" w:type="dxa"/>
            <w:vAlign w:val="bottom"/>
            <w:gridSpan w:val="5"/>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16"/>
            <w:shd w:val="clear" w:color="auto" w:fill="D5EAEA"/>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7160" w:type="dxa"/>
            <w:vAlign w:val="bottom"/>
            <w:gridSpan w:val="5"/>
            <w:shd w:val="clear" w:color="auto" w:fill="D5EAEA"/>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48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D5EAEA"/>
            </w:tcBorders>
            <w:shd w:val="clear" w:color="auto" w:fill="D5EAEA"/>
          </w:tcPr>
          <w:p>
            <w:pPr>
              <w:spacing w:after="0" w:line="20" w:lineRule="exact"/>
              <w:rPr>
                <w:sz w:val="1"/>
                <w:szCs w:val="1"/>
                <w:color w:val="auto"/>
              </w:rPr>
            </w:pPr>
          </w:p>
        </w:tc>
        <w:tc>
          <w:tcPr>
            <w:tcW w:w="4480" w:type="dxa"/>
            <w:vAlign w:val="bottom"/>
            <w:tcBorders>
              <w:top w:val="single" w:sz="8" w:color="D5EAEA"/>
            </w:tcBorders>
            <w:shd w:val="clear" w:color="auto" w:fill="D5EAEA"/>
          </w:tcPr>
          <w:p>
            <w:pPr>
              <w:spacing w:after="0" w:line="20" w:lineRule="exact"/>
              <w:rPr>
                <w:sz w:val="1"/>
                <w:szCs w:val="1"/>
                <w:color w:val="auto"/>
              </w:rPr>
            </w:pPr>
          </w:p>
        </w:tc>
        <w:tc>
          <w:tcPr>
            <w:tcW w:w="23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No person has been authorized to give any information or any representation concerning us or the Exchange Offers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w:t>
      </w:r>
    </w:p>
    <w:p>
      <w:pPr>
        <w:spacing w:after="0" w:line="187"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making an investment decision, prospective investors must rely on their own examination of us, and the terms of the Exchange Offers,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Offers and to invest in the Exchange Notes under applicable legal investment or similar laws or regulations.</w:t>
      </w:r>
    </w:p>
    <w:p>
      <w:pPr>
        <w:spacing w:after="0" w:line="17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No letter of transmittal will be used in connection with the Exchange Offers, and there are no guaranteed delivery provisions provided for in conjunction with the Exchange Offers under the terms of this prospectus. Tendering holders must tender their Original Notes in accordance with the procedures set forth under “The Exchange Offers — Procedures for Tendering Original Notes”.</w:t>
      </w:r>
    </w:p>
    <w:p>
      <w:pPr>
        <w:spacing w:after="0" w:line="18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This prospectus contains summaries believed to be accurate with respect to certain documents, but reference is made to the actual documents for complete information. All such summaries are qualified in their entirety by such reference. See “Where You Can Find More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included or incorporated by reference in this prospectus statements that may constitute “forward-looking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Comcast and NBCUniversal file combined annual and quarterly reports and combined or separate special reports and other information with the SEC. Comcast Cable Communications does not currently file information with the SEC. Although Comcast Cable Communications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8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ind w:right="220"/>
        <w:spacing w:after="0" w:line="342" w:lineRule="auto"/>
        <w:rPr>
          <w:sz w:val="20"/>
          <w:szCs w:val="20"/>
          <w:color w:val="auto"/>
        </w:rPr>
      </w:pPr>
      <w:r>
        <w:rPr>
          <w:rFonts w:ascii="Arial" w:cs="Arial" w:eastAsia="Arial" w:hAnsi="Arial"/>
          <w:sz w:val="16"/>
          <w:szCs w:val="16"/>
          <w:color w:val="auto"/>
        </w:rPr>
        <w:t>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chosen to “incorporate by reference” the information we file with the SEC, which means that we disclose important information to you by referring you to those documents.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 13(a), 13(c), 14 or 15(d) of the Securities Exchange Act of 1934 (the “Exchange Act”) after the date of this prospectus and until we complete the Exchange Offer (other than, in each case, documents or information deemed to have been furnished and not filed in accordance with the SEC rules):</w:t>
      </w:r>
    </w:p>
    <w:p>
      <w:pPr>
        <w:spacing w:after="0" w:line="19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 and NBCUniversal’s combined Annual Report on Form 10-K for the year ended December 31, 2016;</w:t>
      </w:r>
    </w:p>
    <w:p>
      <w:pPr>
        <w:spacing w:after="0" w:line="225"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2017, June 30, 2017 and September 30, 2017;</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10, 2017, January 27, 2017, February 15, 2017, February 23, 2017, March 14, 2017, March 20, 2017, May 8, 2017, May 12, 2017, June 13, 2017, August 7, 2017, October 3, 2017, October 19, 2017 and October 20, 2017;</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NBCUniversal’s Current Reports on Form 8-K filed on May 3, 2017, October 3, 2017, October 19, 2017 and October 20, 2017; and</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sections of Comcast’s Definitive Proxy Statement on Schedule 14A for the 2017 annual meeting of shareholders incorporated by reference in Comcast’s Annual Report on Form 10-K for the year ended December 31, 2016, filed on April 28, 2017.</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To receive timely delivery of the documents prior to the Expiration Date, you should make your request no later than five business days before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w w:val="98"/>
              </w:rPr>
              <w:t>the date you must make your investment decision, or</w:t>
            </w:r>
          </w:p>
        </w:tc>
        <w:tc>
          <w:tcPr>
            <w:tcW w:w="96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7" w:name="page8"/>
    <w:bookmarkEnd w:id="7"/>
    <w:p>
      <w:pPr>
        <w:jc w:val="center"/>
        <w:ind w:right="-4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738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7387590"/>
                    </a:xfrm>
                    <a:prstGeom prst="rect">
                      <a:avLst/>
                    </a:prstGeom>
                    <a:noFill/>
                  </pic:spPr>
                </pic:pic>
              </a:graphicData>
            </a:graphic>
          </wp:anchor>
        </w:drawing>
        <w:t>SUMMARY</w:t>
      </w:r>
    </w:p>
    <w:p>
      <w:pPr>
        <w:spacing w:after="0" w:line="229" w:lineRule="exact"/>
        <w:rPr>
          <w:sz w:val="20"/>
          <w:szCs w:val="20"/>
          <w:color w:val="auto"/>
        </w:rPr>
      </w:pPr>
    </w:p>
    <w:p>
      <w:pPr>
        <w:ind w:left="2" w:right="60" w:firstLine="324"/>
        <w:spacing w:after="0" w:line="259" w:lineRule="auto"/>
        <w:rPr>
          <w:sz w:val="20"/>
          <w:szCs w:val="20"/>
          <w:color w:val="auto"/>
        </w:rPr>
      </w:pPr>
      <w:r>
        <w:rPr>
          <w:rFonts w:ascii="Arial" w:cs="Arial" w:eastAsia="Arial" w:hAnsi="Arial"/>
          <w:sz w:val="18"/>
          <w:szCs w:val="18"/>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w:t>
      </w:r>
    </w:p>
    <w:p>
      <w:pPr>
        <w:spacing w:after="0" w:line="183" w:lineRule="exact"/>
        <w:rPr>
          <w:sz w:val="20"/>
          <w:szCs w:val="20"/>
          <w:color w:val="auto"/>
        </w:rPr>
      </w:pPr>
    </w:p>
    <w:p>
      <w:pPr>
        <w:jc w:val="center"/>
        <w:ind w:right="-41"/>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2" w:right="200" w:firstLine="324"/>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 We present our operations for Comcast Cable Communications in one reportable business segment, referred to as Cable Communications, and our operations for NBCUniversal in four reportable business segments.</w:t>
      </w:r>
    </w:p>
    <w:p>
      <w:pPr>
        <w:spacing w:after="0" w:line="177" w:lineRule="exact"/>
        <w:rPr>
          <w:sz w:val="20"/>
          <w:szCs w:val="20"/>
          <w:color w:val="auto"/>
        </w:rPr>
      </w:pPr>
    </w:p>
    <w:p>
      <w:pPr>
        <w:ind w:left="642" w:right="120" w:hanging="318"/>
        <w:spacing w:after="0" w:line="266" w:lineRule="auto"/>
        <w:tabs>
          <w:tab w:leader="none" w:pos="64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Communications, which is one of the nation’s largest providers of video,</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Internet, voice, and security and automation services to residential customers under the XFINITY brand; and we also provide these and other services to business customers and sell advertising.</w:t>
      </w:r>
    </w:p>
    <w:p>
      <w:pPr>
        <w:spacing w:after="0" w:line="176" w:lineRule="exact"/>
        <w:rPr>
          <w:rFonts w:ascii="Arial" w:cs="Arial" w:eastAsia="Arial" w:hAnsi="Arial"/>
          <w:sz w:val="18"/>
          <w:szCs w:val="18"/>
          <w:color w:val="auto"/>
        </w:rPr>
      </w:pPr>
    </w:p>
    <w:p>
      <w:pPr>
        <w:ind w:left="642" w:right="20" w:hanging="318"/>
        <w:spacing w:after="0" w:line="282" w:lineRule="auto"/>
        <w:tabs>
          <w:tab w:leader="none" w:pos="64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61" w:lineRule="exact"/>
        <w:rPr>
          <w:rFonts w:ascii="Arial" w:cs="Arial" w:eastAsia="Arial" w:hAnsi="Arial"/>
          <w:sz w:val="18"/>
          <w:szCs w:val="18"/>
          <w:color w:val="auto"/>
        </w:rPr>
      </w:pPr>
    </w:p>
    <w:p>
      <w:pPr>
        <w:ind w:left="642" w:right="460" w:hanging="318"/>
        <w:spacing w:after="0" w:line="313" w:lineRule="auto"/>
        <w:tabs>
          <w:tab w:leader="none" w:pos="642"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Broadcast Television: </w:t>
      </w:r>
      <w:r>
        <w:rPr>
          <w:rFonts w:ascii="Arial" w:cs="Arial" w:eastAsia="Arial" w:hAnsi="Arial"/>
          <w:sz w:val="17"/>
          <w:szCs w:val="17"/>
          <w:color w:val="auto"/>
        </w:rPr>
        <w:t>Consists primarily of the NBC and Telemundo broadcast networks, our NBC and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the NBCUniverso national cable network and our broadcast television studio production operations.</w:t>
      </w:r>
    </w:p>
    <w:p>
      <w:pPr>
        <w:spacing w:after="0" w:line="138" w:lineRule="exact"/>
        <w:rPr>
          <w:rFonts w:ascii="Arial" w:cs="Arial" w:eastAsia="Arial" w:hAnsi="Arial"/>
          <w:sz w:val="17"/>
          <w:szCs w:val="17"/>
          <w:color w:val="auto"/>
        </w:rPr>
      </w:pPr>
    </w:p>
    <w:p>
      <w:pPr>
        <w:ind w:left="642" w:right="340" w:hanging="318"/>
        <w:spacing w:after="0" w:line="347" w:lineRule="auto"/>
        <w:tabs>
          <w:tab w:leader="none" w:pos="642"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Focus Features and DreamWorks Animation names.</w:t>
      </w:r>
    </w:p>
    <w:p>
      <w:pPr>
        <w:spacing w:after="0" w:line="116" w:lineRule="exact"/>
        <w:rPr>
          <w:rFonts w:ascii="Arial" w:cs="Arial" w:eastAsia="Arial" w:hAnsi="Arial"/>
          <w:sz w:val="16"/>
          <w:szCs w:val="16"/>
          <w:color w:val="auto"/>
        </w:rPr>
      </w:pPr>
    </w:p>
    <w:p>
      <w:pPr>
        <w:ind w:left="642" w:hanging="318"/>
        <w:spacing w:after="0"/>
        <w:tabs>
          <w:tab w:leader="none" w:pos="64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229" w:lineRule="exact"/>
        <w:rPr>
          <w:sz w:val="20"/>
          <w:szCs w:val="20"/>
          <w:color w:val="auto"/>
        </w:rPr>
      </w:pPr>
    </w:p>
    <w:p>
      <w:pPr>
        <w:ind w:left="2" w:right="600" w:firstLine="324"/>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2" w:right="660" w:firstLine="324"/>
        <w:spacing w:after="0" w:line="277"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left="2" w:right="60" w:firstLine="324"/>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w:t>
      </w:r>
    </w:p>
    <w:p>
      <w:pPr>
        <w:spacing w:after="0" w:line="18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 w:right="280" w:hanging="2"/>
        <w:spacing w:after="0" w:line="261" w:lineRule="auto"/>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Guarantors</w:t>
      </w:r>
    </w:p>
    <w:p>
      <w:pPr>
        <w:spacing w:after="0" w:line="229" w:lineRule="exact"/>
        <w:rPr>
          <w:sz w:val="20"/>
          <w:szCs w:val="20"/>
          <w:color w:val="auto"/>
        </w:rPr>
      </w:pPr>
    </w:p>
    <w:p>
      <w:pPr>
        <w:ind w:left="2" w:firstLine="32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w:t>
      </w:r>
    </w:p>
    <w:p>
      <w:pPr>
        <w:spacing w:after="0" w:line="181" w:lineRule="exact"/>
        <w:rPr>
          <w:sz w:val="20"/>
          <w:szCs w:val="20"/>
          <w:color w:val="auto"/>
        </w:rPr>
      </w:pPr>
    </w:p>
    <w:p>
      <w:pPr>
        <w:ind w:left="322"/>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00" w:lineRule="exact"/>
        <w:rPr>
          <w:sz w:val="20"/>
          <w:szCs w:val="20"/>
          <w:color w:val="auto"/>
        </w:rPr>
      </w:pPr>
    </w:p>
    <w:p>
      <w:pPr>
        <w:spacing w:after="0" w:line="322" w:lineRule="exact"/>
        <w:rPr>
          <w:sz w:val="20"/>
          <w:szCs w:val="20"/>
          <w:color w:val="auto"/>
        </w:rPr>
      </w:pPr>
    </w:p>
    <w:p>
      <w:pPr>
        <w:jc w:val="center"/>
        <w:ind w:right="-6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2"/>
          </w:cols>
          <w:pgMar w:left="338" w:top="999" w:right="419" w:bottom="1440" w:gutter="0" w:footer="0" w:header="0"/>
        </w:sectPr>
      </w:pPr>
    </w:p>
    <w:bookmarkStart w:id="8" w:name="page9"/>
    <w:bookmarkEnd w:id="8"/>
    <w:p>
      <w:pPr>
        <w:ind w:left="980" w:hanging="33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1350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1350645"/>
                    </a:xfrm>
                    <a:prstGeom prst="rect">
                      <a:avLst/>
                    </a:prstGeom>
                    <a:noFill/>
                  </pic:spPr>
                </pic:pic>
              </a:graphicData>
            </a:graphic>
          </wp:anchor>
        </w:drawing>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980" w:hanging="33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Comcast Cable Communications’s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340" w:top="1003" w:right="41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7954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140" cy="7954010"/>
                    </a:xfrm>
                    <a:prstGeom prst="rect">
                      <a:avLst/>
                    </a:prstGeom>
                    <a:noFill/>
                  </pic:spPr>
                </pic:pic>
              </a:graphicData>
            </a:graphic>
          </wp:anchor>
        </w:drawing>
        <w:t>The Exchange Offers</w:t>
      </w:r>
    </w:p>
    <w:p>
      <w:pPr>
        <w:sectPr>
          <w:pgSz w:w="11900" w:h="16838" w:orient="portrait"/>
          <w:cols w:equalWidth="0" w:num="1">
            <w:col w:w="11000"/>
          </w:cols>
          <w:pgMar w:left="340" w:top="999" w:right="55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Offeror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11" w:lineRule="exact"/>
        <w:rPr>
          <w:sz w:val="20"/>
          <w:szCs w:val="20"/>
          <w:color w:val="auto"/>
        </w:rPr>
      </w:pPr>
    </w:p>
    <w:p>
      <w:pPr>
        <w:sectPr>
          <w:pgSz w:w="11900" w:h="16838" w:orient="portrait"/>
          <w:cols w:equalWidth="0" w:num="2">
            <w:col w:w="3520" w:space="720"/>
            <w:col w:w="6760"/>
          </w:cols>
          <w:pgMar w:left="340" w:top="999" w:right="5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offering to exchange our 2047 Exchange Notes which have been registered under the Securities Act for a like principal amount of our outstanding unregistered 2047 Original Notes, our 2049 Exchange Notes which have been registered under the Securities Act for a like principal amount of our outstanding unregistered 2049 Original Notes, and our 2052 Exchange Notes which have been registered under the Securities Act for a like principal amount of our outstanding unregistered 2052 Original Notes. Original Notes may only be tendered in an amount equal to $2,000 in principal amount and in integral multiples of $1,000 thereafter. See “The Exchange Offers” for more information on the terms of the Exchange Offers.</w:t>
      </w:r>
    </w:p>
    <w:p>
      <w:pPr>
        <w:spacing w:after="0" w:line="197" w:lineRule="exact"/>
        <w:rPr>
          <w:sz w:val="20"/>
          <w:szCs w:val="20"/>
          <w:color w:val="auto"/>
        </w:rPr>
      </w:pPr>
    </w:p>
    <w:p>
      <w:pPr>
        <w:sectPr>
          <w:pgSz w:w="11900" w:h="16838" w:orient="portrait"/>
          <w:cols w:equalWidth="0" w:num="2">
            <w:col w:w="3520" w:space="720"/>
            <w:col w:w="6760"/>
          </w:cols>
          <w:pgMar w:left="340" w:top="999" w:right="559" w:bottom="1440" w:gutter="0" w:footer="0" w:header="0"/>
          <w:type w:val="continuous"/>
        </w:sectPr>
      </w:pPr>
    </w:p>
    <w:p>
      <w:pPr>
        <w:spacing w:after="0"/>
        <w:rPr>
          <w:sz w:val="20"/>
          <w:szCs w:val="20"/>
          <w:color w:val="auto"/>
        </w:rPr>
      </w:pPr>
      <w:r>
        <w:rPr>
          <w:rFonts w:ascii="Arial" w:cs="Arial" w:eastAsia="Arial" w:hAnsi="Arial"/>
          <w:sz w:val="16"/>
          <w:szCs w:val="16"/>
          <w:color w:val="auto"/>
        </w:rPr>
        <w:t>Resale of Exchange Notes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93" w:lineRule="exact"/>
        <w:rPr>
          <w:sz w:val="20"/>
          <w:szCs w:val="20"/>
          <w:color w:val="auto"/>
        </w:rPr>
      </w:pPr>
    </w:p>
    <w:p>
      <w:pPr>
        <w:sectPr>
          <w:pgSz w:w="11900" w:h="16838" w:orient="portrait"/>
          <w:cols w:equalWidth="0" w:num="2">
            <w:col w:w="3520" w:space="720"/>
            <w:col w:w="6760"/>
          </w:cols>
          <w:pgMar w:left="340" w:top="999" w:right="559" w:bottom="1440" w:gutter="0" w:footer="0" w:header="0"/>
          <w:type w:val="continuous"/>
        </w:sectPr>
      </w:pPr>
    </w:p>
    <w:p>
      <w:pPr>
        <w:ind w:left="4240" w:right="80"/>
        <w:spacing w:after="0" w:line="293" w:lineRule="auto"/>
        <w:rPr>
          <w:sz w:val="20"/>
          <w:szCs w:val="20"/>
          <w:color w:val="auto"/>
        </w:rPr>
      </w:pPr>
      <w:r>
        <w:rPr>
          <w:rFonts w:ascii="Arial" w:cs="Arial" w:eastAsia="Arial" w:hAnsi="Arial"/>
          <w:sz w:val="16"/>
          <w:szCs w:val="16"/>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ectPr>
          <w:pgSz w:w="11900" w:h="16838" w:orient="portrait"/>
          <w:cols w:equalWidth="0" w:num="1">
            <w:col w:w="11000"/>
          </w:cols>
          <w:pgMar w:left="340" w:top="999" w:right="559" w:bottom="1440" w:gutter="0" w:footer="0" w:header="0"/>
          <w:type w:val="continuous"/>
        </w:sectPr>
      </w:pPr>
    </w:p>
    <w:p>
      <w:pPr>
        <w:spacing w:after="0" w:line="16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80" w:hanging="21"/>
        <w:spacing w:after="0" w:line="277" w:lineRule="auto"/>
        <w:rPr>
          <w:sz w:val="20"/>
          <w:szCs w:val="20"/>
          <w:color w:val="auto"/>
        </w:rPr>
      </w:pPr>
      <w:r>
        <w:rPr>
          <w:rFonts w:ascii="Arial" w:cs="Arial" w:eastAsia="Arial" w:hAnsi="Arial"/>
          <w:sz w:val="18"/>
          <w:szCs w:val="18"/>
          <w:color w:val="auto"/>
        </w:rPr>
        <w:t>you are not a broker-dealer tendering Original Notes that you acquired directly from us for your own account;</w:t>
      </w:r>
    </w:p>
    <w:p>
      <w:pPr>
        <w:spacing w:after="0" w:line="170" w:lineRule="exact"/>
        <w:rPr>
          <w:sz w:val="20"/>
          <w:szCs w:val="20"/>
          <w:color w:val="auto"/>
        </w:rPr>
      </w:pPr>
    </w:p>
    <w:p>
      <w:pPr>
        <w:sectPr>
          <w:pgSz w:w="11900" w:h="16838" w:orient="portrait"/>
          <w:cols w:equalWidth="0" w:num="2">
            <w:col w:w="4600" w:space="280"/>
            <w:col w:w="6120"/>
          </w:cols>
          <w:pgMar w:left="340" w:top="999" w:right="559" w:bottom="1440" w:gutter="0" w:footer="0" w:header="0"/>
          <w:type w:val="continuous"/>
        </w:sect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acquiring the Exchange Notes in the ordinary course of your business;</w:t>
      </w:r>
    </w:p>
    <w:p>
      <w:pPr>
        <w:spacing w:after="0" w:line="222" w:lineRule="exact"/>
        <w:rPr>
          <w:sz w:val="20"/>
          <w:szCs w:val="20"/>
          <w:color w:val="auto"/>
        </w:rPr>
      </w:pPr>
    </w:p>
    <w:p>
      <w:pPr>
        <w:sectPr>
          <w:pgSz w:w="11900" w:h="16838" w:orient="portrait"/>
          <w:cols w:equalWidth="0" w:num="2">
            <w:col w:w="4600" w:space="260"/>
            <w:col w:w="6140"/>
          </w:cols>
          <w:pgMar w:left="340" w:top="999" w:right="559" w:bottom="1440" w:gutter="0" w:footer="0" w:header="0"/>
          <w:type w:val="continuous"/>
        </w:sectPr>
      </w:pP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hanging="21"/>
        <w:spacing w:after="0" w:line="264" w:lineRule="auto"/>
        <w:rPr>
          <w:sz w:val="20"/>
          <w:szCs w:val="20"/>
          <w:color w:val="auto"/>
        </w:rPr>
      </w:pPr>
      <w:r>
        <w:rPr>
          <w:rFonts w:ascii="Arial" w:cs="Arial" w:eastAsia="Arial" w:hAnsi="Arial"/>
          <w:sz w:val="18"/>
          <w:szCs w:val="18"/>
          <w:color w:val="auto"/>
        </w:rPr>
        <w:t>you have not participated in, do not intend to participate in, and have no arrangement or understanding with any person to participate in, a distribution of the Exchange Notes; and</w:t>
      </w:r>
    </w:p>
    <w:p>
      <w:pPr>
        <w:spacing w:after="0" w:line="181" w:lineRule="exact"/>
        <w:rPr>
          <w:sz w:val="20"/>
          <w:szCs w:val="20"/>
          <w:color w:val="auto"/>
        </w:rPr>
      </w:pPr>
    </w:p>
    <w:p>
      <w:pPr>
        <w:sectPr>
          <w:pgSz w:w="11900" w:h="16838" w:orient="portrait"/>
          <w:cols w:equalWidth="0" w:num="2">
            <w:col w:w="4600" w:space="280"/>
            <w:col w:w="6120"/>
          </w:cols>
          <w:pgMar w:left="340" w:top="999" w:right="559" w:bottom="1440" w:gutter="0" w:footer="0" w:header="0"/>
          <w:type w:val="continuous"/>
        </w:sectPr>
      </w:pPr>
    </w:p>
    <w:p>
      <w:pPr>
        <w:ind w:left="4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our “affiliate” as defined under Rule 405 of the Securities Act.</w:t>
      </w:r>
    </w:p>
    <w:p>
      <w:pPr>
        <w:spacing w:after="0" w:line="222" w:lineRule="exact"/>
        <w:rPr>
          <w:sz w:val="20"/>
          <w:szCs w:val="20"/>
          <w:color w:val="auto"/>
        </w:rPr>
      </w:pPr>
    </w:p>
    <w:p>
      <w:pPr>
        <w:sectPr>
          <w:pgSz w:w="11900" w:h="16838" w:orient="portrait"/>
          <w:cols w:equalWidth="0" w:num="2">
            <w:col w:w="4600" w:space="260"/>
            <w:col w:w="6140"/>
          </w:cols>
          <w:pgMar w:left="340" w:top="999" w:right="559" w:bottom="1440" w:gutter="0" w:footer="0" w:header="0"/>
          <w:type w:val="continuous"/>
        </w:sectPr>
      </w:pPr>
    </w:p>
    <w:p>
      <w:pPr>
        <w:spacing w:after="0" w:line="25" w:lineRule="exact"/>
        <w:rPr>
          <w:sz w:val="20"/>
          <w:szCs w:val="20"/>
          <w:color w:val="auto"/>
        </w:rPr>
      </w:pPr>
    </w:p>
    <w:p>
      <w:pPr>
        <w:ind w:left="4240" w:right="20"/>
        <w:spacing w:after="0" w:line="286" w:lineRule="auto"/>
        <w:rPr>
          <w:sz w:val="20"/>
          <w:szCs w:val="20"/>
          <w:color w:val="auto"/>
        </w:rPr>
      </w:pPr>
      <w:r>
        <w:rPr>
          <w:rFonts w:ascii="Arial" w:cs="Arial" w:eastAsia="Arial" w:hAnsi="Arial"/>
          <w:sz w:val="16"/>
          <w:szCs w:val="16"/>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 (ii) will not be entitled to tender its Original Notes in the Exchange Offers and</w:t>
      </w:r>
    </w:p>
    <w:p>
      <w:pPr>
        <w:spacing w:after="0" w:line="2" w:lineRule="exact"/>
        <w:rPr>
          <w:sz w:val="20"/>
          <w:szCs w:val="20"/>
          <w:color w:val="auto"/>
        </w:rPr>
      </w:pPr>
    </w:p>
    <w:p>
      <w:pPr>
        <w:jc w:val="both"/>
        <w:ind w:left="4240" w:right="40" w:hanging="1"/>
        <w:spacing w:after="0" w:line="255" w:lineRule="auto"/>
        <w:tabs>
          <w:tab w:leader="none" w:pos="45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Exchange Notes unless such sale or transfer is made pursuant to an exemption from such requirements.</w:t>
      </w:r>
    </w:p>
    <w:p>
      <w:pPr>
        <w:spacing w:after="0" w:line="190" w:lineRule="exact"/>
        <w:rPr>
          <w:sz w:val="20"/>
          <w:szCs w:val="20"/>
          <w:color w:val="auto"/>
        </w:rPr>
      </w:pPr>
    </w:p>
    <w:p>
      <w:pPr>
        <w:ind w:left="4240" w:right="160"/>
        <w:spacing w:after="0" w:line="276" w:lineRule="auto"/>
        <w:rPr>
          <w:sz w:val="20"/>
          <w:szCs w:val="20"/>
          <w:color w:val="auto"/>
        </w:rPr>
      </w:pPr>
      <w:r>
        <w:rPr>
          <w:rFonts w:ascii="Arial" w:cs="Arial" w:eastAsia="Arial" w:hAnsi="Arial"/>
          <w:sz w:val="17"/>
          <w:szCs w:val="17"/>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w:t>
      </w:r>
    </w:p>
    <w:p>
      <w:pPr>
        <w:spacing w:after="0" w:line="173"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Purpose of the Exchange Offers</w:t>
      </w:r>
      <w:r>
        <w:rPr>
          <w:sz w:val="20"/>
          <w:szCs w:val="20"/>
          <w:color w:val="auto"/>
        </w:rPr>
        <w:tab/>
      </w:r>
      <w:r>
        <w:rPr>
          <w:rFonts w:ascii="Arial" w:cs="Arial" w:eastAsia="Arial" w:hAnsi="Arial"/>
          <w:sz w:val="16"/>
          <w:szCs w:val="16"/>
          <w:color w:val="auto"/>
        </w:rPr>
        <w:t>The purpose of the Exchange Offers is to satisfy our obligations under 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340" w:top="999" w:right="559" w:bottom="1440" w:gutter="0" w:footer="0" w:header="0"/>
          <w:type w:val="continuous"/>
        </w:sectPr>
      </w:pPr>
    </w:p>
    <w:bookmarkStart w:id="10" w:name="page11"/>
    <w:bookmarkEnd w:id="10"/>
    <w:p>
      <w:pPr>
        <w:ind w:left="4340" w:right="10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16140" cy="7284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7284720"/>
                    </a:xfrm>
                    <a:prstGeom prst="rect">
                      <a:avLst/>
                    </a:prstGeom>
                    <a:noFill/>
                  </pic:spPr>
                </pic:pic>
              </a:graphicData>
            </a:graphic>
          </wp:anchor>
        </w:drawing>
        <w:t>registration rights agreement, dated as of October 19, 2017 (the “Registration Rights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ind w:left="100"/>
              <w:spacing w:after="0"/>
              <w:rPr>
                <w:sz w:val="20"/>
                <w:szCs w:val="20"/>
                <w:color w:val="auto"/>
              </w:rPr>
            </w:pPr>
            <w:r>
              <w:rPr>
                <w:rFonts w:ascii="Arial" w:cs="Arial" w:eastAsia="Arial" w:hAnsi="Arial"/>
                <w:sz w:val="18"/>
                <w:szCs w:val="18"/>
                <w:color w:val="auto"/>
                <w:w w:val="94"/>
              </w:rPr>
              <w:t>Consequences If You Do Not Exchange Your Original</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4"/>
              </w:rPr>
              <w:t>Original Notes that are not tendered in the Exchange Offers or are not accepted for exchange</w:t>
            </w:r>
          </w:p>
        </w:tc>
        <w:tc>
          <w:tcPr>
            <w:tcW w:w="60" w:type="dxa"/>
            <w:vAlign w:val="bottom"/>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rPr>
              <w:t>Notes</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will continue to bear legends restricting their transfer. You will not be able to offer or sell</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such Original Notes unless:</w:t>
            </w:r>
          </w:p>
        </w:tc>
        <w:tc>
          <w:tcPr>
            <w:tcW w:w="60" w:type="dxa"/>
            <w:vAlign w:val="bottom"/>
          </w:tcPr>
          <w:p>
            <w:pPr>
              <w:spacing w:after="0"/>
              <w:rPr>
                <w:sz w:val="20"/>
                <w:szCs w:val="20"/>
                <w:color w:val="auto"/>
              </w:rPr>
            </w:pPr>
          </w:p>
        </w:tc>
      </w:tr>
      <w:tr>
        <w:trPr>
          <w:trHeight w:val="432"/>
        </w:trPr>
        <w:tc>
          <w:tcPr>
            <w:tcW w:w="418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w w:val="96"/>
              </w:rPr>
              <w:t>you are able to rely on an exemption from the requirements of the Securities Act; or</w:t>
            </w:r>
          </w:p>
        </w:tc>
        <w:tc>
          <w:tcPr>
            <w:tcW w:w="60" w:type="dxa"/>
            <w:vAlign w:val="bottom"/>
          </w:tcPr>
          <w:p>
            <w:pPr>
              <w:spacing w:after="0"/>
              <w:rPr>
                <w:sz w:val="24"/>
                <w:szCs w:val="24"/>
                <w:color w:val="auto"/>
              </w:rPr>
            </w:pPr>
          </w:p>
        </w:tc>
      </w:tr>
      <w:tr>
        <w:trPr>
          <w:trHeight w:val="432"/>
        </w:trPr>
        <w:tc>
          <w:tcPr>
            <w:tcW w:w="418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the Original Notes are registered under the Securities Act.</w:t>
            </w:r>
          </w:p>
        </w:tc>
        <w:tc>
          <w:tcPr>
            <w:tcW w:w="60" w:type="dxa"/>
            <w:vAlign w:val="bottom"/>
          </w:tcPr>
          <w:p>
            <w:pPr>
              <w:spacing w:after="0"/>
              <w:rPr>
                <w:sz w:val="24"/>
                <w:szCs w:val="24"/>
                <w:color w:val="auto"/>
              </w:rPr>
            </w:pPr>
          </w:p>
        </w:tc>
      </w:tr>
      <w:tr>
        <w:trPr>
          <w:trHeight w:val="418"/>
        </w:trPr>
        <w:tc>
          <w:tcPr>
            <w:tcW w:w="4180" w:type="dxa"/>
            <w:vAlign w:val="bottom"/>
          </w:tcPr>
          <w:p>
            <w:pPr>
              <w:spacing w:after="0"/>
              <w:rPr>
                <w:sz w:val="24"/>
                <w:szCs w:val="24"/>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9"/>
              </w:rPr>
              <w:t>To the extent that Original Notes are tendered and accepted in the Exchange Offers, the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trading market for any remaining Original Notes may (and likely will) be adversely affected.</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See “Risk Factors — Risks Relating to Participation in the Exchange Offers — If you fail to</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5"/>
              </w:rPr>
              <w:t>exchange your Original Notes, they will continue to be restricted securities and may become</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less liquid”.</w:t>
            </w:r>
          </w:p>
        </w:tc>
        <w:tc>
          <w:tcPr>
            <w:tcW w:w="60" w:type="dxa"/>
            <w:vAlign w:val="bottom"/>
          </w:tcPr>
          <w:p>
            <w:pPr>
              <w:spacing w:after="0"/>
              <w:rPr>
                <w:sz w:val="20"/>
                <w:szCs w:val="20"/>
                <w:color w:val="auto"/>
              </w:rPr>
            </w:pPr>
          </w:p>
        </w:tc>
      </w:tr>
      <w:tr>
        <w:trPr>
          <w:trHeight w:val="418"/>
        </w:trPr>
        <w:tc>
          <w:tcPr>
            <w:tcW w:w="4180" w:type="dxa"/>
            <w:vAlign w:val="bottom"/>
          </w:tcPr>
          <w:p>
            <w:pPr>
              <w:spacing w:after="0"/>
              <w:rPr>
                <w:sz w:val="24"/>
                <w:szCs w:val="24"/>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After the Exchange Offers are complete, you will not have any further rights under the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6"/>
              </w:rPr>
              <w:t>Registration Rights Agreement, including any right to require us to register any outstanding</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6"/>
              </w:rPr>
              <w:t>Original Notes that you do not exchange (except under limited circumstances) or to pay you</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additional interest we agreed to pay to holders of Original Notes if we failed to timely</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commence and complete the Exchange Offers.</w:t>
            </w:r>
          </w:p>
        </w:tc>
        <w:tc>
          <w:tcPr>
            <w:tcW w:w="60" w:type="dxa"/>
            <w:vAlign w:val="bottom"/>
          </w:tcPr>
          <w:p>
            <w:pPr>
              <w:spacing w:after="0"/>
              <w:rPr>
                <w:sz w:val="20"/>
                <w:szCs w:val="20"/>
                <w:color w:val="auto"/>
              </w:rPr>
            </w:pPr>
          </w:p>
        </w:tc>
      </w:tr>
      <w:tr>
        <w:trPr>
          <w:trHeight w:val="634"/>
        </w:trPr>
        <w:tc>
          <w:tcPr>
            <w:tcW w:w="4180" w:type="dxa"/>
            <w:vAlign w:val="bottom"/>
          </w:tcPr>
          <w:p>
            <w:pPr>
              <w:ind w:left="100"/>
              <w:spacing w:after="0"/>
              <w:rPr>
                <w:sz w:val="20"/>
                <w:szCs w:val="20"/>
                <w:color w:val="auto"/>
              </w:rPr>
            </w:pPr>
            <w:r>
              <w:rPr>
                <w:rFonts w:ascii="Arial" w:cs="Arial" w:eastAsia="Arial" w:hAnsi="Arial"/>
                <w:sz w:val="18"/>
                <w:szCs w:val="18"/>
                <w:color w:val="auto"/>
              </w:rPr>
              <w:t>Accrued and Unpaid Interest</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Exchange Notes will bear interest from the date of original issuance of the Original</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Notes (October 19, 2017) or from the most recent date on which interest on the Original</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Notes has been paid, whichever is later. If your Original Notes are accepted for exchange,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4"/>
              </w:rPr>
              <w:t>you will receive interest on the corresponding Exchange Notes and not on the Original Notes.</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Any Original Notes not tendered will remain outstanding and continue to accrue interest</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according to their terms.</w:t>
            </w:r>
          </w:p>
        </w:tc>
        <w:tc>
          <w:tcPr>
            <w:tcW w:w="60" w:type="dxa"/>
            <w:vAlign w:val="bottom"/>
          </w:tcPr>
          <w:p>
            <w:pPr>
              <w:spacing w:after="0"/>
              <w:rPr>
                <w:sz w:val="20"/>
                <w:szCs w:val="20"/>
                <w:color w:val="auto"/>
              </w:rPr>
            </w:pPr>
          </w:p>
        </w:tc>
      </w:tr>
      <w:tr>
        <w:trPr>
          <w:trHeight w:val="418"/>
        </w:trPr>
        <w:tc>
          <w:tcPr>
            <w:tcW w:w="4180" w:type="dxa"/>
            <w:vAlign w:val="bottom"/>
          </w:tcPr>
          <w:p>
            <w:pPr>
              <w:ind w:left="100"/>
              <w:spacing w:after="0"/>
              <w:rPr>
                <w:sz w:val="20"/>
                <w:szCs w:val="20"/>
                <w:color w:val="auto"/>
              </w:rPr>
            </w:pPr>
            <w:r>
              <w:rPr>
                <w:rFonts w:ascii="Arial" w:cs="Arial" w:eastAsia="Arial" w:hAnsi="Arial"/>
                <w:sz w:val="18"/>
                <w:szCs w:val="18"/>
                <w:color w:val="auto"/>
              </w:rPr>
              <w:t>Expiration Date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Expiration Date of the Exchange Offers will be 11:59 p.m., New York City time,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on</w:t>
            </w:r>
          </w:p>
        </w:tc>
        <w:tc>
          <w:tcPr>
            <w:tcW w:w="6540" w:type="dxa"/>
            <w:vAlign w:val="bottom"/>
          </w:tcPr>
          <w:p>
            <w:pPr>
              <w:ind w:left="460"/>
              <w:spacing w:after="0"/>
              <w:rPr>
                <w:sz w:val="20"/>
                <w:szCs w:val="20"/>
                <w:color w:val="auto"/>
              </w:rPr>
            </w:pPr>
            <w:r>
              <w:rPr>
                <w:rFonts w:ascii="Arial" w:cs="Arial" w:eastAsia="Arial" w:hAnsi="Arial"/>
                <w:sz w:val="18"/>
                <w:szCs w:val="18"/>
                <w:color w:val="auto"/>
                <w:w w:val="96"/>
              </w:rPr>
              <w:t>, 2017, unless extended or earlier terminated by us. The term “Expiration Date”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means such date and time or, if we extend any Exchange Offer, the latest date and time to</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which we extend such Exchange Offer.</w:t>
            </w:r>
          </w:p>
        </w:tc>
        <w:tc>
          <w:tcPr>
            <w:tcW w:w="60" w:type="dxa"/>
            <w:vAlign w:val="bottom"/>
          </w:tcPr>
          <w:p>
            <w:pPr>
              <w:spacing w:after="0"/>
              <w:rPr>
                <w:sz w:val="20"/>
                <w:szCs w:val="20"/>
                <w:color w:val="auto"/>
              </w:rPr>
            </w:pPr>
          </w:p>
        </w:tc>
      </w:tr>
      <w:tr>
        <w:trPr>
          <w:trHeight w:val="432"/>
        </w:trPr>
        <w:tc>
          <w:tcPr>
            <w:tcW w:w="4180" w:type="dxa"/>
            <w:vAlign w:val="bottom"/>
          </w:tcPr>
          <w:p>
            <w:pPr>
              <w:ind w:left="100"/>
              <w:spacing w:after="0"/>
              <w:rPr>
                <w:sz w:val="20"/>
                <w:szCs w:val="20"/>
                <w:color w:val="auto"/>
              </w:rPr>
            </w:pPr>
            <w:r>
              <w:rPr>
                <w:rFonts w:ascii="Arial" w:cs="Arial" w:eastAsia="Arial" w:hAnsi="Arial"/>
                <w:sz w:val="18"/>
                <w:szCs w:val="18"/>
                <w:color w:val="auto"/>
              </w:rPr>
              <w:t>Settlement Date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The settlement of the Exchange Offers will occur promptly after the Expiration Date.</w:t>
            </w:r>
          </w:p>
        </w:tc>
        <w:tc>
          <w:tcPr>
            <w:tcW w:w="60" w:type="dxa"/>
            <w:vAlign w:val="bottom"/>
          </w:tcPr>
          <w:p>
            <w:pPr>
              <w:spacing w:after="0"/>
              <w:rPr>
                <w:sz w:val="24"/>
                <w:szCs w:val="24"/>
                <w:color w:val="auto"/>
              </w:rPr>
            </w:pPr>
          </w:p>
        </w:tc>
      </w:tr>
      <w:tr>
        <w:trPr>
          <w:trHeight w:val="418"/>
        </w:trPr>
        <w:tc>
          <w:tcPr>
            <w:tcW w:w="4180" w:type="dxa"/>
            <w:vAlign w:val="bottom"/>
          </w:tcPr>
          <w:p>
            <w:pPr>
              <w:ind w:left="100"/>
              <w:spacing w:after="0"/>
              <w:rPr>
                <w:sz w:val="20"/>
                <w:szCs w:val="20"/>
                <w:color w:val="auto"/>
              </w:rPr>
            </w:pPr>
            <w:r>
              <w:rPr>
                <w:rFonts w:ascii="Arial" w:cs="Arial" w:eastAsia="Arial" w:hAnsi="Arial"/>
                <w:sz w:val="18"/>
                <w:szCs w:val="18"/>
                <w:color w:val="auto"/>
              </w:rPr>
              <w:t>Conditions to the Exchange Offers</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5"/>
              </w:rPr>
              <w:t>Each of the Exchange Offers is subject to customary conditions described in “The Exchange</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Offers — Conditions to the Exchange Offers”, including, among other things, the condition</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8"/>
              </w:rPr>
              <w:t>that no stop order has been issued for the registration statement of which this prospectus</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3"/>
              </w:rPr>
              <w:t>forms a part, or any proceedings for that purpose, and that there shall not have occurred or be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reasonably likely to occur any material adverse change to our business, operations,</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6"/>
              </w:rPr>
              <w:t>properties, condition, assets, liabilities, prospects or financial affairs. None of the Exchange</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5"/>
              </w:rPr>
              <w:t>Offers is conditioned upon the other Exchange Offers, and we may terminate any Exchange</w:t>
            </w:r>
          </w:p>
        </w:tc>
        <w:tc>
          <w:tcPr>
            <w:tcW w:w="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Offer without terminating the other Exchange Offers.</w:t>
            </w:r>
          </w:p>
        </w:tc>
        <w:tc>
          <w:tcPr>
            <w:tcW w:w="60" w:type="dxa"/>
            <w:vAlign w:val="bottom"/>
          </w:tcPr>
          <w:p>
            <w:pPr>
              <w:spacing w:after="0"/>
              <w:rPr>
                <w:sz w:val="20"/>
                <w:szCs w:val="20"/>
                <w:color w:val="auto"/>
              </w:rPr>
            </w:pPr>
          </w:p>
        </w:tc>
      </w:tr>
      <w:tr>
        <w:trPr>
          <w:trHeight w:val="418"/>
        </w:trPr>
        <w:tc>
          <w:tcPr>
            <w:tcW w:w="4180" w:type="dxa"/>
            <w:vAlign w:val="bottom"/>
          </w:tcPr>
          <w:p>
            <w:pPr>
              <w:ind w:left="100"/>
              <w:spacing w:after="0"/>
              <w:rPr>
                <w:sz w:val="20"/>
                <w:szCs w:val="20"/>
                <w:color w:val="auto"/>
              </w:rPr>
            </w:pPr>
            <w:r>
              <w:rPr>
                <w:rFonts w:ascii="Arial" w:cs="Arial" w:eastAsia="Arial" w:hAnsi="Arial"/>
                <w:sz w:val="18"/>
                <w:szCs w:val="18"/>
                <w:color w:val="auto"/>
              </w:rPr>
              <w:t>Extension; Waivers and Amendments</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7"/>
              </w:rPr>
              <w:t>Subject to applicable law, we reserve the right to (1) extend any Exchange Offer; (2) waive</w:t>
            </w:r>
          </w:p>
        </w:tc>
        <w:tc>
          <w:tcPr>
            <w:tcW w:w="60" w:type="dxa"/>
            <w:vAlign w:val="bottom"/>
          </w:tcPr>
          <w:p>
            <w:pPr>
              <w:spacing w:after="0"/>
              <w:rPr>
                <w:sz w:val="24"/>
                <w:szCs w:val="24"/>
                <w:color w:val="auto"/>
              </w:rPr>
            </w:pPr>
          </w:p>
        </w:tc>
      </w:tr>
      <w:tr>
        <w:trPr>
          <w:trHeight w:val="230"/>
        </w:trPr>
        <w:tc>
          <w:tcPr>
            <w:tcW w:w="4180" w:type="dxa"/>
            <w:vAlign w:val="bottom"/>
          </w:tcPr>
          <w:p>
            <w:pPr>
              <w:spacing w:after="0"/>
              <w:rPr>
                <w:sz w:val="20"/>
                <w:szCs w:val="20"/>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any and all conditions to or amend any</w:t>
            </w:r>
          </w:p>
        </w:tc>
        <w:tc>
          <w:tcPr>
            <w:tcW w:w="60" w:type="dxa"/>
            <w:vAlign w:val="bottom"/>
          </w:tcPr>
          <w:p>
            <w:pPr>
              <w:spacing w:after="0"/>
              <w:rPr>
                <w:sz w:val="20"/>
                <w:szCs w:val="20"/>
                <w:color w:val="auto"/>
              </w:rPr>
            </w:pPr>
          </w:p>
        </w:tc>
      </w:tr>
      <w:tr>
        <w:trPr>
          <w:trHeight w:val="415"/>
        </w:trPr>
        <w:tc>
          <w:tcPr>
            <w:tcW w:w="4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4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65"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651"/>
        </w:trPr>
        <w:tc>
          <w:tcPr>
            <w:tcW w:w="3820" w:type="dxa"/>
            <w:vAlign w:val="bottom"/>
            <w:tcBorders>
              <w:top w:val="single" w:sz="8" w:color="auto"/>
              <w:left w:val="single" w:sz="8" w:color="auto"/>
            </w:tcBorders>
          </w:tcPr>
          <w:p>
            <w:pPr>
              <w:spacing w:after="0"/>
              <w:rPr>
                <w:sz w:val="24"/>
                <w:szCs w:val="24"/>
                <w:color w:val="auto"/>
              </w:rPr>
            </w:pPr>
          </w:p>
        </w:tc>
        <w:tc>
          <w:tcPr>
            <w:tcW w:w="7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6"/>
              </w:rPr>
              <w:t>Exchange Offer in any respect (except as to the condition that the registration statement of</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which this prospectus forms a part not being subject to a stop order or any proceedings for</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that purpose, which condition we cannot waive); or (3) terminate any Exchange Offer. None</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of the Exchange Offers is conditioned upon the other Exchange Offers, and we may terminate</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or extend any Exchange Offer without terminating or extending the other Exchange Offers.</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Any extension, waiver, amendment or termination will be followed as promptly as</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practicable by a public announcement thereof, such announcement, in the case of an</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extension, to be issued no later than 9:00 a.m., New York City time, on the next business day</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after the last previously scheduled Expiration Date. See “The Exchange Offers — Expiration</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Date; Extension; Termination; Amendment”.</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Terms of Exchange Notes</w:t>
            </w: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The terms of the Exchange Notes are described in this prospectus under “Description of</w:t>
            </w:r>
          </w:p>
        </w:tc>
        <w:tc>
          <w:tcPr>
            <w:tcW w:w="60" w:type="dxa"/>
            <w:vAlign w:val="bottom"/>
          </w:tcPr>
          <w:p>
            <w:pPr>
              <w:spacing w:after="0"/>
              <w:rPr>
                <w:sz w:val="24"/>
                <w:szCs w:val="24"/>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Exchange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Procedures for Tendering the Original Notes</w:t>
            </w: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You may tender your Original Notes by transferring them through The Depository Trust</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Company’s (the “DTC”) Automated Tender Offer Program (“ATOP”) as described under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Exchange Offers — Procedures for Tendering Original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For further information, call the Exchange Agent at the telephone numbers set forth under</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“The Exchange Agent” or consult your broker, dealer, commercial bank, trust company or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other nominee for assistance.</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If you are a beneficial owner of Original Notes that are held by or registered in the name of a</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broker, dealer, commercial bank, trust company or other nominee or custodian and you wish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to tender your Original Notes in order to participate in the Exchange Offers, you should</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contact your intermediary entity promptly and instruct it to tender the Original Notes on your</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behalf. You should keep in mind that your intermediary may require you to take action with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respect to the Exchange Offers a number of days before the Expiration Date in order for such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entity to tender Original Notes on your behalf at or prior to the Expiration Date in accordance</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with the terms of the Exchange Offers. See “The Exchange Offers — Procedures for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Tendering Original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If you are a beneficial owner of Original Notes through Euroclear or Clearstream</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Luxembourg (each as defined herein) and wish to tender your Original Notes, you must</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instruct Euroclear or Clearstream Luxembourg, as the case may be, to block the account in</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respect of the tendered Original Notes in accordance with the procedures established by</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Euroclear or Clearstream Luxembourg. You are encouraged to contact Euroclear or</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Clearstream Luxembourg directly to ascertain their procedures for tendering Original Notes.</w:t>
            </w:r>
          </w:p>
        </w:tc>
        <w:tc>
          <w:tcPr>
            <w:tcW w:w="60" w:type="dxa"/>
            <w:vAlign w:val="bottom"/>
          </w:tcPr>
          <w:p>
            <w:pPr>
              <w:spacing w:after="0"/>
              <w:rPr>
                <w:sz w:val="20"/>
                <w:szCs w:val="20"/>
                <w:color w:val="auto"/>
              </w:rPr>
            </w:pPr>
          </w:p>
        </w:tc>
      </w:tr>
      <w:tr>
        <w:trPr>
          <w:trHeight w:val="418"/>
        </w:trPr>
        <w:tc>
          <w:tcPr>
            <w:tcW w:w="38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Withdrawal Rights; Non-Acceptance</w:t>
            </w: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You may withdraw your tender of Original Notes at any time prior to the Expiration Date. In</w:t>
            </w:r>
          </w:p>
        </w:tc>
        <w:tc>
          <w:tcPr>
            <w:tcW w:w="60" w:type="dxa"/>
            <w:vAlign w:val="bottom"/>
          </w:tcPr>
          <w:p>
            <w:pPr>
              <w:spacing w:after="0"/>
              <w:rPr>
                <w:sz w:val="24"/>
                <w:szCs w:val="24"/>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event that tendered Original Notes are not withdrawn and not accepted by us for</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exchange, such Original Notes will be promptly returned to such holders or credited to such</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holders’ DTC account in the same manner as tendered to us, unless a holder has indicated</w:t>
            </w:r>
          </w:p>
        </w:tc>
        <w:tc>
          <w:tcPr>
            <w:tcW w:w="60" w:type="dxa"/>
            <w:vAlign w:val="bottom"/>
          </w:tcPr>
          <w:p>
            <w:pPr>
              <w:spacing w:after="0"/>
              <w:rPr>
                <w:sz w:val="18"/>
                <w:szCs w:val="18"/>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other delivery instructions in the related computer-generated message. See “The Exchange</w:t>
            </w:r>
          </w:p>
        </w:tc>
        <w:tc>
          <w:tcPr>
            <w:tcW w:w="60" w:type="dxa"/>
            <w:vAlign w:val="bottom"/>
          </w:tcPr>
          <w:p>
            <w:pPr>
              <w:spacing w:after="0"/>
              <w:rPr>
                <w:sz w:val="18"/>
                <w:szCs w:val="18"/>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Offers — Withdrawal of Tenders” and</w:t>
            </w:r>
          </w:p>
        </w:tc>
        <w:tc>
          <w:tcPr>
            <w:tcW w:w="60" w:type="dxa"/>
            <w:vAlign w:val="bottom"/>
          </w:tcPr>
          <w:p>
            <w:pPr>
              <w:spacing w:after="0"/>
              <w:rPr>
                <w:sz w:val="20"/>
                <w:szCs w:val="20"/>
                <w:color w:val="auto"/>
              </w:rPr>
            </w:pPr>
          </w:p>
        </w:tc>
      </w:tr>
      <w:tr>
        <w:trPr>
          <w:trHeight w:val="415"/>
        </w:trPr>
        <w:tc>
          <w:tcPr>
            <w:tcW w:w="3820" w:type="dxa"/>
            <w:vAlign w:val="bottom"/>
            <w:tcBorders>
              <w:left w:val="single" w:sz="8" w:color="auto"/>
              <w:bottom w:val="single" w:sz="8" w:color="auto"/>
            </w:tcBorders>
          </w:tcPr>
          <w:p>
            <w:pPr>
              <w:spacing w:after="0"/>
              <w:rPr>
                <w:sz w:val="24"/>
                <w:szCs w:val="24"/>
                <w:color w:val="auto"/>
              </w:rPr>
            </w:pPr>
          </w:p>
        </w:tc>
        <w:tc>
          <w:tcPr>
            <w:tcW w:w="754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38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0"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665"/>
        </w:trPr>
        <w:tc>
          <w:tcPr>
            <w:tcW w:w="396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“The Exchange Offers — Terms of the Exchange Offers”.</w:t>
            </w:r>
          </w:p>
        </w:tc>
        <w:tc>
          <w:tcPr>
            <w:tcW w:w="60" w:type="dxa"/>
            <w:vAlign w:val="bottom"/>
          </w:tcPr>
          <w:p>
            <w:pPr>
              <w:spacing w:after="0"/>
              <w:rPr>
                <w:sz w:val="24"/>
                <w:szCs w:val="24"/>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Absence of Dissenters’ Rights of  Appraisal</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You do not have dissenters’ rights of appraisal with respect to the Exchange Offers. See “The</w:t>
            </w:r>
          </w:p>
        </w:tc>
        <w:tc>
          <w:tcPr>
            <w:tcW w:w="60" w:type="dxa"/>
            <w:vAlign w:val="bottom"/>
          </w:tcPr>
          <w:p>
            <w:pPr>
              <w:spacing w:after="0"/>
              <w:rPr>
                <w:sz w:val="24"/>
                <w:szCs w:val="24"/>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Exchange Offers — Absence of Dissenters’ Rights of Appraisal”.</w:t>
            </w:r>
          </w:p>
        </w:tc>
        <w:tc>
          <w:tcPr>
            <w:tcW w:w="60" w:type="dxa"/>
            <w:vAlign w:val="bottom"/>
          </w:tcPr>
          <w:p>
            <w:pPr>
              <w:spacing w:after="0"/>
              <w:rPr>
                <w:sz w:val="20"/>
                <w:szCs w:val="20"/>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8"/>
              </w:rPr>
              <w:t>Certain U.S. Federal Income Tax Considerations</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7"/>
              </w:rPr>
              <w:t>The exchange of notes pursuant to the Exchange Offers generally should not be a taxable</w:t>
            </w:r>
          </w:p>
        </w:tc>
        <w:tc>
          <w:tcPr>
            <w:tcW w:w="6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event for U.S. federal income tax purposes. See “Certain U.S. Federal Income Tax</w:t>
            </w:r>
          </w:p>
        </w:tc>
        <w:tc>
          <w:tcPr>
            <w:tcW w:w="60" w:type="dxa"/>
            <w:vAlign w:val="bottom"/>
          </w:tcPr>
          <w:p>
            <w:pPr>
              <w:spacing w:after="0"/>
              <w:rPr>
                <w:sz w:val="18"/>
                <w:szCs w:val="18"/>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Considerations”.</w:t>
            </w:r>
          </w:p>
        </w:tc>
        <w:tc>
          <w:tcPr>
            <w:tcW w:w="60" w:type="dxa"/>
            <w:vAlign w:val="bottom"/>
          </w:tcPr>
          <w:p>
            <w:pPr>
              <w:spacing w:after="0"/>
              <w:rPr>
                <w:sz w:val="20"/>
                <w:szCs w:val="20"/>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Accounting Treatment</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7"/>
              </w:rPr>
              <w:t>The Exchange Notes will be recorded at the same carrying value as the Original Notes as</w:t>
            </w:r>
          </w:p>
        </w:tc>
        <w:tc>
          <w:tcPr>
            <w:tcW w:w="6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9"/>
              </w:rPr>
              <w:t>reflected in our accounting records on the date of the exchange. Accordingly, we will not</w:t>
            </w:r>
          </w:p>
        </w:tc>
        <w:tc>
          <w:tcPr>
            <w:tcW w:w="6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8"/>
              </w:rPr>
              <w:t>recognize any gain or loss for accounting purposes upon the completion of the Exchange</w:t>
            </w:r>
          </w:p>
        </w:tc>
        <w:tc>
          <w:tcPr>
            <w:tcW w:w="6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Offers. Payments made to other third parties will be expensed as incurred in accordance with</w:t>
            </w:r>
          </w:p>
        </w:tc>
        <w:tc>
          <w:tcPr>
            <w:tcW w:w="6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generally accepted accounting principles. See “The Exchange Offers — Accounting</w:t>
            </w:r>
          </w:p>
        </w:tc>
        <w:tc>
          <w:tcPr>
            <w:tcW w:w="60" w:type="dxa"/>
            <w:vAlign w:val="bottom"/>
          </w:tcPr>
          <w:p>
            <w:pPr>
              <w:spacing w:after="0"/>
              <w:rPr>
                <w:sz w:val="18"/>
                <w:szCs w:val="18"/>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Treatment”.</w:t>
            </w:r>
          </w:p>
        </w:tc>
        <w:tc>
          <w:tcPr>
            <w:tcW w:w="60" w:type="dxa"/>
            <w:vAlign w:val="bottom"/>
          </w:tcPr>
          <w:p>
            <w:pPr>
              <w:spacing w:after="0"/>
              <w:rPr>
                <w:sz w:val="20"/>
                <w:szCs w:val="20"/>
                <w:color w:val="auto"/>
              </w:rPr>
            </w:pPr>
          </w:p>
        </w:tc>
      </w:tr>
      <w:tr>
        <w:trPr>
          <w:trHeight w:val="418"/>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Exchange Agent</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9"/>
              </w:rPr>
              <w:t>The Bank of New York Mellon is the Exchange Agent for the Exchange Offers. See “The</w:t>
            </w:r>
          </w:p>
        </w:tc>
        <w:tc>
          <w:tcPr>
            <w:tcW w:w="60" w:type="dxa"/>
            <w:vAlign w:val="bottom"/>
          </w:tcPr>
          <w:p>
            <w:pPr>
              <w:spacing w:after="0"/>
              <w:rPr>
                <w:sz w:val="24"/>
                <w:szCs w:val="24"/>
                <w:color w:val="auto"/>
              </w:rPr>
            </w:pPr>
          </w:p>
        </w:tc>
      </w:tr>
      <w:tr>
        <w:trPr>
          <w:trHeight w:val="230"/>
        </w:trPr>
        <w:tc>
          <w:tcPr>
            <w:tcW w:w="396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Exchange Agent” herein.</w:t>
            </w:r>
          </w:p>
        </w:tc>
        <w:tc>
          <w:tcPr>
            <w:tcW w:w="60" w:type="dxa"/>
            <w:vAlign w:val="bottom"/>
          </w:tcPr>
          <w:p>
            <w:pPr>
              <w:spacing w:after="0"/>
              <w:rPr>
                <w:sz w:val="20"/>
                <w:szCs w:val="20"/>
                <w:color w:val="auto"/>
              </w:rPr>
            </w:pPr>
          </w:p>
        </w:tc>
      </w:tr>
      <w:tr>
        <w:trPr>
          <w:trHeight w:val="432"/>
        </w:trPr>
        <w:tc>
          <w:tcPr>
            <w:tcW w:w="39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Further Information</w:t>
            </w:r>
          </w:p>
        </w:tc>
        <w:tc>
          <w:tcPr>
            <w:tcW w:w="74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See “The Exchange Offers” for more information concerning the Exchange Offers.</w:t>
            </w:r>
          </w:p>
        </w:tc>
        <w:tc>
          <w:tcPr>
            <w:tcW w:w="60" w:type="dxa"/>
            <w:vAlign w:val="bottom"/>
          </w:tcPr>
          <w:p>
            <w:pPr>
              <w:spacing w:after="0"/>
              <w:rPr>
                <w:sz w:val="24"/>
                <w:szCs w:val="24"/>
                <w:color w:val="auto"/>
              </w:rPr>
            </w:pPr>
          </w:p>
        </w:tc>
      </w:tr>
      <w:tr>
        <w:trPr>
          <w:trHeight w:val="415"/>
        </w:trPr>
        <w:tc>
          <w:tcPr>
            <w:tcW w:w="3960" w:type="dxa"/>
            <w:vAlign w:val="bottom"/>
            <w:tcBorders>
              <w:left w:val="single" w:sz="8" w:color="auto"/>
              <w:bottom w:val="single" w:sz="8" w:color="auto"/>
            </w:tcBorders>
          </w:tcPr>
          <w:p>
            <w:pPr>
              <w:spacing w:after="0"/>
              <w:rPr>
                <w:sz w:val="24"/>
                <w:szCs w:val="24"/>
                <w:color w:val="auto"/>
              </w:rPr>
            </w:pPr>
          </w:p>
        </w:tc>
        <w:tc>
          <w:tcPr>
            <w:tcW w:w="740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39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0" w:right="2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16140" cy="8776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8776970"/>
                    </a:xfrm>
                    <a:prstGeom prst="rect">
                      <a:avLst/>
                    </a:prstGeom>
                    <a:noFill/>
                  </pic:spPr>
                </pic:pic>
              </a:graphicData>
            </a:graphic>
          </wp:anchor>
        </w:drawing>
        <w:t>The Exchange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The following summary contains basic information about the Exchange Notes. It does not contain all of the information that may be important to you.</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For a more complete description of the terms of the Exchange Notes, see “Description of Exchange Notes”.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Issuer</w:t>
            </w:r>
          </w:p>
        </w:tc>
        <w:tc>
          <w:tcPr>
            <w:tcW w:w="8360" w:type="dxa"/>
            <w:vAlign w:val="bottom"/>
          </w:tcPr>
          <w:p>
            <w:pPr>
              <w:ind w:left="1340"/>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0"/>
                <w:szCs w:val="20"/>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Exchange Notes</w:t>
            </w: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The terms of each series of the Original Notes and the applicable series of Exchange Notes</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are identical, except the Exchange Notes offered in the Exchange Offers:</w:t>
            </w:r>
          </w:p>
        </w:tc>
        <w:tc>
          <w:tcPr>
            <w:tcW w:w="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640"/>
              <w:spacing w:after="0"/>
              <w:rPr>
                <w:sz w:val="20"/>
                <w:szCs w:val="20"/>
                <w:color w:val="auto"/>
              </w:rPr>
            </w:pPr>
            <w:r>
              <w:rPr>
                <w:rFonts w:ascii="Arial" w:cs="Arial" w:eastAsia="Arial" w:hAnsi="Arial"/>
                <w:sz w:val="18"/>
                <w:szCs w:val="18"/>
                <w:color w:val="auto"/>
              </w:rPr>
              <w:t>·   will have been registered under the Securities Act;</w:t>
            </w:r>
          </w:p>
        </w:tc>
        <w:tc>
          <w:tcPr>
            <w:tcW w:w="6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8360" w:type="dxa"/>
            <w:vAlign w:val="bottom"/>
          </w:tcPr>
          <w:p>
            <w:pPr>
              <w:ind w:left="1640"/>
              <w:spacing w:after="0"/>
              <w:rPr>
                <w:sz w:val="20"/>
                <w:szCs w:val="20"/>
                <w:color w:val="auto"/>
              </w:rPr>
            </w:pPr>
            <w:r>
              <w:rPr>
                <w:rFonts w:ascii="Arial" w:cs="Arial" w:eastAsia="Arial" w:hAnsi="Arial"/>
                <w:sz w:val="18"/>
                <w:szCs w:val="18"/>
                <w:color w:val="auto"/>
              </w:rPr>
              <w:t>·   will not have transfer restrictions and registration rights that relate to the Original</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980"/>
              <w:spacing w:after="0"/>
              <w:rPr>
                <w:sz w:val="20"/>
                <w:szCs w:val="20"/>
                <w:color w:val="auto"/>
              </w:rPr>
            </w:pPr>
            <w:r>
              <w:rPr>
                <w:rFonts w:ascii="Arial" w:cs="Arial" w:eastAsia="Arial" w:hAnsi="Arial"/>
                <w:sz w:val="18"/>
                <w:szCs w:val="18"/>
                <w:color w:val="auto"/>
              </w:rPr>
              <w:t>Notes; and</w:t>
            </w:r>
          </w:p>
        </w:tc>
        <w:tc>
          <w:tcPr>
            <w:tcW w:w="60" w:type="dxa"/>
            <w:vAlign w:val="bottom"/>
          </w:tcPr>
          <w:p>
            <w:pPr>
              <w:spacing w:after="0"/>
              <w:rPr>
                <w:sz w:val="20"/>
                <w:szCs w:val="20"/>
                <w:color w:val="auto"/>
              </w:rPr>
            </w:pPr>
          </w:p>
        </w:tc>
      </w:tr>
      <w:tr>
        <w:trPr>
          <w:trHeight w:val="418"/>
        </w:trPr>
        <w:tc>
          <w:tcPr>
            <w:tcW w:w="3000" w:type="dxa"/>
            <w:vAlign w:val="bottom"/>
          </w:tcPr>
          <w:p>
            <w:pPr>
              <w:spacing w:after="0"/>
              <w:rPr>
                <w:sz w:val="24"/>
                <w:szCs w:val="24"/>
                <w:color w:val="auto"/>
              </w:rPr>
            </w:pPr>
          </w:p>
        </w:tc>
        <w:tc>
          <w:tcPr>
            <w:tcW w:w="8360" w:type="dxa"/>
            <w:vAlign w:val="bottom"/>
          </w:tcPr>
          <w:p>
            <w:pPr>
              <w:ind w:left="1640"/>
              <w:spacing w:after="0"/>
              <w:rPr>
                <w:sz w:val="20"/>
                <w:szCs w:val="20"/>
                <w:color w:val="auto"/>
              </w:rPr>
            </w:pPr>
            <w:r>
              <w:rPr>
                <w:rFonts w:ascii="Arial" w:cs="Arial" w:eastAsia="Arial" w:hAnsi="Arial"/>
                <w:sz w:val="18"/>
                <w:szCs w:val="18"/>
                <w:color w:val="auto"/>
              </w:rPr>
              <w:t>·   will not have rights relating to the payment of additional interest to holders of</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980"/>
              <w:spacing w:after="0"/>
              <w:rPr>
                <w:sz w:val="20"/>
                <w:szCs w:val="20"/>
                <w:color w:val="auto"/>
              </w:rPr>
            </w:pPr>
            <w:r>
              <w:rPr>
                <w:rFonts w:ascii="Arial" w:cs="Arial" w:eastAsia="Arial" w:hAnsi="Arial"/>
                <w:sz w:val="18"/>
                <w:szCs w:val="18"/>
                <w:color w:val="auto"/>
                <w:w w:val="99"/>
              </w:rPr>
              <w:t>Original Notes if we fail to timely commence and complete the Exchange Offers.</w:t>
            </w:r>
          </w:p>
        </w:tc>
        <w:tc>
          <w:tcPr>
            <w:tcW w:w="60" w:type="dxa"/>
            <w:vAlign w:val="bottom"/>
          </w:tcPr>
          <w:p>
            <w:pPr>
              <w:spacing w:after="0"/>
              <w:rPr>
                <w:sz w:val="20"/>
                <w:szCs w:val="20"/>
                <w:color w:val="auto"/>
              </w:rPr>
            </w:pPr>
          </w:p>
        </w:tc>
      </w:tr>
      <w:tr>
        <w:trPr>
          <w:trHeight w:val="432"/>
        </w:trPr>
        <w:tc>
          <w:tcPr>
            <w:tcW w:w="3000" w:type="dxa"/>
            <w:vAlign w:val="bottom"/>
          </w:tcPr>
          <w:p>
            <w:pPr>
              <w:ind w:left="100"/>
              <w:spacing w:after="0"/>
              <w:rPr>
                <w:sz w:val="20"/>
                <w:szCs w:val="20"/>
                <w:color w:val="auto"/>
              </w:rPr>
            </w:pPr>
            <w:r>
              <w:rPr>
                <w:rFonts w:ascii="Arial" w:cs="Arial" w:eastAsia="Arial" w:hAnsi="Arial"/>
                <w:sz w:val="18"/>
                <w:szCs w:val="18"/>
                <w:color w:val="auto"/>
              </w:rPr>
              <w:t>Notes Offered</w:t>
            </w:r>
          </w:p>
        </w:tc>
        <w:tc>
          <w:tcPr>
            <w:tcW w:w="8360" w:type="dxa"/>
            <w:vAlign w:val="bottom"/>
          </w:tcPr>
          <w:p>
            <w:pPr>
              <w:ind w:left="1340"/>
              <w:spacing w:after="0"/>
              <w:rPr>
                <w:sz w:val="20"/>
                <w:szCs w:val="20"/>
                <w:color w:val="auto"/>
              </w:rPr>
            </w:pPr>
            <w:r>
              <w:rPr>
                <w:rFonts w:ascii="Arial" w:cs="Arial" w:eastAsia="Arial" w:hAnsi="Arial"/>
                <w:sz w:val="18"/>
                <w:szCs w:val="18"/>
                <w:color w:val="auto"/>
              </w:rPr>
              <w:t>3.969% Global Notes due 2047 (the “2047 Exchange Notes”),</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3.999% Global Notes due 2049 (the “2049 Exchange Notes”), and</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4.049% Global Notes due 2052 (the “2052 Exchange Notes”).</w:t>
            </w:r>
          </w:p>
        </w:tc>
        <w:tc>
          <w:tcPr>
            <w:tcW w:w="60" w:type="dxa"/>
            <w:vAlign w:val="bottom"/>
          </w:tcPr>
          <w:p>
            <w:pPr>
              <w:spacing w:after="0"/>
              <w:rPr>
                <w:sz w:val="24"/>
                <w:szCs w:val="24"/>
                <w:color w:val="auto"/>
              </w:rPr>
            </w:pPr>
          </w:p>
        </w:tc>
      </w:tr>
      <w:tr>
        <w:trPr>
          <w:trHeight w:val="432"/>
        </w:trPr>
        <w:tc>
          <w:tcPr>
            <w:tcW w:w="3000" w:type="dxa"/>
            <w:vAlign w:val="bottom"/>
          </w:tcPr>
          <w:p>
            <w:pPr>
              <w:ind w:left="100"/>
              <w:spacing w:after="0"/>
              <w:rPr>
                <w:sz w:val="20"/>
                <w:szCs w:val="20"/>
                <w:color w:val="auto"/>
              </w:rPr>
            </w:pPr>
            <w:r>
              <w:rPr>
                <w:rFonts w:ascii="Arial" w:cs="Arial" w:eastAsia="Arial" w:hAnsi="Arial"/>
                <w:sz w:val="18"/>
                <w:szCs w:val="18"/>
                <w:color w:val="auto"/>
              </w:rPr>
              <w:t>Maturity</w:t>
            </w:r>
          </w:p>
        </w:tc>
        <w:tc>
          <w:tcPr>
            <w:tcW w:w="8360" w:type="dxa"/>
            <w:vAlign w:val="bottom"/>
          </w:tcPr>
          <w:p>
            <w:pPr>
              <w:ind w:left="1340"/>
              <w:spacing w:after="0"/>
              <w:rPr>
                <w:sz w:val="20"/>
                <w:szCs w:val="20"/>
                <w:color w:val="auto"/>
              </w:rPr>
            </w:pPr>
            <w:r>
              <w:rPr>
                <w:rFonts w:ascii="Arial" w:cs="Arial" w:eastAsia="Arial" w:hAnsi="Arial"/>
                <w:sz w:val="18"/>
                <w:szCs w:val="18"/>
                <w:color w:val="auto"/>
              </w:rPr>
              <w:t>November 1, 2047 for the 2047 Exchange Notes.</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November 1, 2047 for the 2049 Exchange Notes.</w:t>
            </w:r>
          </w:p>
        </w:tc>
        <w:tc>
          <w:tcPr>
            <w:tcW w:w="60" w:type="dxa"/>
            <w:vAlign w:val="bottom"/>
          </w:tcPr>
          <w:p>
            <w:pPr>
              <w:spacing w:after="0"/>
              <w:rPr>
                <w:sz w:val="24"/>
                <w:szCs w:val="24"/>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November 1, 2047 for the 2052 Exchange Notes.</w:t>
            </w:r>
          </w:p>
        </w:tc>
        <w:tc>
          <w:tcPr>
            <w:tcW w:w="60" w:type="dxa"/>
            <w:vAlign w:val="bottom"/>
          </w:tcPr>
          <w:p>
            <w:pPr>
              <w:spacing w:after="0"/>
              <w:rPr>
                <w:sz w:val="24"/>
                <w:szCs w:val="24"/>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Interest</w:t>
            </w:r>
          </w:p>
        </w:tc>
        <w:tc>
          <w:tcPr>
            <w:tcW w:w="8360" w:type="dxa"/>
            <w:vAlign w:val="bottom"/>
          </w:tcPr>
          <w:p>
            <w:pPr>
              <w:ind w:left="1340"/>
              <w:spacing w:after="0"/>
              <w:rPr>
                <w:sz w:val="20"/>
                <w:szCs w:val="20"/>
                <w:color w:val="auto"/>
              </w:rPr>
            </w:pPr>
            <w:r>
              <w:rPr>
                <w:rFonts w:ascii="Arial" w:cs="Arial" w:eastAsia="Arial" w:hAnsi="Arial"/>
                <w:sz w:val="18"/>
                <w:szCs w:val="18"/>
                <w:color w:val="auto"/>
                <w:w w:val="99"/>
              </w:rPr>
              <w:t>Interest on the 2047 Exchange Notes will accrue at the rate of 3.969% per year, payable</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semiannually in cash in arrears on May 1 and November 1, beginning May 1, 2018. Interest</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3"/>
              </w:rPr>
              <w:t>on the 2049 Exchange Notes will accrue at the rate of 3.999% per year, payable semiannually</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7"/>
              </w:rPr>
              <w:t>in cash in arrears on May 1 and November 1, beginning May 1, 2018. Interest on the 2052</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Exchange Notes will accrue at the rate of 4.049% per year, payable semiannually in cash in</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arrears on May 1 and November 1, beginning May 1, 2018.</w:t>
            </w:r>
          </w:p>
        </w:tc>
        <w:tc>
          <w:tcPr>
            <w:tcW w:w="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Interest on the Exchange Notes will accrue from October 19, 2017.</w:t>
            </w:r>
          </w:p>
        </w:tc>
        <w:tc>
          <w:tcPr>
            <w:tcW w:w="60" w:type="dxa"/>
            <w:vAlign w:val="bottom"/>
          </w:tcPr>
          <w:p>
            <w:pPr>
              <w:spacing w:after="0"/>
              <w:rPr>
                <w:sz w:val="24"/>
                <w:szCs w:val="24"/>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Ranking</w:t>
            </w:r>
          </w:p>
        </w:tc>
        <w:tc>
          <w:tcPr>
            <w:tcW w:w="8360" w:type="dxa"/>
            <w:vAlign w:val="bottom"/>
          </w:tcPr>
          <w:p>
            <w:pPr>
              <w:ind w:left="1340"/>
              <w:spacing w:after="0"/>
              <w:rPr>
                <w:sz w:val="20"/>
                <w:szCs w:val="20"/>
                <w:color w:val="auto"/>
              </w:rPr>
            </w:pPr>
            <w:r>
              <w:rPr>
                <w:rFonts w:ascii="Arial" w:cs="Arial" w:eastAsia="Arial" w:hAnsi="Arial"/>
                <w:sz w:val="18"/>
                <w:szCs w:val="18"/>
                <w:color w:val="auto"/>
              </w:rPr>
              <w:t>The Exchange Notes will be unsecured and will rank equally with all of our and the</w:t>
            </w:r>
          </w:p>
        </w:tc>
        <w:tc>
          <w:tcPr>
            <w:tcW w:w="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guarantors’ unsecured and unsubordinated indebtedness.</w:t>
            </w:r>
          </w:p>
        </w:tc>
        <w:tc>
          <w:tcPr>
            <w:tcW w:w="60" w:type="dxa"/>
            <w:vAlign w:val="bottom"/>
          </w:tcPr>
          <w:p>
            <w:pPr>
              <w:spacing w:after="0"/>
              <w:rPr>
                <w:sz w:val="20"/>
                <w:szCs w:val="20"/>
                <w:color w:val="auto"/>
              </w:rPr>
            </w:pPr>
          </w:p>
        </w:tc>
      </w:tr>
      <w:tr>
        <w:trPr>
          <w:trHeight w:val="432"/>
        </w:trPr>
        <w:tc>
          <w:tcPr>
            <w:tcW w:w="3000" w:type="dxa"/>
            <w:vAlign w:val="bottom"/>
          </w:tcPr>
          <w:p>
            <w:pPr>
              <w:ind w:left="100"/>
              <w:spacing w:after="0"/>
              <w:rPr>
                <w:sz w:val="20"/>
                <w:szCs w:val="20"/>
                <w:color w:val="auto"/>
              </w:rPr>
            </w:pPr>
            <w:r>
              <w:rPr>
                <w:rFonts w:ascii="Arial" w:cs="Arial" w:eastAsia="Arial" w:hAnsi="Arial"/>
                <w:sz w:val="18"/>
                <w:szCs w:val="18"/>
                <w:color w:val="auto"/>
              </w:rPr>
              <w:t>Guarantors</w:t>
            </w:r>
          </w:p>
        </w:tc>
        <w:tc>
          <w:tcPr>
            <w:tcW w:w="8360" w:type="dxa"/>
            <w:vAlign w:val="bottom"/>
          </w:tcPr>
          <w:p>
            <w:pPr>
              <w:ind w:left="1340"/>
              <w:spacing w:after="0"/>
              <w:rPr>
                <w:sz w:val="20"/>
                <w:szCs w:val="20"/>
                <w:color w:val="auto"/>
              </w:rPr>
            </w:pPr>
            <w:r>
              <w:rPr>
                <w:rFonts w:ascii="Arial" w:cs="Arial" w:eastAsia="Arial" w:hAnsi="Arial"/>
                <w:sz w:val="18"/>
                <w:szCs w:val="18"/>
                <w:color w:val="auto"/>
              </w:rPr>
              <w:t>Comcast Cable Communications and NBCUniversal.</w:t>
            </w:r>
          </w:p>
        </w:tc>
        <w:tc>
          <w:tcPr>
            <w:tcW w:w="60" w:type="dxa"/>
            <w:vAlign w:val="bottom"/>
          </w:tcPr>
          <w:p>
            <w:pPr>
              <w:spacing w:after="0"/>
              <w:rPr>
                <w:sz w:val="24"/>
                <w:szCs w:val="24"/>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Guarantees</w:t>
            </w:r>
          </w:p>
        </w:tc>
        <w:tc>
          <w:tcPr>
            <w:tcW w:w="8360" w:type="dxa"/>
            <w:vAlign w:val="bottom"/>
          </w:tcPr>
          <w:p>
            <w:pPr>
              <w:ind w:left="1340"/>
              <w:spacing w:after="0"/>
              <w:rPr>
                <w:sz w:val="20"/>
                <w:szCs w:val="20"/>
                <w:color w:val="auto"/>
              </w:rPr>
            </w:pPr>
            <w:r>
              <w:rPr>
                <w:rFonts w:ascii="Arial" w:cs="Arial" w:eastAsia="Arial" w:hAnsi="Arial"/>
                <w:sz w:val="18"/>
                <w:szCs w:val="18"/>
                <w:color w:val="auto"/>
                <w:w w:val="98"/>
              </w:rPr>
              <w:t>The guarantors will fully and unconditionally guarantee the Exchange Notes, including the</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6"/>
              </w:rPr>
              <w:t>payment of principal, premium, if any, and interest. The guarantees will rank equally with all</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other general unsecured and unsubordinated obligations of the guarantors.</w:t>
            </w:r>
          </w:p>
        </w:tc>
        <w:tc>
          <w:tcPr>
            <w:tcW w:w="60" w:type="dxa"/>
            <w:vAlign w:val="bottom"/>
          </w:tcPr>
          <w:p>
            <w:pPr>
              <w:spacing w:after="0"/>
              <w:rPr>
                <w:sz w:val="20"/>
                <w:szCs w:val="20"/>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8360" w:type="dxa"/>
            <w:vAlign w:val="bottom"/>
          </w:tcPr>
          <w:p>
            <w:pPr>
              <w:ind w:left="1340"/>
              <w:spacing w:after="0"/>
              <w:rPr>
                <w:sz w:val="20"/>
                <w:szCs w:val="20"/>
                <w:color w:val="auto"/>
              </w:rPr>
            </w:pPr>
            <w:r>
              <w:rPr>
                <w:rFonts w:ascii="Arial" w:cs="Arial" w:eastAsia="Arial" w:hAnsi="Arial"/>
                <w:sz w:val="18"/>
                <w:szCs w:val="18"/>
                <w:color w:val="auto"/>
                <w:w w:val="94"/>
              </w:rPr>
              <w:t>We may, at our option, redeem any series of Exchange Notes, in whole or in part, at any time</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4"/>
              </w:rPr>
              <w:t>at the applicable Redemption Price determined as set forth under the heading “Description of</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the Notes—Optional Redemption of the Exchange Notes”.</w:t>
            </w:r>
          </w:p>
        </w:tc>
        <w:tc>
          <w:tcPr>
            <w:tcW w:w="60" w:type="dxa"/>
            <w:vAlign w:val="bottom"/>
          </w:tcPr>
          <w:p>
            <w:pPr>
              <w:spacing w:after="0"/>
              <w:rPr>
                <w:sz w:val="20"/>
                <w:szCs w:val="20"/>
                <w:color w:val="auto"/>
              </w:rPr>
            </w:pPr>
          </w:p>
        </w:tc>
      </w:tr>
      <w:tr>
        <w:trPr>
          <w:trHeight w:val="418"/>
        </w:trPr>
        <w:tc>
          <w:tcPr>
            <w:tcW w:w="3000" w:type="dxa"/>
            <w:vAlign w:val="bottom"/>
          </w:tcPr>
          <w:p>
            <w:pPr>
              <w:ind w:left="100"/>
              <w:spacing w:after="0"/>
              <w:rPr>
                <w:sz w:val="20"/>
                <w:szCs w:val="20"/>
                <w:color w:val="auto"/>
              </w:rPr>
            </w:pPr>
            <w:r>
              <w:rPr>
                <w:rFonts w:ascii="Arial" w:cs="Arial" w:eastAsia="Arial" w:hAnsi="Arial"/>
                <w:sz w:val="18"/>
                <w:szCs w:val="18"/>
                <w:color w:val="auto"/>
              </w:rPr>
              <w:t>Book-Entry</w:t>
            </w:r>
          </w:p>
        </w:tc>
        <w:tc>
          <w:tcPr>
            <w:tcW w:w="8360" w:type="dxa"/>
            <w:vAlign w:val="bottom"/>
          </w:tcPr>
          <w:p>
            <w:pPr>
              <w:ind w:left="1340"/>
              <w:spacing w:after="0"/>
              <w:rPr>
                <w:sz w:val="20"/>
                <w:szCs w:val="20"/>
                <w:color w:val="auto"/>
              </w:rPr>
            </w:pPr>
            <w:r>
              <w:rPr>
                <w:rFonts w:ascii="Arial" w:cs="Arial" w:eastAsia="Arial" w:hAnsi="Arial"/>
                <w:sz w:val="18"/>
                <w:szCs w:val="18"/>
                <w:color w:val="auto"/>
              </w:rPr>
              <w:t>The Exchange Notes will be issued in book-entry form and will be represented by global</w:t>
            </w:r>
          </w:p>
        </w:tc>
        <w:tc>
          <w:tcPr>
            <w:tcW w:w="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notes deposited with, or on behalf of, DTC and registered in the name of DTC or its</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nominees. Beneficial interests in any of the notes will be shown on, and transfers will be</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effected only through, records maintained by DTC or its nominee or indirectly through</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w w:val="95"/>
              </w:rPr>
              <w:t>organizations that have accounts with DTC, including Euroclear and Clearstream, and these</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beneficial interests may not be exchanged for certificated notes, except in limited</w:t>
            </w:r>
          </w:p>
        </w:tc>
        <w:tc>
          <w:tcPr>
            <w:tcW w:w="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circumstances. See “Description of the Notes—Book-Entry System” in this prospectus</w:t>
            </w:r>
          </w:p>
        </w:tc>
        <w:tc>
          <w:tcPr>
            <w:tcW w:w="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8360" w:type="dxa"/>
            <w:vAlign w:val="bottom"/>
          </w:tcPr>
          <w:p>
            <w:pPr>
              <w:ind w:left="1340"/>
              <w:spacing w:after="0"/>
              <w:rPr>
                <w:sz w:val="20"/>
                <w:szCs w:val="20"/>
                <w:color w:val="auto"/>
              </w:rPr>
            </w:pPr>
            <w:r>
              <w:rPr>
                <w:rFonts w:ascii="Arial" w:cs="Arial" w:eastAsia="Arial" w:hAnsi="Arial"/>
                <w:sz w:val="18"/>
                <w:szCs w:val="18"/>
                <w:color w:val="auto"/>
              </w:rPr>
              <w:t>supplement.</w:t>
            </w:r>
          </w:p>
        </w:tc>
        <w:tc>
          <w:tcPr>
            <w:tcW w:w="60" w:type="dxa"/>
            <w:vAlign w:val="bottom"/>
          </w:tcPr>
          <w:p>
            <w:pPr>
              <w:spacing w:after="0"/>
              <w:rPr>
                <w:sz w:val="20"/>
                <w:szCs w:val="20"/>
                <w:color w:val="auto"/>
              </w:rPr>
            </w:pPr>
          </w:p>
        </w:tc>
      </w:tr>
      <w:tr>
        <w:trPr>
          <w:trHeight w:val="415"/>
        </w:trPr>
        <w:tc>
          <w:tcPr>
            <w:tcW w:w="30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63"/>
        </w:trPr>
        <w:tc>
          <w:tcPr>
            <w:tcW w:w="30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99"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Any investment in the Exchange Notes involves a high degree of risk, including but not limited to the risks described below. In addition, you should carefully consider, among other things, the matters discussed under “Item 1A—Risk Factors” beginning on page 25 of our Annual Report on Form 10-K for the fiscal year ended December 31, 2016,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Exchange Offers</w:t>
      </w:r>
    </w:p>
    <w:p>
      <w:pPr>
        <w:spacing w:after="0" w:line="229" w:lineRule="exact"/>
        <w:rPr>
          <w:sz w:val="20"/>
          <w:szCs w:val="20"/>
          <w:color w:val="auto"/>
        </w:rPr>
      </w:pPr>
    </w:p>
    <w:p>
      <w:pPr>
        <w:ind w:left="180" w:right="180"/>
        <w:spacing w:after="0" w:line="342" w:lineRule="auto"/>
        <w:rPr>
          <w:sz w:val="20"/>
          <w:szCs w:val="20"/>
          <w:color w:val="auto"/>
        </w:rPr>
      </w:pPr>
      <w:r>
        <w:rPr>
          <w:rFonts w:ascii="Arial" w:cs="Arial" w:eastAsia="Arial" w:hAnsi="Arial"/>
          <w:sz w:val="16"/>
          <w:szCs w:val="16"/>
          <w:b w:val="1"/>
          <w:bCs w:val="1"/>
          <w:i w:val="1"/>
          <w:iCs w:val="1"/>
          <w:color w:val="auto"/>
        </w:rPr>
        <w:t>Our board of directors has not made a recommendation as to whether you should tender your Original Notes in exchange for Exchange Notes in the Exchange Offers, and we have not obtained a third-party determination that the Exchange Offers are fair to holders of our Original Notes.</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board of directors has not made, and will not make, any recommendation as to whether holders of Original Notes should tender their Original Notes in exchange for Exchange Notes pursuant to the Exchange Offers. We have not retained, and do not intend to retain, any unaffiliated representative to act solely on behalf of the holders of the Original Notes for purposes of negotiating the terms of these Exchange Offers, or preparing a report or making any recommendation concerning the fairness of these Exchange Offers. Therefore, if you tender your Original Notes, you may not receive more than or as much value as if you chose to keep them. Holders of Original Notes must make their own independent decisions regarding their participation in the Exchange Offers.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Exchange Offers may be cancelled or delayed.</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consummation of the Exchange Offers is subject to, and conditional upon, the satisfaction or waiver of the conditions discussed under “The Exchange Offers — Conditions to the Exchange Offers”. We may, at our option and in our sole discretion, waive any such conditions. Even if the Exchange Offers are completed, the Exchange Offers may not be completed on the schedule described in this prospectus. Accordingly, holders participating in the Exchange Offers may have to wait longer than expected to receive their Exchange Notes during which time those holders of the Original Notes will not be able to effect transfers of their Original Notes tendered for exchange.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you fail to exchange your Original Notes, they will continue to be restricted securities and may become less liquid.</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Original Notes that you do not tender or that we do not accept will, following the Exchange Offers,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Offers only following the satisfaction of the procedures and conditions set forth in “The Exchange Offers — Conditions to the Exchange Offers” and “The Exchange Offers — 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w:t>
      </w:r>
    </w:p>
    <w:p>
      <w:pPr>
        <w:spacing w:after="0" w:line="16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Because we anticipate that most holders of Original Notes will elect to exchange their Original Notes, we expect that the liquidity of the market for any Original Notes remaining after the completion of the Exchange Offers will be substantially limited. Any Original Notes tendered and exchanged in the Exchange Offers will reduce the aggregate principal amount of the applicable series of Original Notes outstanding. Following the Exchange Offers, if you do not tender your Original Notes, you generally will not have any further registration rights, and your Original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Notes will continue to be subject to certain transfer restrictions. Accordingly, the liquidity of the market for the Original Notes could be adversely affected.</w:t>
      </w:r>
    </w:p>
    <w:p>
      <w:pPr>
        <w:spacing w:after="0" w:line="24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If an active trading market does not develop for the Exchange Notes, you may be unable to sell the Exchange Notes or to sell them at a price you deem sufficient.</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Offers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178"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We may repurchase any Original Notes that are not accepted for purchase and exchange in the Exchange Offers in future transactions on terms that are more favorable to the holders of the Original Notes than the terms of the Exchange Offers.</w:t>
      </w:r>
    </w:p>
    <w:p>
      <w:pPr>
        <w:spacing w:after="0" w:line="170"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may, from time to time after completion of the Exchange Offers,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Offers. Any future purchases or exchanges by us will depend on various factors existing at that time. There can be no assurance as to which, if any, of these alternatives (or combinations thereof) we may choose to pursue in the future.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Some noteholders may be required to comply with the registration and prospectus delivery requirements of the Securities Act.</w:t>
      </w:r>
    </w:p>
    <w:p>
      <w:pPr>
        <w:spacing w:after="0" w:line="225"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If you exchange your Original Notes in the Exchange Offers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Exchange Offers are intended to satisfy our obligations under the Registration Rights Agreement entered into in connection with the issuance of the Original Notes. We will not receive any cash proceeds from the issuance of the Exchange Notes in the Exchange Offers. The Original Notes surrendered and exchanged for the Exchange Notes will be retired and canceled.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20" w:type="dxa"/>
            <w:vAlign w:val="bottom"/>
            <w:gridSpan w:val="8"/>
          </w:tcPr>
          <w:p>
            <w:pPr>
              <w:ind w:left="40"/>
              <w:spacing w:after="0"/>
              <w:rPr>
                <w:sz w:val="20"/>
                <w:szCs w:val="20"/>
                <w:color w:val="auto"/>
              </w:rPr>
            </w:pPr>
            <w:r>
              <w:rPr>
                <w:rFonts w:ascii="Arial" w:cs="Arial" w:eastAsia="Arial" w:hAnsi="Arial"/>
                <w:sz w:val="18"/>
                <w:szCs w:val="18"/>
                <w:b w:val="1"/>
                <w:bCs w:val="1"/>
                <w:color w:val="auto"/>
              </w:rPr>
              <w:t>RATIOS OF EARNINGS TO FIXED CHARGES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8580" w:type="dxa"/>
            <w:vAlign w:val="bottom"/>
            <w:gridSpan w:val="11"/>
          </w:tcPr>
          <w:p>
            <w:pPr>
              <w:ind w:left="340"/>
              <w:spacing w:after="0"/>
              <w:rPr>
                <w:sz w:val="20"/>
                <w:szCs w:val="20"/>
                <w:color w:val="auto"/>
              </w:rPr>
            </w:pPr>
            <w:r>
              <w:rPr>
                <w:rFonts w:ascii="Arial" w:cs="Arial" w:eastAsia="Arial" w:hAnsi="Arial"/>
                <w:sz w:val="18"/>
                <w:szCs w:val="18"/>
                <w:color w:val="auto"/>
              </w:rPr>
              <w:t>Our ratio of earnings to fixed charges was as follows for the respective periods indicated: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4"/>
        </w:trPr>
        <w:tc>
          <w:tcPr>
            <w:tcW w:w="2640" w:type="dxa"/>
            <w:vAlign w:val="bottom"/>
            <w:gridSpan w:val="2"/>
          </w:tcPr>
          <w:p>
            <w:pPr>
              <w:ind w:left="460"/>
              <w:spacing w:after="0"/>
              <w:rPr>
                <w:sz w:val="20"/>
                <w:szCs w:val="20"/>
                <w:color w:val="auto"/>
              </w:rPr>
            </w:pPr>
            <w:r>
              <w:rPr>
                <w:rFonts w:ascii="Arial" w:cs="Arial" w:eastAsia="Arial" w:hAnsi="Arial"/>
                <w:sz w:val="18"/>
                <w:szCs w:val="18"/>
                <w:b w:val="1"/>
                <w:bCs w:val="1"/>
                <w:color w:val="auto"/>
              </w:rPr>
              <w:t>For the Nine Months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2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Ended September 30,</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60" w:type="dxa"/>
            <w:vAlign w:val="bottom"/>
            <w:gridSpan w:val="5"/>
          </w:tcPr>
          <w:p>
            <w:pPr>
              <w:ind w:left="80"/>
              <w:spacing w:after="0"/>
              <w:rPr>
                <w:sz w:val="20"/>
                <w:szCs w:val="20"/>
                <w:color w:val="auto"/>
              </w:rPr>
            </w:pPr>
            <w:r>
              <w:rPr>
                <w:rFonts w:ascii="Arial" w:cs="Arial" w:eastAsia="Arial" w:hAnsi="Arial"/>
                <w:sz w:val="18"/>
                <w:szCs w:val="18"/>
                <w:b w:val="1"/>
                <w:bCs w:val="1"/>
                <w:color w:val="auto"/>
                <w:w w:val="96"/>
              </w:rPr>
              <w:t>For the Years Ended December 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252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8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2420" w:type="dxa"/>
            <w:vAlign w:val="bottom"/>
            <w:tcBorders>
              <w:top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10"/>
        </w:trPr>
        <w:tc>
          <w:tcPr>
            <w:tcW w:w="25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0"/>
              </w:rPr>
              <w:t>5.50x</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jc w:val="center"/>
              <w:ind w:left="510"/>
              <w:spacing w:after="0"/>
              <w:rPr>
                <w:sz w:val="20"/>
                <w:szCs w:val="20"/>
                <w:color w:val="auto"/>
              </w:rPr>
            </w:pPr>
            <w:r>
              <w:rPr>
                <w:rFonts w:ascii="Arial" w:cs="Arial" w:eastAsia="Arial" w:hAnsi="Arial"/>
                <w:sz w:val="18"/>
                <w:szCs w:val="18"/>
                <w:color w:val="auto"/>
                <w:w w:val="90"/>
              </w:rPr>
              <w:t>5.26x</w:t>
            </w:r>
          </w:p>
        </w:tc>
        <w:tc>
          <w:tcPr>
            <w:tcW w:w="6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center"/>
              <w:ind w:left="490"/>
              <w:spacing w:after="0"/>
              <w:rPr>
                <w:sz w:val="20"/>
                <w:szCs w:val="20"/>
                <w:color w:val="auto"/>
              </w:rPr>
            </w:pPr>
            <w:r>
              <w:rPr>
                <w:rFonts w:ascii="Arial" w:cs="Arial" w:eastAsia="Arial" w:hAnsi="Arial"/>
                <w:sz w:val="18"/>
                <w:szCs w:val="18"/>
                <w:color w:val="auto"/>
                <w:w w:val="90"/>
              </w:rPr>
              <w:t>5.48x</w:t>
            </w:r>
          </w:p>
        </w:tc>
        <w:tc>
          <w:tcPr>
            <w:tcW w:w="5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7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0"/>
              </w:rPr>
              <w:t>5.22x</w:t>
            </w:r>
          </w:p>
        </w:tc>
        <w:tc>
          <w:tcPr>
            <w:tcW w:w="100" w:type="dxa"/>
            <w:vAlign w:val="bottom"/>
            <w:tcBorders>
              <w:top w:val="single" w:sz="8" w:color="D5EAEA"/>
            </w:tcBorders>
            <w:shd w:val="clear" w:color="auto" w:fill="D5EAEA"/>
          </w:tcPr>
          <w:p>
            <w:pPr>
              <w:spacing w:after="0"/>
              <w:rPr>
                <w:sz w:val="18"/>
                <w:szCs w:val="18"/>
                <w:color w:val="auto"/>
              </w:rPr>
            </w:pPr>
          </w:p>
        </w:tc>
        <w:tc>
          <w:tcPr>
            <w:tcW w:w="440" w:type="dxa"/>
            <w:vAlign w:val="bottom"/>
            <w:tcBorders>
              <w:top w:val="single" w:sz="8" w:color="auto"/>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jc w:val="center"/>
              <w:ind w:right="350"/>
              <w:spacing w:after="0"/>
              <w:rPr>
                <w:sz w:val="20"/>
                <w:szCs w:val="20"/>
                <w:color w:val="auto"/>
              </w:rPr>
            </w:pPr>
            <w:r>
              <w:rPr>
                <w:rFonts w:ascii="Arial" w:cs="Arial" w:eastAsia="Arial" w:hAnsi="Arial"/>
                <w:sz w:val="18"/>
                <w:szCs w:val="18"/>
                <w:color w:val="auto"/>
                <w:w w:val="95"/>
              </w:rPr>
              <w:t>4.85x</w:t>
            </w:r>
          </w:p>
        </w:tc>
        <w:tc>
          <w:tcPr>
            <w:tcW w:w="100" w:type="dxa"/>
            <w:vAlign w:val="bottom"/>
            <w:tcBorders>
              <w:top w:val="single" w:sz="8" w:color="D5EAEA"/>
            </w:tcBorders>
            <w:shd w:val="clear" w:color="auto" w:fill="D5EAEA"/>
          </w:tcPr>
          <w:p>
            <w:pPr>
              <w:spacing w:after="0"/>
              <w:rPr>
                <w:sz w:val="18"/>
                <w:szCs w:val="18"/>
                <w:color w:val="auto"/>
              </w:rPr>
            </w:pPr>
          </w:p>
        </w:tc>
        <w:tc>
          <w:tcPr>
            <w:tcW w:w="148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0"/>
              </w:rPr>
              <w:t>4.82x</w:t>
            </w:r>
          </w:p>
        </w:tc>
      </w:tr>
    </w:tbl>
    <w:p>
      <w:pPr>
        <w:spacing w:after="0" w:line="202"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For purposes of calculating the ratio, earnings is the amount resulting from (1) adding (a) pretax income from continuing operations before adjustment for noncontrolling interests in consolidated subsidiaries or income or loss from equity investees, (b) fixed charges, (c) amortization of capitalized interest,</w:t>
      </w:r>
    </w:p>
    <w:p>
      <w:pPr>
        <w:ind w:firstLine="8"/>
        <w:spacing w:after="0" w:line="29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Interest associated with our uncertain tax positions is a component of income tax expense.</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THE EXCHANGE OFFERS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Offers</w:t>
      </w:r>
    </w:p>
    <w:p>
      <w:pPr>
        <w:spacing w:after="0" w:line="229"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We are offering to exchange our (i) 3.969% Notes due 2047, which have been registered under the Securities Act and which we refer to as the “2047 Exchange Notes”, for our outstanding 3.969% Notes due 2047, which have not been so registered and which we refer to as the “2047 Original Notes”, (ii)</w:t>
      </w:r>
    </w:p>
    <w:p>
      <w:pPr>
        <w:spacing w:after="0"/>
        <w:rPr>
          <w:sz w:val="20"/>
          <w:szCs w:val="20"/>
          <w:color w:val="auto"/>
        </w:rPr>
      </w:pPr>
      <w:r>
        <w:rPr>
          <w:rFonts w:ascii="Arial" w:cs="Arial" w:eastAsia="Arial" w:hAnsi="Arial"/>
          <w:sz w:val="17"/>
          <w:szCs w:val="17"/>
          <w:color w:val="auto"/>
        </w:rPr>
        <w:t>3.999% Notes due 2049, which have been registered under the Securities Act and which we refer to as the “2049 Exchange Notes”, for our outstanding</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3.999% Notes due 2049, which have not been so registered and which we refer to as the “2049 Original Notes” and (iii) 4.049% Notes due 2052, which have been registered under the Securities Act and which we refer to as the “2052 Exchange Notes”, for our outstanding 4.049% Notes due 2052, which have not been so registered and which we refer to as the “2052 Original Notes”. We refer to these exchange offers as the “Exchange Offers”.</w:t>
      </w:r>
    </w:p>
    <w:p>
      <w:pPr>
        <w:spacing w:after="0" w:line="15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October 19, 2017, Comcast and NBCUniversal consummated a previous exchange offer to exchange up to $4.0 billion in aggregate principal amount of (i) Comcast’s outstanding 6.950% Notes due 2037, 6.550% Notes due 2039, 6.400% Notes due March 1, 2040, 6.450% Notes due 2037, 6.400% Notes due 2038, 6.500% Notes due 2035 and 5.650% Notes due 2035, and (ii) NBCUniversal’s outstanding 6.400% Notes due April 30, 2040 and 5.950% Notes due 2041, for up to $2,000,000,000 in aggregate principal amount of 2047 Original Notes, up to $2,000,000,000 in aggregate principal amount of Original 2049 Notes and up to $1,500,000,000 in aggregate principal amount of 2052 Original Notes.</w:t>
      </w:r>
    </w:p>
    <w:p>
      <w:pPr>
        <w:spacing w:after="0" w:line="17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previous exchange offer, Comcast and the guarantors entered into the Registration Rights Agreement, with Credit Suisse Securities (USA) LLC, Goldman Sachs &amp; Co. LLC, Citigroup Global Markets Inc., Deutsche Bank Securities Inc. and Wells Fargo Securities LLC, as joint-lead dealer managers and as representatives of the several dealer managers for the previous exchange offer, whom we refer to collectively as the “Dealer Managers”. Under the Registration Rights Agreement, we agreed to file and to use our reasonable efforts to have declared effective the exchange offer registration statement under the Securities Act and to consummate the Exchange Offers.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We are making the Exchange Offers in reliance on the position of the SEC as set forth in </w:t>
      </w:r>
      <w:r>
        <w:rPr>
          <w:rFonts w:ascii="Arial" w:cs="Arial" w:eastAsia="Arial" w:hAnsi="Arial"/>
          <w:sz w:val="16"/>
          <w:szCs w:val="16"/>
          <w:i w:val="1"/>
          <w:iCs w:val="1"/>
          <w:color w:val="auto"/>
        </w:rPr>
        <w:t>Exxon Capital Holdings Corporation</w:t>
      </w:r>
      <w:r>
        <w:rPr>
          <w:rFonts w:ascii="Arial" w:cs="Arial" w:eastAsia="Arial" w:hAnsi="Arial"/>
          <w:sz w:val="16"/>
          <w:szCs w:val="16"/>
          <w:color w:val="auto"/>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6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Any holder of the Original Notes using the Exchange Offers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 You may not participate in the Exchange Offers if you are a broker-dealer tendering Original Notes that you acquired directly from us for your own account.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in this prospectus, this prospectus may not be used for an offer to resell, resale or other transfer of Exchange Notes.</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Exchange Offers are not being made to, nor will we accept tenders for exchange from, holders of Original Notes in any jurisdiction in which the Exchange Offers or the acceptance of them would not be in compliance with the securities or blue sky laws of such jurisdiction.</w:t>
      </w:r>
    </w:p>
    <w:p>
      <w:pPr>
        <w:spacing w:after="0" w:line="14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Each broker-dealer that receives Exchange Notes for its own account in exchange for Original Notes, where such Original Notes were acquired by such broker-dealer as a result of market-making activities or other trading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9" w:name="page20"/>
    <w:bookmarkEnd w:id="19"/>
    <w:p>
      <w:pPr>
        <w:spacing w:after="0" w:line="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not a broker-dealer tendering Original Notes that you acquired directly from us for your own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52"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have not participated in, do not intend to participate in, and have no arrangement or understanding with any person to participate in, a distribution of the Exchange Notes;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not our “affiliate” as defined under Rule 405 of the Securities Act.</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 (ii) 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With regard to broker-dealers, any broker-dealer who holds any Original Notes acquired for its own account as a result of market-making activities or other trading activities may participate in the Exchange Offers so long as the broker-dealer has not entered into any arrangement or understanding with us or an affiliate of ours to distribute the Exchange Notes.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Based on the terms and subject to the conditions of the Exchange Offers, we will accept any and all Original Notes validly tendered prior to 11:59 p.m., New York City time, on the Expiration Date for the Exchange Offers. Subject to the minimum denomination requirements of the Exchange Notes, we will issue $1,000 principal amount of Exchange Notes in exchange for each $1,000 principal amount of outstanding Original Notes validly tendered pursuant to the Exchange Offers on or before the Expiration Date and not validly withdrawn. Holders may tender some or all of the Original Notes pursuant to the Exchange Offers. However, Original Notes may be tendered only in minimum denominations of $2,000 and multiples of $1,000 thereafter. Promptly after the Expiration Date (unless extended as described in this prospectus), we will issue an aggregate principal amount of up to $2,000,000,000 of 2047 Exchange Notes for a like principal amount of outstanding 2047 Original Notes tendered and accepted in connection with the Exchange Offers, up to $1,999,999,000 of 2049 Exchange Notes for a like principal amount of outstanding 2049 Original Notes tendered and accepted in connection with the Exchange Offers and up to $1,499,967,000 of 2052 Exchange Notes for a like principal amount of outstanding 2052 Original Notes tendered and accepted in connection with the Exchange Offers. The Exchange Notes issued in connection with the Exchange Offers will be delivered promptly after the Expiration Date.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of the Exchange Notes will be substantially identical to the terms of the Original Notes, except that:</w:t>
      </w:r>
    </w:p>
    <w:p>
      <w:pPr>
        <w:spacing w:after="0" w:line="225" w:lineRule="exact"/>
        <w:rPr>
          <w:sz w:val="20"/>
          <w:szCs w:val="20"/>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 and sale of the Exchange Notes will have been registered under the Securities Act and, therefore, the Exchange Notes will not bear legends restricting the transfer of the Exchange Notes; and</w:t>
      </w:r>
    </w:p>
    <w:p>
      <w:pPr>
        <w:spacing w:after="0" w:line="170"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holders of the Exchange Notes will not be entitled to any rights under the Registration Rights Agreement, which rights will terminate upon the consummation of the Exchange Offers, or to the additional interest provisions of the Registration Rights Agreement.</w:t>
      </w:r>
    </w:p>
    <w:p>
      <w:pPr>
        <w:spacing w:after="0" w:line="14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Exchange Notes will evidence the same debt as the Original Notes and will be issued under the same indenture and be entitled to the same benefits under that indenture as the Original Notes being exchanged. As of the date of this prospectus, $5,499,966,000 in aggregate principal amount of the Original Notes is outstanding.</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 — Book-Entry System”, Exchange Notes will be issued in the form of one or more global notes registered in the name of DTC or its nominee and each beneficial owner’s interest in it will be transferable in book-entry form through DTC. See “Description of Exchange Notes — Book-Entry System”.</w:t>
      </w:r>
    </w:p>
    <w:p>
      <w:pPr>
        <w:spacing w:after="0" w:line="18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Holders of Original Notes do not have any appraisal or dissenters’ rights in connection with the Exchange Offers. Original Notes that are not tendered for exchange or are tendered but not accepted in connection with the Exchange Offers will remain outstanding and be entitled to the benefits of our Indenture (as</w:t>
      </w:r>
    </w:p>
    <w:p>
      <w:pPr>
        <w:sectPr>
          <w:pgSz w:w="11900" w:h="16867" w:orient="portrait"/>
          <w:cols w:equalWidth="0" w:num="1">
            <w:col w:w="11420"/>
          </w:cols>
          <w:pgMar w:left="240" w:top="476" w:right="239" w:bottom="0" w:gutter="0" w:footer="0" w:header="0"/>
        </w:sectPr>
      </w:pPr>
    </w:p>
    <w:bookmarkStart w:id="20" w:name="page21"/>
    <w:bookmarkEnd w:id="20"/>
    <w:p>
      <w:pPr>
        <w:ind w:right="240"/>
        <w:spacing w:after="0" w:line="264" w:lineRule="auto"/>
        <w:rPr>
          <w:sz w:val="20"/>
          <w:szCs w:val="20"/>
          <w:color w:val="auto"/>
        </w:rPr>
      </w:pPr>
      <w:r>
        <w:rPr>
          <w:rFonts w:ascii="Arial" w:cs="Arial" w:eastAsia="Arial" w:hAnsi="Arial"/>
          <w:sz w:val="18"/>
          <w:szCs w:val="18"/>
          <w:color w:val="auto"/>
        </w:rPr>
        <w:t>defined below), but certain registration and other rights under the Registration Rights Agreement will terminate and holders of the Original Notes will generally not be entitled to any registration rights under the Registration Rights Agreement. See “— Consequences of Failure to Properly Tender Original Notes in the Exchange Offers”.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1" w:name="page22"/>
    <w:bookmarkEnd w:id="21"/>
    <w:p>
      <w:pPr>
        <w:ind w:right="440" w:firstLine="324"/>
        <w:spacing w:after="0" w:line="264" w:lineRule="auto"/>
        <w:rPr>
          <w:sz w:val="20"/>
          <w:szCs w:val="20"/>
          <w:color w:val="auto"/>
        </w:rPr>
      </w:pPr>
      <w:r>
        <w:rPr>
          <w:rFonts w:ascii="Arial" w:cs="Arial" w:eastAsia="Arial" w:hAnsi="Arial"/>
          <w:sz w:val="18"/>
          <w:szCs w:val="18"/>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Offers.</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Holders who tender Original Notes will not be required to pay brokerage commissions or fees or transfer taxes on exchange of Original Notes in connection with the Exchange Offers, except as described under “—Fees and Expenses” and “—Transfer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 Termination; Amendment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Exchange Offers will remain open for at least 20 full business days. The Expiration Date for the Exchange Offers is 11:59 p.m., New York City time,</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 2017, unless extended by us in our sole discretion, in which case the term “Expiration Date” shall mean the latest date and time to which the Exchange Offers are extended with respect to either or both series of Exchange Notes.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Subject to applicable law, we reserve the right, in our sole discretion:</w:t>
      </w:r>
    </w:p>
    <w:p>
      <w:pPr>
        <w:spacing w:after="0" w:line="225" w:lineRule="exact"/>
        <w:rPr>
          <w:sz w:val="20"/>
          <w:szCs w:val="20"/>
          <w:color w:val="auto"/>
        </w:rPr>
      </w:pPr>
    </w:p>
    <w:p>
      <w:pPr>
        <w:ind w:left="660" w:right="1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delay accepting any Original Notes, to extend any Exchange Offer or to terminate any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amend the terms of any Exchange Offer in any manner.</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If we amend any Exchange Offer in a manner that we consider material, we will disclose such amendment by means of a prospectus supplement, and we will extend such Exchange Offer for a period of five to ten business days. No Exchange Offer is conditioned upon the other Exchange Offers, and we may terminate any Exchange Offer without terminating the other Exchange Offers.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we determine to extend, amend or terminate any Exchange Offer, we will publicly announce this determination by making a timely release through an appropriate news agency.</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we delay accepting any Original Notes or terminate any Exchange Offer, we promptly will pay the consideration offered, or return any Original Notes deposited, pursuant to the Exchange Offers as required by Rule 14e-1(c).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2047 Exchange Notes will bear interest at the rate of 3.969% per annum, the 2049 Exchange Notes will bear interest at the rate of 3.999% per annum and the 2052 Exchange Notes will bear interest at the rate of 4.049% per annum, each from the date of original issuance of the Original Notes (October 19, 2017) or from the most recent date on which interest on the Original Notes has been paid, whichever is later. Interest will be payable semiannually in arrears on May 1 and November 1 of each year, commencing on May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Offers</w:t>
      </w:r>
    </w:p>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Notwithstanding any other provisions of the Exchange Offers, or any extension of the Exchange Offers, we will not be required to accept for exchange, or to exchange any Exchange Notes for, any Original Notes and we may terminate any Exchange Offer or, at our option, modify, extend or otherwise amend any Exchange Offer, if any of the following conditions are not satisfied at or prior to the Expiration Date:</w:t>
      </w:r>
    </w:p>
    <w:p>
      <w:pPr>
        <w:spacing w:after="0" w:line="181" w:lineRule="exact"/>
        <w:rPr>
          <w:sz w:val="20"/>
          <w:szCs w:val="20"/>
          <w:color w:val="auto"/>
        </w:rPr>
      </w:pPr>
    </w:p>
    <w:p>
      <w:pPr>
        <w:ind w:left="1300" w:hanging="644"/>
        <w:spacing w:after="0" w:line="276"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our reasonable judgment, no action or event has occurred or been threatened (including a default under an agreement, indenture or other instrument or obligation to which we or one of our affiliates is a party or by which we or on of our affiliates is bound), no action is pending, no action has been taken, and no statute, rule, regulation, judgment, order, stay, decree or injunction has been promulgated, enacted, entered, enforced or deemed applicable to the Exchange Offers or the exchange of Original Notes for Exchange Notes under the Exchange Offers by or before any court or governmental regulatory or administrative agency, authority, or tribunal, which either: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2" w:name="page23"/>
    <w:bookmarkEnd w:id="22"/>
    <w:p>
      <w:pPr>
        <w:ind w:left="1620" w:right="200" w:hanging="315"/>
        <w:spacing w:after="0" w:line="31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challenges the making of the Exchange Offers or the exchange of Original Notes for Exchange Notes under the Exchange Offers or might, directly or indirectly, prohibit, prevent, restrict or delay consummation of, or might otherwise adversely affect in any material manner, the Exchange Offers or the exchange of Original Notes for Exchange Notes under the Exchange Offers; or</w:t>
      </w:r>
    </w:p>
    <w:p>
      <w:pPr>
        <w:spacing w:after="0" w:line="146" w:lineRule="exact"/>
        <w:rPr>
          <w:rFonts w:ascii="Arial" w:cs="Arial" w:eastAsia="Arial" w:hAnsi="Arial"/>
          <w:sz w:val="16"/>
          <w:szCs w:val="16"/>
          <w:color w:val="auto"/>
        </w:rPr>
      </w:pPr>
    </w:p>
    <w:p>
      <w:pPr>
        <w:ind w:left="1620" w:right="340" w:hanging="315"/>
        <w:spacing w:after="0" w:line="31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Offers or the exchange of Original Notes for Exchange Notes under the Exchange Offers;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 of the following has occurred:</w:t>
      </w:r>
    </w:p>
    <w:p>
      <w:pPr>
        <w:spacing w:after="0" w:line="225" w:lineRule="exact"/>
        <w:rPr>
          <w:rFonts w:ascii="Arial" w:cs="Arial" w:eastAsia="Arial" w:hAnsi="Arial"/>
          <w:sz w:val="18"/>
          <w:szCs w:val="18"/>
          <w:color w:val="auto"/>
        </w:rPr>
      </w:pPr>
    </w:p>
    <w:p>
      <w:pPr>
        <w:ind w:left="1620" w:right="180" w:hanging="315"/>
        <w:spacing w:after="0" w:line="34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SEC has issued a stop order which would suspend the effectiveness of the registration statement of which this prospectus forms a part or the qualification of the applicable indenture governing the Exchange Notes under the Trust Indenture Act of 1939;</w:t>
      </w:r>
    </w:p>
    <w:p>
      <w:pPr>
        <w:spacing w:after="0" w:line="123" w:lineRule="exact"/>
        <w:rPr>
          <w:rFonts w:ascii="Arial" w:cs="Arial" w:eastAsia="Arial" w:hAnsi="Arial"/>
          <w:sz w:val="16"/>
          <w:szCs w:val="16"/>
          <w:color w:val="auto"/>
        </w:rPr>
      </w:pPr>
    </w:p>
    <w:p>
      <w:pPr>
        <w:ind w:left="1620" w:right="200" w:hanging="315"/>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general suspension of, or limitation on, trading in securities on any United States national securities exchanges or in the over the counter market (whether or not mandatory);</w:t>
      </w:r>
    </w:p>
    <w:p>
      <w:pPr>
        <w:spacing w:after="0" w:line="170" w:lineRule="exact"/>
        <w:rPr>
          <w:rFonts w:ascii="Arial" w:cs="Arial" w:eastAsia="Arial" w:hAnsi="Arial"/>
          <w:sz w:val="18"/>
          <w:szCs w:val="18"/>
          <w:color w:val="auto"/>
        </w:rPr>
      </w:pPr>
    </w:p>
    <w:p>
      <w:pPr>
        <w:ind w:left="1620" w:right="200" w:hanging="315"/>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by federal or state authorities in the United States (whether or not mandatory);</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material adverse change in the United States’ securities or financial markets generally; or</w:t>
      </w:r>
    </w:p>
    <w:p>
      <w:pPr>
        <w:spacing w:after="0" w:line="225" w:lineRule="exact"/>
        <w:rPr>
          <w:rFonts w:ascii="Arial" w:cs="Arial" w:eastAsia="Arial" w:hAnsi="Arial"/>
          <w:sz w:val="18"/>
          <w:szCs w:val="18"/>
          <w:color w:val="auto"/>
        </w:rPr>
      </w:pPr>
    </w:p>
    <w:p>
      <w:pPr>
        <w:ind w:left="1620" w:right="600" w:hanging="315"/>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any of the foregoing existing at the time of the commencement of the Exchange Offers, a material acceleration or worsening thereof; and</w:t>
      </w:r>
    </w:p>
    <w:p>
      <w:pPr>
        <w:spacing w:after="0" w:line="170" w:lineRule="exact"/>
        <w:rPr>
          <w:rFonts w:ascii="Arial" w:cs="Arial" w:eastAsia="Arial" w:hAnsi="Arial"/>
          <w:sz w:val="18"/>
          <w:szCs w:val="18"/>
          <w:color w:val="auto"/>
        </w:rPr>
      </w:pPr>
    </w:p>
    <w:p>
      <w:pPr>
        <w:ind w:left="1300" w:right="4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(as defined below) under our Indenture has not objected in any respect to, or taken any action that could in our reasonable judgment adversely affect the consummation of, any of the Exchange Offers, nor has the Trustee taken any action that challenges the validity or effectiveness of the procedures used by us in making the Exchange Offers.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expressly reserve the right to amend or terminate any Exchange Offer and to reject for exchange any Original Notes not previously accepted for exchange, upon the occurrence of any of the conditions of the Exchange Offers specified above. We will give oral or written notice (with any oral notice to be promptly confirmed in writing) of any amendment, non-acceptance, termination or waiver to the Exchange Agent as promptly as practicable, followed by a timely press release.</w:t>
      </w:r>
    </w:p>
    <w:p>
      <w:pPr>
        <w:spacing w:after="0" w:line="18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All conditions to the Exchange Offers must be satisfied or, where permitted, waived, at or by the Expiration Date. In addition, we may in our absolute discretion, subject to applicable law, terminate any Exchange Offer for any other reason.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 foregoing conditions are not satisfied, we may, at any time at or prior to the Expiration Date:</w:t>
      </w:r>
    </w:p>
    <w:p>
      <w:pPr>
        <w:spacing w:after="0" w:line="225" w:lineRule="exact"/>
        <w:rPr>
          <w:sz w:val="20"/>
          <w:szCs w:val="20"/>
          <w:color w:val="auto"/>
        </w:rPr>
      </w:pPr>
    </w:p>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terminate any Exchange Offer and promptly return all tendered Original Notes with respect to that Exchange Offer to the respective tendering holders;</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extend or otherwise amend any Exchange Offer and retain all tendered Original Notes with respect to that Exchange Offer until the Expiration Date, as extended, subject, however, to the withdrawal rights of holders;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23" w:name="page24"/>
    <w:bookmarkEnd w:id="23"/>
    <w:p>
      <w:pPr>
        <w:ind w:left="660" w:right="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the unsatisfied conditions, except for the condition that the registration statement of which this prospectus forms a part is not subject to a stop order or any proceedings for that purpose, with respect to any Exchange Offer and accept all Original Notes tendered and not previously validly withdrawn.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Tender</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Any tender by a holder, and our subsequent acceptance of that tender, of Original Notes will constitute a binding agreement between that holder and us upon the terms and subject to the conditions of the Exchange Offers described in this prospectus. The participation in the Exchange Offers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Dissenters’ Rights of Appraisal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the Original Notes do not have any dissenters’ rights of appraisal in connection with the Exchange Offers.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If you hold Original Notes and wish to have those notes exchanged for Exchange Notes, you must validly tender (or cause the valid tender of) your Original Notes using the procedures described in this prospectus.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procedures by which you may tender or cause to be tendered Original Notes will depend upon the manner in which you hold the Original Notes, as described below.</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Original Notes Held with DTC by a DTC Participant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Offers.</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Any DTC participant may tender Original Notes by effecting a book-entry transfer of the Original Notes to be tendered in the Exchange Offers into the account of the Exchange Agent at DTC and electronically transmitting its acceptance of the Exchange Offers through DTC’s ATOP procedures for transfer before the Expiration Date of the Exchange Offers. No letter of transmittal will be used in connection with the Exchange Offers. The valid electronic transmission of acceptance through ATOP shall constitute delivery of Original Notes in connection with the Exchange Offers.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Offers and that Comcast may enforce the agreement against the participant. DTC participants following this procedure should allow sufficient time for completion of the ATOP procedures prior to the Expiration Date of the Exchange Offers.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4" w:name="page25"/>
    <w:bookmarkEnd w:id="24"/>
    <w:p>
      <w:pPr>
        <w:ind w:right="220" w:firstLine="324"/>
        <w:spacing w:after="0" w:line="264" w:lineRule="auto"/>
        <w:rPr>
          <w:sz w:val="20"/>
          <w:szCs w:val="20"/>
          <w:color w:val="auto"/>
        </w:rPr>
      </w:pPr>
      <w:r>
        <w:rPr>
          <w:rFonts w:ascii="Arial" w:cs="Arial" w:eastAsia="Arial" w:hAnsi="Arial"/>
          <w:sz w:val="18"/>
          <w:szCs w:val="18"/>
          <w:color w:val="auto"/>
        </w:rPr>
        <w:t>An agent’s message, and any other required documents, must be transmitted to and received by the Exchange Agent prior to the Expiration Date of the Exchange Offers at one of its addresses set forth on the back cover page of this prospectus. Delivery of these documents to Comcast or DTC does not constitute delivery to the Exchange Agent.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Original Notes Held Through a Nominee by a Beneficial Owner</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Currently, all of the Original Notes are held in book-entry form and can only be tendered by following the procedures described under “— Procedures for Tendering Original Notes — Original Notes Held with DTC by a 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Date in order for such entity to tender Original Notes on your behalf at or prior to the Expiration Date in accordance with the terms of the Exchange Offers.</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Warranties, Acknowledgements and Undertakings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By tendering Original Notes through the submission of an electronic acceptance instruction in accordance with the requirements of ATOP, a tendering holder of Original Notes:</w:t>
      </w:r>
    </w:p>
    <w:p>
      <w:pPr>
        <w:spacing w:after="0" w:line="170" w:lineRule="exact"/>
        <w:rPr>
          <w:sz w:val="20"/>
          <w:szCs w:val="20"/>
          <w:color w:val="auto"/>
        </w:rPr>
      </w:pPr>
    </w:p>
    <w:p>
      <w:pPr>
        <w:ind w:left="660" w:right="2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acknowledges receipt of this prospectus (as it may be amended or supplemented from time to time), and agrees to all of the terms of the Exchange Offers;</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understands, acknowledges and agrees that tenders of Original Notes pursuant to the Exchange Offers will, upon Comcast’s acceptance for exchange of such tendered Original Notes, constitute a binding agreement between such holder and Comcast upon the terms and subject to the conditions of the Exchange Offers;</w:t>
      </w:r>
    </w:p>
    <w:p>
      <w:pPr>
        <w:spacing w:after="0" w:line="18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irrevocably constitutes and appoints the Exchange Agent the true and lawful agent and attorney-in-fact of the holder with respect to any tendered Original Notes (with full knowledge that the Exchange 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(2) present such Original Notes for transfer on the books of Comcast and receive all benefits and otherwise exercise all rights of beneficial ownership of such Original Notes, all in accordance with the terms of the Exchange Offers;</w:t>
      </w:r>
    </w:p>
    <w:p>
      <w:pPr>
        <w:spacing w:after="0" w:line="189"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w:t>
      </w:r>
    </w:p>
    <w:p>
      <w:pPr>
        <w:spacing w:after="0" w:line="181"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w:t>
      </w:r>
    </w:p>
    <w:p>
      <w:pPr>
        <w:spacing w:after="0" w:line="165" w:lineRule="exact"/>
        <w:rPr>
          <w:rFonts w:ascii="Arial" w:cs="Arial" w:eastAsia="Arial" w:hAnsi="Arial"/>
          <w:sz w:val="17"/>
          <w:szCs w:val="17"/>
          <w:color w:val="auto"/>
        </w:rPr>
      </w:pPr>
    </w:p>
    <w:p>
      <w:pPr>
        <w:ind w:left="660" w:right="14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5" w:name="page26"/>
    <w:bookmarkEnd w:id="25"/>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undertakes, upon request, to execute and deliver any additional documents deemed by Comcast or the Exchange Agent to be necessary or desirable to complete the exchange, assignment and transfer of the Original Notes tendered thereby;</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186"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understands, acknowledges and agrees that for purposes of the Exchange Offers, Comcast shall be deemed to have accepted validly tendered Original Notes when and if Comcast has given oral or written notice thereof to the Exchange Agent;</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w:t>
      </w:r>
    </w:p>
    <w:p>
      <w:pPr>
        <w:spacing w:after="0" w:line="18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understands, acknowledges and agrees that, except as stated in this prospectus in connection with a valid withdrawal, the tender of such holders Original Notes is irrevocable.</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Comcast has agreed that, subject to the provisions of the Registration Rights Agreement, dated as of October 19, 2017,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 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the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By tendering Original Notes through the submission of an electronic acceptance instruction in accordance with the requirements of ATOP, a tendering holder of Original Notes also acknowledges that the Exchange Offers are being made by Comcast based upon Comcast’s understanding of an interpretation by the staff of the SEC as set forth in no-action letters issued to third parties, that the Exchange Notes issued in exchange for the Original Notes pursuant to the Exchange Offers may be offered for resale, resold and otherwise transferred by holders 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 (3) 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Offers in the context of a no-action letter, and there can be no assurance that the staff of the SEC would make a similar determination with respect to the Exchange Offers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Offers, such holder could not rely on the applicable interpretations of the staff of the SEC and must comply with the registration and prospectus delivery requirements of the Securities Act in connection with any secondary resale transaction.</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right="320" w:firstLine="324"/>
        <w:spacing w:after="0" w:line="264" w:lineRule="auto"/>
        <w:rPr>
          <w:sz w:val="20"/>
          <w:szCs w:val="20"/>
          <w:color w:val="auto"/>
        </w:rPr>
      </w:pPr>
      <w:r>
        <w:rPr>
          <w:rFonts w:ascii="Arial" w:cs="Arial" w:eastAsia="Arial" w:hAnsi="Arial"/>
          <w:sz w:val="18"/>
          <w:szCs w:val="18"/>
          <w:color w:val="auto"/>
        </w:rPr>
        <w:t>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Miscellaneous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 defects, irregularities or conditions of tender as to particular Original Notes, whether or not waived in the case of other Original Notes. Our interpretation of the terms and conditions of the Exchange Offers will be final and binding on all parties.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addition, we reserve the right, as set forth above under the caption “— Conditions to the Exchange Offers”, to terminate any Exchange Offer. By tendering, each holder represents and acknowledges to us, among other things, that:</w:t>
      </w:r>
    </w:p>
    <w:p>
      <w:pPr>
        <w:spacing w:after="0" w:line="170" w:lineRule="exact"/>
        <w:rPr>
          <w:sz w:val="20"/>
          <w:szCs w:val="20"/>
          <w:color w:val="auto"/>
        </w:rPr>
      </w:pPr>
    </w:p>
    <w:p>
      <w:pPr>
        <w:ind w:left="660" w:right="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Exchange Notes acquired in connection with the Exchange Offers are being obtained in the ordinary course of business of the person receiving the Exchange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time of commencement of the Exchange Offers it had no arrangement with any person to participate in a distribution of such Exchange Notes;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an “affiliate” (as defined in Rule 405 under the Securities Act) of our company; and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holder is a broker-dealer,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27" w:name="page28"/>
    <w:bookmarkEnd w:id="27"/>
    <w:p>
      <w:pPr>
        <w:ind w:right="260" w:firstLine="324"/>
        <w:spacing w:after="0" w:line="266" w:lineRule="auto"/>
        <w:rPr>
          <w:sz w:val="20"/>
          <w:szCs w:val="20"/>
          <w:color w:val="auto"/>
        </w:rPr>
      </w:pPr>
      <w:r>
        <w:rPr>
          <w:rFonts w:ascii="Arial" w:cs="Arial" w:eastAsia="Arial" w:hAnsi="Arial"/>
          <w:sz w:val="18"/>
          <w:szCs w:val="18"/>
          <w:b w:val="1"/>
          <w:bCs w:val="1"/>
          <w:color w:val="auto"/>
        </w:rPr>
        <w:t>No letter of transmittal will be used in connection with the Exchange Offers. The valid electronic transmission of acceptance through ATOP shall constitute delivery of Original Notes in connection with the Exchange Offers. There are no guaranteed delivery procedures for the Exchange Offers.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Tenders of Original Notes in the Exchange Offers may be validly withdrawn at any time prior to the Expiration Date.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Offers, withdraw its instruction previously transmitted through ATOP by withdrawing its acceptance through ATOP.</w:t>
      </w:r>
    </w:p>
    <w:p>
      <w:pPr>
        <w:spacing w:after="0" w:line="166"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Withdrawal of tenders of Original Notes may not be rescinded, and any Original Notes validly withdrawn will thereafter be deemed not to have been validly tendered for purposes of the Exchange Offers. Validly withdrawn Original Notes may, however, be re-tendered by again following one of the procedures described in “— Procedures for Tendering Original Notes” at or prior to the Expiration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Bank of New York Mellon has been appointed as Exchange Agent in connection with the Exchange Offers. Questions and requests for assistance, as well as requests for additional copies of this prospectus, should be directed to the Exchange Agent at its offices at The Bank of New York Mellon, as Exchange Agent, c/o The Bank of New York Mellon Corporation, Corporate Trust Operations — Reorganization Unit, 111 Sanders Creek Parkway, East Syracuse, NY 13057, Attention: Melissa Vollick, Telephone Number: (315) 414-3349. The Exchange Agent’s e-mail address is CT_REORG_UNIT_INQUIRIES@bnymellon.com and facsimile number is (732) 667-9408.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will not make any payment to brokers, dealers or others soliciting acceptances of the Exchange Offers. We will pay certain other expenses to be incurred in connection with the Exchange Offers, including the fees and expenses of the Exchange Agent and certain accounting and legal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You will not be obligated to pay any transfer taxes in connection with the tender of Original Notes in the Exchange Offers unless you instruct us to issue Exchange Notes, or request that Original Notes not tendered or accepted in the Exchange Offers be returned, to a person other than the tendering holder. In those cases, you will be responsible for the payment of any applicable transfer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Exchange Notes will be recorded at the same carrying value as the Original Notes as reflected in our accounting records on the date of the exchange. Accordingly, we will not recognize any gain or loss for accounting purposes upon the completion of the Exchange Offers. Payments made to other third parties will be expensed as incurred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Properly Tender Original Notes in the Exchange Offers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Issuance of the Exchange Notes in exchange for the Original Notes under the Exchange Offers will be made only after timely receipt by the Exchange Agent of an agent’s message from DTC through ATOP and 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Offers, continue to be subject to the existing restrictions upon transfer thereof under the Securities Act, and, upon completion of the Exchange Offers, certain registration rights under the Registration Rights Agreement will terminate.</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8" w:name="page29"/>
    <w:bookmarkEnd w:id="28"/>
    <w:p>
      <w:pPr>
        <w:ind w:right="200" w:firstLine="324"/>
        <w:spacing w:after="0" w:line="277" w:lineRule="auto"/>
        <w:rPr>
          <w:sz w:val="20"/>
          <w:szCs w:val="20"/>
          <w:color w:val="auto"/>
        </w:rPr>
      </w:pPr>
      <w:r>
        <w:rPr>
          <w:rFonts w:ascii="Arial" w:cs="Arial" w:eastAsia="Arial" w:hAnsi="Arial"/>
          <w:sz w:val="18"/>
          <w:szCs w:val="18"/>
          <w:color w:val="auto"/>
        </w:rPr>
        <w:t>In the event the Exchange Offers are completed, we generally will not be required to register the remaining Original Notes. Remaining Original Notes will continue to be subject to the following restrictions on transfer:</w:t>
      </w:r>
    </w:p>
    <w:p>
      <w:pPr>
        <w:spacing w:after="0" w:line="170" w:lineRule="exact"/>
        <w:rPr>
          <w:sz w:val="20"/>
          <w:szCs w:val="20"/>
          <w:color w:val="auto"/>
        </w:rPr>
      </w:pPr>
    </w:p>
    <w:p>
      <w:pPr>
        <w:ind w:left="660" w:right="2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do not currently anticipate that we will register the remaining Original Notes under the Securities Act. To the extent that Original Notes are tendered and accepted in connection with the Exchange Offers, any trading market for remaining Original Notes could be adversely affected. See “Risk</w:t>
      </w:r>
    </w:p>
    <w:p>
      <w:pPr>
        <w:spacing w:after="0" w:line="261" w:lineRule="auto"/>
        <w:rPr>
          <w:sz w:val="20"/>
          <w:szCs w:val="20"/>
          <w:color w:val="auto"/>
        </w:rPr>
      </w:pPr>
      <w:r>
        <w:rPr>
          <w:rFonts w:ascii="Arial" w:cs="Arial" w:eastAsia="Arial" w:hAnsi="Arial"/>
          <w:sz w:val="18"/>
          <w:szCs w:val="18"/>
          <w:color w:val="auto"/>
        </w:rPr>
        <w:t>Factors — Risks Relating to Participation in the Exchange Offers — If you fail to exchange your Original Notes, they will continue to be restricted securities and may become less liquid”.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76"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DESCRIPTION OF THE EXCHANGE NOTES AND THE GUARANTEES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entered into among us, the guarantors named therein and The Bank of New York Mellon, as trustee, as amended by the first supplemental indenture dated as of November 17, 2015, entered into among us, the guarantors, and The Bank of New York Mellon, as trustee (as amended,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Exchange Notes are available from us upon request.</w:t>
      </w:r>
    </w:p>
    <w:p>
      <w:pPr>
        <w:spacing w:after="0" w:line="178"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following is a summary of the material provisions of the indenture, the Exchange Notes and the guarantees. Because this is a summary, it may not contain all the information that is important to you. For further information, you should read the Exchange Notes and the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Exchange Notes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Exchange Notes: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will rank equally with all of our other unsecured and unsubordinated debt and will be entitled to the benefits of the guarantees described below;</w:t>
      </w:r>
    </w:p>
    <w:p>
      <w:pPr>
        <w:spacing w:after="0" w:line="236"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2047 Exchange Notes, 2049 Exchange Notes and 2052 Exchange Notes not to exceed the aggregate principal amount of the 2047 Original Notes, 2049 Original Notes and 2052 Original Notes, respectively, validly tendered and accepted for exchange in the Exchange Offers, comprised as follows:</w:t>
      </w:r>
    </w:p>
    <w:p>
      <w:pPr>
        <w:spacing w:after="0" w:line="181"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3.969% 2047 Exchange Notes, maturing on November 1, 2047 with interest payable semiannually on each May 1 and November 1, beginning May 1, 2018, to holders of record on the preceding April 15 and October 15;</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3.999% 2049 Exchange Notes, maturing on November 1, 2049 with interest payable semiannually on each May 1 and November 1, beginning May 1, 2018, to holders of record on the preceding April 15 and October 15; and</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4.049% 2052 Exchange Notes, maturing on November 1, 2052 with interest payable semiannually on each May 1 and November 1, beginning May 1, 2018, to holders of record on the preceding April 15 and October 15;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multiples of $1,000 in excess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Interest for the Exchange Notes will be computed on the basis of a 360-day year consisting of twelve 30-day months. Interest on the Exchange Notes will accrue from the date of original issuance (October 19, 2017) or from the most recent interest payment date to which interest has been paid and will be payable semiannually on interest payment dates described of each year.</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payment and transfer procedures for the Exchange Notes, see “—Book-Entry System”.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guarantees will not contain any restrictions on the ability of any of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will have the right at our option to redeem any of the Exchange Notes of each series in whole or in part, at any time or from time to time prior to their maturity, on at least 15 days, but not more than 60 days, prior notice mailed to the registered address of each holder of Exchange Notes, at the applicable Redemption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“Redemption Price” means:</w:t>
      </w:r>
    </w:p>
    <w:p>
      <w:pPr>
        <w:spacing w:after="0" w:line="225" w:lineRule="exact"/>
        <w:rPr>
          <w:sz w:val="20"/>
          <w:szCs w:val="20"/>
          <w:color w:val="auto"/>
        </w:rPr>
      </w:pPr>
    </w:p>
    <w:p>
      <w:pPr>
        <w:ind w:right="100" w:firstLine="332"/>
        <w:spacing w:after="0" w:line="255"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2047 Exchange Notes, at any time prior to May 1, 2047 (six months prior to the maturity of the 2047 Exchange Notes) (the “2047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2047 Par Call Date, in each case discounted to the redemption date on a semiannual basis (assuming a 360-day year consisting of twelve 30-day months) at the Treasury Rate plus 20 basis points; provided that, if the 2047 Exchange Notes are redeemed on or after the 2047 Par Call Date, the Redemption Price will equal 100% of the principal amount of such notes;</w:t>
      </w:r>
    </w:p>
    <w:p>
      <w:pPr>
        <w:spacing w:after="0" w:line="193" w:lineRule="exact"/>
        <w:rPr>
          <w:rFonts w:ascii="Arial" w:cs="Arial" w:eastAsia="Arial" w:hAnsi="Arial"/>
          <w:sz w:val="18"/>
          <w:szCs w:val="18"/>
          <w:color w:val="auto"/>
        </w:rPr>
      </w:pPr>
    </w:p>
    <w:p>
      <w:pPr>
        <w:ind w:right="100" w:firstLine="332"/>
        <w:spacing w:after="0" w:line="255"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2049 Exchange Notes, at any time prior to May 1, 2049 (six months prior to the maturity of the 2049 Exchange Notes) (the “2049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2049 Par Call Date, in each case discounted to the redemption date on a semiannual basis (assuming a 360-day year consisting of twelve 30-day months) at the Treasury Rate plus 20 basis points; provided that, if the 2049 Exchange Notes are redeemed on or after the 2049 Par Call Date, the Redemption Price will equal 100% of the principal amount of such notes;</w:t>
      </w:r>
    </w:p>
    <w:p>
      <w:pPr>
        <w:spacing w:after="0" w:line="193" w:lineRule="exact"/>
        <w:rPr>
          <w:rFonts w:ascii="Arial" w:cs="Arial" w:eastAsia="Arial" w:hAnsi="Arial"/>
          <w:sz w:val="18"/>
          <w:szCs w:val="18"/>
          <w:color w:val="auto"/>
        </w:rPr>
      </w:pPr>
    </w:p>
    <w:p>
      <w:pPr>
        <w:ind w:right="100" w:firstLine="332"/>
        <w:spacing w:after="0" w:line="255"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2052 Exchange Notes, at any time prior to May 1, 2052 (six months prior to the maturity of the 2052 Exchange Notes) (the “2052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2052 Par Call Date, in each case discounted to the redemption date on a semiannual basis (assuming a 360-day year consisting of twelve 30-day months) at the Treasury Rate plus 25 basis points; provided that, if the 2052 Exchange Notes are redeemed on or after the 2052 Par Call Date, the Redemption Price will equal 100% of the principal amount of such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Exchange Notes to be redeemed calculated as if the maturity date of such series of Exchange Notes were the applicable Par Call Date (the “Remaining Life”) that would be utilized, at the time of selection and in accordance with customary financial practice, in pricing new issues of corporate debt securities of comparable maturity to the Remaining Life of such Exchange Notes.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1" w:name="page32"/>
    <w:bookmarkEnd w:id="31"/>
    <w:p>
      <w:pPr>
        <w:ind w:right="20" w:firstLine="324"/>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“Reference Treasury Dealer”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any of the foregoing shall cease to be a primary United States government securities dealer in the United States (a “Primary Treasury Dealer”), we will substitute therefor another Primary Treasury Dealer.</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and after the redemption date, interest will cease to accrue on the Exchange Notes or any portion of the Exchange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Exchange Notes to be redeemed on such date. If less than all of the Exchange Notes of any series are to be redeemed, the Exchange Notes to be redeemed shall be selected by lot (provided that interests in Exchange Notes represented by a Global Note will be selected for redemption by The Depository Trust Company in accordance with its standard procedures therefor). Additionally, we may at any time repurchase Exchange Notes in the open market and may hold or surrender such Exchange Notes to the trustee for cancellation.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will be no mandatory redemption prior to maturity or sinking fund payments for the Exchange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225" w:lineRule="exact"/>
        <w:rPr>
          <w:sz w:val="20"/>
          <w:szCs w:val="20"/>
          <w:color w:val="auto"/>
        </w:rPr>
      </w:pPr>
    </w:p>
    <w:p>
      <w:pPr>
        <w:ind w:right="180" w:firstLine="332"/>
        <w:spacing w:after="0" w:line="277" w:lineRule="auto"/>
        <w:tabs>
          <w:tab w:leader="none" w:pos="5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“—Certain Covenants—Limitation on Liens Securing Indebtedness”; and</w:t>
      </w:r>
    </w:p>
    <w:p>
      <w:pPr>
        <w:spacing w:after="0" w:line="170" w:lineRule="exact"/>
        <w:rPr>
          <w:rFonts w:ascii="Arial" w:cs="Arial" w:eastAsia="Arial" w:hAnsi="Arial"/>
          <w:sz w:val="18"/>
          <w:szCs w:val="18"/>
          <w:color w:val="auto"/>
        </w:rPr>
      </w:pPr>
    </w:p>
    <w:p>
      <w:pPr>
        <w:ind w:right="400" w:firstLine="332"/>
        <w:spacing w:after="0" w:line="277" w:lineRule="auto"/>
        <w:tabs>
          <w:tab w:leader="none" w:pos="57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“—Certain Covenants—Limitation on Sale and Leaseback Transactions.”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right="320" w:firstLine="332"/>
        <w:spacing w:after="0" w:line="277" w:lineRule="auto"/>
        <w:tabs>
          <w:tab w:leader="none" w:pos="5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70" w:lineRule="exact"/>
        <w:rPr>
          <w:rFonts w:ascii="Arial" w:cs="Arial" w:eastAsia="Arial" w:hAnsi="Arial"/>
          <w:sz w:val="18"/>
          <w:szCs w:val="18"/>
          <w:color w:val="auto"/>
        </w:rPr>
      </w:pPr>
    </w:p>
    <w:p>
      <w:pPr>
        <w:ind w:right="300" w:firstLine="332"/>
        <w:spacing w:after="0" w:line="264"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2" w:name="page33"/>
    <w:bookmarkEnd w:id="32"/>
    <w:p>
      <w:pPr>
        <w:ind w:right="120" w:firstLine="324"/>
        <w:spacing w:after="0" w:line="264" w:lineRule="auto"/>
        <w:rPr>
          <w:sz w:val="20"/>
          <w:szCs w:val="20"/>
          <w:color w:val="auto"/>
        </w:rPr>
      </w:pPr>
      <w:r>
        <w:rPr>
          <w:rFonts w:ascii="Arial" w:cs="Arial" w:eastAsia="Arial" w:hAnsi="Arial"/>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7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“Obligor” means us and the guarantors.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“Permitted Liens” means, with respect to an Obligor:</w:t>
      </w:r>
    </w:p>
    <w:p>
      <w:pPr>
        <w:spacing w:after="0" w:line="225" w:lineRule="exact"/>
        <w:rPr>
          <w:sz w:val="20"/>
          <w:szCs w:val="20"/>
          <w:color w:val="auto"/>
        </w:rPr>
      </w:pPr>
    </w:p>
    <w:p>
      <w:pPr>
        <w:ind w:right="20" w:firstLine="332"/>
        <w:spacing w:after="0" w:line="264" w:lineRule="auto"/>
        <w:tabs>
          <w:tab w:leader="none" w:pos="5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3" w:name="page34"/>
    <w:bookmarkEnd w:id="33"/>
    <w:p>
      <w:pPr>
        <w:ind w:left="580" w:hanging="248"/>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210" w:lineRule="exact"/>
        <w:rPr>
          <w:rFonts w:ascii="Arial" w:cs="Arial" w:eastAsia="Arial" w:hAnsi="Arial"/>
          <w:sz w:val="16"/>
          <w:szCs w:val="16"/>
          <w:color w:val="auto"/>
        </w:rPr>
      </w:pPr>
    </w:p>
    <w:p>
      <w:pPr>
        <w:ind w:right="160" w:firstLine="332"/>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firstLine="332"/>
        <w:spacing w:after="0" w:line="277" w:lineRule="auto"/>
        <w:tabs>
          <w:tab w:leader="none" w:pos="5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jc w:val="both"/>
        <w:ind w:right="200" w:firstLine="332"/>
        <w:spacing w:after="0" w:line="264" w:lineRule="auto"/>
        <w:tabs>
          <w:tab w:leader="none" w:pos="5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225" w:lineRule="exact"/>
        <w:rPr>
          <w:rFonts w:ascii="Arial" w:cs="Arial" w:eastAsia="Arial" w:hAnsi="Arial"/>
          <w:sz w:val="18"/>
          <w:szCs w:val="18"/>
          <w:color w:val="auto"/>
        </w:rPr>
      </w:pPr>
    </w:p>
    <w:p>
      <w:pPr>
        <w:ind w:right="20" w:firstLine="332"/>
        <w:spacing w:after="0" w:line="264"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81" w:lineRule="exact"/>
        <w:rPr>
          <w:rFonts w:ascii="Arial" w:cs="Arial" w:eastAsia="Arial" w:hAnsi="Arial"/>
          <w:sz w:val="18"/>
          <w:szCs w:val="18"/>
          <w:color w:val="auto"/>
        </w:rPr>
      </w:pPr>
    </w:p>
    <w:p>
      <w:pPr>
        <w:ind w:right="200" w:firstLine="332"/>
        <w:spacing w:after="0" w:line="277" w:lineRule="auto"/>
        <w:tabs>
          <w:tab w:leader="none" w:pos="5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70" w:lineRule="exact"/>
        <w:rPr>
          <w:rFonts w:ascii="Arial" w:cs="Arial" w:eastAsia="Arial" w:hAnsi="Arial"/>
          <w:sz w:val="18"/>
          <w:szCs w:val="18"/>
          <w:color w:val="auto"/>
        </w:rPr>
      </w:pPr>
    </w:p>
    <w:p>
      <w:pPr>
        <w:ind w:right="220" w:firstLine="332"/>
        <w:spacing w:after="0" w:line="277" w:lineRule="auto"/>
        <w:tabs>
          <w:tab w:leader="none" w:pos="5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ind w:right="20" w:firstLine="332"/>
        <w:spacing w:after="0" w:line="264"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81" w:lineRule="exact"/>
        <w:rPr>
          <w:rFonts w:ascii="Arial" w:cs="Arial" w:eastAsia="Arial" w:hAnsi="Arial"/>
          <w:sz w:val="18"/>
          <w:szCs w:val="18"/>
          <w:color w:val="auto"/>
        </w:rPr>
      </w:pPr>
    </w:p>
    <w:p>
      <w:pPr>
        <w:ind w:left="540" w:hanging="208"/>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225" w:lineRule="exact"/>
        <w:rPr>
          <w:rFonts w:ascii="Arial" w:cs="Arial" w:eastAsia="Arial" w:hAnsi="Arial"/>
          <w:sz w:val="18"/>
          <w:szCs w:val="18"/>
          <w:color w:val="auto"/>
        </w:rPr>
      </w:pPr>
    </w:p>
    <w:p>
      <w:pPr>
        <w:ind w:right="220" w:firstLine="332"/>
        <w:spacing w:after="0" w:line="277" w:lineRule="auto"/>
        <w:tabs>
          <w:tab w:leader="none" w:pos="6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160" w:firstLine="332"/>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70" w:lineRule="exact"/>
        <w:rPr>
          <w:rFonts w:ascii="Arial" w:cs="Arial" w:eastAsia="Arial" w:hAnsi="Arial"/>
          <w:sz w:val="18"/>
          <w:szCs w:val="18"/>
          <w:color w:val="auto"/>
        </w:rPr>
      </w:pPr>
    </w:p>
    <w:p>
      <w:pPr>
        <w:ind w:right="480" w:firstLine="332"/>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70" w:lineRule="exact"/>
        <w:rPr>
          <w:rFonts w:ascii="Arial" w:cs="Arial" w:eastAsia="Arial" w:hAnsi="Arial"/>
          <w:sz w:val="18"/>
          <w:szCs w:val="18"/>
          <w:color w:val="auto"/>
        </w:rPr>
      </w:pPr>
    </w:p>
    <w:p>
      <w:pPr>
        <w:ind w:right="220" w:firstLine="332"/>
        <w:spacing w:after="0" w:line="342" w:lineRule="auto"/>
        <w:tabs>
          <w:tab w:leader="none" w:pos="579"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23" w:lineRule="exact"/>
        <w:rPr>
          <w:rFonts w:ascii="Arial" w:cs="Arial" w:eastAsia="Arial" w:hAnsi="Arial"/>
          <w:sz w:val="16"/>
          <w:szCs w:val="16"/>
          <w:color w:val="auto"/>
        </w:rPr>
      </w:pPr>
    </w:p>
    <w:p>
      <w:pPr>
        <w:ind w:right="140" w:firstLine="332"/>
        <w:spacing w:after="0" w:line="264" w:lineRule="auto"/>
        <w:tabs>
          <w:tab w:leader="none" w:pos="5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81" w:lineRule="exact"/>
        <w:rPr>
          <w:rFonts w:ascii="Arial" w:cs="Arial" w:eastAsia="Arial" w:hAnsi="Arial"/>
          <w:sz w:val="18"/>
          <w:szCs w:val="18"/>
          <w:color w:val="auto"/>
        </w:rPr>
      </w:pPr>
    </w:p>
    <w:p>
      <w:pPr>
        <w:ind w:left="560" w:hanging="228"/>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4" w:name="page35"/>
    <w:bookmarkEnd w:id="34"/>
    <w:p>
      <w:pPr>
        <w:ind w:right="120" w:firstLine="324"/>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Liens Securing Indebtedness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18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170"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12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225" w:lineRule="exact"/>
        <w:rPr>
          <w:rFonts w:ascii="Arial" w:cs="Arial" w:eastAsia="Arial" w:hAnsi="Arial"/>
          <w:sz w:val="18"/>
          <w:szCs w:val="18"/>
          <w:color w:val="auto"/>
        </w:rPr>
      </w:pPr>
    </w:p>
    <w:p>
      <w:pPr>
        <w:jc w:val="both"/>
        <w:ind w:left="980" w:right="12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181"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181" w:lineRule="exact"/>
        <w:rPr>
          <w:sz w:val="20"/>
          <w:szCs w:val="20"/>
          <w:color w:val="auto"/>
        </w:rPr>
      </w:pPr>
    </w:p>
    <w:p>
      <w:pPr>
        <w:ind w:left="980" w:right="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181" w:lineRule="exact"/>
        <w:rPr>
          <w:rFonts w:ascii="Arial" w:cs="Arial" w:eastAsia="Arial" w:hAnsi="Arial"/>
          <w:sz w:val="18"/>
          <w:szCs w:val="18"/>
          <w:color w:val="auto"/>
        </w:rPr>
      </w:pPr>
    </w:p>
    <w:p>
      <w:pPr>
        <w:ind w:left="980" w:right="9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248"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6" w:name="page37"/>
    <w:bookmarkEnd w:id="36"/>
    <w:p>
      <w:pPr>
        <w:ind w:left="980" w:right="4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Existence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the guarantors and the trustee may amend or modify the indenture or the senior debt securities of any series issued under the indenture without notice to or the consent of any holder in order to:</w:t>
      </w:r>
    </w:p>
    <w:p>
      <w:pPr>
        <w:spacing w:after="0" w:line="170" w:lineRule="exact"/>
        <w:rPr>
          <w:sz w:val="20"/>
          <w:szCs w:val="20"/>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indenture in a manner that does not adversely affect the interests of the holders in any material respect;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7" w:name="page38"/>
    <w:bookmarkEnd w:id="37"/>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Exchange Notes and Guarantees”;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165" w:lineRule="exact"/>
        <w:rPr>
          <w:sz w:val="20"/>
          <w:szCs w:val="20"/>
          <w:color w:val="auto"/>
        </w:rPr>
      </w:pPr>
    </w:p>
    <w:p>
      <w:pPr>
        <w:ind w:left="980" w:right="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Each of the following will constitute an event of default in the indenture with respect to the senior debt securities of any series issued under the indenture:</w:t>
      </w:r>
    </w:p>
    <w:p>
      <w:pPr>
        <w:spacing w:after="0" w:line="170" w:lineRule="exact"/>
        <w:rPr>
          <w:sz w:val="20"/>
          <w:szCs w:val="20"/>
          <w:color w:val="auto"/>
        </w:rPr>
      </w:pPr>
    </w:p>
    <w:p>
      <w:pPr>
        <w:ind w:left="1300" w:right="1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paying interest on the senior debt securities of such series when it becomes due and the default continues for a period of 30 days or more;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225" w:lineRule="exact"/>
        <w:rPr>
          <w:rFonts w:ascii="Arial" w:cs="Arial" w:eastAsia="Arial" w:hAnsi="Arial"/>
          <w:sz w:val="18"/>
          <w:szCs w:val="18"/>
          <w:color w:val="auto"/>
        </w:rPr>
      </w:pPr>
    </w:p>
    <w:p>
      <w:pPr>
        <w:ind w:left="1300" w:right="160" w:hanging="644"/>
        <w:spacing w:after="0" w:line="30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8" w:name="page39"/>
    <w:bookmarkEnd w:id="38"/>
    <w:p>
      <w:pPr>
        <w:ind w:left="1300" w:right="5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or any Obligor have occurred;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w:t>
      </w:r>
    </w:p>
    <w:p>
      <w:pPr>
        <w:spacing w:after="0" w:line="17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w:t>
      </w:r>
    </w:p>
    <w:p>
      <w:pPr>
        <w:spacing w:after="0" w:line="1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65"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7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9" w:name="page40"/>
    <w:bookmarkEnd w:id="39"/>
    <w:p>
      <w:pPr>
        <w:ind w:right="220" w:firstLine="324"/>
        <w:spacing w:after="0" w:line="277"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indenture within 120 days of the end of each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and Defeasance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170" w:lineRule="exact"/>
        <w:rPr>
          <w:rFonts w:ascii="Arial" w:cs="Arial" w:eastAsia="Arial" w:hAnsi="Arial"/>
          <w:sz w:val="18"/>
          <w:szCs w:val="18"/>
          <w:color w:val="auto"/>
        </w:rPr>
      </w:pPr>
    </w:p>
    <w:p>
      <w:pPr>
        <w:ind w:left="980" w:hanging="324"/>
        <w:spacing w:after="0" w:line="276"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172"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2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166" w:lineRule="exact"/>
        <w:rPr>
          <w:sz w:val="20"/>
          <w:szCs w:val="20"/>
          <w:color w:val="auto"/>
        </w:rPr>
      </w:pPr>
    </w:p>
    <w:p>
      <w:pPr>
        <w:ind w:left="1620" w:hanging="315"/>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225" w:lineRule="exact"/>
        <w:rPr>
          <w:rFonts w:ascii="Arial" w:cs="Arial" w:eastAsia="Arial" w:hAnsi="Arial"/>
          <w:sz w:val="18"/>
          <w:szCs w:val="18"/>
          <w:color w:val="auto"/>
        </w:rPr>
      </w:pPr>
    </w:p>
    <w:p>
      <w:pPr>
        <w:jc w:val="both"/>
        <w:ind w:left="1620" w:right="80" w:hanging="315"/>
        <w:spacing w:after="0" w:line="286"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165" w:lineRule="exact"/>
        <w:rPr>
          <w:rFonts w:ascii="Arial" w:cs="Arial" w:eastAsia="Arial" w:hAnsi="Arial"/>
          <w:sz w:val="17"/>
          <w:szCs w:val="17"/>
          <w:color w:val="auto"/>
        </w:rPr>
      </w:pPr>
    </w:p>
    <w:p>
      <w:pPr>
        <w:ind w:left="1620" w:right="180" w:hanging="315"/>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248" w:lineRule="exact"/>
        <w:rPr>
          <w:sz w:val="20"/>
          <w:szCs w:val="20"/>
          <w:color w:val="auto"/>
        </w:rPr>
      </w:pPr>
    </w:p>
    <w:p>
      <w:pPr>
        <w:ind w:left="660" w:right="44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0" w:name="page41"/>
    <w:bookmarkEnd w:id="40"/>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187" w:lineRule="exact"/>
        <w:rPr>
          <w:sz w:val="20"/>
          <w:szCs w:val="20"/>
          <w:color w:val="auto"/>
        </w:rPr>
      </w:pPr>
    </w:p>
    <w:p>
      <w:pPr>
        <w:ind w:left="980" w:right="220" w:hanging="324"/>
        <w:spacing w:after="0" w:line="279"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71"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86"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188"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170"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181"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23"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Incorporators, Stockholders, Officers, Directors or Employees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Gerald L. Hassell, one of our directors, is the Chairman of the board of directors of the trustee.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indenture, including any guarantee, and the Exchange Notes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5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DTC</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ind w:right="240" w:firstLine="324"/>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6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Exchange Notes represented by the Global Notes registered in the name of and held by DTC or its nominee to DTC or its nominee, as the case may be, as the registered owner and holder of the Global Notes.</w:t>
      </w:r>
    </w:p>
    <w:p>
      <w:pPr>
        <w:spacing w:after="0" w:line="14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6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Subject to certain conditions, the Exchange Notes represented by the Global Notes are exchangeable for certificated Exchange Notes in definitive form of like tenor in denominations of $2,000 principal amount and multiples of $1,000 in excess thereof if:</w:t>
      </w:r>
    </w:p>
    <w:p>
      <w:pPr>
        <w:spacing w:after="0" w:line="170" w:lineRule="exact"/>
        <w:rPr>
          <w:sz w:val="20"/>
          <w:szCs w:val="20"/>
          <w:color w:val="auto"/>
        </w:rPr>
      </w:pPr>
    </w:p>
    <w:p>
      <w:pPr>
        <w:ind w:left="1300" w:right="520" w:hanging="644"/>
        <w:spacing w:after="0" w:line="308"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Exchange Notes represented by the Global Notes;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default entitling the holders of the applicable Exchange Notes to accelerate the maturity thereof has occurred and is continuing.</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ind w:right="100" w:firstLine="324"/>
        <w:spacing w:after="0" w:line="264" w:lineRule="auto"/>
        <w:rPr>
          <w:sz w:val="20"/>
          <w:szCs w:val="20"/>
          <w:color w:val="auto"/>
        </w:rPr>
      </w:pPr>
      <w:r>
        <w:rPr>
          <w:rFonts w:ascii="Arial" w:cs="Arial" w:eastAsia="Arial" w:hAnsi="Arial"/>
          <w:sz w:val="18"/>
          <w:szCs w:val="18"/>
          <w:color w:val="auto"/>
        </w:rPr>
        <w:t>Any Exchange Note that is exchangeable as above is for certificated Exchange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exchange of Original Notes for Exchange Notes in the Exchange Offers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72" w:right="37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want to participate in the Exchange Offers, you must represent, among other things, that you:</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not a broker-dealer tendering Original Notes that you acquired directly from us for your own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acquiring the Exchange Notes in the ordinary course of your business;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not participated in, do not intend to participate in, and have no arrangement or understanding with any person to participate in, a distribution of the Exchange Notes;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not an “affiliate” as defined under Rule 405 of the Securities Act.</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If you fail to satisfy any of these conditions, you cannot rely on the position of the SEC set forth in the no-action letters referred to above under “Summary — The Exchange Offers — Resale of Exchange Notes” and you must comply with the registration and prospectus delivery requirements of the Securities Act in connection with a resale of the Exchange Notes.</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Each broker-dealer that receives Exchange Notes for its own account pursuant to the Exchange Offers will be deemed to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Comcast will not receive any proceeds from any sale of Exchange Notes by broker-dealers. Exchange Notes received by broker-dealers for their own account pursuant to the Exchange Offers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Offers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 period of 90 days after the Expiration Date, Comcast will promptly send additional copies of this prospectus and any amendment or supplement to this prospectus to any broker-dealer that requests such documents. We have agreed to pay all expenses incident to the Exchange Offers other than commissions or concessions of any brokers or dealers, and will indemnify the holders of the Exchange Notes (including any broker-dealers) against certain liabilities, including liabilities under the Securities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THE EXCHANGE AGENT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will pay the Exchange Agent reasonable and customary fees for its services and will reimburse it for its reasonable out-of-pocket expenses.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address for The Bank of New York Mellon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of New York Mellon, as Exchange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The Bank of New York Mellon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Trust Operations — Reorganization Unit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Melissa Vollick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(315) 414-3349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(732) 667-9408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CT_REORG_UNIT_INQUIRIES@bnymellon.com</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Questions and requests for assistance related to the Exchange Offers or for additional copies of this prospectus may be directed to the Exchange Agent at the telephone number and address listed above.</w:t>
      </w:r>
    </w:p>
    <w:p>
      <w:pPr>
        <w:spacing w:after="0" w:line="166" w:lineRule="exact"/>
        <w:rPr>
          <w:sz w:val="20"/>
          <w:szCs w:val="20"/>
          <w:color w:val="auto"/>
        </w:rPr>
      </w:pPr>
    </w:p>
    <w:p>
      <w:pPr>
        <w:ind w:right="660" w:firstLine="324"/>
        <w:spacing w:after="0" w:line="282" w:lineRule="auto"/>
        <w:rPr>
          <w:sz w:val="20"/>
          <w:szCs w:val="20"/>
          <w:color w:val="auto"/>
        </w:rPr>
      </w:pPr>
      <w:r>
        <w:rPr>
          <w:rFonts w:ascii="Arial" w:cs="Arial" w:eastAsia="Arial" w:hAnsi="Arial"/>
          <w:sz w:val="18"/>
          <w:szCs w:val="18"/>
          <w:b w:val="1"/>
          <w:bCs w:val="1"/>
          <w:color w:val="auto"/>
        </w:rPr>
        <w:t>TRANSMISSION OF INSTRUCTIONS TO AN ADDRESS OR FACSIMILE NUMBER OTHER THAN THAT OF THE EXCHANGE AGENT AS SET FORTH ON THE BACK COVER OF THIS PROSPECTUS DOES NOT CONSTITUTE VALID DELIVERY.</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2016, and the effectiveness of Comcast Corporation and subsidiaries’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subsidiaries, incorporated herein by reference from NBCUniversal Media, LLC’s Annual Report on Form 10-K for the year ended December 31, 2016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8" w:name="page49"/>
    <w:bookmarkEnd w:id="48"/>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311785</wp:posOffset>
            </wp:positionV>
            <wp:extent cx="1397635" cy="488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Exchange Agent for the Exchange Offers is: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The Bank of New York Mellon Trust</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Company, N.A.</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By Facsimile (Eligible Institutions Only):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(732) 667-9408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By Mail or Hand: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The Bank of New York Mellon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Corporate Trust Operations — Reorganization Unit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Attention: Melissa Vollick</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(315) 414-3349</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CT_REORG_UNIT_INQUIRIES@bnymellon.com</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Requests for additional copies of this prospectus may be directed to the Exchange Agent at the address or telephone number set forth above. Beneficial owners may also contact their custodian for assistance concerning the Exchange Offers.</w:t>
      </w:r>
    </w:p>
    <w:p>
      <w:pPr>
        <w:spacing w:after="0" w:line="166"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Until , 2017, all dealers that effect transactions in the Exchange Notes, whether or not participating in the Exchange Offers,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4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5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0" w:name="page51"/>
    <w:bookmarkEnd w:id="50"/>
    <w:p>
      <w:pPr>
        <w:ind w:firstLine="648"/>
        <w:spacing w:after="0" w:line="264"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shall inure to the benefit of the heirs and personal representatives of such person.</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Article Eleventh of the Comcast charter provides that no person who is or was a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the Comcast charter extends such protection to any person who is or was an officer of Comcast.</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statements are subject to the detailed provisions of the PBCL and to the applicable provisions of the Comcast charter and by-laws.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1" w:name="page52"/>
    <w:bookmarkEnd w:id="51"/>
    <w:p>
      <w:pPr>
        <w:ind w:right="580" w:firstLine="648"/>
        <w:spacing w:after="0" w:line="264" w:lineRule="auto"/>
        <w:rPr>
          <w:sz w:val="20"/>
          <w:szCs w:val="20"/>
          <w:color w:val="auto"/>
        </w:rPr>
      </w:pPr>
      <w:r>
        <w:rPr>
          <w:rFonts w:ascii="Arial" w:cs="Arial" w:eastAsia="Arial" w:hAnsi="Arial"/>
          <w:sz w:val="18"/>
          <w:szCs w:val="18"/>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8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58"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i w:val="1"/>
          <w:iCs w:val="1"/>
          <w:color w:val="auto"/>
        </w:rPr>
        <w:t>Exhibits and Financial Statement Schedule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gridSpan w:val="8"/>
          </w:tcPr>
          <w:p>
            <w:pPr>
              <w:ind w:left="1900"/>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1160" w:type="dxa"/>
            <w:vAlign w:val="bottom"/>
          </w:tcPr>
          <w:p>
            <w:pPr>
              <w:jc w:val="right"/>
              <w:ind w:right="330"/>
              <w:spacing w:after="0" w:line="170"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4"/>
                <w:szCs w:val="14"/>
                <w:color w:val="auto"/>
              </w:rPr>
            </w:pPr>
          </w:p>
        </w:tc>
        <w:tc>
          <w:tcPr>
            <w:tcW w:w="9580" w:type="dxa"/>
            <w:vAlign w:val="bottom"/>
            <w:tcBorders>
              <w:bottom w:val="single" w:sz="8" w:color="0000EE"/>
            </w:tcBorders>
            <w:gridSpan w:val="6"/>
          </w:tcPr>
          <w:p>
            <w:pPr>
              <w:spacing w:after="0" w:line="170"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Senior Indenture dated September 18, 2013 among the Company, the guarantors party thereto and The Bank of New York Mellon, as</w:t>
              </w:r>
            </w:hyperlink>
          </w:p>
        </w:tc>
        <w:tc>
          <w:tcPr>
            <w:tcW w:w="460" w:type="dxa"/>
            <w:vAlign w:val="bottom"/>
            <w:gridSpan w:val="4"/>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w w:val="97"/>
              </w:rPr>
            </w:pPr>
            <w:hyperlink r:id="rId70">
              <w:r>
                <w:rPr>
                  <w:rFonts w:ascii="Arial" w:cs="Arial" w:eastAsia="Arial" w:hAnsi="Arial"/>
                  <w:sz w:val="18"/>
                  <w:szCs w:val="18"/>
                  <w:color w:val="0000EE"/>
                  <w:w w:val="97"/>
                </w:rPr>
                <w:t>Trustee (incorporated by reference to Comcast’s Registration Statement on Form S-3, as amended, filed on September 18, 2013)</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9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First Supplemental Indenture dated November 17, 2015 among the Company, the guarantors party thereto and The Bank of New York</w:t>
              </w:r>
            </w:hyperlink>
          </w:p>
        </w:tc>
        <w:tc>
          <w:tcPr>
            <w:tcW w:w="3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w w:val="99"/>
              </w:rPr>
            </w:pPr>
            <w:hyperlink r:id="rId71">
              <w:r>
                <w:rPr>
                  <w:rFonts w:ascii="Arial" w:cs="Arial" w:eastAsia="Arial" w:hAnsi="Arial"/>
                  <w:sz w:val="18"/>
                  <w:szCs w:val="18"/>
                  <w:color w:val="0000EE"/>
                  <w:w w:val="99"/>
                </w:rPr>
                <w:t>Mellon, as Trustee (incorporated by reference to Comcast’s Registration Statement on Form S-3, filed on November 23, 2015)</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96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Form of Officers’ Certificate setting forth the terms of the Original Notes (incorporated by reference to Comcast’s Current Report on</w:t>
              </w:r>
            </w:hyperlink>
          </w:p>
        </w:tc>
        <w:tc>
          <w:tcPr>
            <w:tcW w:w="42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Form 8-K, filed on October 20, 2017)</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10040" w:type="dxa"/>
            <w:vAlign w:val="bottom"/>
            <w:gridSpan w:val="10"/>
          </w:tcPr>
          <w:p>
            <w:pPr>
              <w:spacing w:after="0" w:line="196" w:lineRule="exact"/>
              <w:rPr>
                <w:sz w:val="20"/>
                <w:szCs w:val="20"/>
                <w:color w:val="auto"/>
              </w:rPr>
            </w:pPr>
            <w:r>
              <w:rPr>
                <w:rFonts w:ascii="Arial" w:cs="Arial" w:eastAsia="Arial" w:hAnsi="Arial"/>
                <w:sz w:val="18"/>
                <w:szCs w:val="18"/>
                <w:color w:val="0000EE"/>
              </w:rPr>
              <w:t>Form of Officers’ Certificate setting forth the terms of the Exchange Notes*</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Registration Rights Agreement, dated as of October 19, 2017 (incorporated by reference to Comcast’s Current Report on Form 8-K, filed</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on October 20, 2017)</w:t>
              </w:r>
            </w:hyperlink>
          </w:p>
        </w:tc>
        <w:tc>
          <w:tcPr>
            <w:tcW w:w="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tbl>
      <w:tblPr>
        <w:tblLayout w:type="fixed"/>
        <w:tblInd w:w="460" w:type="dxa"/>
        <w:tblCellMar>
          <w:top w:w="0" w:type="dxa"/>
          <w:left w:w="0" w:type="dxa"/>
          <w:bottom w:w="0" w:type="dxa"/>
          <w:right w:w="0" w:type="dxa"/>
        </w:tblCellMar>
      </w:tblPr>
      <w:tr>
        <w:trPr>
          <w:trHeight w:val="207"/>
        </w:trPr>
        <w:tc>
          <w:tcPr>
            <w:tcW w:w="920" w:type="dxa"/>
            <w:vAlign w:val="bottom"/>
          </w:tcPr>
          <w:p>
            <w:pPr>
              <w:jc w:val="center"/>
              <w:ind w:right="490"/>
              <w:spacing w:after="0"/>
              <w:rPr>
                <w:sz w:val="20"/>
                <w:szCs w:val="20"/>
                <w:color w:val="auto"/>
              </w:rPr>
            </w:pPr>
            <w:r>
              <w:rPr>
                <w:rFonts w:ascii="Arial" w:cs="Arial" w:eastAsia="Arial" w:hAnsi="Arial"/>
                <w:sz w:val="18"/>
                <w:szCs w:val="18"/>
                <w:color w:val="auto"/>
                <w:w w:val="87"/>
              </w:rPr>
              <w:t>5.1</w:t>
            </w:r>
          </w:p>
        </w:tc>
        <w:tc>
          <w:tcPr>
            <w:tcW w:w="27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Opinion of Arthur R. Block, Esquire*</w:t>
            </w:r>
          </w:p>
        </w:tc>
        <w:tc>
          <w:tcPr>
            <w:tcW w:w="7260" w:type="dxa"/>
            <w:vAlign w:val="bottom"/>
            <w:gridSpan w:val="9"/>
          </w:tcPr>
          <w:p>
            <w:pPr>
              <w:spacing w:after="0"/>
              <w:rPr>
                <w:sz w:val="17"/>
                <w:szCs w:val="17"/>
                <w:color w:val="auto"/>
              </w:rPr>
            </w:pPr>
          </w:p>
        </w:tc>
      </w:tr>
      <w:tr>
        <w:trPr>
          <w:trHeight w:val="196"/>
        </w:trPr>
        <w:tc>
          <w:tcPr>
            <w:tcW w:w="920" w:type="dxa"/>
            <w:vAlign w:val="bottom"/>
          </w:tcPr>
          <w:p>
            <w:pPr>
              <w:jc w:val="center"/>
              <w:ind w:right="490"/>
              <w:spacing w:after="0" w:line="196" w:lineRule="exact"/>
              <w:rPr>
                <w:sz w:val="20"/>
                <w:szCs w:val="20"/>
                <w:color w:val="auto"/>
              </w:rPr>
            </w:pPr>
            <w:r>
              <w:rPr>
                <w:rFonts w:ascii="Arial" w:cs="Arial" w:eastAsia="Arial" w:hAnsi="Arial"/>
                <w:sz w:val="18"/>
                <w:szCs w:val="18"/>
                <w:color w:val="auto"/>
                <w:w w:val="87"/>
              </w:rPr>
              <w:t>5.2</w:t>
            </w:r>
          </w:p>
        </w:tc>
        <w:tc>
          <w:tcPr>
            <w:tcW w:w="30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Opinion of Davis Polk &amp; Wardwell LLP*</w:t>
            </w:r>
          </w:p>
        </w:tc>
        <w:tc>
          <w:tcPr>
            <w:tcW w:w="6980" w:type="dxa"/>
            <w:vAlign w:val="bottom"/>
            <w:gridSpan w:val="8"/>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12.1</w:t>
            </w:r>
          </w:p>
        </w:tc>
        <w:tc>
          <w:tcPr>
            <w:tcW w:w="100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Statement Regarding Computation of Ratio of Earnings to Fixed Charges and Ratio of Earnings to Combined Fixed Charges and Preferred</w:t>
              </w:r>
            </w:hyperlink>
          </w:p>
        </w:tc>
      </w:tr>
      <w:tr>
        <w:trPr>
          <w:trHeight w:val="196"/>
        </w:trPr>
        <w:tc>
          <w:tcPr>
            <w:tcW w:w="920" w:type="dxa"/>
            <w:vAlign w:val="bottom"/>
          </w:tcPr>
          <w:p>
            <w:pPr>
              <w:spacing w:after="0"/>
              <w:rPr>
                <w:sz w:val="17"/>
                <w:szCs w:val="17"/>
                <w:color w:val="auto"/>
              </w:rPr>
            </w:pPr>
          </w:p>
        </w:tc>
        <w:tc>
          <w:tcPr>
            <w:tcW w:w="100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Dividends of Comcast Corporation (incorporated by reference to our Annual Report on Form 10-K for the year ended December 31, 2015,</w:t>
              </w:r>
            </w:hyperlink>
          </w:p>
        </w:tc>
      </w:tr>
      <w:tr>
        <w:trPr>
          <w:trHeight w:val="196"/>
        </w:trPr>
        <w:tc>
          <w:tcPr>
            <w:tcW w:w="92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filed on February 5, 2016)</w:t>
              </w:r>
            </w:hyperlink>
          </w:p>
        </w:tc>
      </w:tr>
      <w:tr>
        <w:trPr>
          <w:trHeight w:val="20"/>
        </w:trPr>
        <w:tc>
          <w:tcPr>
            <w:tcW w:w="9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12.2</w:t>
            </w:r>
          </w:p>
        </w:tc>
        <w:tc>
          <w:tcPr>
            <w:tcW w:w="88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Statement Regarding Computation of Ratio of Earnings to Fixed Charges for the nine months ended September 30, 2017*</w:t>
            </w:r>
          </w:p>
        </w:tc>
        <w:tc>
          <w:tcPr>
            <w:tcW w:w="1200" w:type="dxa"/>
            <w:vAlign w:val="bottom"/>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23.1</w:t>
            </w:r>
          </w:p>
        </w:tc>
        <w:tc>
          <w:tcPr>
            <w:tcW w:w="4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Consent of Deloitte &amp; Touche LLP (Comcast Corporation)*</w:t>
            </w:r>
          </w:p>
        </w:tc>
        <w:tc>
          <w:tcPr>
            <w:tcW w:w="5660" w:type="dxa"/>
            <w:vAlign w:val="bottom"/>
            <w:gridSpan w:val="6"/>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23.2</w:t>
            </w:r>
          </w:p>
        </w:tc>
        <w:tc>
          <w:tcPr>
            <w:tcW w:w="48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Consent of Deloitte &amp; Touche LLP (NBCUniversal Media, LLC)*</w:t>
            </w:r>
          </w:p>
        </w:tc>
        <w:tc>
          <w:tcPr>
            <w:tcW w:w="5200" w:type="dxa"/>
            <w:vAlign w:val="bottom"/>
            <w:gridSpan w:val="2"/>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23.3</w:t>
            </w:r>
          </w:p>
        </w:tc>
        <w:tc>
          <w:tcPr>
            <w:tcW w:w="44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Consent of Arthur R. Block, Esquire (included in Exhibit 5.1)</w:t>
            </w:r>
          </w:p>
        </w:tc>
        <w:tc>
          <w:tcPr>
            <w:tcW w:w="5540" w:type="dxa"/>
            <w:vAlign w:val="bottom"/>
            <w:gridSpan w:val="4"/>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23.4</w:t>
            </w:r>
          </w:p>
        </w:tc>
        <w:tc>
          <w:tcPr>
            <w:tcW w:w="47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Consent of Davis Polk &amp; Wardwell LLP (included in Exhibit 5.2)</w:t>
            </w:r>
          </w:p>
        </w:tc>
        <w:tc>
          <w:tcPr>
            <w:tcW w:w="5260" w:type="dxa"/>
            <w:vAlign w:val="bottom"/>
            <w:gridSpan w:val="3"/>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24.1</w:t>
            </w: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Powers of Attorney (included on the signature pages hereof)</w:t>
              </w:r>
            </w:hyperlink>
          </w:p>
        </w:tc>
        <w:tc>
          <w:tcPr>
            <w:tcW w:w="5640" w:type="dxa"/>
            <w:vAlign w:val="bottom"/>
            <w:gridSpan w:val="5"/>
          </w:tcPr>
          <w:p>
            <w:pPr>
              <w:spacing w:after="0"/>
              <w:rPr>
                <w:sz w:val="17"/>
                <w:szCs w:val="17"/>
                <w:color w:val="auto"/>
              </w:rPr>
            </w:pPr>
          </w:p>
        </w:tc>
      </w:tr>
      <w:tr>
        <w:trPr>
          <w:trHeight w:val="196"/>
        </w:trPr>
        <w:tc>
          <w:tcPr>
            <w:tcW w:w="92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1"/>
              </w:rPr>
              <w:t>25.1</w:t>
            </w:r>
          </w:p>
        </w:tc>
        <w:tc>
          <w:tcPr>
            <w:tcW w:w="100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Statement of Eligibility under the Trust Indenture Act of 1939, as amended, of The Bank of New York Mellon, as Trustee under the Senior</w:t>
            </w:r>
          </w:p>
        </w:tc>
      </w:tr>
      <w:tr>
        <w:trPr>
          <w:trHeight w:val="196"/>
        </w:trPr>
        <w:tc>
          <w:tcPr>
            <w:tcW w:w="920" w:type="dxa"/>
            <w:vAlign w:val="bottom"/>
          </w:tcPr>
          <w:p>
            <w:pPr>
              <w:spacing w:after="0"/>
              <w:rPr>
                <w:sz w:val="17"/>
                <w:szCs w:val="17"/>
                <w:color w:val="auto"/>
              </w:rPr>
            </w:pPr>
          </w:p>
        </w:tc>
        <w:tc>
          <w:tcPr>
            <w:tcW w:w="10000" w:type="dxa"/>
            <w:vAlign w:val="bottom"/>
            <w:gridSpan w:val="11"/>
          </w:tcPr>
          <w:p>
            <w:pPr>
              <w:spacing w:after="0" w:line="196" w:lineRule="exact"/>
              <w:rPr>
                <w:sz w:val="20"/>
                <w:szCs w:val="20"/>
                <w:color w:val="auto"/>
              </w:rPr>
            </w:pPr>
            <w:r>
              <w:rPr>
                <w:rFonts w:ascii="Arial" w:cs="Arial" w:eastAsia="Arial" w:hAnsi="Arial"/>
                <w:sz w:val="18"/>
                <w:szCs w:val="18"/>
                <w:color w:val="0000EE"/>
              </w:rPr>
              <w:t>Indenture, dated as of September 18, 2013*</w:t>
            </w:r>
          </w:p>
        </w:tc>
      </w:tr>
      <w:tr>
        <w:trPr>
          <w:trHeight w:val="20"/>
        </w:trPr>
        <w:tc>
          <w:tcPr>
            <w:tcW w:w="9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i w:val="1"/>
          <w:iCs w:val="1"/>
          <w:color w:val="auto"/>
        </w:rPr>
        <w:t>Undertakings</w:t>
      </w:r>
    </w:p>
    <w:p>
      <w:pPr>
        <w:spacing w:after="0" w:line="25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registrants hereby undertakes:</w:t>
      </w:r>
    </w:p>
    <w:p>
      <w:pPr>
        <w:spacing w:after="0" w:line="225" w:lineRule="exact"/>
        <w:rPr>
          <w:rFonts w:ascii="Arial" w:cs="Arial" w:eastAsia="Arial" w:hAnsi="Arial"/>
          <w:sz w:val="18"/>
          <w:szCs w:val="18"/>
          <w:color w:val="auto"/>
        </w:rPr>
      </w:pPr>
    </w:p>
    <w:p>
      <w:pPr>
        <w:ind w:left="1580" w:hanging="250"/>
        <w:spacing w:after="0"/>
        <w:tabs>
          <w:tab w:leader="none" w:pos="15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840" w:hanging="346"/>
        <w:spacing w:after="0"/>
        <w:tabs>
          <w:tab w:leader="none" w:pos="18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3" w:lineRule="exact"/>
        <w:rPr>
          <w:rFonts w:ascii="Arial" w:cs="Arial" w:eastAsia="Arial" w:hAnsi="Arial"/>
          <w:sz w:val="18"/>
          <w:szCs w:val="18"/>
          <w:color w:val="auto"/>
        </w:rPr>
      </w:pPr>
    </w:p>
    <w:p>
      <w:pPr>
        <w:ind w:left="1840" w:right="60" w:hanging="346"/>
        <w:spacing w:after="0" w:line="250" w:lineRule="auto"/>
        <w:tabs>
          <w:tab w:leader="none" w:pos="18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 w:lineRule="exact"/>
        <w:rPr>
          <w:rFonts w:ascii="Arial" w:cs="Arial" w:eastAsia="Arial" w:hAnsi="Arial"/>
          <w:sz w:val="18"/>
          <w:szCs w:val="18"/>
          <w:color w:val="auto"/>
        </w:rPr>
      </w:pPr>
    </w:p>
    <w:p>
      <w:pPr>
        <w:ind w:left="1840" w:right="20" w:hanging="346"/>
        <w:spacing w:after="0" w:line="265" w:lineRule="auto"/>
        <w:tabs>
          <w:tab w:leader="none" w:pos="1840" w:val="left"/>
        </w:tabs>
        <w:numPr>
          <w:ilvl w:val="2"/>
          <w:numId w:val="43"/>
        </w:numPr>
        <w:rPr>
          <w:rFonts w:ascii="Arial" w:cs="Arial" w:eastAsia="Arial" w:hAnsi="Arial"/>
          <w:sz w:val="17"/>
          <w:szCs w:val="17"/>
          <w:color w:val="auto"/>
        </w:rPr>
      </w:pPr>
      <w:r>
        <w:rPr>
          <w:rFonts w:ascii="Arial" w:cs="Arial" w:eastAsia="Arial" w:hAnsi="Arial"/>
          <w:sz w:val="17"/>
          <w:szCs w:val="17"/>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 w:lineRule="exact"/>
        <w:rPr>
          <w:rFonts w:ascii="Arial" w:cs="Arial" w:eastAsia="Arial" w:hAnsi="Arial"/>
          <w:sz w:val="17"/>
          <w:szCs w:val="17"/>
          <w:color w:val="auto"/>
        </w:rPr>
      </w:pPr>
    </w:p>
    <w:p>
      <w:pPr>
        <w:ind w:left="1840" w:right="180" w:hanging="346"/>
        <w:spacing w:after="0" w:line="261" w:lineRule="auto"/>
        <w:tabs>
          <w:tab w:leader="none" w:pos="18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3" w:lineRule="exact"/>
        <w:rPr>
          <w:rFonts w:ascii="Arial" w:cs="Arial" w:eastAsia="Arial" w:hAnsi="Arial"/>
          <w:sz w:val="18"/>
          <w:szCs w:val="18"/>
          <w:color w:val="auto"/>
        </w:rPr>
      </w:pPr>
    </w:p>
    <w:p>
      <w:pPr>
        <w:ind w:left="880" w:firstLine="450"/>
        <w:spacing w:after="0" w:line="264" w:lineRule="auto"/>
        <w:tabs>
          <w:tab w:leader="none" w:pos="15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880" w:right="140" w:firstLine="450"/>
        <w:spacing w:after="0" w:line="277" w:lineRule="auto"/>
        <w:tabs>
          <w:tab w:leader="none" w:pos="15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80" w:right="20" w:firstLine="450"/>
        <w:spacing w:after="0" w:line="254" w:lineRule="auto"/>
        <w:tabs>
          <w:tab w:leader="none" w:pos="157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sectPr>
      </w:pPr>
    </w:p>
    <w:bookmarkStart w:id="53" w:name="page54"/>
    <w:bookmarkEnd w:id="53"/>
    <w:p>
      <w:pPr>
        <w:ind w:left="426" w:right="20" w:firstLine="450"/>
        <w:spacing w:after="0" w:line="257" w:lineRule="auto"/>
        <w:tabs>
          <w:tab w:leader="none" w:pos="11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1386" w:right="180" w:hanging="346"/>
        <w:spacing w:after="0" w:line="258" w:lineRule="auto"/>
        <w:tabs>
          <w:tab w:leader="none" w:pos="1386"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 w:lineRule="exact"/>
        <w:rPr>
          <w:rFonts w:ascii="Arial" w:cs="Arial" w:eastAsia="Arial" w:hAnsi="Arial"/>
          <w:sz w:val="18"/>
          <w:szCs w:val="18"/>
          <w:color w:val="auto"/>
        </w:rPr>
      </w:pPr>
    </w:p>
    <w:p>
      <w:pPr>
        <w:ind w:left="1386" w:right="240" w:hanging="346"/>
        <w:spacing w:after="0" w:line="250" w:lineRule="auto"/>
        <w:tabs>
          <w:tab w:leader="none" w:pos="1386"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ind w:left="1386" w:right="540" w:hanging="346"/>
        <w:spacing w:after="0" w:line="250" w:lineRule="auto"/>
        <w:tabs>
          <w:tab w:leader="none" w:pos="1386"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386" w:hanging="346"/>
        <w:spacing w:after="0"/>
        <w:tabs>
          <w:tab w:leader="none" w:pos="1386"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10" w:lineRule="exact"/>
        <w:rPr>
          <w:rFonts w:ascii="Arial" w:cs="Arial" w:eastAsia="Arial" w:hAnsi="Arial"/>
          <w:sz w:val="18"/>
          <w:szCs w:val="18"/>
          <w:color w:val="auto"/>
        </w:rPr>
      </w:pPr>
    </w:p>
    <w:p>
      <w:pPr>
        <w:ind w:left="446" w:right="40" w:hanging="446"/>
        <w:spacing w:after="0" w:line="276" w:lineRule="auto"/>
        <w:tabs>
          <w:tab w:leader="none" w:pos="4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undersigned registrants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446" w:hanging="446"/>
        <w:spacing w:after="0" w:line="271" w:lineRule="auto"/>
        <w:tabs>
          <w:tab w:leader="none" w:pos="4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446" w:right="200" w:hanging="446"/>
        <w:spacing w:after="0" w:line="259" w:lineRule="auto"/>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undersigned registrants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446" w:right="220" w:hanging="446"/>
        <w:spacing w:after="0" w:line="342" w:lineRule="auto"/>
        <w:tabs>
          <w:tab w:leader="none" w:pos="4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undersigned registrants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2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6"/>
          </w:cols>
          <w:pgMar w:left="694" w:top="69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Comcast Corporation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November 7, 2017.</w:t>
      </w:r>
    </w:p>
    <w:p>
      <w:pPr>
        <w:spacing w:after="0" w:line="3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060"/>
        <w:spacing w:after="0"/>
        <w:tabs>
          <w:tab w:leader="none" w:pos="6560" w:val="left"/>
          <w:tab w:leader="none" w:pos="69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2383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w:t>
      </w:r>
    </w:p>
    <w:p>
      <w:pPr>
        <w:spacing w:after="0" w:line="2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David L. Cohen, Daniel C. Murdock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688" w:right="2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b w:val="1"/>
                <w:bCs w:val="1"/>
                <w:color w:val="auto"/>
                <w:w w:val="91"/>
              </w:rPr>
              <w:t>Signature</w:t>
            </w:r>
          </w:p>
        </w:tc>
      </w:tr>
      <w:tr>
        <w:trPr>
          <w:trHeight w:val="426"/>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color w:val="auto"/>
                <w:w w:val="95"/>
              </w:rPr>
              <w:t>BRIAN L. ROBERTS</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Brian L. Roberts</w:t>
            </w:r>
          </w:p>
        </w:tc>
      </w:tr>
      <w:tr>
        <w:trPr>
          <w:trHeight w:val="630"/>
        </w:trPr>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3"/>
              </w:rPr>
              <w:t>/s/</w:t>
            </w:r>
          </w:p>
        </w:tc>
        <w:tc>
          <w:tcPr>
            <w:tcW w:w="3460" w:type="dxa"/>
            <w:vAlign w:val="bottom"/>
            <w:tcBorders>
              <w:bottom w:val="single" w:sz="8" w:color="auto"/>
            </w:tcBorders>
            <w:gridSpan w:val="2"/>
          </w:tcPr>
          <w:p>
            <w:pPr>
              <w:jc w:val="center"/>
              <w:ind w:right="1030"/>
              <w:spacing w:after="0"/>
              <w:rPr>
                <w:sz w:val="20"/>
                <w:szCs w:val="20"/>
                <w:color w:val="auto"/>
              </w:rPr>
            </w:pPr>
            <w:r>
              <w:rPr>
                <w:rFonts w:ascii="Arial" w:cs="Arial" w:eastAsia="Arial" w:hAnsi="Arial"/>
                <w:sz w:val="18"/>
                <w:szCs w:val="18"/>
                <w:color w:val="auto"/>
                <w:w w:val="98"/>
              </w:rPr>
              <w:t>MICHAEL J. CAVANAGH</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Michael J. Cavanagh</w:t>
            </w:r>
          </w:p>
        </w:tc>
      </w:tr>
      <w:tr>
        <w:trPr>
          <w:trHeight w:val="630"/>
        </w:trPr>
        <w:tc>
          <w:tcPr>
            <w:tcW w:w="134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jc w:val="center"/>
              <w:ind w:right="1250"/>
              <w:spacing w:after="0"/>
              <w:rPr>
                <w:sz w:val="20"/>
                <w:szCs w:val="20"/>
                <w:color w:val="auto"/>
              </w:rPr>
            </w:pPr>
            <w:r>
              <w:rPr>
                <w:rFonts w:ascii="Arial" w:cs="Arial" w:eastAsia="Arial" w:hAnsi="Arial"/>
                <w:sz w:val="18"/>
                <w:szCs w:val="18"/>
                <w:color w:val="auto"/>
                <w:w w:val="99"/>
              </w:rPr>
              <w:t>DANIEL C. MURDOCK</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4"/>
              </w:rPr>
              <w:t>Daniel C. Murdock</w:t>
            </w:r>
          </w:p>
        </w:tc>
      </w:tr>
      <w:tr>
        <w:trPr>
          <w:trHeight w:val="630"/>
        </w:trPr>
        <w:tc>
          <w:tcPr>
            <w:tcW w:w="134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jc w:val="center"/>
              <w:ind w:right="1250"/>
              <w:spacing w:after="0"/>
              <w:rPr>
                <w:sz w:val="20"/>
                <w:szCs w:val="20"/>
                <w:color w:val="auto"/>
              </w:rPr>
            </w:pPr>
            <w:r>
              <w:rPr>
                <w:rFonts w:ascii="Arial" w:cs="Arial" w:eastAsia="Arial" w:hAnsi="Arial"/>
                <w:sz w:val="18"/>
                <w:szCs w:val="18"/>
                <w:color w:val="auto"/>
                <w:w w:val="97"/>
              </w:rPr>
              <w:t>KENNETH J. BACON</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Kenneth J. Bacon</w:t>
            </w:r>
          </w:p>
        </w:tc>
      </w:tr>
      <w:tr>
        <w:trPr>
          <w:trHeight w:val="414"/>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tcPr>
          <w:p>
            <w:pPr>
              <w:jc w:val="center"/>
              <w:ind w:right="1250"/>
              <w:spacing w:after="0"/>
              <w:rPr>
                <w:sz w:val="20"/>
                <w:szCs w:val="20"/>
                <w:color w:val="auto"/>
              </w:rPr>
            </w:pPr>
            <w:r>
              <w:rPr>
                <w:rFonts w:ascii="Arial" w:cs="Arial" w:eastAsia="Arial" w:hAnsi="Arial"/>
                <w:sz w:val="18"/>
                <w:szCs w:val="18"/>
                <w:color w:val="auto"/>
                <w:w w:val="99"/>
              </w:rPr>
              <w:t>MADELINE S. BELL</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Madeline S. Bell</w:t>
            </w:r>
          </w:p>
        </w:tc>
      </w:tr>
      <w:tr>
        <w:trPr>
          <w:trHeight w:val="414"/>
        </w:trPr>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4"/>
              </w:rPr>
              <w:t>/s/</w:t>
            </w:r>
          </w:p>
        </w:tc>
        <w:tc>
          <w:tcPr>
            <w:tcW w:w="3460" w:type="dxa"/>
            <w:vAlign w:val="bottom"/>
            <w:tcBorders>
              <w:bottom w:val="single" w:sz="8" w:color="auto"/>
            </w:tcBorders>
            <w:gridSpan w:val="2"/>
          </w:tcPr>
          <w:p>
            <w:pPr>
              <w:jc w:val="center"/>
              <w:ind w:right="1030"/>
              <w:spacing w:after="0"/>
              <w:rPr>
                <w:sz w:val="20"/>
                <w:szCs w:val="20"/>
                <w:color w:val="auto"/>
              </w:rPr>
            </w:pPr>
            <w:r>
              <w:rPr>
                <w:rFonts w:ascii="Arial" w:cs="Arial" w:eastAsia="Arial" w:hAnsi="Arial"/>
                <w:sz w:val="18"/>
                <w:szCs w:val="18"/>
                <w:color w:val="auto"/>
                <w:w w:val="98"/>
              </w:rPr>
              <w:t>SHELDON M. BONOVITZ</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Sheldon M. Bonovitz</w:t>
            </w:r>
          </w:p>
        </w:tc>
      </w:tr>
      <w:tr>
        <w:trPr>
          <w:trHeight w:val="414"/>
        </w:trPr>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jc w:val="center"/>
              <w:ind w:right="1250"/>
              <w:spacing w:after="0"/>
              <w:rPr>
                <w:sz w:val="20"/>
                <w:szCs w:val="20"/>
                <w:color w:val="auto"/>
              </w:rPr>
            </w:pPr>
            <w:r>
              <w:rPr>
                <w:rFonts w:ascii="Arial" w:cs="Arial" w:eastAsia="Arial" w:hAnsi="Arial"/>
                <w:sz w:val="18"/>
                <w:szCs w:val="18"/>
                <w:color w:val="auto"/>
                <w:w w:val="95"/>
              </w:rPr>
              <w:t>EDWARD D. BREEN</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Edward D. Breen</w:t>
            </w:r>
          </w:p>
        </w:tc>
      </w:tr>
      <w:tr>
        <w:trPr>
          <w:trHeight w:val="414"/>
        </w:trPr>
        <w:tc>
          <w:tcPr>
            <w:tcW w:w="134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color w:val="auto"/>
                <w:w w:val="97"/>
              </w:rPr>
              <w:t>GERALD L. HASSELL</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Gerald L. Hassell</w:t>
            </w:r>
          </w:p>
        </w:tc>
      </w:tr>
      <w:tr>
        <w:trPr>
          <w:trHeight w:val="414"/>
        </w:trPr>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gridSpan w:val="2"/>
          </w:tcPr>
          <w:p>
            <w:pPr>
              <w:jc w:val="center"/>
              <w:ind w:right="1030"/>
              <w:spacing w:after="0"/>
              <w:rPr>
                <w:sz w:val="20"/>
                <w:szCs w:val="20"/>
                <w:color w:val="auto"/>
              </w:rPr>
            </w:pPr>
            <w:r>
              <w:rPr>
                <w:rFonts w:ascii="Arial" w:cs="Arial" w:eastAsia="Arial" w:hAnsi="Arial"/>
                <w:sz w:val="18"/>
                <w:szCs w:val="18"/>
                <w:color w:val="auto"/>
                <w:w w:val="98"/>
              </w:rPr>
              <w:t>JEFFREY A. HONICKMAN</w:t>
            </w:r>
          </w:p>
        </w:tc>
      </w:t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Jeffrey A. Honickman</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17145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and CEO; Director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Senior Executive Vice President and CFO</w:t>
      </w:r>
    </w:p>
    <w:p>
      <w:pPr>
        <w:spacing w:after="0" w:line="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(Principal Financial Officer)</w:t>
      </w:r>
    </w:p>
    <w:p>
      <w:pPr>
        <w:spacing w:after="0" w:line="332" w:lineRule="exact"/>
        <w:rPr>
          <w:sz w:val="20"/>
          <w:szCs w:val="20"/>
          <w:color w:val="auto"/>
        </w:rPr>
      </w:pPr>
    </w:p>
    <w:p>
      <w:pPr>
        <w:jc w:val="center"/>
        <w:ind w:left="60" w:right="500"/>
        <w:spacing w:after="0" w:line="264" w:lineRule="auto"/>
        <w:rPr>
          <w:sz w:val="20"/>
          <w:szCs w:val="20"/>
          <w:color w:val="auto"/>
        </w:rPr>
      </w:pPr>
      <w:r>
        <w:rPr>
          <w:rFonts w:ascii="Arial" w:cs="Arial" w:eastAsia="Arial" w:hAnsi="Arial"/>
          <w:sz w:val="18"/>
          <w:szCs w:val="18"/>
          <w:color w:val="auto"/>
        </w:rPr>
        <w:t>Senior Vice President, Chief Accounting Officer and Controller (Principal Accounting Officer)</w:t>
      </w:r>
    </w:p>
    <w:p>
      <w:pPr>
        <w:spacing w:after="0" w:line="3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17145</wp:posOffset>
            </wp:positionV>
            <wp:extent cx="11576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November 7, 2017</w:t>
      </w:r>
    </w:p>
    <w:p>
      <w:pPr>
        <w:spacing w:after="0" w:line="494" w:lineRule="exact"/>
        <w:rPr>
          <w:sz w:val="20"/>
          <w:szCs w:val="20"/>
          <w:color w:val="auto"/>
        </w:rPr>
      </w:pPr>
    </w:p>
    <w:p>
      <w:pPr>
        <w:sectPr>
          <w:pgSz w:w="11900" w:h="16838" w:orient="portrait"/>
          <w:cols w:equalWidth="0" w:num="3">
            <w:col w:w="4860" w:space="720"/>
            <w:col w:w="3540" w:space="720"/>
            <w:col w:w="1580"/>
          </w:cols>
          <w:pgMar w:left="240" w:top="688" w:right="23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tcPr>
          <w:p>
            <w:pPr>
              <w:jc w:val="center"/>
              <w:ind w:right="1290"/>
              <w:spacing w:after="0"/>
              <w:rPr>
                <w:sz w:val="20"/>
                <w:szCs w:val="20"/>
                <w:color w:val="auto"/>
              </w:rPr>
            </w:pPr>
            <w:r>
              <w:rPr>
                <w:rFonts w:ascii="Arial" w:cs="Arial" w:eastAsia="Arial" w:hAnsi="Arial"/>
                <w:sz w:val="18"/>
                <w:szCs w:val="18"/>
                <w:color w:val="auto"/>
              </w:rPr>
              <w:t>ASUKA NAKAHARA</w:t>
            </w:r>
          </w:p>
        </w:tc>
        <w:tc>
          <w:tcPr>
            <w:tcW w:w="4040" w:type="dxa"/>
            <w:vAlign w:val="bottom"/>
            <w:vMerge w:val="restart"/>
          </w:tcPr>
          <w:p>
            <w:pPr>
              <w:ind w:left="22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20"/>
              <w:spacing w:after="0"/>
              <w:rPr>
                <w:sz w:val="20"/>
                <w:szCs w:val="20"/>
                <w:color w:val="auto"/>
              </w:rPr>
            </w:pPr>
            <w:r>
              <w:rPr>
                <w:rFonts w:ascii="Arial" w:cs="Arial" w:eastAsia="Arial" w:hAnsi="Arial"/>
                <w:sz w:val="18"/>
                <w:szCs w:val="18"/>
                <w:color w:val="auto"/>
                <w:w w:val="89"/>
              </w:rPr>
              <w:t>November 7, 2017</w:t>
            </w: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3160" w:type="dxa"/>
            <w:vAlign w:val="bottom"/>
            <w:vMerge w:val="restart"/>
          </w:tcPr>
          <w:p>
            <w:pPr>
              <w:jc w:val="center"/>
              <w:ind w:right="1330"/>
              <w:spacing w:after="0"/>
              <w:rPr>
                <w:sz w:val="20"/>
                <w:szCs w:val="20"/>
                <w:color w:val="auto"/>
              </w:rPr>
            </w:pPr>
            <w:r>
              <w:rPr>
                <w:rFonts w:ascii="Arial" w:cs="Arial" w:eastAsia="Arial" w:hAnsi="Arial"/>
                <w:sz w:val="18"/>
                <w:szCs w:val="18"/>
                <w:b w:val="1"/>
                <w:bCs w:val="1"/>
                <w:color w:val="auto"/>
                <w:w w:val="92"/>
              </w:rPr>
              <w:t>Asuka Nakahara</w:t>
            </w:r>
          </w:p>
        </w:tc>
        <w:tc>
          <w:tcPr>
            <w:tcW w:w="404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4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60" w:type="dxa"/>
            <w:vAlign w:val="bottom"/>
            <w:tcBorders>
              <w:bottom w:val="single" w:sz="8" w:color="auto"/>
            </w:tcBorders>
          </w:tcPr>
          <w:p>
            <w:pPr>
              <w:jc w:val="center"/>
              <w:ind w:right="1310"/>
              <w:spacing w:after="0"/>
              <w:rPr>
                <w:sz w:val="20"/>
                <w:szCs w:val="20"/>
                <w:color w:val="auto"/>
              </w:rPr>
            </w:pPr>
            <w:r>
              <w:rPr>
                <w:rFonts w:ascii="Arial" w:cs="Arial" w:eastAsia="Arial" w:hAnsi="Arial"/>
                <w:sz w:val="18"/>
                <w:szCs w:val="18"/>
                <w:color w:val="auto"/>
                <w:w w:val="98"/>
              </w:rPr>
              <w:t>DAVID C. NOVAK</w:t>
            </w:r>
          </w:p>
        </w:tc>
        <w:tc>
          <w:tcPr>
            <w:tcW w:w="4040" w:type="dxa"/>
            <w:vAlign w:val="bottom"/>
            <w:vMerge w:val="restart"/>
          </w:tcPr>
          <w:p>
            <w:pPr>
              <w:ind w:left="22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20"/>
              <w:spacing w:after="0"/>
              <w:rPr>
                <w:sz w:val="20"/>
                <w:szCs w:val="20"/>
                <w:color w:val="auto"/>
              </w:rPr>
            </w:pPr>
            <w:r>
              <w:rPr>
                <w:rFonts w:ascii="Arial" w:cs="Arial" w:eastAsia="Arial" w:hAnsi="Arial"/>
                <w:sz w:val="18"/>
                <w:szCs w:val="18"/>
                <w:color w:val="auto"/>
                <w:w w:val="89"/>
              </w:rPr>
              <w:t>November 7, 2017</w:t>
            </w: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3160" w:type="dxa"/>
            <w:vAlign w:val="bottom"/>
            <w:vMerge w:val="restart"/>
          </w:tcPr>
          <w:p>
            <w:pPr>
              <w:jc w:val="center"/>
              <w:ind w:right="1330"/>
              <w:spacing w:after="0"/>
              <w:rPr>
                <w:sz w:val="20"/>
                <w:szCs w:val="20"/>
                <w:color w:val="auto"/>
              </w:rPr>
            </w:pPr>
            <w:r>
              <w:rPr>
                <w:rFonts w:ascii="Arial" w:cs="Arial" w:eastAsia="Arial" w:hAnsi="Arial"/>
                <w:sz w:val="18"/>
                <w:szCs w:val="18"/>
                <w:b w:val="1"/>
                <w:bCs w:val="1"/>
                <w:color w:val="auto"/>
                <w:w w:val="93"/>
              </w:rPr>
              <w:t>David C. Novak</w:t>
            </w:r>
          </w:p>
        </w:tc>
        <w:tc>
          <w:tcPr>
            <w:tcW w:w="404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4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45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/s/  JOHNATHAN A. RODGERS</w:t>
            </w:r>
          </w:p>
        </w:tc>
        <w:tc>
          <w:tcPr>
            <w:tcW w:w="4040" w:type="dxa"/>
            <w:vAlign w:val="bottom"/>
            <w:vMerge w:val="restart"/>
          </w:tcPr>
          <w:p>
            <w:pPr>
              <w:ind w:left="222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20"/>
              <w:spacing w:after="0"/>
              <w:rPr>
                <w:sz w:val="20"/>
                <w:szCs w:val="20"/>
                <w:color w:val="auto"/>
              </w:rPr>
            </w:pPr>
            <w:r>
              <w:rPr>
                <w:rFonts w:ascii="Arial" w:cs="Arial" w:eastAsia="Arial" w:hAnsi="Arial"/>
                <w:sz w:val="18"/>
                <w:szCs w:val="18"/>
                <w:color w:val="auto"/>
                <w:w w:val="89"/>
              </w:rPr>
              <w:t>November 7, 2017</w:t>
            </w: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316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Johnathan A. Rodgers</w:t>
            </w:r>
          </w:p>
        </w:tc>
        <w:tc>
          <w:tcPr>
            <w:tcW w:w="404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92" w:right="4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 AND POWER OF ATTORNEY FOR NBCUNIVERSAL MEDIA, LLC</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NBCUniversal Media, LLC certifies that it has reasonable grounds to believe that it meets all the requirements for filing on Form S-4 and has duly caused this Registration Statement to be signed on its behalf by the undersigned, thereunto duly authorized, in the City of New York, State of New York, on November 7, 2017.</w:t>
      </w:r>
    </w:p>
    <w:p>
      <w:pPr>
        <w:spacing w:after="0" w:line="3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NBCUNIVERSAL MEDIA,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NBCUNIVERSAL, LLC, its sole member</w:t>
      </w:r>
    </w:p>
    <w:p>
      <w:pPr>
        <w:spacing w:after="0" w:line="211" w:lineRule="exact"/>
        <w:rPr>
          <w:sz w:val="20"/>
          <w:szCs w:val="20"/>
          <w:color w:val="auto"/>
        </w:rPr>
      </w:pPr>
    </w:p>
    <w:p>
      <w:pPr>
        <w:ind w:left="6060"/>
        <w:spacing w:after="0"/>
        <w:tabs>
          <w:tab w:leader="none" w:pos="6560" w:val="left"/>
          <w:tab w:leader="none" w:pos="69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23837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w:t>
      </w:r>
    </w:p>
    <w:p>
      <w:pPr>
        <w:spacing w:after="0" w:line="21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David L. Cohen, Daniel C. Murdock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right="1330"/>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144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jc w:val="center"/>
              <w:ind w:right="1330"/>
              <w:spacing w:after="0"/>
              <w:rPr>
                <w:sz w:val="20"/>
                <w:szCs w:val="20"/>
                <w:color w:val="auto"/>
              </w:rPr>
            </w:pPr>
            <w:r>
              <w:rPr>
                <w:rFonts w:ascii="Arial" w:cs="Arial" w:eastAsia="Arial" w:hAnsi="Arial"/>
                <w:sz w:val="18"/>
                <w:szCs w:val="18"/>
                <w:color w:val="auto"/>
                <w:w w:val="95"/>
              </w:rPr>
              <w:t>BRIAN L. ROBERTS</w:t>
            </w:r>
          </w:p>
        </w:tc>
        <w:tc>
          <w:tcPr>
            <w:tcW w:w="2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 of</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jc w:val="center"/>
              <w:ind w:right="1350"/>
              <w:spacing w:after="0"/>
              <w:rPr>
                <w:sz w:val="20"/>
                <w:szCs w:val="20"/>
                <w:color w:val="auto"/>
              </w:rPr>
            </w:pPr>
            <w:r>
              <w:rPr>
                <w:rFonts w:ascii="Arial" w:cs="Arial" w:eastAsia="Arial" w:hAnsi="Arial"/>
                <w:sz w:val="18"/>
                <w:szCs w:val="18"/>
                <w:b w:val="1"/>
                <w:bCs w:val="1"/>
                <w:color w:val="auto"/>
                <w:w w:val="92"/>
              </w:rPr>
              <w:t>Brian L. Roberts</w:t>
            </w:r>
          </w:p>
        </w:tc>
        <w:tc>
          <w:tcPr>
            <w:tcW w:w="2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NBCUniversal Media, LLC</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2"/>
          </w:tcPr>
          <w:p>
            <w:pPr>
              <w:jc w:val="center"/>
              <w:ind w:right="1130"/>
              <w:spacing w:after="0"/>
              <w:rPr>
                <w:sz w:val="20"/>
                <w:szCs w:val="20"/>
                <w:color w:val="auto"/>
              </w:rPr>
            </w:pPr>
            <w:r>
              <w:rPr>
                <w:rFonts w:ascii="Arial" w:cs="Arial" w:eastAsia="Arial" w:hAnsi="Arial"/>
                <w:sz w:val="18"/>
                <w:szCs w:val="18"/>
                <w:color w:val="auto"/>
                <w:w w:val="98"/>
              </w:rPr>
              <w:t>MICHAEL J. CAVANAGH</w:t>
            </w:r>
          </w:p>
        </w:tc>
        <w:tc>
          <w:tcPr>
            <w:tcW w:w="2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of</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jc w:val="center"/>
              <w:ind w:right="1350"/>
              <w:spacing w:after="0" w:line="182" w:lineRule="exact"/>
              <w:rPr>
                <w:sz w:val="20"/>
                <w:szCs w:val="20"/>
                <w:color w:val="auto"/>
              </w:rPr>
            </w:pPr>
            <w:r>
              <w:rPr>
                <w:rFonts w:ascii="Arial" w:cs="Arial" w:eastAsia="Arial" w:hAnsi="Arial"/>
                <w:sz w:val="18"/>
                <w:szCs w:val="18"/>
                <w:b w:val="1"/>
                <w:bCs w:val="1"/>
                <w:color w:val="auto"/>
                <w:w w:val="91"/>
              </w:rPr>
              <w:t>Michael J. Cavanagh</w:t>
            </w:r>
          </w:p>
        </w:tc>
        <w:tc>
          <w:tcPr>
            <w:tcW w:w="240" w:type="dxa"/>
            <w:vAlign w:val="bottom"/>
          </w:tcPr>
          <w:p>
            <w:pPr>
              <w:spacing w:after="0"/>
              <w:rPr>
                <w:sz w:val="15"/>
                <w:szCs w:val="15"/>
                <w:color w:val="auto"/>
              </w:rPr>
            </w:pPr>
          </w:p>
        </w:tc>
        <w:tc>
          <w:tcPr>
            <w:tcW w:w="4560" w:type="dxa"/>
            <w:vAlign w:val="bottom"/>
          </w:tcPr>
          <w:p>
            <w:pPr>
              <w:jc w:val="center"/>
              <w:spacing w:after="0" w:line="182" w:lineRule="exact"/>
              <w:rPr>
                <w:sz w:val="20"/>
                <w:szCs w:val="20"/>
                <w:color w:val="auto"/>
              </w:rPr>
            </w:pPr>
            <w:r>
              <w:rPr>
                <w:rFonts w:ascii="Arial" w:cs="Arial" w:eastAsia="Arial" w:hAnsi="Arial"/>
                <w:sz w:val="18"/>
                <w:szCs w:val="18"/>
                <w:color w:val="auto"/>
                <w:w w:val="94"/>
              </w:rPr>
              <w:t>NBCUniversal Media, LLC;</w:t>
            </w: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 of NBCUniversal, LLC</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tcPr>
          <w:p>
            <w:pPr>
              <w:jc w:val="center"/>
              <w:ind w:right="1350"/>
              <w:spacing w:after="0"/>
              <w:rPr>
                <w:sz w:val="20"/>
                <w:szCs w:val="20"/>
                <w:color w:val="auto"/>
              </w:rPr>
            </w:pPr>
            <w:r>
              <w:rPr>
                <w:rFonts w:ascii="Arial" w:cs="Arial" w:eastAsia="Arial" w:hAnsi="Arial"/>
                <w:sz w:val="18"/>
                <w:szCs w:val="18"/>
                <w:color w:val="auto"/>
                <w:w w:val="97"/>
              </w:rPr>
              <w:t>DAVID L. COHEN</w:t>
            </w:r>
          </w:p>
        </w:tc>
        <w:tc>
          <w:tcPr>
            <w:tcW w:w="240" w:type="dxa"/>
            <w:vAlign w:val="bottom"/>
          </w:tcPr>
          <w:p>
            <w:pPr>
              <w:spacing w:after="0"/>
              <w:rPr>
                <w:sz w:val="24"/>
                <w:szCs w:val="24"/>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 of NBCUniversal, LLC</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40" w:type="dxa"/>
            <w:vAlign w:val="bottom"/>
            <w:vMerge w:val="restart"/>
          </w:tcPr>
          <w:p>
            <w:pPr>
              <w:jc w:val="center"/>
              <w:ind w:right="1350"/>
              <w:spacing w:after="0"/>
              <w:rPr>
                <w:sz w:val="20"/>
                <w:szCs w:val="20"/>
                <w:color w:val="auto"/>
              </w:rPr>
            </w:pPr>
            <w:r>
              <w:rPr>
                <w:rFonts w:ascii="Arial" w:cs="Arial" w:eastAsia="Arial" w:hAnsi="Arial"/>
                <w:sz w:val="18"/>
                <w:szCs w:val="18"/>
                <w:b w:val="1"/>
                <w:bCs w:val="1"/>
                <w:color w:val="auto"/>
                <w:w w:val="93"/>
              </w:rPr>
              <w:t>David L. Cohen</w:t>
            </w:r>
          </w:p>
        </w:tc>
        <w:tc>
          <w:tcPr>
            <w:tcW w:w="240" w:type="dxa"/>
            <w:vAlign w:val="bottom"/>
          </w:tcPr>
          <w:p>
            <w:pPr>
              <w:spacing w:after="0"/>
              <w:rPr>
                <w:sz w:val="7"/>
                <w:szCs w:val="7"/>
                <w:color w:val="auto"/>
              </w:rPr>
            </w:pPr>
          </w:p>
        </w:tc>
        <w:tc>
          <w:tcPr>
            <w:tcW w:w="4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144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jc w:val="center"/>
              <w:ind w:right="1350"/>
              <w:spacing w:after="0"/>
              <w:rPr>
                <w:sz w:val="20"/>
                <w:szCs w:val="20"/>
                <w:color w:val="auto"/>
              </w:rPr>
            </w:pPr>
            <w:r>
              <w:rPr>
                <w:rFonts w:ascii="Arial" w:cs="Arial" w:eastAsia="Arial" w:hAnsi="Arial"/>
                <w:sz w:val="18"/>
                <w:szCs w:val="18"/>
                <w:color w:val="auto"/>
                <w:w w:val="96"/>
              </w:rPr>
              <w:t>ARTHUR R. BLOCK</w:t>
            </w:r>
          </w:p>
        </w:tc>
        <w:tc>
          <w:tcPr>
            <w:tcW w:w="240" w:type="dxa"/>
            <w:vAlign w:val="bottom"/>
          </w:tcPr>
          <w:p>
            <w:pPr>
              <w:spacing w:after="0"/>
              <w:rPr>
                <w:sz w:val="24"/>
                <w:szCs w:val="24"/>
                <w:color w:val="auto"/>
              </w:rPr>
            </w:pPr>
          </w:p>
        </w:tc>
        <w:tc>
          <w:tcPr>
            <w:tcW w:w="4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 of NBCUniversal, LLC</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40" w:type="dxa"/>
            <w:vAlign w:val="bottom"/>
            <w:vMerge w:val="restart"/>
          </w:tcPr>
          <w:p>
            <w:pPr>
              <w:jc w:val="center"/>
              <w:ind w:right="1350"/>
              <w:spacing w:after="0"/>
              <w:rPr>
                <w:sz w:val="20"/>
                <w:szCs w:val="20"/>
                <w:color w:val="auto"/>
              </w:rPr>
            </w:pPr>
            <w:r>
              <w:rPr>
                <w:rFonts w:ascii="Arial" w:cs="Arial" w:eastAsia="Arial" w:hAnsi="Arial"/>
                <w:sz w:val="18"/>
                <w:szCs w:val="18"/>
                <w:b w:val="1"/>
                <w:bCs w:val="1"/>
                <w:color w:val="auto"/>
                <w:w w:val="95"/>
              </w:rPr>
              <w:t>Arthur R. Block</w:t>
            </w:r>
          </w:p>
        </w:tc>
        <w:tc>
          <w:tcPr>
            <w:tcW w:w="240" w:type="dxa"/>
            <w:vAlign w:val="bottom"/>
          </w:tcPr>
          <w:p>
            <w:pPr>
              <w:spacing w:after="0"/>
              <w:rPr>
                <w:sz w:val="7"/>
                <w:szCs w:val="7"/>
                <w:color w:val="auto"/>
              </w:rPr>
            </w:pPr>
          </w:p>
        </w:tc>
        <w:tc>
          <w:tcPr>
            <w:tcW w:w="4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4"/>
              </w:rPr>
              <w:t>/s/</w:t>
            </w:r>
          </w:p>
        </w:tc>
        <w:tc>
          <w:tcPr>
            <w:tcW w:w="3360" w:type="dxa"/>
            <w:vAlign w:val="bottom"/>
            <w:tcBorders>
              <w:bottom w:val="single" w:sz="8" w:color="auto"/>
            </w:tcBorders>
            <w:gridSpan w:val="2"/>
          </w:tcPr>
          <w:p>
            <w:pPr>
              <w:jc w:val="center"/>
              <w:ind w:right="1130"/>
              <w:spacing w:after="0"/>
              <w:rPr>
                <w:sz w:val="20"/>
                <w:szCs w:val="20"/>
                <w:color w:val="auto"/>
              </w:rPr>
            </w:pPr>
            <w:r>
              <w:rPr>
                <w:rFonts w:ascii="Arial" w:cs="Arial" w:eastAsia="Arial" w:hAnsi="Arial"/>
                <w:sz w:val="18"/>
                <w:szCs w:val="18"/>
                <w:color w:val="auto"/>
                <w:w w:val="99"/>
              </w:rPr>
              <w:t>DANIEL C. MURDOCK</w:t>
            </w:r>
          </w:p>
        </w:tc>
        <w:tc>
          <w:tcPr>
            <w:tcW w:w="2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 of</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4"/>
              </w:rPr>
              <w:t>Daniel C. Murdock</w:t>
            </w:r>
          </w:p>
        </w:tc>
        <w:tc>
          <w:tcPr>
            <w:tcW w:w="2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NBCUniversal Media, LLC</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21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NBCUniversal Media, LLC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November 7, 2017.</w:t>
      </w:r>
    </w:p>
    <w:p>
      <w:pPr>
        <w:spacing w:after="0" w:line="3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/s/  ARTHUR R. BLOCK</w:t>
            </w:r>
          </w:p>
        </w:tc>
      </w:tr>
      <w:tr>
        <w:trPr>
          <w:trHeight w:val="191"/>
        </w:trPr>
        <w:tc>
          <w:tcPr>
            <w:tcW w:w="600" w:type="dxa"/>
            <w:vAlign w:val="bottom"/>
          </w:tcPr>
          <w:p>
            <w:pPr>
              <w:spacing w:after="0" w:line="191" w:lineRule="exact"/>
              <w:rPr>
                <w:sz w:val="20"/>
                <w:szCs w:val="20"/>
                <w:color w:val="auto"/>
              </w:rPr>
            </w:pPr>
            <w:r>
              <w:rPr>
                <w:rFonts w:ascii="Arial" w:cs="Arial" w:eastAsia="Arial" w:hAnsi="Arial"/>
                <w:sz w:val="18"/>
                <w:szCs w:val="18"/>
                <w:color w:val="auto"/>
              </w:rPr>
              <w:t>Name:</w:t>
            </w:r>
          </w:p>
        </w:tc>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Arthur R. Block</w:t>
            </w:r>
          </w:p>
        </w:tc>
      </w:tr>
      <w:tr>
        <w:trPr>
          <w:trHeight w:val="23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Vice President</w:t>
            </w:r>
          </w:p>
        </w:tc>
      </w:tr>
    </w:tbl>
    <w:p>
      <w:pPr>
        <w:spacing w:after="0" w:line="202"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Brian L. Roberts, Michael J. Cavanagh, David L. Cohen, Daniel C. Murdock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right="1130"/>
              <w:spacing w:after="0"/>
              <w:rPr>
                <w:sz w:val="20"/>
                <w:szCs w:val="20"/>
                <w:color w:val="auto"/>
              </w:rPr>
            </w:pPr>
            <w:r>
              <w:rPr>
                <w:rFonts w:ascii="Arial" w:cs="Arial" w:eastAsia="Arial" w:hAnsi="Arial"/>
                <w:sz w:val="18"/>
                <w:szCs w:val="18"/>
                <w:b w:val="1"/>
                <w:bCs w:val="1"/>
                <w:color w:val="auto"/>
                <w:w w:val="91"/>
              </w:rPr>
              <w:t>Signature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4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/s/  BRIAN L. ROBERTS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r>
      <w:tr>
        <w:trPr>
          <w:trHeight w:val="228"/>
        </w:trPr>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Brian L. Roberts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8"/>
              </w:rPr>
              <w:t>MICHAEL J. CAVANAGH</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r>
      <w:tr>
        <w:trPr>
          <w:trHeight w:val="228"/>
        </w:trPr>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Michael J. Cavanagh</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9"/>
              </w:rPr>
              <w:t>DANIEL C. MURDOCK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r>
      <w:tr>
        <w:trPr>
          <w:trHeight w:val="228"/>
        </w:trPr>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4"/>
              </w:rPr>
              <w:t>Daniel C. Murdock</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480" w:type="dxa"/>
            <w:vAlign w:val="bottom"/>
          </w:tcPr>
          <w:p>
            <w:pPr>
              <w:spacing w:after="0"/>
              <w:rPr>
                <w:sz w:val="24"/>
                <w:szCs w:val="24"/>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color w:val="auto"/>
                <w:w w:val="95"/>
              </w:rPr>
              <w:t>COMCAST HOLDINGS CORPORATION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160"/>
              <w:spacing w:after="0"/>
              <w:rPr>
                <w:sz w:val="20"/>
                <w:szCs w:val="20"/>
                <w:color w:val="auto"/>
              </w:rPr>
            </w:pPr>
            <w:r>
              <w:rPr>
                <w:rFonts w:ascii="Arial" w:cs="Arial" w:eastAsia="Arial" w:hAnsi="Arial"/>
                <w:sz w:val="18"/>
                <w:szCs w:val="18"/>
                <w:color w:val="auto"/>
              </w:rPr>
              <w:t>/s/  ARTHUR R. BLOCK</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Sole 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November 7, 2017</w:t>
            </w:r>
          </w:p>
        </w:tc>
      </w:tr>
      <w:tr>
        <w:trPr>
          <w:trHeight w:val="191"/>
        </w:trPr>
        <w:tc>
          <w:tcPr>
            <w:tcW w:w="4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tcPr>
          <w:p>
            <w:pPr>
              <w:jc w:val="center"/>
              <w:ind w:right="650"/>
              <w:spacing w:after="0" w:line="191" w:lineRule="exact"/>
              <w:rPr>
                <w:sz w:val="20"/>
                <w:szCs w:val="20"/>
                <w:color w:val="auto"/>
              </w:rPr>
            </w:pPr>
            <w:r>
              <w:rPr>
                <w:rFonts w:ascii="Arial" w:cs="Arial" w:eastAsia="Arial" w:hAnsi="Arial"/>
                <w:sz w:val="18"/>
                <w:szCs w:val="18"/>
                <w:b w:val="1"/>
                <w:bCs w:val="1"/>
                <w:color w:val="auto"/>
                <w:w w:val="93"/>
              </w:rPr>
              <w:t>Arthur R. Block</w:t>
            </w: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4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Executive Vice President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named therein and the Trustee, and guaranteed on an unsecured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unsubordinated basis by Comcast Cable Communications, LLC and NBCUniversal Media, LLC (the “</w:t>
      </w:r>
      <w:r>
        <w:rPr>
          <w:rFonts w:ascii="Arial" w:cs="Arial" w:eastAsia="Arial" w:hAnsi="Arial"/>
          <w:sz w:val="17"/>
          <w:szCs w:val="17"/>
          <w:b w:val="1"/>
          <w:bCs w:val="1"/>
          <w:color w:val="auto"/>
        </w:rPr>
        <w:t>Guarantors</w:t>
      </w:r>
      <w:r>
        <w:rPr>
          <w:rFonts w:ascii="Arial" w:cs="Arial" w:eastAsia="Arial" w:hAnsi="Arial"/>
          <w:sz w:val="17"/>
          <w:szCs w:val="17"/>
          <w:color w:val="auto"/>
        </w:rPr>
        <w:t>”), the undersigned officers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do hereby certify, in connection with the issuance of the Company’s $</w:t>
      </w:r>
      <w:r>
        <w:rPr>
          <w:rFonts w:ascii="Arial" w:cs="Arial" w:eastAsia="Arial" w:hAnsi="Arial"/>
          <w:sz w:val="17"/>
          <w:szCs w:val="17"/>
          <w:b w:val="1"/>
          <w:bCs w:val="1"/>
          <w:color w:val="auto"/>
        </w:rPr>
        <w:t>[ ]</w:t>
      </w:r>
      <w:r>
        <w:rPr>
          <w:rFonts w:ascii="Arial" w:cs="Arial" w:eastAsia="Arial" w:hAnsi="Arial"/>
          <w:sz w:val="17"/>
          <w:szCs w:val="17"/>
          <w:color w:val="auto"/>
        </w:rPr>
        <w:t xml:space="preserve"> aggregate principal amount of 3.969% Notes Due 2047 (the “</w:t>
      </w:r>
      <w:r>
        <w:rPr>
          <w:rFonts w:ascii="Arial" w:cs="Arial" w:eastAsia="Arial" w:hAnsi="Arial"/>
          <w:sz w:val="17"/>
          <w:szCs w:val="17"/>
          <w:b w:val="1"/>
          <w:bCs w:val="1"/>
          <w:color w:val="auto"/>
        </w:rPr>
        <w:t>2047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 $[ ] aggregate principal amount of 3.999% Notes Due 2049 (the “</w:t>
      </w:r>
      <w:r>
        <w:rPr>
          <w:rFonts w:ascii="Arial" w:cs="Arial" w:eastAsia="Arial" w:hAnsi="Arial"/>
          <w:sz w:val="16"/>
          <w:szCs w:val="16"/>
          <w:b w:val="1"/>
          <w:bCs w:val="1"/>
          <w:color w:val="auto"/>
        </w:rPr>
        <w:t>2049 Notes</w:t>
      </w:r>
      <w:r>
        <w:rPr>
          <w:rFonts w:ascii="Arial" w:cs="Arial" w:eastAsia="Arial" w:hAnsi="Arial"/>
          <w:sz w:val="16"/>
          <w:szCs w:val="16"/>
          <w:color w:val="auto"/>
        </w:rPr>
        <w:t>”) and $[ ] aggregate principal amount of 4.049% Notes Due 2052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2052 Notes</w:t>
      </w:r>
      <w:r>
        <w:rPr>
          <w:rFonts w:ascii="Arial" w:cs="Arial" w:eastAsia="Arial" w:hAnsi="Arial"/>
          <w:sz w:val="18"/>
          <w:szCs w:val="18"/>
          <w:color w:val="auto"/>
        </w:rPr>
        <w:t>,” and together with the 2047 and the 2049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969%</w:t>
            </w:r>
            <w:r>
              <w:rPr>
                <w:rFonts w:ascii="Arial" w:cs="Arial" w:eastAsia="Arial" w:hAnsi="Arial"/>
                <w:sz w:val="18"/>
                <w:szCs w:val="18"/>
                <w:b w:val="1"/>
                <w:bCs w:val="1"/>
                <w:color w:val="auto"/>
              </w:rPr>
              <w:t xml:space="preserve"> Notes Due 2047</w:t>
            </w:r>
          </w:p>
        </w:tc>
      </w:tr>
      <w:tr>
        <w:trPr>
          <w:trHeight w:val="20"/>
        </w:trPr>
        <w:tc>
          <w:tcPr>
            <w:tcW w:w="3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561"/>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Title:</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3.969% Notes Due 2047</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Aggregate Principal Amount at Maturity:</w:t>
            </w:r>
          </w:p>
        </w:tc>
        <w:tc>
          <w:tcPr>
            <w:tcW w:w="1260" w:type="dxa"/>
            <w:vAlign w:val="bottom"/>
          </w:tcPr>
          <w:p>
            <w:pPr>
              <w:ind w:left="500"/>
              <w:spacing w:after="0"/>
              <w:rPr>
                <w:sz w:val="20"/>
                <w:szCs w:val="20"/>
                <w:color w:val="auto"/>
              </w:rPr>
            </w:pPr>
            <w:r>
              <w:rPr>
                <w:rFonts w:ascii="Arial" w:cs="Arial" w:eastAsia="Arial" w:hAnsi="Arial"/>
                <w:sz w:val="18"/>
                <w:szCs w:val="18"/>
                <w:color w:val="auto"/>
              </w:rPr>
              <w:t>$[ ]</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Principal Payment Date:</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November 1, 2047</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Interest:</w:t>
            </w:r>
          </w:p>
        </w:tc>
        <w:tc>
          <w:tcPr>
            <w:tcW w:w="1260" w:type="dxa"/>
            <w:vAlign w:val="bottom"/>
          </w:tcPr>
          <w:p>
            <w:pPr>
              <w:ind w:left="500"/>
              <w:spacing w:after="0"/>
              <w:rPr>
                <w:sz w:val="20"/>
                <w:szCs w:val="20"/>
                <w:color w:val="auto"/>
              </w:rPr>
            </w:pPr>
            <w:r>
              <w:rPr>
                <w:rFonts w:ascii="Arial" w:cs="Arial" w:eastAsia="Arial" w:hAnsi="Arial"/>
                <w:sz w:val="18"/>
                <w:szCs w:val="18"/>
                <w:color w:val="auto"/>
              </w:rPr>
              <w:t>3.969%</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26"/>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Redemption:</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3"/>
              </w:rPr>
              <w:t>The Company may at its option redeem the 2047 Notes in whole or in part, at any time or from time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2"/>
              </w:rPr>
              <w:t>to time prior to their maturity, on at least 15 days, but not more than 60 days, prior notice transmitted</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1"/>
              </w:rPr>
              <w:t>to the registered address of each holder of the 2047 Notes, at the “Redemption Price.” Prior to May 1,</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7"/>
              </w:rPr>
              <w:t>2047 (the “2047 Par Call Date”), the Redemption Price is the greater of (i) 100% of the principal</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0"/>
              </w:rPr>
              <w:t>amount of the 2047 Notes, and (ii) the sum of the present values of the principal amount of such notes</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and the scheduled payments of interest thereon (exclusive of interest accrued to the date of</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6"/>
              </w:rPr>
              <w:t>redemption) from the redemption date to the 2047 Par Call Date, in each case discounted to the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89"/>
              </w:rPr>
              <w:t>redemption date on a semiannual basis (assuming a 360-day year consisting of twelve 30-day months)</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2"/>
              </w:rPr>
              <w:t>at the Treasury Rate (as defined in the 2047 Notes) plus 20 basis points. On and after the 2047 Par</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2"/>
              </w:rPr>
              <w:t>Call Date, the Redemption Price will equal 100% of the principal amount of such notes. In each case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1"/>
              </w:rPr>
              <w:t>described in this paragraph, the Redemption Price will include accrued and unpaid interest thereon to</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0"/>
              </w:rPr>
              <w:t>the date of redemption, and in each case described in this paragraph, subject to the further description</w:t>
            </w:r>
          </w:p>
        </w:tc>
      </w:tr>
      <w:tr>
        <w:trPr>
          <w:trHeight w:val="230"/>
        </w:trPr>
        <w:tc>
          <w:tcPr>
            <w:tcW w:w="3540" w:type="dxa"/>
            <w:vAlign w:val="bottom"/>
          </w:tcPr>
          <w:p>
            <w:pPr>
              <w:spacing w:after="0"/>
              <w:rPr>
                <w:sz w:val="20"/>
                <w:szCs w:val="20"/>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in the Prospectus dated [ ], 2017.</w:t>
            </w:r>
          </w:p>
        </w:tc>
      </w:tr>
      <w:tr>
        <w:trPr>
          <w:trHeight w:val="621"/>
        </w:trPr>
        <w:tc>
          <w:tcPr>
            <w:tcW w:w="3540" w:type="dxa"/>
            <w:vAlign w:val="bottom"/>
            <w:tcBorders>
              <w:bottom w:val="single" w:sz="8" w:color="54301A"/>
            </w:tcBorders>
          </w:tcPr>
          <w:p>
            <w:pPr>
              <w:spacing w:after="0"/>
              <w:rPr>
                <w:sz w:val="24"/>
                <w:szCs w:val="24"/>
                <w:color w:val="auto"/>
              </w:rPr>
            </w:pPr>
          </w:p>
        </w:tc>
        <w:tc>
          <w:tcPr>
            <w:tcW w:w="1260" w:type="dxa"/>
            <w:vAlign w:val="bottom"/>
            <w:tcBorders>
              <w:bottom w:val="single" w:sz="8" w:color="54301A"/>
            </w:tcBorders>
          </w:tcPr>
          <w:p>
            <w:pPr>
              <w:spacing w:after="0"/>
              <w:rPr>
                <w:sz w:val="24"/>
                <w:szCs w:val="24"/>
                <w:color w:val="auto"/>
              </w:rPr>
            </w:pPr>
          </w:p>
        </w:tc>
        <w:tc>
          <w:tcPr>
            <w:tcW w:w="1820" w:type="dxa"/>
            <w:vAlign w:val="bottom"/>
            <w:tcBorders>
              <w:bottom w:val="single" w:sz="8" w:color="54301A"/>
            </w:tcBorders>
          </w:tcPr>
          <w:p>
            <w:pPr>
              <w:spacing w:after="0"/>
              <w:rPr>
                <w:sz w:val="24"/>
                <w:szCs w:val="24"/>
                <w:color w:val="auto"/>
              </w:rPr>
            </w:pPr>
          </w:p>
        </w:tc>
        <w:tc>
          <w:tcPr>
            <w:tcW w:w="480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Additional Issuances:</w:t>
            </w: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88"/>
              </w:rPr>
              <w:t>The 2047 Notes need not be issued at the same time and the series may be reopened for issuance of an</w:t>
            </w:r>
          </w:p>
        </w:tc>
      </w:tr>
      <w:tr>
        <w:trPr>
          <w:trHeight w:val="216"/>
        </w:trPr>
        <w:tc>
          <w:tcPr>
            <w:tcW w:w="3540" w:type="dxa"/>
            <w:vAlign w:val="bottom"/>
          </w:tcPr>
          <w:p>
            <w:pPr>
              <w:spacing w:after="0"/>
              <w:rPr>
                <w:sz w:val="18"/>
                <w:szCs w:val="18"/>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3"/>
              </w:rPr>
              <w:t>unlimited principal amount of additional 2047 Notes under this series. Additional 2047 Notes of this</w:t>
            </w:r>
          </w:p>
        </w:tc>
      </w:tr>
      <w:tr>
        <w:trPr>
          <w:trHeight w:val="216"/>
        </w:trPr>
        <w:tc>
          <w:tcPr>
            <w:tcW w:w="3540" w:type="dxa"/>
            <w:vAlign w:val="bottom"/>
          </w:tcPr>
          <w:p>
            <w:pPr>
              <w:spacing w:after="0"/>
              <w:rPr>
                <w:sz w:val="18"/>
                <w:szCs w:val="18"/>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9"/>
              </w:rPr>
              <w:t>series may be consolidated with, and form a single series with, 2047 Notes then outstanding,</w:t>
            </w:r>
          </w:p>
        </w:tc>
      </w:tr>
      <w:tr>
        <w:trPr>
          <w:trHeight w:val="216"/>
        </w:trPr>
        <w:tc>
          <w:tcPr>
            <w:tcW w:w="3540" w:type="dxa"/>
            <w:vAlign w:val="bottom"/>
          </w:tcPr>
          <w:p>
            <w:pPr>
              <w:spacing w:after="0"/>
              <w:rPr>
                <w:sz w:val="18"/>
                <w:szCs w:val="18"/>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3"/>
              </w:rPr>
              <w:t>including for purposes of determining whether the required percentage of the holders of record has</w:t>
            </w:r>
          </w:p>
        </w:tc>
      </w:tr>
      <w:tr>
        <w:trPr>
          <w:trHeight w:val="216"/>
        </w:trPr>
        <w:tc>
          <w:tcPr>
            <w:tcW w:w="3540" w:type="dxa"/>
            <w:vAlign w:val="bottom"/>
          </w:tcPr>
          <w:p>
            <w:pPr>
              <w:spacing w:after="0"/>
              <w:rPr>
                <w:sz w:val="18"/>
                <w:szCs w:val="18"/>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0"/>
              </w:rPr>
              <w:t>given approval or consent to an amendment or waiver or joined in directing the Trustee to take certain</w:t>
            </w:r>
          </w:p>
        </w:tc>
      </w:tr>
      <w:tr>
        <w:trPr>
          <w:trHeight w:val="216"/>
        </w:trPr>
        <w:tc>
          <w:tcPr>
            <w:tcW w:w="3540" w:type="dxa"/>
            <w:vAlign w:val="bottom"/>
          </w:tcPr>
          <w:p>
            <w:pPr>
              <w:spacing w:after="0"/>
              <w:rPr>
                <w:sz w:val="18"/>
                <w:szCs w:val="18"/>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3"/>
              </w:rPr>
              <w:t>actions on behalf of all holders; provided that if such additional 2047 Notes are not fungible with the</w:t>
            </w:r>
          </w:p>
        </w:tc>
      </w:tr>
      <w:tr>
        <w:trPr>
          <w:trHeight w:val="216"/>
        </w:trPr>
        <w:tc>
          <w:tcPr>
            <w:tcW w:w="3540" w:type="dxa"/>
            <w:vAlign w:val="bottom"/>
          </w:tcPr>
          <w:p>
            <w:pPr>
              <w:spacing w:after="0"/>
              <w:rPr>
                <w:sz w:val="18"/>
                <w:szCs w:val="18"/>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3"/>
              </w:rPr>
              <w:t>2047 Notes then outstanding for U.S. federal income tax purposes, such additional 2047 Notes will</w:t>
            </w:r>
          </w:p>
        </w:tc>
      </w:tr>
      <w:tr>
        <w:trPr>
          <w:trHeight w:val="230"/>
        </w:trPr>
        <w:tc>
          <w:tcPr>
            <w:tcW w:w="3540" w:type="dxa"/>
            <w:vAlign w:val="bottom"/>
          </w:tcPr>
          <w:p>
            <w:pPr>
              <w:spacing w:after="0"/>
              <w:rPr>
                <w:sz w:val="20"/>
                <w:szCs w:val="20"/>
                <w:color w:val="auto"/>
              </w:rPr>
            </w:pP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rPr>
              <w:t>have one or more separate CUSIP numbers.</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Conversion:</w:t>
            </w: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rPr>
              <w:t>None</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Sinking Fund:</w:t>
            </w: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rPr>
              <w:t>None</w:t>
            </w:r>
          </w:p>
        </w:tc>
      </w:tr>
      <w:tr>
        <w:trPr>
          <w:trHeight w:val="522"/>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Miscellaneous:</w:t>
            </w: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w w:val="92"/>
              </w:rPr>
              <w:t>The terms of the 2047 Notes shall include such other terms as are set forth in the Form of Note Due</w:t>
            </w:r>
          </w:p>
        </w:tc>
      </w:tr>
      <w:tr>
        <w:trPr>
          <w:trHeight w:val="194"/>
        </w:trPr>
        <w:tc>
          <w:tcPr>
            <w:tcW w:w="3540" w:type="dxa"/>
            <w:vAlign w:val="bottom"/>
          </w:tcPr>
          <w:p>
            <w:pPr>
              <w:spacing w:after="0"/>
              <w:rPr>
                <w:sz w:val="16"/>
                <w:szCs w:val="16"/>
                <w:color w:val="auto"/>
              </w:rPr>
            </w:pPr>
          </w:p>
        </w:tc>
        <w:tc>
          <w:tcPr>
            <w:tcW w:w="7880" w:type="dxa"/>
            <w:vAlign w:val="bottom"/>
            <w:gridSpan w:val="5"/>
          </w:tcPr>
          <w:p>
            <w:pPr>
              <w:ind w:left="500"/>
              <w:spacing w:after="0" w:line="194" w:lineRule="exact"/>
              <w:rPr>
                <w:sz w:val="20"/>
                <w:szCs w:val="20"/>
                <w:color w:val="auto"/>
              </w:rPr>
            </w:pPr>
            <w:r>
              <w:rPr>
                <w:rFonts w:ascii="Arial" w:cs="Arial" w:eastAsia="Arial" w:hAnsi="Arial"/>
                <w:sz w:val="18"/>
                <w:szCs w:val="18"/>
                <w:color w:val="auto"/>
              </w:rPr>
              <w:t xml:space="preserve">2047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736"/>
        </w:trPr>
        <w:tc>
          <w:tcPr>
            <w:tcW w:w="3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999%</w:t>
            </w:r>
            <w:r>
              <w:rPr>
                <w:rFonts w:ascii="Arial" w:cs="Arial" w:eastAsia="Arial" w:hAnsi="Arial"/>
                <w:sz w:val="18"/>
                <w:szCs w:val="18"/>
                <w:b w:val="1"/>
                <w:bCs w:val="1"/>
                <w:color w:val="auto"/>
              </w:rPr>
              <w:t xml:space="preserve"> Notes Due 2049</w:t>
            </w:r>
          </w:p>
        </w:tc>
      </w:tr>
      <w:tr>
        <w:trPr>
          <w:trHeight w:val="20"/>
        </w:trPr>
        <w:tc>
          <w:tcPr>
            <w:tcW w:w="3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561"/>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Title:</w:t>
            </w: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rPr>
              <w:t>3.999% Notes Due 2049</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Aggregate Principal Amount at Maturity:</w:t>
            </w:r>
          </w:p>
        </w:tc>
        <w:tc>
          <w:tcPr>
            <w:tcW w:w="1260" w:type="dxa"/>
            <w:vAlign w:val="bottom"/>
          </w:tcPr>
          <w:p>
            <w:pPr>
              <w:ind w:left="500"/>
              <w:spacing w:after="0"/>
              <w:rPr>
                <w:sz w:val="20"/>
                <w:szCs w:val="20"/>
                <w:color w:val="auto"/>
              </w:rPr>
            </w:pPr>
            <w:r>
              <w:rPr>
                <w:rFonts w:ascii="Arial" w:cs="Arial" w:eastAsia="Arial" w:hAnsi="Arial"/>
                <w:sz w:val="18"/>
                <w:szCs w:val="18"/>
                <w:color w:val="auto"/>
              </w:rPr>
              <w:t>$[ ]</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Principal Payment Date:</w:t>
            </w:r>
          </w:p>
        </w:tc>
        <w:tc>
          <w:tcPr>
            <w:tcW w:w="7880" w:type="dxa"/>
            <w:vAlign w:val="bottom"/>
            <w:gridSpan w:val="5"/>
          </w:tcPr>
          <w:p>
            <w:pPr>
              <w:ind w:left="500"/>
              <w:spacing w:after="0"/>
              <w:rPr>
                <w:sz w:val="20"/>
                <w:szCs w:val="20"/>
                <w:color w:val="auto"/>
              </w:rPr>
            </w:pPr>
            <w:r>
              <w:rPr>
                <w:rFonts w:ascii="Arial" w:cs="Arial" w:eastAsia="Arial" w:hAnsi="Arial"/>
                <w:sz w:val="18"/>
                <w:szCs w:val="18"/>
                <w:color w:val="auto"/>
              </w:rPr>
              <w:t>November 1, 2049</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Interest:</w:t>
            </w:r>
          </w:p>
        </w:tc>
        <w:tc>
          <w:tcPr>
            <w:tcW w:w="1260" w:type="dxa"/>
            <w:vAlign w:val="bottom"/>
          </w:tcPr>
          <w:p>
            <w:pPr>
              <w:ind w:left="500"/>
              <w:spacing w:after="0"/>
              <w:rPr>
                <w:sz w:val="20"/>
                <w:szCs w:val="20"/>
                <w:color w:val="auto"/>
              </w:rPr>
            </w:pPr>
            <w:r>
              <w:rPr>
                <w:rFonts w:ascii="Arial" w:cs="Arial" w:eastAsia="Arial" w:hAnsi="Arial"/>
                <w:sz w:val="18"/>
                <w:szCs w:val="18"/>
                <w:color w:val="auto"/>
              </w:rPr>
              <w:t>3.999%</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945"/>
        </w:trPr>
        <w:tc>
          <w:tcPr>
            <w:tcW w:w="3540" w:type="dxa"/>
            <w:vAlign w:val="bottom"/>
            <w:tcBorders>
              <w:bottom w:val="single" w:sz="8" w:color="54301A"/>
            </w:tcBorders>
          </w:tcPr>
          <w:p>
            <w:pPr>
              <w:spacing w:after="0"/>
              <w:rPr>
                <w:sz w:val="24"/>
                <w:szCs w:val="24"/>
                <w:color w:val="auto"/>
              </w:rPr>
            </w:pPr>
          </w:p>
        </w:tc>
        <w:tc>
          <w:tcPr>
            <w:tcW w:w="1260" w:type="dxa"/>
            <w:vAlign w:val="bottom"/>
            <w:tcBorders>
              <w:bottom w:val="single" w:sz="8" w:color="54301A"/>
            </w:tcBorders>
          </w:tcPr>
          <w:p>
            <w:pPr>
              <w:spacing w:after="0"/>
              <w:rPr>
                <w:sz w:val="24"/>
                <w:szCs w:val="24"/>
                <w:color w:val="auto"/>
              </w:rPr>
            </w:pPr>
          </w:p>
        </w:tc>
        <w:tc>
          <w:tcPr>
            <w:tcW w:w="980" w:type="dxa"/>
            <w:vAlign w:val="bottom"/>
            <w:tcBorders>
              <w:bottom w:val="single" w:sz="8" w:color="54301A"/>
            </w:tcBorders>
          </w:tcPr>
          <w:p>
            <w:pPr>
              <w:spacing w:after="0"/>
              <w:rPr>
                <w:sz w:val="24"/>
                <w:szCs w:val="24"/>
                <w:color w:val="auto"/>
              </w:rPr>
            </w:pPr>
          </w:p>
        </w:tc>
        <w:tc>
          <w:tcPr>
            <w:tcW w:w="74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480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Redemption:</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The Company may at its option redeem the 2049 Notes in whole or in part, at any time or from time</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2"/>
              </w:rPr>
              <w:t>to time prior to their maturity, on at least 15 days, but not more than 60 days, prior notice transmitted</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1"/>
              </w:rPr>
              <w:t>to the registered address of each holder of the 2049 Notes, at the “Redemption Price.” Prior to May 1,</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7"/>
              </w:rPr>
              <w:t>2049 (the “2049 Par Call Date”), the Redemption Price is the greater of (i) 100% of the principal</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0"/>
              </w:rPr>
              <w:t>amount of the 2049 Notes, and (ii) the sum of the present values of the principal amount of such notes</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and the scheduled payments of interest thereon (exclusive of interest accrued to the date of</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6"/>
              </w:rPr>
              <w:t>redemption) from the redemption date to the 2049 Par Call Date, in each case discounted to the</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89"/>
              </w:rPr>
              <w:t>redemption date on a semiannual basis (assuming a 360-day year consisting of twelve 30-day months)</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2"/>
              </w:rPr>
              <w:t>at the Treasury Rate (as defined in the 2049 Notes) plus 20 basis points. On and after the 2049 Par</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2"/>
              </w:rPr>
              <w:t>Call Date, the Redemption Price will equal 100% of the principal amount of such notes. In each case</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1"/>
              </w:rPr>
              <w:t>described in this paragraph, the Redemption Price will include accrued and unpaid interest thereon to</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0"/>
              </w:rPr>
              <w:t>the date of redemption, and in each case described in this paragraph, subject to the further description</w:t>
            </w:r>
          </w:p>
        </w:tc>
      </w:tr>
      <w:tr>
        <w:trPr>
          <w:trHeight w:val="230"/>
        </w:trPr>
        <w:tc>
          <w:tcPr>
            <w:tcW w:w="2820" w:type="dxa"/>
            <w:vAlign w:val="bottom"/>
          </w:tcPr>
          <w:p>
            <w:pPr>
              <w:spacing w:after="0"/>
              <w:rPr>
                <w:sz w:val="20"/>
                <w:szCs w:val="20"/>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in the Prospectus dated [ ], 2017.</w:t>
            </w:r>
          </w:p>
        </w:tc>
      </w:tr>
      <w:tr>
        <w:trPr>
          <w:trHeight w:val="526"/>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Additional Issuances:</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88"/>
              </w:rPr>
              <w:t>The 2049 Notes need not be issued at the same time and the series may be reopened for issuance of an</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unlimited principal amount of additional 2049 Notes under this series. Additional 2049 Notes of this</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9"/>
              </w:rPr>
              <w:t>series may be consolidated with, and form a single series with, 2049 Notes then outstanding,</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including for purposes of determining whether the required percentage of the holders of record has</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0"/>
              </w:rPr>
              <w:t>given approval or consent to an amendment or waiver or joined in directing the Trustee to take certain</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actions on behalf of all holders; provided that if such additional 2049 Notes are not fungible with the</w:t>
            </w:r>
          </w:p>
        </w:tc>
      </w:tr>
      <w:tr>
        <w:trPr>
          <w:trHeight w:val="216"/>
        </w:trPr>
        <w:tc>
          <w:tcPr>
            <w:tcW w:w="282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2049 Notes then outstanding for U.S. federal income tax purposes, such additional 2049 Notes will</w:t>
            </w:r>
          </w:p>
        </w:tc>
      </w:tr>
      <w:tr>
        <w:trPr>
          <w:trHeight w:val="230"/>
        </w:trPr>
        <w:tc>
          <w:tcPr>
            <w:tcW w:w="2820" w:type="dxa"/>
            <w:vAlign w:val="bottom"/>
          </w:tcPr>
          <w:p>
            <w:pPr>
              <w:spacing w:after="0"/>
              <w:rPr>
                <w:sz w:val="20"/>
                <w:szCs w:val="20"/>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have one or more separate CUSIP numbers.</w:t>
            </w:r>
          </w:p>
        </w:tc>
      </w:tr>
      <w:tr>
        <w:trPr>
          <w:trHeight w:val="540"/>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Conversion:</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None</w:t>
            </w:r>
          </w:p>
        </w:tc>
      </w:tr>
      <w:tr>
        <w:trPr>
          <w:trHeight w:val="540"/>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Sinking Fund:</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None</w:t>
            </w:r>
          </w:p>
        </w:tc>
      </w:tr>
      <w:tr>
        <w:trPr>
          <w:trHeight w:val="522"/>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Miscellaneous:</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2"/>
              </w:rPr>
              <w:t>The terms of the 2049 Notes shall include such other terms as are set forth in the Form of Note Due</w:t>
            </w:r>
          </w:p>
        </w:tc>
      </w:tr>
      <w:tr>
        <w:trPr>
          <w:trHeight w:val="194"/>
        </w:trPr>
        <w:tc>
          <w:tcPr>
            <w:tcW w:w="2820" w:type="dxa"/>
            <w:vAlign w:val="bottom"/>
          </w:tcPr>
          <w:p>
            <w:pPr>
              <w:spacing w:after="0"/>
              <w:rPr>
                <w:sz w:val="16"/>
                <w:szCs w:val="16"/>
                <w:color w:val="auto"/>
              </w:rPr>
            </w:pPr>
          </w:p>
        </w:tc>
        <w:tc>
          <w:tcPr>
            <w:tcW w:w="8600" w:type="dxa"/>
            <w:vAlign w:val="bottom"/>
            <w:gridSpan w:val="3"/>
          </w:tcPr>
          <w:p>
            <w:pPr>
              <w:ind w:left="1220"/>
              <w:spacing w:after="0" w:line="194" w:lineRule="exact"/>
              <w:rPr>
                <w:sz w:val="20"/>
                <w:szCs w:val="20"/>
                <w:color w:val="auto"/>
              </w:rPr>
            </w:pPr>
            <w:r>
              <w:rPr>
                <w:rFonts w:ascii="Arial" w:cs="Arial" w:eastAsia="Arial" w:hAnsi="Arial"/>
                <w:sz w:val="18"/>
                <w:szCs w:val="18"/>
                <w:color w:val="auto"/>
              </w:rPr>
              <w:t xml:space="preserve">2049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642"/>
        </w:trPr>
        <w:tc>
          <w:tcPr>
            <w:tcW w:w="2820" w:type="dxa"/>
            <w:vAlign w:val="bottom"/>
            <w:tcBorders>
              <w:bottom w:val="single" w:sz="8" w:color="54301A"/>
            </w:tcBorders>
          </w:tcPr>
          <w:p>
            <w:pPr>
              <w:spacing w:after="0"/>
              <w:rPr>
                <w:sz w:val="24"/>
                <w:szCs w:val="24"/>
                <w:color w:val="auto"/>
              </w:rPr>
            </w:pPr>
          </w:p>
        </w:tc>
        <w:tc>
          <w:tcPr>
            <w:tcW w:w="2960" w:type="dxa"/>
            <w:vAlign w:val="bottom"/>
            <w:tcBorders>
              <w:bottom w:val="single" w:sz="8" w:color="54301A"/>
            </w:tcBorders>
          </w:tcPr>
          <w:p>
            <w:pPr>
              <w:spacing w:after="0"/>
              <w:rPr>
                <w:sz w:val="24"/>
                <w:szCs w:val="24"/>
                <w:color w:val="auto"/>
              </w:rPr>
            </w:pPr>
          </w:p>
        </w:tc>
        <w:tc>
          <w:tcPr>
            <w:tcW w:w="720" w:type="dxa"/>
            <w:vAlign w:val="bottom"/>
            <w:tcBorders>
              <w:top w:val="single" w:sz="8" w:color="auto"/>
              <w:bottom w:val="single" w:sz="8" w:color="54301A"/>
            </w:tcBorders>
          </w:tcPr>
          <w:p>
            <w:pPr>
              <w:spacing w:after="0"/>
              <w:rPr>
                <w:sz w:val="24"/>
                <w:szCs w:val="24"/>
                <w:color w:val="auto"/>
              </w:rPr>
            </w:pPr>
          </w:p>
        </w:tc>
        <w:tc>
          <w:tcPr>
            <w:tcW w:w="492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049%</w:t>
            </w:r>
            <w:r>
              <w:rPr>
                <w:rFonts w:ascii="Arial" w:cs="Arial" w:eastAsia="Arial" w:hAnsi="Arial"/>
                <w:sz w:val="18"/>
                <w:szCs w:val="18"/>
                <w:b w:val="1"/>
                <w:bCs w:val="1"/>
                <w:color w:val="auto"/>
              </w:rPr>
              <w:t xml:space="preserve"> Notes Due 2052</w:t>
            </w:r>
          </w:p>
        </w:tc>
      </w:tr>
      <w:tr>
        <w:trPr>
          <w:trHeight w:val="20"/>
        </w:trPr>
        <w:tc>
          <w:tcPr>
            <w:tcW w:w="3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561"/>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Title:</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4.049% Notes Due 2052</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Aggregate Principal Amount at Maturity:</w:t>
            </w:r>
          </w:p>
        </w:tc>
        <w:tc>
          <w:tcPr>
            <w:tcW w:w="1260" w:type="dxa"/>
            <w:vAlign w:val="bottom"/>
          </w:tcPr>
          <w:p>
            <w:pPr>
              <w:ind w:left="500"/>
              <w:spacing w:after="0"/>
              <w:rPr>
                <w:sz w:val="20"/>
                <w:szCs w:val="20"/>
                <w:color w:val="auto"/>
              </w:rPr>
            </w:pPr>
            <w:r>
              <w:rPr>
                <w:rFonts w:ascii="Arial" w:cs="Arial" w:eastAsia="Arial" w:hAnsi="Arial"/>
                <w:sz w:val="18"/>
                <w:szCs w:val="18"/>
                <w:color w:val="auto"/>
              </w:rPr>
              <w:t>$[ ]</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Principal Payment Date:</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November 1, 2052</w:t>
            </w:r>
          </w:p>
        </w:tc>
      </w:tr>
      <w:tr>
        <w:trPr>
          <w:trHeight w:val="54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Interest:</w:t>
            </w:r>
          </w:p>
        </w:tc>
        <w:tc>
          <w:tcPr>
            <w:tcW w:w="1260" w:type="dxa"/>
            <w:vAlign w:val="bottom"/>
          </w:tcPr>
          <w:p>
            <w:pPr>
              <w:ind w:left="500"/>
              <w:spacing w:after="0"/>
              <w:rPr>
                <w:sz w:val="20"/>
                <w:szCs w:val="20"/>
                <w:color w:val="auto"/>
              </w:rPr>
            </w:pPr>
            <w:r>
              <w:rPr>
                <w:rFonts w:ascii="Arial" w:cs="Arial" w:eastAsia="Arial" w:hAnsi="Arial"/>
                <w:sz w:val="18"/>
                <w:szCs w:val="18"/>
                <w:color w:val="auto"/>
              </w:rPr>
              <w:t>4.049%</w:t>
            </w:r>
          </w:p>
        </w:tc>
        <w:tc>
          <w:tcPr>
            <w:tcW w:w="18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526"/>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Redemption:</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3"/>
              </w:rPr>
              <w:t>The Company may at its option redeem the 2052 Notes in whole or in part, at any time or from time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2"/>
              </w:rPr>
              <w:t>to time prior to their maturity, on at least 15 days, but not more than 60 days, prior notice transmitted</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1"/>
              </w:rPr>
              <w:t>to the registered address of each holder of the 2052 Notes, at the “Redemption Price.” Prior to May 1,</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7"/>
              </w:rPr>
              <w:t>2052 (the “2052 Par Call Date”), the Redemption Price is the greater of (i) 100% of the principal</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0"/>
              </w:rPr>
              <w:t>amount of the 2052 Notes, and (ii) the sum of the present values of the principal amount of such notes</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and the scheduled payments of interest thereon (exclusive of interest accrued to the date of</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6"/>
              </w:rPr>
              <w:t>redemption) from the redemption date to the 2052 Par Call Date, in each case discounted to the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89"/>
              </w:rPr>
              <w:t>redemption date on a semiannual basis (assuming a 360-day year consisting of twelve 30-day months)</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2"/>
              </w:rPr>
              <w:t>at the Treasury Rate (as defined in the 2052 Notes) plus 25 basis points. On and after the 2052 Par</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2"/>
              </w:rPr>
              <w:t>Call Date, the Redemption Price will equal 100% of the principal amount of such notes. In each case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1"/>
              </w:rPr>
              <w:t>described in this paragraph, the Redemption Price will include accrued and unpaid interest thereon to</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0"/>
              </w:rPr>
              <w:t>the date of redemption, and in each case described in this paragraph, subject to the further description</w:t>
            </w:r>
          </w:p>
        </w:tc>
      </w:tr>
      <w:tr>
        <w:trPr>
          <w:trHeight w:val="230"/>
        </w:trPr>
        <w:tc>
          <w:tcPr>
            <w:tcW w:w="3540" w:type="dxa"/>
            <w:vAlign w:val="bottom"/>
          </w:tcPr>
          <w:p>
            <w:pPr>
              <w:spacing w:after="0"/>
              <w:rPr>
                <w:sz w:val="20"/>
                <w:szCs w:val="20"/>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in the Prospectus dated [ ], 2017.</w:t>
            </w:r>
          </w:p>
        </w:tc>
      </w:tr>
      <w:tr>
        <w:trPr>
          <w:trHeight w:val="526"/>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Additional Issuances:</w:t>
            </w: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88"/>
              </w:rPr>
              <w:t>The 2052 Notes need not be issued at the same time and the series may be reopened for issuance of an</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3"/>
              </w:rPr>
              <w:t>unlimited principal amount of additional 2052 Notes under this series. Additional 2052 Notes of this</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9"/>
              </w:rPr>
              <w:t>series may be consolidated with, and form a single series with, 2052 Notes then outstanding,</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3"/>
              </w:rPr>
              <w:t>including for purposes of determining whether the required percentage of the holders of record has</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0"/>
              </w:rPr>
              <w:t>given approval or consent to an amendment or waiver or joined in directing the Trustee to take certain</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3"/>
              </w:rPr>
              <w:t>actions on behalf of all holders; provided that if such additional 2052 Notes are not fungible with the</w:t>
            </w:r>
          </w:p>
        </w:tc>
      </w:tr>
      <w:tr>
        <w:trPr>
          <w:trHeight w:val="216"/>
        </w:trPr>
        <w:tc>
          <w:tcPr>
            <w:tcW w:w="3540" w:type="dxa"/>
            <w:vAlign w:val="bottom"/>
          </w:tcPr>
          <w:p>
            <w:pPr>
              <w:spacing w:after="0"/>
              <w:rPr>
                <w:sz w:val="18"/>
                <w:szCs w:val="18"/>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w w:val="93"/>
              </w:rPr>
              <w:t>2052 Notes then outstanding for U.S. federal income tax purposes, such additional 2052 Notes will</w:t>
            </w:r>
          </w:p>
        </w:tc>
      </w:tr>
      <w:tr>
        <w:trPr>
          <w:trHeight w:val="230"/>
        </w:trPr>
        <w:tc>
          <w:tcPr>
            <w:tcW w:w="3540" w:type="dxa"/>
            <w:vAlign w:val="bottom"/>
          </w:tcPr>
          <w:p>
            <w:pPr>
              <w:spacing w:after="0"/>
              <w:rPr>
                <w:sz w:val="20"/>
                <w:szCs w:val="20"/>
                <w:color w:val="auto"/>
              </w:rPr>
            </w:pPr>
          </w:p>
        </w:tc>
        <w:tc>
          <w:tcPr>
            <w:tcW w:w="7880" w:type="dxa"/>
            <w:vAlign w:val="bottom"/>
            <w:gridSpan w:val="3"/>
          </w:tcPr>
          <w:p>
            <w:pPr>
              <w:ind w:left="500"/>
              <w:spacing w:after="0"/>
              <w:rPr>
                <w:sz w:val="20"/>
                <w:szCs w:val="20"/>
                <w:color w:val="auto"/>
              </w:rPr>
            </w:pPr>
            <w:r>
              <w:rPr>
                <w:rFonts w:ascii="Arial" w:cs="Arial" w:eastAsia="Arial" w:hAnsi="Arial"/>
                <w:sz w:val="18"/>
                <w:szCs w:val="18"/>
                <w:color w:val="auto"/>
              </w:rPr>
              <w:t>have one or more separate CUSIP numbers.</w:t>
            </w:r>
          </w:p>
        </w:tc>
      </w:tr>
      <w:tr>
        <w:trPr>
          <w:trHeight w:val="621"/>
        </w:trPr>
        <w:tc>
          <w:tcPr>
            <w:tcW w:w="3540" w:type="dxa"/>
            <w:vAlign w:val="bottom"/>
            <w:tcBorders>
              <w:bottom w:val="single" w:sz="8" w:color="54301A"/>
            </w:tcBorders>
          </w:tcPr>
          <w:p>
            <w:pPr>
              <w:spacing w:after="0"/>
              <w:rPr>
                <w:sz w:val="24"/>
                <w:szCs w:val="24"/>
                <w:color w:val="auto"/>
              </w:rPr>
            </w:pPr>
          </w:p>
        </w:tc>
        <w:tc>
          <w:tcPr>
            <w:tcW w:w="1260" w:type="dxa"/>
            <w:vAlign w:val="bottom"/>
            <w:tcBorders>
              <w:bottom w:val="single" w:sz="8" w:color="54301A"/>
            </w:tcBorders>
          </w:tcPr>
          <w:p>
            <w:pPr>
              <w:spacing w:after="0"/>
              <w:rPr>
                <w:sz w:val="24"/>
                <w:szCs w:val="24"/>
                <w:color w:val="auto"/>
              </w:rPr>
            </w:pPr>
          </w:p>
        </w:tc>
        <w:tc>
          <w:tcPr>
            <w:tcW w:w="1820" w:type="dxa"/>
            <w:vAlign w:val="bottom"/>
            <w:tcBorders>
              <w:bottom w:val="single" w:sz="8" w:color="54301A"/>
            </w:tcBorders>
          </w:tcPr>
          <w:p>
            <w:pPr>
              <w:spacing w:after="0"/>
              <w:rPr>
                <w:sz w:val="24"/>
                <w:szCs w:val="24"/>
                <w:color w:val="auto"/>
              </w:rPr>
            </w:pPr>
          </w:p>
        </w:tc>
        <w:tc>
          <w:tcPr>
            <w:tcW w:w="480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62" w:name="page63"/>
    <w:bookmarkEnd w:id="6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20" w:type="dxa"/>
            <w:vAlign w:val="bottom"/>
            <w:gridSpan w:val="3"/>
          </w:tcPr>
          <w:p>
            <w:pPr>
              <w:ind w:left="1460"/>
              <w:spacing w:after="0"/>
              <w:rPr>
                <w:sz w:val="20"/>
                <w:szCs w:val="20"/>
                <w:color w:val="auto"/>
              </w:rPr>
            </w:pPr>
            <w:r>
              <w:rPr>
                <w:rFonts w:ascii="Arial" w:cs="Arial" w:eastAsia="Arial" w:hAnsi="Arial"/>
                <w:sz w:val="18"/>
                <w:szCs w:val="18"/>
                <w:color w:val="auto"/>
              </w:rPr>
              <w:t>None</w:t>
            </w:r>
          </w:p>
        </w:tc>
      </w:tr>
      <w:tr>
        <w:trPr>
          <w:trHeight w:val="540"/>
        </w:trPr>
        <w:tc>
          <w:tcPr>
            <w:tcW w:w="25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20" w:type="dxa"/>
            <w:vAlign w:val="bottom"/>
            <w:gridSpan w:val="3"/>
          </w:tcPr>
          <w:p>
            <w:pPr>
              <w:ind w:left="1460"/>
              <w:spacing w:after="0"/>
              <w:rPr>
                <w:sz w:val="20"/>
                <w:szCs w:val="20"/>
                <w:color w:val="auto"/>
              </w:rPr>
            </w:pPr>
            <w:r>
              <w:rPr>
                <w:rFonts w:ascii="Arial" w:cs="Arial" w:eastAsia="Arial" w:hAnsi="Arial"/>
                <w:sz w:val="18"/>
                <w:szCs w:val="18"/>
                <w:color w:val="auto"/>
              </w:rPr>
              <w:t>None</w:t>
            </w:r>
          </w:p>
        </w:tc>
      </w:tr>
      <w:tr>
        <w:trPr>
          <w:trHeight w:val="522"/>
        </w:trPr>
        <w:tc>
          <w:tcPr>
            <w:tcW w:w="25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20" w:type="dxa"/>
            <w:vAlign w:val="bottom"/>
            <w:gridSpan w:val="3"/>
          </w:tcPr>
          <w:p>
            <w:pPr>
              <w:ind w:left="1460"/>
              <w:spacing w:after="0"/>
              <w:rPr>
                <w:sz w:val="20"/>
                <w:szCs w:val="20"/>
                <w:color w:val="auto"/>
              </w:rPr>
            </w:pPr>
            <w:r>
              <w:rPr>
                <w:rFonts w:ascii="Arial" w:cs="Arial" w:eastAsia="Arial" w:hAnsi="Arial"/>
                <w:sz w:val="18"/>
                <w:szCs w:val="18"/>
                <w:color w:val="auto"/>
                <w:w w:val="89"/>
              </w:rPr>
              <w:t>The terms of the 2052 Notes shall include such other terms as are set forth in the Form of Note Due</w:t>
            </w:r>
          </w:p>
        </w:tc>
      </w:tr>
      <w:tr>
        <w:trPr>
          <w:trHeight w:val="194"/>
        </w:trPr>
        <w:tc>
          <w:tcPr>
            <w:tcW w:w="2540" w:type="dxa"/>
            <w:vAlign w:val="bottom"/>
          </w:tcPr>
          <w:p>
            <w:pPr>
              <w:spacing w:after="0"/>
              <w:rPr>
                <w:sz w:val="16"/>
                <w:szCs w:val="16"/>
                <w:color w:val="auto"/>
              </w:rPr>
            </w:pPr>
          </w:p>
        </w:tc>
        <w:tc>
          <w:tcPr>
            <w:tcW w:w="8620" w:type="dxa"/>
            <w:vAlign w:val="bottom"/>
            <w:gridSpan w:val="3"/>
          </w:tcPr>
          <w:p>
            <w:pPr>
              <w:ind w:left="1460"/>
              <w:spacing w:after="0" w:line="194" w:lineRule="exact"/>
              <w:rPr>
                <w:sz w:val="20"/>
                <w:szCs w:val="20"/>
                <w:color w:val="auto"/>
              </w:rPr>
            </w:pPr>
            <w:r>
              <w:rPr>
                <w:rFonts w:ascii="Arial" w:cs="Arial" w:eastAsia="Arial" w:hAnsi="Arial"/>
                <w:sz w:val="18"/>
                <w:szCs w:val="18"/>
                <w:color w:val="auto"/>
              </w:rPr>
              <w:t xml:space="preserve">2052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precedent of such Indenture relating to the issuance and authentication of the Notes have been complied with. In such officer’s opinion, such covenants and conditions precedent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-130810</wp:posOffset>
            </wp:positionV>
            <wp:extent cx="2529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General Counsel and</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375285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00" w:top="341"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2047]</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3.969% Note Due 2047</w:t>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CUSIP No.: 20030N CC3</w:t>
      </w:r>
    </w:p>
    <w:p>
      <w:pPr>
        <w:spacing w:after="0" w:line="207" w:lineRule="exact"/>
        <w:rPr>
          <w:sz w:val="20"/>
          <w:szCs w:val="20"/>
          <w:color w:val="auto"/>
        </w:rPr>
      </w:pPr>
    </w:p>
    <w:p>
      <w:pPr>
        <w:sectPr>
          <w:pgSz w:w="11900" w:h="16838" w:orient="portrait"/>
          <w:cols w:equalWidth="0" w:num="2">
            <w:col w:w="8820" w:space="720"/>
            <w:col w:w="1880"/>
          </w:cols>
          <w:pgMar w:left="240" w:top="337"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ISIN No.: US20030NCC39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November 1, 2047.</w:t>
      </w:r>
    </w:p>
    <w:p>
      <w:pPr>
        <w:sectPr>
          <w:pgSz w:w="11900" w:h="16838" w:orient="portrait"/>
          <w:cols w:equalWidth="0" w:num="1">
            <w:col w:w="11420"/>
          </w:cols>
          <w:pgMar w:left="240" w:top="337"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5" w:name="page66"/>
    <w:bookmarkEnd w:id="65"/>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4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c>
          <w:tcPr>
            <w:tcW w:w="684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ind w:left="160"/>
              <w:spacing w:after="0"/>
              <w:rPr>
                <w:sz w:val="20"/>
                <w:szCs w:val="20"/>
                <w:color w:val="auto"/>
              </w:rPr>
            </w:pPr>
            <w:r>
              <w:rPr>
                <w:rFonts w:ascii="Arial" w:cs="Arial" w:eastAsia="Arial" w:hAnsi="Arial"/>
                <w:sz w:val="18"/>
                <w:szCs w:val="18"/>
                <w:color w:val="auto"/>
                <w:w w:val="92"/>
              </w:rPr>
              <w:t>Executive Vice President, General Counsel</w:t>
            </w:r>
          </w:p>
        </w:tc>
        <w:tc>
          <w:tcPr>
            <w:tcW w:w="68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and Secretary</w:t>
            </w:r>
          </w:p>
        </w:tc>
        <w:tc>
          <w:tcPr>
            <w:tcW w:w="6840" w:type="dxa"/>
            <w:vAlign w:val="bottom"/>
          </w:tcPr>
          <w:p>
            <w:pPr>
              <w:spacing w:after="0"/>
              <w:rPr>
                <w:sz w:val="20"/>
                <w:szCs w:val="20"/>
                <w:color w:val="auto"/>
              </w:rPr>
            </w:pPr>
          </w:p>
        </w:tc>
      </w:tr>
      <w:tr>
        <w:trPr>
          <w:trHeight w:val="567"/>
        </w:trPr>
        <w:tc>
          <w:tcPr>
            <w:tcW w:w="580" w:type="dxa"/>
            <w:vAlign w:val="bottom"/>
            <w:tcBorders>
              <w:bottom w:val="single" w:sz="8" w:color="54301A"/>
            </w:tcBorders>
          </w:tcPr>
          <w:p>
            <w:pPr>
              <w:spacing w:after="0"/>
              <w:rPr>
                <w:sz w:val="24"/>
                <w:szCs w:val="24"/>
                <w:color w:val="auto"/>
              </w:rPr>
            </w:pPr>
          </w:p>
        </w:tc>
        <w:tc>
          <w:tcPr>
            <w:tcW w:w="640" w:type="dxa"/>
            <w:vAlign w:val="bottom"/>
            <w:tcBorders>
              <w:bottom w:val="single" w:sz="8" w:color="54301A"/>
            </w:tcBorders>
          </w:tcPr>
          <w:p>
            <w:pPr>
              <w:spacing w:after="0"/>
              <w:rPr>
                <w:sz w:val="24"/>
                <w:szCs w:val="24"/>
                <w:color w:val="auto"/>
              </w:rPr>
            </w:pPr>
          </w:p>
        </w:tc>
        <w:tc>
          <w:tcPr>
            <w:tcW w:w="3360" w:type="dxa"/>
            <w:vAlign w:val="bottom"/>
            <w:tcBorders>
              <w:bottom w:val="single" w:sz="8" w:color="54301A"/>
            </w:tcBorders>
          </w:tcPr>
          <w:p>
            <w:pPr>
              <w:spacing w:after="0"/>
              <w:rPr>
                <w:sz w:val="24"/>
                <w:szCs w:val="24"/>
                <w:color w:val="auto"/>
              </w:rPr>
            </w:pPr>
          </w:p>
        </w:tc>
        <w:tc>
          <w:tcPr>
            <w:tcW w:w="684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3.969% Note Due 2047</w:t>
      </w:r>
    </w:p>
    <w:p>
      <w:pPr>
        <w:spacing w:after="0" w:line="225" w:lineRule="exact"/>
        <w:rPr>
          <w:sz w:val="20"/>
          <w:szCs w:val="20"/>
          <w:color w:val="auto"/>
        </w:rPr>
      </w:pPr>
    </w:p>
    <w:p>
      <w:pPr>
        <w:ind w:left="1520" w:hanging="669"/>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19, 2017. The Issuer will pay interest semi-annually in arrears on each Interest Payment Date, commencing May 1, 2018.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1520" w:hanging="669"/>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1520" w:hanging="669"/>
        <w:spacing w:after="0"/>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8" w:name="page69"/>
    <w:bookmarkEnd w:id="68"/>
    <w:p>
      <w:pPr>
        <w:ind w:left="1520" w:hanging="669"/>
        <w:spacing w:after="0"/>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1520" w:hanging="669"/>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1520" w:hanging="669"/>
        <w:spacing w:after="0"/>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8" w:lineRule="exact"/>
        <w:rPr>
          <w:sz w:val="20"/>
          <w:szCs w:val="20"/>
          <w:color w:val="auto"/>
        </w:rPr>
      </w:pPr>
    </w:p>
    <w:p>
      <w:pPr>
        <w:ind w:left="1520" w:hanging="669"/>
        <w:spacing w:after="0"/>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1520" w:hanging="669"/>
        <w:spacing w:after="0"/>
        <w:tabs>
          <w:tab w:leader="none" w:pos="1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ind w:left="1520" w:hanging="669"/>
        <w:spacing w:after="0"/>
        <w:tabs>
          <w:tab w:leader="none" w:pos="1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1620" w:hanging="769"/>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1600" w:hanging="749"/>
        <w:spacing w:after="0"/>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1620" w:hanging="769"/>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77" w:lineRule="exact"/>
        <w:rPr>
          <w:sz w:val="20"/>
          <w:szCs w:val="20"/>
          <w:color w:val="auto"/>
        </w:rPr>
      </w:pPr>
    </w:p>
    <w:p>
      <w:pPr>
        <w:ind w:right="3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means (a) at any time prior to May 1, 2047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3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United States government securities dealer in the United States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the Issuer will substitute therefor another Primary Treasury Dealer.</w:t>
      </w:r>
    </w:p>
    <w:p>
      <w:pPr>
        <w:spacing w:after="0" w:line="16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1" w:name="page72"/>
    <w:bookmarkEnd w:id="71"/>
    <w:p>
      <w:pPr>
        <w:ind w:right="700"/>
        <w:spacing w:after="0" w:line="277" w:lineRule="auto"/>
        <w:rPr>
          <w:sz w:val="20"/>
          <w:szCs w:val="20"/>
          <w:color w:val="auto"/>
        </w:rPr>
      </w:pPr>
      <w:r>
        <w:rPr>
          <w:rFonts w:ascii="Arial" w:cs="Arial" w:eastAsia="Arial" w:hAnsi="Arial"/>
          <w:sz w:val="18"/>
          <w:szCs w:val="18"/>
          <w:color w:val="auto"/>
        </w:rPr>
        <w:t>Trustee by such method as the Trustee shall deem fair and appropriate (provided that Securities represented by a Global Security will be selected for redemption by the Depositary in accordance with its standard procedures therefor).</w:t>
      </w:r>
    </w:p>
    <w:p>
      <w:pPr>
        <w:spacing w:after="0" w:line="170" w:lineRule="exact"/>
        <w:rPr>
          <w:sz w:val="20"/>
          <w:szCs w:val="20"/>
          <w:color w:val="auto"/>
        </w:rPr>
      </w:pPr>
    </w:p>
    <w:p>
      <w:pPr>
        <w:ind w:left="1620" w:hanging="769"/>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1620" w:hanging="769"/>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620" w:hanging="769"/>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620" w:hanging="769"/>
        <w:spacing w:after="0"/>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1620" w:hanging="769"/>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2" w:name="page73"/>
    <w:bookmarkEnd w:id="72"/>
    <w:p>
      <w:pPr>
        <w:ind w:left="1620" w:hanging="769"/>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1620" w:hanging="769"/>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Dated:</w:t>
            </w:r>
          </w:p>
        </w:tc>
        <w:tc>
          <w:tcPr>
            <w:tcW w:w="2480" w:type="dxa"/>
            <w:vAlign w:val="bottom"/>
          </w:tcPr>
          <w:p>
            <w:pPr>
              <w:spacing w:after="0"/>
              <w:rPr>
                <w:sz w:val="20"/>
                <w:szCs w:val="20"/>
                <w:color w:val="auto"/>
              </w:rPr>
            </w:pP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Signed:</w:t>
            </w:r>
          </w:p>
        </w:tc>
        <w:tc>
          <w:tcPr>
            <w:tcW w:w="128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(Signed exactly as name appears</w:t>
            </w:r>
          </w:p>
        </w:tc>
        <w:tc>
          <w:tcPr>
            <w:tcW w:w="1280" w:type="dxa"/>
            <w:vAlign w:val="bottom"/>
          </w:tcPr>
          <w:p>
            <w:pPr>
              <w:spacing w:after="0"/>
              <w:rPr>
                <w:sz w:val="21"/>
                <w:szCs w:val="21"/>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on the other side of this Security)</w:t>
            </w:r>
          </w:p>
        </w:tc>
        <w:tc>
          <w:tcPr>
            <w:tcW w:w="1280" w:type="dxa"/>
            <w:vAlign w:val="bottom"/>
          </w:tcPr>
          <w:p>
            <w:pPr>
              <w:spacing w:after="0"/>
              <w:rPr>
                <w:sz w:val="20"/>
                <w:szCs w:val="20"/>
                <w:color w:val="auto"/>
              </w:rPr>
            </w:pPr>
          </w:p>
        </w:tc>
      </w:tr>
      <w:tr>
        <w:trPr>
          <w:trHeight w:val="702"/>
        </w:trPr>
        <w:tc>
          <w:tcPr>
            <w:tcW w:w="230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2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980" w:type="dxa"/>
            <w:vAlign w:val="bottom"/>
            <w:gridSpan w:val="3"/>
          </w:tcPr>
          <w:p>
            <w:pPr>
              <w:spacing w:after="0" w:line="195" w:lineRule="exact"/>
              <w:rPr>
                <w:sz w:val="20"/>
                <w:szCs w:val="20"/>
                <w:color w:val="auto"/>
              </w:rPr>
            </w:pPr>
            <w:r>
              <w:rPr>
                <w:rFonts w:ascii="Arial" w:cs="Arial" w:eastAsia="Arial" w:hAnsi="Arial"/>
                <w:sz w:val="18"/>
                <w:szCs w:val="18"/>
                <w:color w:val="auto"/>
              </w:rPr>
              <w:t>Participant in a recognized Signature Guarantee</w:t>
            </w:r>
          </w:p>
        </w:tc>
        <w:tc>
          <w:tcPr>
            <w:tcW w:w="38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Medallion Program (or other signature guarantor</w:t>
            </w:r>
          </w:p>
        </w:tc>
        <w:tc>
          <w:tcPr>
            <w:tcW w:w="128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program reasonably acceptable to the Trustee)</w:t>
            </w:r>
          </w:p>
        </w:tc>
        <w:tc>
          <w:tcPr>
            <w:tcW w:w="1280" w:type="dxa"/>
            <w:vAlign w:val="bottom"/>
          </w:tcPr>
          <w:p>
            <w:pPr>
              <w:spacing w:after="0"/>
              <w:rPr>
                <w:sz w:val="20"/>
                <w:szCs w:val="20"/>
                <w:color w:val="auto"/>
              </w:rPr>
            </w:pPr>
          </w:p>
        </w:tc>
      </w:tr>
      <w:tr>
        <w:trPr>
          <w:trHeight w:val="554"/>
        </w:trPr>
        <w:tc>
          <w:tcPr>
            <w:tcW w:w="860" w:type="dxa"/>
            <w:vAlign w:val="bottom"/>
            <w:tcBorders>
              <w:bottom w:val="single" w:sz="8" w:color="54301A"/>
            </w:tcBorders>
          </w:tcPr>
          <w:p>
            <w:pPr>
              <w:spacing w:after="0"/>
              <w:rPr>
                <w:sz w:val="24"/>
                <w:szCs w:val="24"/>
                <w:color w:val="auto"/>
              </w:rPr>
            </w:pPr>
          </w:p>
        </w:tc>
        <w:tc>
          <w:tcPr>
            <w:tcW w:w="1440" w:type="dxa"/>
            <w:vAlign w:val="bottom"/>
            <w:tcBorders>
              <w:bottom w:val="single" w:sz="8" w:color="54301A"/>
            </w:tcBorders>
          </w:tcPr>
          <w:p>
            <w:pPr>
              <w:spacing w:after="0"/>
              <w:rPr>
                <w:sz w:val="24"/>
                <w:szCs w:val="24"/>
                <w:color w:val="auto"/>
              </w:rPr>
            </w:pPr>
          </w:p>
        </w:tc>
        <w:tc>
          <w:tcPr>
            <w:tcW w:w="3920" w:type="dxa"/>
            <w:vAlign w:val="bottom"/>
            <w:tcBorders>
              <w:bottom w:val="single" w:sz="8" w:color="54301A"/>
            </w:tcBorders>
            <w:gridSpan w:val="2"/>
          </w:tcPr>
          <w:p>
            <w:pPr>
              <w:jc w:val="right"/>
              <w:ind w:right="39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54301A"/>
            </w:tcBorders>
          </w:tcPr>
          <w:p>
            <w:pPr>
              <w:spacing w:after="0"/>
              <w:rPr>
                <w:sz w:val="24"/>
                <w:szCs w:val="24"/>
                <w:color w:val="auto"/>
              </w:rPr>
            </w:pPr>
          </w:p>
        </w:tc>
        <w:tc>
          <w:tcPr>
            <w:tcW w:w="3860" w:type="dxa"/>
            <w:vAlign w:val="bottom"/>
            <w:tcBorders>
              <w:bottom w:val="single" w:sz="8" w:color="54301A"/>
            </w:tcBorders>
          </w:tcPr>
          <w:p>
            <w:pPr>
              <w:spacing w:after="0"/>
              <w:rPr>
                <w:sz w:val="24"/>
                <w:szCs w:val="24"/>
                <w:color w:val="auto"/>
              </w:rPr>
            </w:pPr>
          </w:p>
        </w:tc>
        <w:tc>
          <w:tcPr>
            <w:tcW w:w="128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Arial" w:cs="Arial" w:eastAsia="Arial" w:hAnsi="Arial"/>
                <w:sz w:val="18"/>
                <w:szCs w:val="18"/>
                <w:color w:val="auto"/>
                <w:w w:val="91"/>
              </w:rPr>
              <w:t>Amount of increase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Principal Amount of</w:t>
            </w:r>
          </w:p>
        </w:tc>
        <w:tc>
          <w:tcPr>
            <w:tcW w:w="23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Amount of decrease</w:t>
            </w:r>
          </w:p>
        </w:tc>
        <w:tc>
          <w:tcPr>
            <w:tcW w:w="2120" w:type="dxa"/>
            <w:vAlign w:val="bottom"/>
          </w:tcPr>
          <w:p>
            <w:pPr>
              <w:jc w:val="center"/>
              <w:ind w:right="30"/>
              <w:spacing w:after="0"/>
              <w:rPr>
                <w:sz w:val="20"/>
                <w:szCs w:val="20"/>
                <w:color w:val="auto"/>
              </w:rPr>
            </w:pPr>
            <w:r>
              <w:rPr>
                <w:rFonts w:ascii="Arial" w:cs="Arial" w:eastAsia="Arial" w:hAnsi="Arial"/>
                <w:sz w:val="18"/>
                <w:szCs w:val="18"/>
                <w:color w:val="auto"/>
                <w:w w:val="95"/>
              </w:rPr>
              <w:t>in Principal</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this Global Security</w:t>
            </w:r>
          </w:p>
        </w:tc>
        <w:tc>
          <w:tcPr>
            <w:tcW w:w="23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5"/>
              </w:rPr>
              <w:t>in Principal Amount of this</w:t>
            </w:r>
          </w:p>
        </w:tc>
        <w:tc>
          <w:tcPr>
            <w:tcW w:w="2120" w:type="dxa"/>
            <w:vAlign w:val="bottom"/>
          </w:tcPr>
          <w:p>
            <w:pPr>
              <w:jc w:val="center"/>
              <w:ind w:right="50"/>
              <w:spacing w:after="0"/>
              <w:rPr>
                <w:sz w:val="20"/>
                <w:szCs w:val="20"/>
                <w:color w:val="auto"/>
              </w:rPr>
            </w:pPr>
            <w:r>
              <w:rPr>
                <w:rFonts w:ascii="Arial" w:cs="Arial" w:eastAsia="Arial" w:hAnsi="Arial"/>
                <w:sz w:val="18"/>
                <w:szCs w:val="18"/>
                <w:color w:val="auto"/>
                <w:w w:val="95"/>
              </w:rPr>
              <w:t>Amount of this</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following such</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30"/>
        </w:trPr>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Date of Exchange</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Global Security</w:t>
            </w: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Global Security</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decrease or increase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2049]</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3.999% Note Due 2049</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CE9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US20030NCE94</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720" w:space="720"/>
            <w:col w:w="1980"/>
          </w:cols>
          <w:pgMar w:left="240" w:top="337"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November 1, 2049.</w:t>
      </w:r>
    </w:p>
    <w:p>
      <w:pPr>
        <w:sectPr>
          <w:pgSz w:w="11900" w:h="16838" w:orient="portrait"/>
          <w:cols w:equalWidth="0" w:num="1">
            <w:col w:w="11420"/>
          </w:cols>
          <w:pgMar w:left="240" w:top="337"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337" w:right="239" w:bottom="1440" w:gutter="0" w:footer="0" w:header="0"/>
          <w:type w:val="continuous"/>
        </w:sectPr>
      </w:pPr>
    </w:p>
    <w:bookmarkStart w:id="76" w:name="page77"/>
    <w:bookmarkEnd w:id="76"/>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4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c>
          <w:tcPr>
            <w:tcW w:w="684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ind w:left="160"/>
              <w:spacing w:after="0"/>
              <w:rPr>
                <w:sz w:val="20"/>
                <w:szCs w:val="20"/>
                <w:color w:val="auto"/>
              </w:rPr>
            </w:pPr>
            <w:r>
              <w:rPr>
                <w:rFonts w:ascii="Arial" w:cs="Arial" w:eastAsia="Arial" w:hAnsi="Arial"/>
                <w:sz w:val="18"/>
                <w:szCs w:val="18"/>
                <w:color w:val="auto"/>
                <w:w w:val="92"/>
              </w:rPr>
              <w:t>Executive Vice President, General Counsel</w:t>
            </w:r>
          </w:p>
        </w:tc>
        <w:tc>
          <w:tcPr>
            <w:tcW w:w="68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and Secretary</w:t>
            </w:r>
          </w:p>
        </w:tc>
        <w:tc>
          <w:tcPr>
            <w:tcW w:w="6840" w:type="dxa"/>
            <w:vAlign w:val="bottom"/>
          </w:tcPr>
          <w:p>
            <w:pPr>
              <w:spacing w:after="0"/>
              <w:rPr>
                <w:sz w:val="20"/>
                <w:szCs w:val="20"/>
                <w:color w:val="auto"/>
              </w:rPr>
            </w:pPr>
          </w:p>
        </w:tc>
      </w:tr>
      <w:tr>
        <w:trPr>
          <w:trHeight w:val="689"/>
        </w:trPr>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0219"/>
          </w:cols>
          <w:pgMar w:left="240" w:top="922"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3.999% Note Due 2049</w:t>
      </w:r>
    </w:p>
    <w:p>
      <w:pPr>
        <w:spacing w:after="0" w:line="225" w:lineRule="exact"/>
        <w:rPr>
          <w:sz w:val="20"/>
          <w:szCs w:val="20"/>
          <w:color w:val="auto"/>
        </w:rPr>
      </w:pPr>
    </w:p>
    <w:p>
      <w:pPr>
        <w:ind w:left="1520" w:hanging="669"/>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19, 2017. The Issuer will pay interest semi-annually in arrears on each Interest Payment Date, commencing May 1, 2018.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1520" w:hanging="669"/>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1520" w:hanging="669"/>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9" w:name="page80"/>
    <w:bookmarkEnd w:id="79"/>
    <w:p>
      <w:pPr>
        <w:ind w:left="1520" w:hanging="669"/>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1520" w:hanging="669"/>
        <w:spacing w:after="0"/>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1520" w:hanging="669"/>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8" w:lineRule="exact"/>
        <w:rPr>
          <w:sz w:val="20"/>
          <w:szCs w:val="20"/>
          <w:color w:val="auto"/>
        </w:rPr>
      </w:pPr>
    </w:p>
    <w:p>
      <w:pPr>
        <w:ind w:left="1520" w:hanging="669"/>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1520" w:hanging="669"/>
        <w:spacing w:after="0"/>
        <w:tabs>
          <w:tab w:leader="none" w:pos="1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1520" w:hanging="669"/>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1620" w:hanging="769"/>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1600" w:hanging="749"/>
        <w:spacing w:after="0"/>
        <w:tabs>
          <w:tab w:leader="none" w:pos="1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1620" w:hanging="769"/>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77" w:lineRule="exact"/>
        <w:rPr>
          <w:sz w:val="20"/>
          <w:szCs w:val="20"/>
          <w:color w:val="auto"/>
        </w:rPr>
      </w:pPr>
    </w:p>
    <w:p>
      <w:pPr>
        <w:ind w:right="3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means (a) at any time prior to May 1, 2049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3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United States government securities dealer in the United States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the Issuer will substitute therefor another Primary Treasury Dealer.</w:t>
      </w:r>
    </w:p>
    <w:p>
      <w:pPr>
        <w:spacing w:after="0" w:line="16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2" w:name="page83"/>
    <w:bookmarkEnd w:id="82"/>
    <w:p>
      <w:pPr>
        <w:ind w:left="1620" w:hanging="769"/>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1620" w:hanging="769"/>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620" w:hanging="769"/>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620" w:hanging="769"/>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1620" w:hanging="769"/>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3" w:name="page84"/>
    <w:bookmarkEnd w:id="83"/>
    <w:p>
      <w:pPr>
        <w:ind w:left="1620" w:hanging="769"/>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1620" w:hanging="769"/>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Dated:</w:t>
            </w:r>
          </w:p>
        </w:tc>
        <w:tc>
          <w:tcPr>
            <w:tcW w:w="2480" w:type="dxa"/>
            <w:vAlign w:val="bottom"/>
          </w:tcPr>
          <w:p>
            <w:pPr>
              <w:spacing w:after="0"/>
              <w:rPr>
                <w:sz w:val="20"/>
                <w:szCs w:val="20"/>
                <w:color w:val="auto"/>
              </w:rPr>
            </w:pP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Signed:</w:t>
            </w:r>
          </w:p>
        </w:tc>
        <w:tc>
          <w:tcPr>
            <w:tcW w:w="128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(Signed exactly as name appears</w:t>
            </w:r>
          </w:p>
        </w:tc>
        <w:tc>
          <w:tcPr>
            <w:tcW w:w="1280" w:type="dxa"/>
            <w:vAlign w:val="bottom"/>
          </w:tcPr>
          <w:p>
            <w:pPr>
              <w:spacing w:after="0"/>
              <w:rPr>
                <w:sz w:val="21"/>
                <w:szCs w:val="21"/>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on the other side of this Security)</w:t>
            </w:r>
          </w:p>
        </w:tc>
        <w:tc>
          <w:tcPr>
            <w:tcW w:w="1280" w:type="dxa"/>
            <w:vAlign w:val="bottom"/>
          </w:tcPr>
          <w:p>
            <w:pPr>
              <w:spacing w:after="0"/>
              <w:rPr>
                <w:sz w:val="20"/>
                <w:szCs w:val="20"/>
                <w:color w:val="auto"/>
              </w:rPr>
            </w:pPr>
          </w:p>
        </w:tc>
      </w:tr>
      <w:tr>
        <w:trPr>
          <w:trHeight w:val="702"/>
        </w:trPr>
        <w:tc>
          <w:tcPr>
            <w:tcW w:w="230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2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980" w:type="dxa"/>
            <w:vAlign w:val="bottom"/>
            <w:gridSpan w:val="3"/>
          </w:tcPr>
          <w:p>
            <w:pPr>
              <w:spacing w:after="0" w:line="195" w:lineRule="exact"/>
              <w:rPr>
                <w:sz w:val="20"/>
                <w:szCs w:val="20"/>
                <w:color w:val="auto"/>
              </w:rPr>
            </w:pPr>
            <w:r>
              <w:rPr>
                <w:rFonts w:ascii="Arial" w:cs="Arial" w:eastAsia="Arial" w:hAnsi="Arial"/>
                <w:sz w:val="18"/>
                <w:szCs w:val="18"/>
                <w:color w:val="auto"/>
              </w:rPr>
              <w:t>Participant in a recognized Signature Guarantee</w:t>
            </w:r>
          </w:p>
        </w:tc>
        <w:tc>
          <w:tcPr>
            <w:tcW w:w="38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Medallion Program (or other signature guarantor</w:t>
            </w:r>
          </w:p>
        </w:tc>
        <w:tc>
          <w:tcPr>
            <w:tcW w:w="128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program reasonably acceptable to the Trustee)</w:t>
            </w:r>
          </w:p>
        </w:tc>
        <w:tc>
          <w:tcPr>
            <w:tcW w:w="1280" w:type="dxa"/>
            <w:vAlign w:val="bottom"/>
          </w:tcPr>
          <w:p>
            <w:pPr>
              <w:spacing w:after="0"/>
              <w:rPr>
                <w:sz w:val="20"/>
                <w:szCs w:val="20"/>
                <w:color w:val="auto"/>
              </w:rPr>
            </w:pPr>
          </w:p>
        </w:tc>
      </w:tr>
      <w:tr>
        <w:trPr>
          <w:trHeight w:val="554"/>
        </w:trPr>
        <w:tc>
          <w:tcPr>
            <w:tcW w:w="860" w:type="dxa"/>
            <w:vAlign w:val="bottom"/>
            <w:tcBorders>
              <w:bottom w:val="single" w:sz="8" w:color="54301A"/>
            </w:tcBorders>
          </w:tcPr>
          <w:p>
            <w:pPr>
              <w:spacing w:after="0"/>
              <w:rPr>
                <w:sz w:val="24"/>
                <w:szCs w:val="24"/>
                <w:color w:val="auto"/>
              </w:rPr>
            </w:pPr>
          </w:p>
        </w:tc>
        <w:tc>
          <w:tcPr>
            <w:tcW w:w="1440" w:type="dxa"/>
            <w:vAlign w:val="bottom"/>
            <w:tcBorders>
              <w:bottom w:val="single" w:sz="8" w:color="54301A"/>
            </w:tcBorders>
          </w:tcPr>
          <w:p>
            <w:pPr>
              <w:spacing w:after="0"/>
              <w:rPr>
                <w:sz w:val="24"/>
                <w:szCs w:val="24"/>
                <w:color w:val="auto"/>
              </w:rPr>
            </w:pPr>
          </w:p>
        </w:tc>
        <w:tc>
          <w:tcPr>
            <w:tcW w:w="3920" w:type="dxa"/>
            <w:vAlign w:val="bottom"/>
            <w:tcBorders>
              <w:bottom w:val="single" w:sz="8" w:color="54301A"/>
            </w:tcBorders>
            <w:gridSpan w:val="2"/>
          </w:tcPr>
          <w:p>
            <w:pPr>
              <w:jc w:val="right"/>
              <w:ind w:right="39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54301A"/>
            </w:tcBorders>
          </w:tcPr>
          <w:p>
            <w:pPr>
              <w:spacing w:after="0"/>
              <w:rPr>
                <w:sz w:val="24"/>
                <w:szCs w:val="24"/>
                <w:color w:val="auto"/>
              </w:rPr>
            </w:pPr>
          </w:p>
        </w:tc>
        <w:tc>
          <w:tcPr>
            <w:tcW w:w="3860" w:type="dxa"/>
            <w:vAlign w:val="bottom"/>
            <w:tcBorders>
              <w:bottom w:val="single" w:sz="8" w:color="54301A"/>
            </w:tcBorders>
          </w:tcPr>
          <w:p>
            <w:pPr>
              <w:spacing w:after="0"/>
              <w:rPr>
                <w:sz w:val="24"/>
                <w:szCs w:val="24"/>
                <w:color w:val="auto"/>
              </w:rPr>
            </w:pPr>
          </w:p>
        </w:tc>
        <w:tc>
          <w:tcPr>
            <w:tcW w:w="128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Arial" w:cs="Arial" w:eastAsia="Arial" w:hAnsi="Arial"/>
                <w:sz w:val="18"/>
                <w:szCs w:val="18"/>
                <w:color w:val="auto"/>
                <w:w w:val="91"/>
              </w:rPr>
              <w:t>Amount of increase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Principal Amount of</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Amount of decrease</w:t>
            </w:r>
          </w:p>
        </w:tc>
        <w:tc>
          <w:tcPr>
            <w:tcW w:w="2120" w:type="dxa"/>
            <w:vAlign w:val="bottom"/>
          </w:tcPr>
          <w:p>
            <w:pPr>
              <w:jc w:val="center"/>
              <w:ind w:right="30"/>
              <w:spacing w:after="0"/>
              <w:rPr>
                <w:sz w:val="20"/>
                <w:szCs w:val="20"/>
                <w:color w:val="auto"/>
              </w:rPr>
            </w:pPr>
            <w:r>
              <w:rPr>
                <w:rFonts w:ascii="Arial" w:cs="Arial" w:eastAsia="Arial" w:hAnsi="Arial"/>
                <w:sz w:val="18"/>
                <w:szCs w:val="18"/>
                <w:color w:val="auto"/>
                <w:w w:val="95"/>
              </w:rPr>
              <w:t>in Principal</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this Global Security</w:t>
            </w:r>
          </w:p>
        </w:tc>
        <w:tc>
          <w:tcPr>
            <w:tcW w:w="2340" w:type="dxa"/>
            <w:vAlign w:val="bottom"/>
            <w:vMerge w:val="restart"/>
          </w:tcPr>
          <w:p>
            <w:pPr>
              <w:ind w:left="360"/>
              <w:spacing w:after="0"/>
              <w:rPr>
                <w:sz w:val="20"/>
                <w:szCs w:val="20"/>
                <w:color w:val="auto"/>
              </w:rPr>
            </w:pPr>
            <w:r>
              <w:rPr>
                <w:rFonts w:ascii="Arial" w:cs="Arial" w:eastAsia="Arial" w:hAnsi="Arial"/>
                <w:sz w:val="18"/>
                <w:szCs w:val="18"/>
                <w:color w:val="auto"/>
              </w:rPr>
              <w:t>Signature of authorized</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5"/>
              </w:rPr>
              <w:t>in Principal Amount of this</w:t>
            </w:r>
          </w:p>
        </w:tc>
        <w:tc>
          <w:tcPr>
            <w:tcW w:w="2120" w:type="dxa"/>
            <w:vAlign w:val="bottom"/>
          </w:tcPr>
          <w:p>
            <w:pPr>
              <w:jc w:val="center"/>
              <w:ind w:right="50"/>
              <w:spacing w:after="0"/>
              <w:rPr>
                <w:sz w:val="20"/>
                <w:szCs w:val="20"/>
                <w:color w:val="auto"/>
              </w:rPr>
            </w:pPr>
            <w:r>
              <w:rPr>
                <w:rFonts w:ascii="Arial" w:cs="Arial" w:eastAsia="Arial" w:hAnsi="Arial"/>
                <w:sz w:val="18"/>
                <w:szCs w:val="18"/>
                <w:color w:val="auto"/>
                <w:w w:val="95"/>
              </w:rPr>
              <w:t>Amount of this</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following such</w:t>
            </w: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Date of Exchange</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Global Security</w:t>
            </w: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Global Security</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decrease or increase</w:t>
            </w:r>
          </w:p>
        </w:tc>
        <w:tc>
          <w:tcPr>
            <w:tcW w:w="23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signatory of 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2052]</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4.049% Note Due 2052</w:t>
      </w:r>
    </w:p>
    <w:p>
      <w:pPr>
        <w:sectPr>
          <w:pgSz w:w="11900" w:h="16838" w:orient="portrait"/>
          <w:cols w:equalWidth="0" w:num="1">
            <w:col w:w="11420"/>
          </w:cols>
          <w:pgMar w:left="240" w:top="337"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CG4</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US20030NCG43</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tab/>
        <w:t>]</w:t>
      </w:r>
    </w:p>
    <w:p>
      <w:pPr>
        <w:spacing w:after="0" w:line="200" w:lineRule="exact"/>
        <w:rPr>
          <w:sz w:val="20"/>
          <w:szCs w:val="20"/>
          <w:color w:val="auto"/>
        </w:rPr>
      </w:pPr>
    </w:p>
    <w:p>
      <w:pPr>
        <w:sectPr>
          <w:pgSz w:w="11900" w:h="16838" w:orient="portrait"/>
          <w:cols w:equalWidth="0" w:num="2">
            <w:col w:w="8700" w:space="720"/>
            <w:col w:w="2000"/>
          </w:cols>
          <w:pgMar w:left="240" w:top="337" w:right="239" w:bottom="1440" w:gutter="0" w:footer="0" w:header="0"/>
          <w:type w:val="continuous"/>
        </w:sectPr>
      </w:pPr>
    </w:p>
    <w:p>
      <w:pPr>
        <w:spacing w:after="0" w:line="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November 1, 2052.</w:t>
      </w:r>
    </w:p>
    <w:p>
      <w:pPr>
        <w:sectPr>
          <w:pgSz w:w="11900" w:h="16838" w:orient="portrait"/>
          <w:cols w:equalWidth="0" w:num="1">
            <w:col w:w="11420"/>
          </w:cols>
          <w:pgMar w:left="240" w:top="337" w:right="2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337" w:right="239" w:bottom="1440" w:gutter="0" w:footer="0" w:header="0"/>
          <w:type w:val="continuous"/>
        </w:sectPr>
      </w:pPr>
    </w:p>
    <w:bookmarkStart w:id="87" w:name="page88"/>
    <w:bookmarkEnd w:id="87"/>
    <w:p>
      <w:pPr>
        <w:ind w:left="66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10"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40"/>
              <w:spacing w:after="0"/>
              <w:rPr>
                <w:sz w:val="20"/>
                <w:szCs w:val="20"/>
                <w:color w:val="auto"/>
              </w:rPr>
            </w:pPr>
            <w:r>
              <w:rPr>
                <w:rFonts w:ascii="Arial" w:cs="Arial" w:eastAsia="Arial" w:hAnsi="Arial"/>
                <w:sz w:val="18"/>
                <w:szCs w:val="18"/>
                <w:color w:val="auto"/>
              </w:rPr>
              <w:t>Senior Vice President and Treasurer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ind w:left="160"/>
              <w:spacing w:after="0"/>
              <w:rPr>
                <w:sz w:val="20"/>
                <w:szCs w:val="20"/>
                <w:color w:val="auto"/>
              </w:rPr>
            </w:pPr>
            <w:r>
              <w:rPr>
                <w:rFonts w:ascii="Arial" w:cs="Arial" w:eastAsia="Arial" w:hAnsi="Arial"/>
                <w:sz w:val="18"/>
                <w:szCs w:val="18"/>
                <w:color w:val="auto"/>
                <w:w w:val="92"/>
              </w:rPr>
              <w:t>Executive Vice President, General Counsel</w:t>
            </w:r>
          </w:p>
        </w:tc>
      </w:tr>
      <w:tr>
        <w:trPr>
          <w:trHeight w:val="230"/>
        </w:trPr>
        <w:tc>
          <w:tcPr>
            <w:tcW w:w="64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and Secretary</w:t>
            </w:r>
          </w:p>
        </w:tc>
      </w:tr>
    </w:tbl>
    <w:p>
      <w:pPr>
        <w:sectPr>
          <w:pgSz w:w="11900" w:h="16838" w:orient="portrait"/>
          <w:cols w:equalWidth="0" w:num="1">
            <w:col w:w="11400"/>
          </w:cols>
          <w:pgMar w:left="240" w:top="706" w:right="25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4.049% Note Due 2052</w:t>
      </w:r>
    </w:p>
    <w:p>
      <w:pPr>
        <w:spacing w:after="0" w:line="225" w:lineRule="exact"/>
        <w:rPr>
          <w:sz w:val="20"/>
          <w:szCs w:val="20"/>
          <w:color w:val="auto"/>
        </w:rPr>
      </w:pPr>
    </w:p>
    <w:p>
      <w:pPr>
        <w:ind w:left="1520" w:hanging="66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October 19, 2017. The Issuer will pay interest semi-annually in arrears on each Interest Payment Date, commencing May 1, 2018. Interest will be computed on the basis of a 360-day year of twelve 30-day months.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1520" w:hanging="66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3" w:lineRule="exact"/>
        <w:rPr>
          <w:sz w:val="20"/>
          <w:szCs w:val="20"/>
          <w:color w:val="auto"/>
        </w:rPr>
      </w:pPr>
    </w:p>
    <w:p>
      <w:pPr>
        <w:ind w:left="1520" w:hanging="66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0" w:name="page91"/>
    <w:bookmarkEnd w:id="90"/>
    <w:p>
      <w:pPr>
        <w:ind w:left="1520" w:hanging="66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211" w:lineRule="exact"/>
        <w:rPr>
          <w:sz w:val="20"/>
          <w:szCs w:val="20"/>
          <w:color w:val="auto"/>
        </w:rPr>
      </w:pPr>
    </w:p>
    <w:p>
      <w:pPr>
        <w:ind w:left="1520" w:hanging="66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1520" w:hanging="66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58" w:lineRule="exact"/>
        <w:rPr>
          <w:sz w:val="20"/>
          <w:szCs w:val="20"/>
          <w:color w:val="auto"/>
        </w:rPr>
      </w:pPr>
    </w:p>
    <w:p>
      <w:pPr>
        <w:ind w:left="1520" w:hanging="66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1520" w:hanging="66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After that, all liability of the Trustee and such Paying Agent with respect to such funds shall cease.</w:t>
      </w:r>
    </w:p>
    <w:p>
      <w:pPr>
        <w:spacing w:after="0" w:line="225" w:lineRule="exact"/>
        <w:rPr>
          <w:sz w:val="20"/>
          <w:szCs w:val="20"/>
          <w:color w:val="auto"/>
        </w:rPr>
      </w:pPr>
    </w:p>
    <w:p>
      <w:pPr>
        <w:ind w:left="1520" w:hanging="66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1620" w:hanging="769"/>
        <w:spacing w:after="0"/>
        <w:tabs>
          <w:tab w:leader="none" w:pos="1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1600" w:hanging="749"/>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1620" w:hanging="769"/>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77" w:lineRule="exact"/>
        <w:rPr>
          <w:sz w:val="20"/>
          <w:szCs w:val="20"/>
          <w:color w:val="auto"/>
        </w:rPr>
      </w:pPr>
    </w:p>
    <w:p>
      <w:pPr>
        <w:ind w:right="3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means (a) at any time prior to May 1, 2052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25 basis points and (b) if the Securities are redeemed on or after the Par Call Date, 100% of the principal amount of such Securities; plus, in each case, accrued and unpaid interest thereon to the date of redemption.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3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each of Credit Suisse Securities (USA) LLC, Goldman Sachs &amp; Co. LLC, Citigroup Global Markets Inc., Deutsche Bank Securities Inc. and Wells Fargo Securities, LLC or their affiliates which are primary United States government securities dealers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United States government securities dealer in the United States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the Issuer will substitute therefor another Primary Treasury Dealer.</w:t>
      </w:r>
    </w:p>
    <w:p>
      <w:pPr>
        <w:spacing w:after="0" w:line="16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3" w:name="page94"/>
    <w:bookmarkEnd w:id="93"/>
    <w:p>
      <w:pPr>
        <w:ind w:left="1620" w:hanging="769"/>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1620" w:hanging="769"/>
        <w:spacing w:after="0"/>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620" w:hanging="769"/>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620" w:hanging="769"/>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1620" w:hanging="769"/>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4" w:name="page95"/>
    <w:bookmarkEnd w:id="94"/>
    <w:p>
      <w:pPr>
        <w:ind w:left="1620" w:hanging="769"/>
        <w:spacing w:after="0"/>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1620" w:hanging="769"/>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 substitute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Dated:</w:t>
            </w:r>
          </w:p>
        </w:tc>
        <w:tc>
          <w:tcPr>
            <w:tcW w:w="2480" w:type="dxa"/>
            <w:vAlign w:val="bottom"/>
          </w:tcPr>
          <w:p>
            <w:pPr>
              <w:spacing w:after="0"/>
              <w:rPr>
                <w:sz w:val="20"/>
                <w:szCs w:val="20"/>
                <w:color w:val="auto"/>
              </w:rPr>
            </w:pP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Signed:</w:t>
            </w:r>
          </w:p>
        </w:tc>
        <w:tc>
          <w:tcPr>
            <w:tcW w:w="128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(Signed exactly as name appears</w:t>
            </w:r>
          </w:p>
        </w:tc>
        <w:tc>
          <w:tcPr>
            <w:tcW w:w="1280" w:type="dxa"/>
            <w:vAlign w:val="bottom"/>
          </w:tcPr>
          <w:p>
            <w:pPr>
              <w:spacing w:after="0"/>
              <w:rPr>
                <w:sz w:val="21"/>
                <w:szCs w:val="21"/>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on the other side of this Security)</w:t>
            </w:r>
          </w:p>
        </w:tc>
        <w:tc>
          <w:tcPr>
            <w:tcW w:w="1280" w:type="dxa"/>
            <w:vAlign w:val="bottom"/>
          </w:tcPr>
          <w:p>
            <w:pPr>
              <w:spacing w:after="0"/>
              <w:rPr>
                <w:sz w:val="20"/>
                <w:szCs w:val="20"/>
                <w:color w:val="auto"/>
              </w:rPr>
            </w:pPr>
          </w:p>
        </w:tc>
      </w:tr>
      <w:tr>
        <w:trPr>
          <w:trHeight w:val="702"/>
        </w:trPr>
        <w:tc>
          <w:tcPr>
            <w:tcW w:w="230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2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980" w:type="dxa"/>
            <w:vAlign w:val="bottom"/>
            <w:gridSpan w:val="3"/>
          </w:tcPr>
          <w:p>
            <w:pPr>
              <w:spacing w:after="0" w:line="195" w:lineRule="exact"/>
              <w:rPr>
                <w:sz w:val="20"/>
                <w:szCs w:val="20"/>
                <w:color w:val="auto"/>
              </w:rPr>
            </w:pPr>
            <w:r>
              <w:rPr>
                <w:rFonts w:ascii="Arial" w:cs="Arial" w:eastAsia="Arial" w:hAnsi="Arial"/>
                <w:sz w:val="18"/>
                <w:szCs w:val="18"/>
                <w:color w:val="auto"/>
              </w:rPr>
              <w:t>Participant in a recognized Signature Guarantee</w:t>
            </w:r>
          </w:p>
        </w:tc>
        <w:tc>
          <w:tcPr>
            <w:tcW w:w="38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Medallion Program (or other signature guarantor</w:t>
            </w:r>
          </w:p>
        </w:tc>
        <w:tc>
          <w:tcPr>
            <w:tcW w:w="128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program reasonably acceptable to the Trustee)</w:t>
            </w:r>
          </w:p>
        </w:tc>
        <w:tc>
          <w:tcPr>
            <w:tcW w:w="1280" w:type="dxa"/>
            <w:vAlign w:val="bottom"/>
          </w:tcPr>
          <w:p>
            <w:pPr>
              <w:spacing w:after="0"/>
              <w:rPr>
                <w:sz w:val="20"/>
                <w:szCs w:val="20"/>
                <w:color w:val="auto"/>
              </w:rPr>
            </w:pPr>
          </w:p>
        </w:tc>
      </w:tr>
      <w:tr>
        <w:trPr>
          <w:trHeight w:val="554"/>
        </w:trPr>
        <w:tc>
          <w:tcPr>
            <w:tcW w:w="860" w:type="dxa"/>
            <w:vAlign w:val="bottom"/>
            <w:tcBorders>
              <w:bottom w:val="single" w:sz="8" w:color="54301A"/>
            </w:tcBorders>
          </w:tcPr>
          <w:p>
            <w:pPr>
              <w:spacing w:after="0"/>
              <w:rPr>
                <w:sz w:val="24"/>
                <w:szCs w:val="24"/>
                <w:color w:val="auto"/>
              </w:rPr>
            </w:pPr>
          </w:p>
        </w:tc>
        <w:tc>
          <w:tcPr>
            <w:tcW w:w="1440" w:type="dxa"/>
            <w:vAlign w:val="bottom"/>
            <w:tcBorders>
              <w:bottom w:val="single" w:sz="8" w:color="54301A"/>
            </w:tcBorders>
          </w:tcPr>
          <w:p>
            <w:pPr>
              <w:spacing w:after="0"/>
              <w:rPr>
                <w:sz w:val="24"/>
                <w:szCs w:val="24"/>
                <w:color w:val="auto"/>
              </w:rPr>
            </w:pPr>
          </w:p>
        </w:tc>
        <w:tc>
          <w:tcPr>
            <w:tcW w:w="3920" w:type="dxa"/>
            <w:vAlign w:val="bottom"/>
            <w:tcBorders>
              <w:bottom w:val="single" w:sz="8" w:color="54301A"/>
            </w:tcBorders>
            <w:gridSpan w:val="2"/>
          </w:tcPr>
          <w:p>
            <w:pPr>
              <w:jc w:val="right"/>
              <w:ind w:right="39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54301A"/>
            </w:tcBorders>
          </w:tcPr>
          <w:p>
            <w:pPr>
              <w:spacing w:after="0"/>
              <w:rPr>
                <w:sz w:val="24"/>
                <w:szCs w:val="24"/>
                <w:color w:val="auto"/>
              </w:rPr>
            </w:pPr>
          </w:p>
        </w:tc>
        <w:tc>
          <w:tcPr>
            <w:tcW w:w="3860" w:type="dxa"/>
            <w:vAlign w:val="bottom"/>
            <w:tcBorders>
              <w:bottom w:val="single" w:sz="8" w:color="54301A"/>
            </w:tcBorders>
          </w:tcPr>
          <w:p>
            <w:pPr>
              <w:spacing w:after="0"/>
              <w:rPr>
                <w:sz w:val="24"/>
                <w:szCs w:val="24"/>
                <w:color w:val="auto"/>
              </w:rPr>
            </w:pPr>
          </w:p>
        </w:tc>
        <w:tc>
          <w:tcPr>
            <w:tcW w:w="128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exchanges of a part of this Global Security for certificated Notes or a part of another Global Security have been made: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Arial" w:cs="Arial" w:eastAsia="Arial" w:hAnsi="Arial"/>
                <w:sz w:val="18"/>
                <w:szCs w:val="18"/>
                <w:color w:val="auto"/>
                <w:w w:val="91"/>
              </w:rPr>
              <w:t>Amount of increase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Principal Amount of</w:t>
            </w:r>
          </w:p>
        </w:tc>
        <w:tc>
          <w:tcPr>
            <w:tcW w:w="23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Amount of decrease</w:t>
            </w:r>
          </w:p>
        </w:tc>
        <w:tc>
          <w:tcPr>
            <w:tcW w:w="2120" w:type="dxa"/>
            <w:vAlign w:val="bottom"/>
          </w:tcPr>
          <w:p>
            <w:pPr>
              <w:jc w:val="center"/>
              <w:ind w:right="30"/>
              <w:spacing w:after="0"/>
              <w:rPr>
                <w:sz w:val="20"/>
                <w:szCs w:val="20"/>
                <w:color w:val="auto"/>
              </w:rPr>
            </w:pPr>
            <w:r>
              <w:rPr>
                <w:rFonts w:ascii="Arial" w:cs="Arial" w:eastAsia="Arial" w:hAnsi="Arial"/>
                <w:sz w:val="18"/>
                <w:szCs w:val="18"/>
                <w:color w:val="auto"/>
                <w:w w:val="95"/>
              </w:rPr>
              <w:t>in Principal</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this Global Security</w:t>
            </w:r>
          </w:p>
        </w:tc>
        <w:tc>
          <w:tcPr>
            <w:tcW w:w="23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5"/>
              </w:rPr>
              <w:t>in Principal Amount of this</w:t>
            </w:r>
          </w:p>
        </w:tc>
        <w:tc>
          <w:tcPr>
            <w:tcW w:w="2120" w:type="dxa"/>
            <w:vAlign w:val="bottom"/>
          </w:tcPr>
          <w:p>
            <w:pPr>
              <w:jc w:val="center"/>
              <w:ind w:right="50"/>
              <w:spacing w:after="0"/>
              <w:rPr>
                <w:sz w:val="20"/>
                <w:szCs w:val="20"/>
                <w:color w:val="auto"/>
              </w:rPr>
            </w:pPr>
            <w:r>
              <w:rPr>
                <w:rFonts w:ascii="Arial" w:cs="Arial" w:eastAsia="Arial" w:hAnsi="Arial"/>
                <w:sz w:val="18"/>
                <w:szCs w:val="18"/>
                <w:color w:val="auto"/>
                <w:w w:val="95"/>
              </w:rPr>
              <w:t>Amount of this</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following such</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30"/>
        </w:trPr>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Date of Exchange</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Global Security</w:t>
            </w: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Global Security</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decrease or increase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Letterhead]</w:t>
      </w:r>
    </w:p>
    <w:p>
      <w:pPr>
        <w:spacing w:after="0" w:line="225"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November 7,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 am Executive Vice President, General Counsel and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Company’s offer (the “Exchange Offer”) to exchange its 3.969% Notes due 2047, 3.999% Notes due 2049 and 4.049% Notes due 2052 (the “New Notes”), issued pursuant to an indenture dated as of September 18, 2013 (the “Base Indenture”) by and among the Company, the guarantors named therein and The Bank of New York Mellon, as trustee (the “Trustee”), as supplemented by the First Supplemental Indenture dated as of November 17, 2015 (the “First Supplemental Indenture” and, together with the Base Indenture, the “Indenture”) among the Company, the guarantors named therein (the “Guarantors”) and the Trustee, and guaranteed on an unsecured and unsubordinated basis by the Guarantors, for any and all of its outstanding 3.969% Notes due 2047, 3.999% Notes due 2049 and 4.049% Notes due 2052 (the “Old Notes”) pursuant to the registration statement on Form S-4 (the “Registration Statement”) filed by the Company with the Securities and Exchange Commission.</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advise you that, in my opinion:</w:t>
      </w:r>
    </w:p>
    <w:p>
      <w:pPr>
        <w:spacing w:after="0" w:line="225"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New Notes have been duly authorized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am a member of the Bar of the Commonwealth of Pennsylvania and the foregoing opinion is limited to the laws of the Commonwealth of Pennsylvania.</w:t>
      </w:r>
    </w:p>
    <w:p>
      <w:pPr>
        <w:spacing w:after="0" w:line="2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“Validity of Securities” in the prospectus, which is a part of the Registration Statement. In giving this consent, I do not admit that I am in the category of persons whose consent is required under Section 7 of the Securities Act.</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8" w:name="page99"/>
    <w:bookmarkEnd w:id="98"/>
    <w:p>
      <w:pPr>
        <w:ind w:left="778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Northern California</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0"/>
          <w:szCs w:val="20"/>
          <w:color w:val="auto"/>
        </w:rPr>
      </w:pPr>
    </w:p>
    <w:p>
      <w:pPr>
        <w:sectPr>
          <w:pgSz w:w="11900" w:h="16838" w:orient="portrait"/>
          <w:cols w:equalWidth="0" w:num="2">
            <w:col w:w="9460" w:space="720"/>
            <w:col w:w="1240"/>
          </w:cols>
          <w:pgMar w:left="240" w:top="369"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Davis Polk &amp; Wardwell LLP</w:t>
            </w:r>
          </w:p>
        </w:tc>
        <w:tc>
          <w:tcPr>
            <w:tcW w:w="1720" w:type="dxa"/>
            <w:vAlign w:val="bottom"/>
          </w:tcPr>
          <w:p>
            <w:pPr>
              <w:ind w:left="460"/>
              <w:spacing w:after="0"/>
              <w:rPr>
                <w:sz w:val="20"/>
                <w:szCs w:val="20"/>
                <w:color w:val="auto"/>
              </w:rPr>
            </w:pPr>
            <w:r>
              <w:rPr>
                <w:rFonts w:ascii="Arial" w:cs="Arial" w:eastAsia="Arial" w:hAnsi="Arial"/>
                <w:sz w:val="16"/>
                <w:szCs w:val="16"/>
                <w:color w:val="auto"/>
              </w:rPr>
              <w:t>650 752 2000 tel</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1600 El Camino Real</w:t>
            </w:r>
          </w:p>
        </w:tc>
        <w:tc>
          <w:tcPr>
            <w:tcW w:w="1720" w:type="dxa"/>
            <w:vAlign w:val="bottom"/>
          </w:tcPr>
          <w:p>
            <w:pPr>
              <w:ind w:left="460"/>
              <w:spacing w:after="0"/>
              <w:rPr>
                <w:sz w:val="20"/>
                <w:szCs w:val="20"/>
                <w:color w:val="auto"/>
              </w:rPr>
            </w:pPr>
            <w:r>
              <w:rPr>
                <w:rFonts w:ascii="Arial" w:cs="Arial" w:eastAsia="Arial" w:hAnsi="Arial"/>
                <w:sz w:val="16"/>
                <w:szCs w:val="16"/>
                <w:color w:val="auto"/>
              </w:rPr>
              <w:t>650 752 2111 fax</w:t>
            </w:r>
          </w:p>
        </w:tc>
      </w:tr>
      <w:tr>
        <w:trPr>
          <w:trHeight w:val="195"/>
        </w:trPr>
        <w:tc>
          <w:tcPr>
            <w:tcW w:w="2400" w:type="dxa"/>
            <w:vAlign w:val="bottom"/>
          </w:tcPr>
          <w:p>
            <w:pPr>
              <w:spacing w:after="0"/>
              <w:rPr>
                <w:sz w:val="20"/>
                <w:szCs w:val="20"/>
                <w:color w:val="auto"/>
              </w:rPr>
            </w:pPr>
            <w:r>
              <w:rPr>
                <w:rFonts w:ascii="Arial" w:cs="Arial" w:eastAsia="Arial" w:hAnsi="Arial"/>
                <w:sz w:val="16"/>
                <w:szCs w:val="16"/>
                <w:color w:val="auto"/>
              </w:rPr>
              <w:t>Menlo Park, CA 94025</w:t>
            </w:r>
          </w:p>
        </w:tc>
        <w:tc>
          <w:tcPr>
            <w:tcW w:w="1720" w:type="dxa"/>
            <w:vAlign w:val="bottom"/>
          </w:tcPr>
          <w:p>
            <w:pPr>
              <w:spacing w:after="0"/>
              <w:rPr>
                <w:sz w:val="16"/>
                <w:szCs w:val="16"/>
                <w:color w:val="auto"/>
              </w:rPr>
            </w:pPr>
          </w:p>
        </w:tc>
      </w:tr>
    </w:tbl>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5.2</w:t>
      </w:r>
    </w:p>
    <w:p>
      <w:pPr>
        <w:spacing w:after="0" w:line="2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November 7,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4" w:lineRule="auto"/>
        <w:rPr>
          <w:sz w:val="20"/>
          <w:szCs w:val="20"/>
          <w:color w:val="auto"/>
        </w:rPr>
      </w:pPr>
      <w:r>
        <w:rPr>
          <w:rFonts w:ascii="Arial" w:cs="Arial" w:eastAsia="Arial" w:hAnsi="Arial"/>
          <w:sz w:val="18"/>
          <w:szCs w:val="18"/>
          <w:color w:val="auto"/>
        </w:rPr>
        <w:t>One Comcast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acted as special counsel to Comcast Corporation, a Pennsylvania corporation (the “Company”), NBCUniversal Media, LLC, a Delaware limited liability company and Comcast Cable Communications, LLC, a Delaware limited liability company (the “Guarantors”) in connection with the Company’s offer (the “Exchange Offer”) to exchange its 3.969% Notes due 2047, 3.999% Notes due 2049 and 4.049% Notes due 2052 (the “New Notes”, and together with the related guarantees by the Guarantors, collectively, the “New Securities”), issued pursuant to an indenture dated as of September 18, 2013 (the “Base Indenture”) by and among the Company, the guarantors named therein and The Bank of New York Mellon, as trustee (the “Trustee”), as supplemented by the First Supplemental Indenture dated as of November 17, 2015 (the “First Supplemental Indenture” and, together with the Base Indenture, the “Indenture”) among the Company, the Guarantors and the Trustee, for any and all of its outstanding 3.969% Notes due 2047, 3.999% Notes due 2049 and 4.049% Notes due 2052 (the “Old Notes”, and together with the related guarantees by the Guarantors, collectively, the “Old Securities”) pursuant to the registration statement on Form S-4 (the “Registration Statement”) filed by the Company with the Securities and Exchange Commission.</w:t>
      </w:r>
    </w:p>
    <w:p>
      <w:pPr>
        <w:spacing w:after="0" w:line="193"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99" w:name="page100"/>
    <w:bookmarkEnd w:id="99"/>
    <w:p>
      <w:pPr>
        <w:spacing w:after="0"/>
        <w:tabs>
          <w:tab w:leader="none" w:pos="5720" w:val="left"/>
          <w:tab w:leader="none" w:pos="9920" w:val="left"/>
        </w:tabs>
        <w:rPr>
          <w:sz w:val="20"/>
          <w:szCs w:val="20"/>
          <w:color w:val="auto"/>
        </w:rPr>
      </w:pPr>
      <w:r>
        <w:rPr>
          <w:rFonts w:ascii="Arial" w:cs="Arial" w:eastAsia="Arial" w:hAnsi="Arial"/>
          <w:sz w:val="18"/>
          <w:szCs w:val="18"/>
          <w:color w:val="auto"/>
        </w:rPr>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November 7, 2017</w:t>
      </w:r>
    </w:p>
    <w:p>
      <w:pPr>
        <w:spacing w:after="0" w:line="3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 the New Securities, when the New Securities are executed, authenticated and delivered in exchange for the Old Securities in accordance with the terms of the Indenture and the Exchange Offer,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(x) the effect of fraudulent conveyance, fraudulent transfer or similar provision of applicable law on the conclusions expressed above, (y) any provision of the Indenture that purports to avoid the effect of fraudulent conveyance, fraudulent transfer or similar provision of applicable law by limiting the amount of any Guarantor’s obligation or (z) the validity, legally binding effect or enforceability of any provision that permits holders to collect any portion of stated principal amount upon acceleration of the New Securities to the extent determined to constitute unearned interest.</w:t>
      </w:r>
    </w:p>
    <w:p>
      <w:pPr>
        <w:spacing w:after="0" w:line="19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connection with the opinions expressed above, we have assumed that (i) the Registration Statement shall have been declared effective and such effectiveness shall not have been suspended; (ii) the Indenture and the New Securities are each valid, binding and enforceable agreements of each party thereto (other than as expressly covered above in respect of the Company and the Guarantors); and (iii) there shall not have occurred any change in law affecting the validity or enforceability of any of the New Securities.</w:t>
      </w:r>
    </w:p>
    <w:p>
      <w:pPr>
        <w:spacing w:after="0" w:line="18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are members of the Bars of the State of New York and California and the foregoing opinion is limited to the laws of the State of New York and the General Corporation and Limited Liability Company Laws of the State of Delaware.</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 of 1933.</w:t>
      </w:r>
    </w:p>
    <w:p>
      <w:pPr>
        <w:spacing w:after="0" w:line="21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Very truly yours,</w:t>
      </w:r>
    </w:p>
    <w:p>
      <w:pPr>
        <w:spacing w:after="0" w:line="34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24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Statement Regarding Computation of Ratio of Earnings to Fixed Charges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9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8"/>
        </w:trPr>
        <w:tc>
          <w:tcPr>
            <w:tcW w:w="9260" w:type="dxa"/>
            <w:vAlign w:val="bottom"/>
            <w:tcBorders>
              <w:bottom w:val="single" w:sz="8" w:color="auto"/>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60" w:type="dxa"/>
            <w:vAlign w:val="bottom"/>
            <w:tcBorders>
              <w:top w:val="single" w:sz="8" w:color="CCEEFF"/>
            </w:tcBorders>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Computation of Earnings:</w:t>
            </w:r>
            <w:r>
              <w:rPr>
                <w:rFonts w:ascii="Arial" w:cs="Arial" w:eastAsia="Arial" w:hAnsi="Arial"/>
                <w:sz w:val="26"/>
                <w:szCs w:val="26"/>
                <w:b w:val="1"/>
                <w:bCs w:val="1"/>
                <w:color w:val="auto"/>
                <w:vertAlign w:val="superscript"/>
              </w:rPr>
              <w:t>(1)</w:t>
            </w:r>
          </w:p>
        </w:tc>
        <w:tc>
          <w:tcPr>
            <w:tcW w:w="9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60" w:type="dxa"/>
            <w:vAlign w:val="bottom"/>
          </w:tcPr>
          <w:p>
            <w:pPr>
              <w:spacing w:after="0" w:line="201" w:lineRule="exact"/>
              <w:rPr>
                <w:sz w:val="20"/>
                <w:szCs w:val="20"/>
                <w:color w:val="auto"/>
              </w:rPr>
            </w:pPr>
            <w:r>
              <w:rPr>
                <w:rFonts w:ascii="Arial" w:cs="Arial" w:eastAsia="Arial" w:hAnsi="Arial"/>
                <w:sz w:val="18"/>
                <w:szCs w:val="18"/>
                <w:color w:val="auto"/>
                <w:w w:val="91"/>
              </w:rPr>
              <w:t>Pretax income from continuing operations before adjustment for noncontrolling interests in consolidated subsidiaries or income</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or loss from equity investees</w:t>
            </w:r>
          </w:p>
        </w:tc>
        <w:tc>
          <w:tcPr>
            <w:tcW w:w="1020" w:type="dxa"/>
            <w:vAlign w:val="bottom"/>
            <w:gridSpan w:val="2"/>
            <w:vMerge w:val="continue"/>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Distributed income of equity investees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9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60" w:type="dxa"/>
            <w:vAlign w:val="bottom"/>
          </w:tcPr>
          <w:p>
            <w:pPr>
              <w:spacing w:after="0" w:line="236" w:lineRule="exact"/>
              <w:rPr>
                <w:sz w:val="20"/>
                <w:szCs w:val="20"/>
                <w:color w:val="auto"/>
              </w:rPr>
            </w:pPr>
            <w:r>
              <w:rPr>
                <w:rFonts w:ascii="Arial" w:cs="Arial" w:eastAsia="Arial" w:hAnsi="Arial"/>
                <w:sz w:val="17"/>
                <w:szCs w:val="17"/>
                <w:b w:val="1"/>
                <w:bCs w:val="1"/>
                <w:color w:val="auto"/>
              </w:rPr>
              <w:t>Computation of Fixed charges:</w:t>
            </w:r>
            <w:r>
              <w:rPr>
                <w:rFonts w:ascii="Arial" w:cs="Arial" w:eastAsia="Arial" w:hAnsi="Arial"/>
                <w:sz w:val="27"/>
                <w:szCs w:val="27"/>
                <w:b w:val="1"/>
                <w:bCs w:val="1"/>
                <w:color w:val="auto"/>
                <w:vertAlign w:val="superscript"/>
              </w:rPr>
              <w:t>(1)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 and capitalized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dividends in 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9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Fixed Charges</w:t>
            </w:r>
          </w:p>
        </w:tc>
        <w:tc>
          <w:tcPr>
            <w:tcW w:w="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6"/>
                <w:szCs w:val="16"/>
                <w:b w:val="1"/>
                <w:bCs w:val="1"/>
                <w:color w:val="auto"/>
              </w:rPr>
              <w:t>Ratio of earnings to fixed charges</w:t>
            </w:r>
            <w:r>
              <w:rPr>
                <w:rFonts w:ascii="Arial" w:cs="Arial" w:eastAsia="Arial" w:hAnsi="Arial"/>
                <w:sz w:val="25"/>
                <w:szCs w:val="25"/>
                <w:b w:val="1"/>
                <w:bCs w:val="1"/>
                <w:color w:val="auto"/>
                <w:vertAlign w:val="superscript"/>
              </w:rPr>
              <w:t>(1)</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5.50x</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100" w:hanging="352"/>
        <w:spacing w:after="0" w:line="270" w:lineRule="auto"/>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February 3, 2017, relating to the consolidated financial statements and consolidated financial statement schedule of Comcast Corporation and subsidiaries, and the effectiveness of Comcast Corporation and subsidiaries’ internal control over financial reporting, appearing in the Annual Report on Form 10-K of Comcast Corporation for the year ended December 31, 2016, and to the reference to us under the heading “Experts” in the Prospectus, which is part of this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February 3, 2017, relating to the consolidated financial statements and consolidated financial statement schedule of NBCUniversal Media, LLC and subsidiaries appearing in the Annual Report on Form</w:t>
      </w:r>
    </w:p>
    <w:p>
      <w:pPr>
        <w:ind w:right="20"/>
        <w:spacing w:after="0" w:line="261" w:lineRule="auto"/>
        <w:rPr>
          <w:sz w:val="20"/>
          <w:szCs w:val="20"/>
          <w:color w:val="auto"/>
        </w:rPr>
      </w:pPr>
      <w:r>
        <w:rPr>
          <w:rFonts w:ascii="Arial" w:cs="Arial" w:eastAsia="Arial" w:hAnsi="Arial"/>
          <w:sz w:val="18"/>
          <w:szCs w:val="18"/>
          <w:color w:val="auto"/>
        </w:rPr>
        <w:t>10-K of NBCUniversal Media, LLC for the year ended December 31, 2016, and to the reference to us under the heading “Experts” in the Prospectus, which is part of this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10480"/>
        <w:spacing w:after="0"/>
        <w:rPr>
          <w:sz w:val="20"/>
          <w:szCs w:val="20"/>
          <w:color w:val="auto"/>
        </w:rPr>
      </w:pPr>
      <w:r>
        <w:rPr>
          <w:rFonts w:ascii="Arial" w:cs="Arial" w:eastAsia="Arial" w:hAnsi="Arial"/>
          <w:sz w:val="16"/>
          <w:szCs w:val="16"/>
          <w:b w:val="1"/>
          <w:bCs w:val="1"/>
          <w:color w:val="auto"/>
        </w:rPr>
        <w:t>Exhibit 25.1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 = = = = = = = = = = = = = = = = = = = = = = = = = = = = = = = = = = = = =</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gridSpan w:val="2"/>
          </w:tcPr>
          <w:p>
            <w:pPr>
              <w:jc w:val="center"/>
              <w:ind w:left="310"/>
              <w:spacing w:after="0"/>
              <w:rPr>
                <w:sz w:val="20"/>
                <w:szCs w:val="20"/>
                <w:color w:val="auto"/>
              </w:rPr>
            </w:pPr>
            <w:r>
              <w:rPr>
                <w:rFonts w:ascii="Arial" w:cs="Arial" w:eastAsia="Arial" w:hAnsi="Arial"/>
                <w:sz w:val="18"/>
                <w:szCs w:val="18"/>
                <w:color w:val="auto"/>
                <w:w w:val="94"/>
              </w:rPr>
              <w:t>FORM T-1</w:t>
            </w:r>
          </w:p>
        </w:tc>
        <w:tc>
          <w:tcPr>
            <w:tcW w:w="3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20" w:type="dxa"/>
            <w:vAlign w:val="bottom"/>
            <w:gridSpan w:val="4"/>
          </w:tcPr>
          <w:p>
            <w:pPr>
              <w:jc w:val="center"/>
              <w:ind w:right="4500"/>
              <w:spacing w:after="0"/>
              <w:rPr>
                <w:sz w:val="20"/>
                <w:szCs w:val="20"/>
                <w:color w:val="auto"/>
              </w:rPr>
            </w:pPr>
            <w:r>
              <w:rPr>
                <w:rFonts w:ascii="Arial" w:cs="Arial" w:eastAsia="Arial" w:hAnsi="Arial"/>
                <w:sz w:val="18"/>
                <w:szCs w:val="18"/>
                <w:color w:val="auto"/>
                <w:w w:val="98"/>
              </w:rPr>
              <w:t>STATEMENT OF ELIGIBILITY</w:t>
            </w:r>
          </w:p>
        </w:tc>
      </w:tr>
      <w:tr>
        <w:trPr>
          <w:trHeight w:val="216"/>
        </w:trPr>
        <w:tc>
          <w:tcPr>
            <w:tcW w:w="3260" w:type="dxa"/>
            <w:vAlign w:val="bottom"/>
          </w:tcPr>
          <w:p>
            <w:pPr>
              <w:spacing w:after="0"/>
              <w:rPr>
                <w:sz w:val="18"/>
                <w:szCs w:val="18"/>
                <w:color w:val="auto"/>
              </w:rPr>
            </w:pPr>
          </w:p>
        </w:tc>
        <w:tc>
          <w:tcPr>
            <w:tcW w:w="8160" w:type="dxa"/>
            <w:vAlign w:val="bottom"/>
            <w:gridSpan w:val="5"/>
          </w:tcPr>
          <w:p>
            <w:pPr>
              <w:jc w:val="center"/>
              <w:ind w:right="3240"/>
              <w:spacing w:after="0"/>
              <w:rPr>
                <w:sz w:val="20"/>
                <w:szCs w:val="20"/>
                <w:color w:val="auto"/>
              </w:rPr>
            </w:pPr>
            <w:r>
              <w:rPr>
                <w:rFonts w:ascii="Arial" w:cs="Arial" w:eastAsia="Arial" w:hAnsi="Arial"/>
                <w:sz w:val="18"/>
                <w:szCs w:val="18"/>
                <w:color w:val="auto"/>
                <w:w w:val="95"/>
              </w:rPr>
              <w:t>UNDER THE TRUST INDENTURE ACT OF 1939 OF A</w:t>
            </w:r>
          </w:p>
        </w:tc>
      </w:tr>
      <w:tr>
        <w:trPr>
          <w:trHeight w:val="230"/>
        </w:trPr>
        <w:tc>
          <w:tcPr>
            <w:tcW w:w="3260" w:type="dxa"/>
            <w:vAlign w:val="bottom"/>
          </w:tcPr>
          <w:p>
            <w:pPr>
              <w:spacing w:after="0"/>
              <w:rPr>
                <w:sz w:val="20"/>
                <w:szCs w:val="20"/>
                <w:color w:val="auto"/>
              </w:rPr>
            </w:pPr>
          </w:p>
        </w:tc>
        <w:tc>
          <w:tcPr>
            <w:tcW w:w="8160" w:type="dxa"/>
            <w:vAlign w:val="bottom"/>
            <w:gridSpan w:val="5"/>
          </w:tcPr>
          <w:p>
            <w:pPr>
              <w:jc w:val="center"/>
              <w:ind w:right="3260"/>
              <w:spacing w:after="0"/>
              <w:rPr>
                <w:sz w:val="20"/>
                <w:szCs w:val="20"/>
                <w:color w:val="auto"/>
              </w:rPr>
            </w:pPr>
            <w:r>
              <w:rPr>
                <w:rFonts w:ascii="Arial" w:cs="Arial" w:eastAsia="Arial" w:hAnsi="Arial"/>
                <w:sz w:val="18"/>
                <w:szCs w:val="18"/>
                <w:color w:val="auto"/>
                <w:w w:val="94"/>
              </w:rPr>
              <w:t>CORPORATION DESIGNATED TO ACT AS TRUSTEE</w:t>
            </w:r>
          </w:p>
        </w:tc>
      </w:tr>
      <w:tr>
        <w:trPr>
          <w:trHeight w:val="418"/>
        </w:trPr>
        <w:tc>
          <w:tcPr>
            <w:tcW w:w="3260" w:type="dxa"/>
            <w:vAlign w:val="bottom"/>
          </w:tcPr>
          <w:p>
            <w:pPr>
              <w:spacing w:after="0"/>
              <w:rPr>
                <w:sz w:val="24"/>
                <w:szCs w:val="24"/>
                <w:color w:val="auto"/>
              </w:rPr>
            </w:pPr>
          </w:p>
        </w:tc>
        <w:tc>
          <w:tcPr>
            <w:tcW w:w="8160" w:type="dxa"/>
            <w:vAlign w:val="bottom"/>
            <w:gridSpan w:val="5"/>
          </w:tcPr>
          <w:p>
            <w:pPr>
              <w:jc w:val="center"/>
              <w:ind w:right="3260"/>
              <w:spacing w:after="0"/>
              <w:rPr>
                <w:sz w:val="20"/>
                <w:szCs w:val="20"/>
                <w:color w:val="auto"/>
              </w:rPr>
            </w:pPr>
            <w:r>
              <w:rPr>
                <w:rFonts w:ascii="Arial" w:cs="Arial" w:eastAsia="Arial" w:hAnsi="Arial"/>
                <w:sz w:val="18"/>
                <w:szCs w:val="18"/>
                <w:color w:val="auto"/>
                <w:w w:val="97"/>
              </w:rPr>
              <w:t>CHECK IF AN APPLICATION TO DETERMINE</w:t>
            </w:r>
          </w:p>
        </w:tc>
      </w:tr>
      <w:tr>
        <w:trPr>
          <w:trHeight w:val="216"/>
        </w:trPr>
        <w:tc>
          <w:tcPr>
            <w:tcW w:w="3260" w:type="dxa"/>
            <w:vAlign w:val="bottom"/>
          </w:tcPr>
          <w:p>
            <w:pPr>
              <w:spacing w:after="0"/>
              <w:rPr>
                <w:sz w:val="18"/>
                <w:szCs w:val="18"/>
                <w:color w:val="auto"/>
              </w:rPr>
            </w:pPr>
          </w:p>
        </w:tc>
        <w:tc>
          <w:tcPr>
            <w:tcW w:w="8160" w:type="dxa"/>
            <w:vAlign w:val="bottom"/>
            <w:gridSpan w:val="5"/>
          </w:tcPr>
          <w:p>
            <w:pPr>
              <w:jc w:val="center"/>
              <w:ind w:right="3260"/>
              <w:spacing w:after="0"/>
              <w:rPr>
                <w:sz w:val="20"/>
                <w:szCs w:val="20"/>
                <w:color w:val="auto"/>
              </w:rPr>
            </w:pPr>
            <w:r>
              <w:rPr>
                <w:rFonts w:ascii="Arial" w:cs="Arial" w:eastAsia="Arial" w:hAnsi="Arial"/>
                <w:sz w:val="18"/>
                <w:szCs w:val="18"/>
                <w:color w:val="auto"/>
                <w:w w:val="97"/>
              </w:rPr>
              <w:t>ELIGIBILITY OF A TRUSTEE PURSUANT TO</w:t>
            </w:r>
          </w:p>
        </w:tc>
      </w:tr>
      <w:tr>
        <w:trPr>
          <w:trHeight w:val="230"/>
        </w:trPr>
        <w:tc>
          <w:tcPr>
            <w:tcW w:w="3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SECTION 305(b)(2)</w:t>
            </w:r>
          </w:p>
        </w:tc>
        <w:tc>
          <w:tcPr>
            <w:tcW w:w="380" w:type="dxa"/>
            <w:vAlign w:val="bottom"/>
          </w:tcPr>
          <w:p>
            <w:pPr>
              <w:jc w:val="right"/>
              <w:spacing w:after="0"/>
              <w:rPr>
                <w:sz w:val="20"/>
                <w:szCs w:val="20"/>
                <w:color w:val="auto"/>
              </w:rPr>
            </w:pPr>
            <w:r>
              <w:rPr>
                <w:rFonts w:ascii="Arial" w:cs="Arial" w:eastAsia="Arial" w:hAnsi="Arial"/>
                <w:sz w:val="18"/>
                <w:szCs w:val="18"/>
                <w:color w:val="auto"/>
                <w:w w:val="95"/>
              </w:rPr>
              <w:t>|__|</w:t>
            </w:r>
          </w:p>
        </w:tc>
        <w:tc>
          <w:tcPr>
            <w:tcW w:w="4500" w:type="dxa"/>
            <w:vAlign w:val="bottom"/>
          </w:tcPr>
          <w:p>
            <w:pPr>
              <w:spacing w:after="0"/>
              <w:rPr>
                <w:sz w:val="20"/>
                <w:szCs w:val="20"/>
                <w:color w:val="auto"/>
              </w:rPr>
            </w:pPr>
          </w:p>
        </w:tc>
      </w:tr>
      <w:tr>
        <w:trPr>
          <w:trHeight w:val="392"/>
        </w:trPr>
        <w:tc>
          <w:tcPr>
            <w:tcW w:w="3260" w:type="dxa"/>
            <w:vAlign w:val="bottom"/>
          </w:tcPr>
          <w:p>
            <w:pPr>
              <w:spacing w:after="0"/>
              <w:rPr>
                <w:sz w:val="24"/>
                <w:szCs w:val="24"/>
                <w:color w:val="auto"/>
              </w:rPr>
            </w:pPr>
          </w:p>
        </w:tc>
        <w:tc>
          <w:tcPr>
            <w:tcW w:w="3660" w:type="dxa"/>
            <w:vAlign w:val="bottom"/>
            <w:gridSpan w:val="4"/>
          </w:tcPr>
          <w:p>
            <w:pPr>
              <w:jc w:val="center"/>
              <w:ind w:left="1150"/>
              <w:spacing w:after="0"/>
              <w:rPr>
                <w:sz w:val="20"/>
                <w:szCs w:val="20"/>
                <w:color w:val="auto"/>
              </w:rPr>
            </w:pPr>
            <w:r>
              <w:rPr>
                <w:rFonts w:ascii="Arial" w:cs="Arial" w:eastAsia="Arial" w:hAnsi="Arial"/>
                <w:sz w:val="18"/>
                <w:szCs w:val="18"/>
                <w:color w:val="auto"/>
                <w:w w:val="89"/>
              </w:rPr>
              <w:t>___________________________</w:t>
            </w:r>
          </w:p>
        </w:tc>
        <w:tc>
          <w:tcPr>
            <w:tcW w:w="4500" w:type="dxa"/>
            <w:vAlign w:val="bottom"/>
          </w:tcPr>
          <w:p>
            <w:pPr>
              <w:spacing w:after="0"/>
              <w:rPr>
                <w:sz w:val="24"/>
                <w:szCs w:val="24"/>
                <w:color w:val="auto"/>
              </w:rPr>
            </w:pPr>
          </w:p>
        </w:tc>
      </w:tr>
      <w:tr>
        <w:trPr>
          <w:trHeight w:val="20"/>
        </w:trPr>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20" w:type="dxa"/>
            <w:vAlign w:val="bottom"/>
            <w:gridSpan w:val="3"/>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38"/>
        </w:trPr>
        <w:tc>
          <w:tcPr>
            <w:tcW w:w="3260" w:type="dxa"/>
            <w:vAlign w:val="bottom"/>
          </w:tcPr>
          <w:p>
            <w:pPr>
              <w:spacing w:after="0"/>
              <w:rPr>
                <w:sz w:val="24"/>
                <w:szCs w:val="24"/>
                <w:color w:val="auto"/>
              </w:rPr>
            </w:pPr>
          </w:p>
        </w:tc>
        <w:tc>
          <w:tcPr>
            <w:tcW w:w="8160" w:type="dxa"/>
            <w:vAlign w:val="bottom"/>
            <w:gridSpan w:val="5"/>
          </w:tcPr>
          <w:p>
            <w:pPr>
              <w:jc w:val="center"/>
              <w:ind w:right="3260"/>
              <w:spacing w:after="0"/>
              <w:rPr>
                <w:sz w:val="20"/>
                <w:szCs w:val="20"/>
                <w:color w:val="auto"/>
              </w:rPr>
            </w:pPr>
            <w:r>
              <w:rPr>
                <w:rFonts w:ascii="Arial" w:cs="Arial" w:eastAsia="Arial" w:hAnsi="Arial"/>
                <w:sz w:val="18"/>
                <w:szCs w:val="18"/>
                <w:color w:val="auto"/>
                <w:w w:val="98"/>
              </w:rPr>
              <w:t>THE BANK OF NEW YORK MELLON</w:t>
            </w:r>
          </w:p>
        </w:tc>
      </w:tr>
      <w:tr>
        <w:trPr>
          <w:trHeight w:val="230"/>
        </w:trPr>
        <w:tc>
          <w:tcPr>
            <w:tcW w:w="3260" w:type="dxa"/>
            <w:vAlign w:val="bottom"/>
          </w:tcPr>
          <w:p>
            <w:pPr>
              <w:spacing w:after="0"/>
              <w:rPr>
                <w:sz w:val="20"/>
                <w:szCs w:val="20"/>
                <w:color w:val="auto"/>
              </w:rPr>
            </w:pPr>
          </w:p>
        </w:tc>
        <w:tc>
          <w:tcPr>
            <w:tcW w:w="8160" w:type="dxa"/>
            <w:vAlign w:val="bottom"/>
            <w:gridSpan w:val="5"/>
          </w:tcPr>
          <w:p>
            <w:pPr>
              <w:jc w:val="center"/>
              <w:ind w:right="3240"/>
              <w:spacing w:after="0"/>
              <w:rPr>
                <w:sz w:val="20"/>
                <w:szCs w:val="20"/>
                <w:color w:val="auto"/>
              </w:rPr>
            </w:pPr>
            <w:r>
              <w:rPr>
                <w:rFonts w:ascii="Arial" w:cs="Arial" w:eastAsia="Arial" w:hAnsi="Arial"/>
                <w:sz w:val="18"/>
                <w:szCs w:val="18"/>
                <w:color w:val="auto"/>
                <w:w w:val="90"/>
              </w:rPr>
              <w:t>(Exact name of trustee as specified in its charter)</w:t>
            </w:r>
          </w:p>
        </w:tc>
      </w:tr>
      <w:tr>
        <w:trPr>
          <w:trHeight w:val="458"/>
        </w:trPr>
        <w:tc>
          <w:tcPr>
            <w:tcW w:w="3260" w:type="dxa"/>
            <w:vAlign w:val="bottom"/>
          </w:tcPr>
          <w:p>
            <w:pPr>
              <w:ind w:left="40"/>
              <w:spacing w:after="0"/>
              <w:rPr>
                <w:sz w:val="20"/>
                <w:szCs w:val="20"/>
                <w:color w:val="auto"/>
              </w:rPr>
            </w:pPr>
            <w:r>
              <w:rPr>
                <w:rFonts w:ascii="Arial" w:cs="Arial" w:eastAsia="Arial" w:hAnsi="Arial"/>
                <w:sz w:val="18"/>
                <w:szCs w:val="18"/>
                <w:color w:val="auto"/>
              </w:rPr>
              <w:t>New York</w:t>
            </w:r>
          </w:p>
        </w:tc>
        <w:tc>
          <w:tcPr>
            <w:tcW w:w="3660" w:type="dxa"/>
            <w:vAlign w:val="bottom"/>
            <w:gridSpan w:val="4"/>
          </w:tcPr>
          <w:p>
            <w:pPr>
              <w:ind w:left="2740"/>
              <w:spacing w:after="0"/>
              <w:rPr>
                <w:sz w:val="20"/>
                <w:szCs w:val="20"/>
                <w:color w:val="auto"/>
              </w:rPr>
            </w:pPr>
            <w:r>
              <w:rPr>
                <w:rFonts w:ascii="Arial" w:cs="Arial" w:eastAsia="Arial" w:hAnsi="Arial"/>
                <w:sz w:val="18"/>
                <w:szCs w:val="18"/>
                <w:color w:val="auto"/>
                <w:w w:val="93"/>
              </w:rPr>
              <w:t>13-5160382</w:t>
            </w:r>
          </w:p>
        </w:tc>
        <w:tc>
          <w:tcPr>
            <w:tcW w:w="4500" w:type="dxa"/>
            <w:vAlign w:val="bottom"/>
          </w:tcPr>
          <w:p>
            <w:pPr>
              <w:spacing w:after="0"/>
              <w:rPr>
                <w:sz w:val="24"/>
                <w:szCs w:val="24"/>
                <w:color w:val="auto"/>
              </w:rPr>
            </w:pPr>
          </w:p>
        </w:tc>
      </w:tr>
      <w:tr>
        <w:trPr>
          <w:trHeight w:val="216"/>
        </w:trPr>
        <w:tc>
          <w:tcPr>
            <w:tcW w:w="3260" w:type="dxa"/>
            <w:vAlign w:val="bottom"/>
          </w:tcPr>
          <w:p>
            <w:pPr>
              <w:ind w:left="40"/>
              <w:spacing w:after="0"/>
              <w:rPr>
                <w:sz w:val="20"/>
                <w:szCs w:val="20"/>
                <w:color w:val="auto"/>
              </w:rPr>
            </w:pPr>
            <w:r>
              <w:rPr>
                <w:rFonts w:ascii="Arial" w:cs="Arial" w:eastAsia="Arial" w:hAnsi="Arial"/>
                <w:sz w:val="18"/>
                <w:szCs w:val="18"/>
                <w:color w:val="auto"/>
              </w:rPr>
              <w:t>(Jurisdiction of incorporation</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60" w:type="dxa"/>
            <w:vAlign w:val="bottom"/>
            <w:gridSpan w:val="3"/>
          </w:tcPr>
          <w:p>
            <w:pPr>
              <w:ind w:left="40"/>
              <w:spacing w:after="0"/>
              <w:rPr>
                <w:sz w:val="20"/>
                <w:szCs w:val="20"/>
                <w:color w:val="auto"/>
              </w:rPr>
            </w:pPr>
            <w:r>
              <w:rPr>
                <w:rFonts w:ascii="Arial" w:cs="Arial" w:eastAsia="Arial" w:hAnsi="Arial"/>
                <w:sz w:val="18"/>
                <w:szCs w:val="18"/>
                <w:color w:val="auto"/>
              </w:rPr>
              <w:t>(I.R.S. employer</w:t>
            </w: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if not a U.S. national bank)</w:t>
            </w: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60" w:type="dxa"/>
            <w:vAlign w:val="bottom"/>
            <w:gridSpan w:val="3"/>
          </w:tcPr>
          <w:p>
            <w:pPr>
              <w:ind w:left="40"/>
              <w:spacing w:after="0"/>
              <w:rPr>
                <w:sz w:val="20"/>
                <w:szCs w:val="20"/>
                <w:color w:val="auto"/>
              </w:rPr>
            </w:pPr>
            <w:r>
              <w:rPr>
                <w:rFonts w:ascii="Arial" w:cs="Arial" w:eastAsia="Arial" w:hAnsi="Arial"/>
                <w:sz w:val="18"/>
                <w:szCs w:val="18"/>
                <w:color w:val="auto"/>
              </w:rPr>
              <w:t>identification no.)</w:t>
            </w:r>
          </w:p>
        </w:tc>
      </w:tr>
      <w:tr>
        <w:trPr>
          <w:trHeight w:val="607"/>
        </w:trPr>
        <w:tc>
          <w:tcPr>
            <w:tcW w:w="3260" w:type="dxa"/>
            <w:vAlign w:val="bottom"/>
          </w:tcPr>
          <w:p>
            <w:pPr>
              <w:ind w:left="40"/>
              <w:spacing w:after="0"/>
              <w:rPr>
                <w:sz w:val="20"/>
                <w:szCs w:val="20"/>
                <w:color w:val="auto"/>
              </w:rPr>
            </w:pPr>
            <w:r>
              <w:rPr>
                <w:rFonts w:ascii="Arial" w:cs="Arial" w:eastAsia="Arial" w:hAnsi="Arial"/>
                <w:sz w:val="18"/>
                <w:szCs w:val="18"/>
                <w:color w:val="auto"/>
              </w:rPr>
              <w:t>225 Liberty Street, New York, N.Y.</w:t>
            </w:r>
          </w:p>
        </w:tc>
        <w:tc>
          <w:tcPr>
            <w:tcW w:w="3280" w:type="dxa"/>
            <w:vAlign w:val="bottom"/>
            <w:gridSpan w:val="3"/>
          </w:tcPr>
          <w:p>
            <w:pPr>
              <w:ind w:left="2740"/>
              <w:spacing w:after="0"/>
              <w:rPr>
                <w:sz w:val="20"/>
                <w:szCs w:val="20"/>
                <w:color w:val="auto"/>
              </w:rPr>
            </w:pPr>
            <w:r>
              <w:rPr>
                <w:rFonts w:ascii="Arial" w:cs="Arial" w:eastAsia="Arial" w:hAnsi="Arial"/>
                <w:sz w:val="18"/>
                <w:szCs w:val="18"/>
                <w:color w:val="auto"/>
              </w:rPr>
              <w:t>10286</w:t>
            </w:r>
          </w:p>
        </w:tc>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(Address of principal executive offices)</w:t>
            </w: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60" w:type="dxa"/>
            <w:vAlign w:val="bottom"/>
            <w:gridSpan w:val="3"/>
          </w:tcPr>
          <w:p>
            <w:pPr>
              <w:ind w:left="40"/>
              <w:spacing w:after="0"/>
              <w:rPr>
                <w:sz w:val="20"/>
                <w:szCs w:val="20"/>
                <w:color w:val="auto"/>
              </w:rPr>
            </w:pPr>
            <w:r>
              <w:rPr>
                <w:rFonts w:ascii="Arial" w:cs="Arial" w:eastAsia="Arial" w:hAnsi="Arial"/>
                <w:sz w:val="18"/>
                <w:szCs w:val="18"/>
                <w:color w:val="auto"/>
              </w:rPr>
              <w:t>(Zip code)</w:t>
            </w:r>
          </w:p>
        </w:tc>
      </w:tr>
      <w:tr>
        <w:trPr>
          <w:trHeight w:val="432"/>
        </w:trPr>
        <w:tc>
          <w:tcPr>
            <w:tcW w:w="3260" w:type="dxa"/>
            <w:vAlign w:val="bottom"/>
          </w:tcPr>
          <w:p>
            <w:pPr>
              <w:spacing w:after="0"/>
              <w:rPr>
                <w:sz w:val="24"/>
                <w:szCs w:val="24"/>
                <w:color w:val="auto"/>
              </w:rPr>
            </w:pPr>
          </w:p>
        </w:tc>
        <w:tc>
          <w:tcPr>
            <w:tcW w:w="3660" w:type="dxa"/>
            <w:vAlign w:val="bottom"/>
            <w:gridSpan w:val="4"/>
          </w:tcPr>
          <w:p>
            <w:pPr>
              <w:jc w:val="center"/>
              <w:ind w:left="1150"/>
              <w:spacing w:after="0"/>
              <w:rPr>
                <w:sz w:val="20"/>
                <w:szCs w:val="20"/>
                <w:color w:val="auto"/>
              </w:rPr>
            </w:pPr>
            <w:r>
              <w:rPr>
                <w:rFonts w:ascii="Arial" w:cs="Arial" w:eastAsia="Arial" w:hAnsi="Arial"/>
                <w:sz w:val="18"/>
                <w:szCs w:val="18"/>
                <w:color w:val="auto"/>
                <w:w w:val="89"/>
              </w:rPr>
              <w:t>___________________________</w:t>
            </w:r>
          </w:p>
        </w:tc>
        <w:tc>
          <w:tcPr>
            <w:tcW w:w="4500" w:type="dxa"/>
            <w:vAlign w:val="bottom"/>
          </w:tcPr>
          <w:p>
            <w:pPr>
              <w:spacing w:after="0"/>
              <w:rPr>
                <w:sz w:val="24"/>
                <w:szCs w:val="24"/>
                <w:color w:val="auto"/>
              </w:rPr>
            </w:pPr>
          </w:p>
        </w:tc>
      </w:tr>
      <w:tr>
        <w:trPr>
          <w:trHeight w:val="438"/>
        </w:trPr>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tcBorders>
              <w:top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0"/>
              </w:rPr>
              <w:t>Comcast Corporation</w:t>
            </w:r>
          </w:p>
        </w:tc>
        <w:tc>
          <w:tcPr>
            <w:tcW w:w="38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8160" w:type="dxa"/>
            <w:vAlign w:val="bottom"/>
            <w:gridSpan w:val="5"/>
          </w:tcPr>
          <w:p>
            <w:pPr>
              <w:jc w:val="center"/>
              <w:ind w:right="3240"/>
              <w:spacing w:after="0"/>
              <w:rPr>
                <w:sz w:val="20"/>
                <w:szCs w:val="20"/>
                <w:color w:val="auto"/>
              </w:rPr>
            </w:pPr>
            <w:r>
              <w:rPr>
                <w:rFonts w:ascii="Arial" w:cs="Arial" w:eastAsia="Arial" w:hAnsi="Arial"/>
                <w:sz w:val="18"/>
                <w:szCs w:val="18"/>
                <w:color w:val="auto"/>
                <w:w w:val="91"/>
              </w:rPr>
              <w:t>(Exact name of obligor as specified in its charter)</w:t>
            </w:r>
          </w:p>
        </w:tc>
      </w:tr>
      <w:tr>
        <w:trPr>
          <w:trHeight w:val="216"/>
        </w:trPr>
        <w:tc>
          <w:tcPr>
            <w:tcW w:w="3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r>
      <w:tr>
        <w:trPr>
          <w:trHeight w:val="236"/>
        </w:trPr>
        <w:tc>
          <w:tcPr>
            <w:tcW w:w="3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Pennsylvania</w:t>
            </w:r>
          </w:p>
        </w:tc>
        <w:tc>
          <w:tcPr>
            <w:tcW w:w="12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w w:val="93"/>
              </w:rPr>
              <w:t>27-0000798</w:t>
            </w:r>
          </w:p>
        </w:tc>
        <w:tc>
          <w:tcPr>
            <w:tcW w:w="4500" w:type="dxa"/>
            <w:vAlign w:val="bottom"/>
            <w:tcBorders>
              <w:right w:val="single" w:sz="8" w:color="auto"/>
            </w:tcBorders>
          </w:tcPr>
          <w:p>
            <w:pPr>
              <w:spacing w:after="0"/>
              <w:rPr>
                <w:sz w:val="20"/>
                <w:szCs w:val="20"/>
                <w:color w:val="auto"/>
              </w:rPr>
            </w:pPr>
          </w:p>
        </w:tc>
      </w:tr>
      <w:tr>
        <w:trPr>
          <w:trHeight w:val="216"/>
        </w:trPr>
        <w:tc>
          <w:tcPr>
            <w:tcW w:w="3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(State or other jurisdiction of</w:t>
            </w:r>
          </w:p>
        </w:tc>
        <w:tc>
          <w:tcPr>
            <w:tcW w:w="124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(I.R.S. employer</w:t>
            </w:r>
          </w:p>
        </w:tc>
      </w:tr>
      <w:tr>
        <w:trPr>
          <w:trHeight w:val="230"/>
        </w:trPr>
        <w:tc>
          <w:tcPr>
            <w:tcW w:w="3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incorporation or organization)</w:t>
            </w:r>
          </w:p>
        </w:tc>
        <w:tc>
          <w:tcPr>
            <w:tcW w:w="12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identification no.)</w:t>
            </w:r>
          </w:p>
        </w:tc>
      </w:tr>
      <w:tr>
        <w:trPr>
          <w:trHeight w:val="41"/>
        </w:trPr>
        <w:tc>
          <w:tcPr>
            <w:tcW w:w="326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r>
      <w:tr>
        <w:trPr>
          <w:trHeight w:val="452"/>
        </w:trPr>
        <w:tc>
          <w:tcPr>
            <w:tcW w:w="3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One Comcast Center</w:t>
            </w:r>
          </w:p>
        </w:tc>
        <w:tc>
          <w:tcPr>
            <w:tcW w:w="12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w w:val="93"/>
              </w:rPr>
              <w:t>19103-2838</w:t>
            </w:r>
          </w:p>
        </w:tc>
        <w:tc>
          <w:tcPr>
            <w:tcW w:w="4500" w:type="dxa"/>
            <w:vAlign w:val="bottom"/>
            <w:tcBorders>
              <w:right w:val="single" w:sz="8" w:color="auto"/>
            </w:tcBorders>
          </w:tcPr>
          <w:p>
            <w:pPr>
              <w:spacing w:after="0"/>
              <w:rPr>
                <w:sz w:val="24"/>
                <w:szCs w:val="24"/>
                <w:color w:val="auto"/>
              </w:rPr>
            </w:pPr>
          </w:p>
        </w:tc>
      </w:tr>
      <w:tr>
        <w:trPr>
          <w:trHeight w:val="216"/>
        </w:trPr>
        <w:tc>
          <w:tcPr>
            <w:tcW w:w="3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Philadelphia, Pennsylvania</w:t>
            </w:r>
          </w:p>
        </w:tc>
        <w:tc>
          <w:tcPr>
            <w:tcW w:w="124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(Zip code)</w:t>
            </w:r>
          </w:p>
        </w:tc>
      </w:tr>
      <w:tr>
        <w:trPr>
          <w:trHeight w:val="230"/>
        </w:trPr>
        <w:tc>
          <w:tcPr>
            <w:tcW w:w="3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(Address of principal executive offices)</w:t>
            </w:r>
          </w:p>
        </w:tc>
        <w:tc>
          <w:tcPr>
            <w:tcW w:w="12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r>
      <w:tr>
        <w:trPr>
          <w:trHeight w:val="257"/>
        </w:trPr>
        <w:tc>
          <w:tcPr>
            <w:tcW w:w="3260" w:type="dxa"/>
            <w:vAlign w:val="bottom"/>
            <w:tcBorders>
              <w:left w:val="single" w:sz="8" w:color="auto"/>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r>
      <w:tr>
        <w:trPr>
          <w:trHeight w:val="237"/>
        </w:trPr>
        <w:tc>
          <w:tcPr>
            <w:tcW w:w="3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gridSpan w:val="3"/>
          </w:tcPr>
          <w:p>
            <w:pPr>
              <w:jc w:val="center"/>
              <w:ind w:right="4480"/>
              <w:spacing w:after="0"/>
              <w:rPr>
                <w:sz w:val="20"/>
                <w:szCs w:val="20"/>
                <w:color w:val="auto"/>
              </w:rPr>
            </w:pPr>
            <w:r>
              <w:rPr>
                <w:rFonts w:ascii="Arial" w:cs="Arial" w:eastAsia="Arial" w:hAnsi="Arial"/>
                <w:sz w:val="18"/>
                <w:szCs w:val="18"/>
                <w:color w:val="auto"/>
                <w:w w:val="95"/>
              </w:rPr>
              <w:t>NBCUniversal Media, LLC</w:t>
            </w:r>
          </w:p>
        </w:tc>
      </w:tr>
      <w:tr>
        <w:trPr>
          <w:trHeight w:val="230"/>
        </w:trPr>
        <w:tc>
          <w:tcPr>
            <w:tcW w:w="3380" w:type="dxa"/>
            <w:vAlign w:val="bottom"/>
          </w:tcPr>
          <w:p>
            <w:pPr>
              <w:spacing w:after="0"/>
              <w:rPr>
                <w:sz w:val="20"/>
                <w:szCs w:val="20"/>
                <w:color w:val="auto"/>
              </w:rPr>
            </w:pPr>
          </w:p>
        </w:tc>
        <w:tc>
          <w:tcPr>
            <w:tcW w:w="8040" w:type="dxa"/>
            <w:vAlign w:val="bottom"/>
            <w:gridSpan w:val="4"/>
          </w:tcPr>
          <w:p>
            <w:pPr>
              <w:jc w:val="center"/>
              <w:ind w:right="33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16"/>
        </w:trPr>
        <w:tc>
          <w:tcPr>
            <w:tcW w:w="3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r>
      <w:tr>
        <w:trPr>
          <w:trHeight w:val="236"/>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1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w w:val="93"/>
              </w:rPr>
              <w:t>14-1682529</w:t>
            </w:r>
          </w:p>
        </w:tc>
        <w:tc>
          <w:tcPr>
            <w:tcW w:w="4500" w:type="dxa"/>
            <w:vAlign w:val="bottom"/>
            <w:tcBorders>
              <w:right w:val="single" w:sz="8" w:color="auto"/>
            </w:tcBorders>
          </w:tcPr>
          <w:p>
            <w:pPr>
              <w:spacing w:after="0"/>
              <w:rPr>
                <w:sz w:val="20"/>
                <w:szCs w:val="20"/>
                <w:color w:val="auto"/>
              </w:rPr>
            </w:pPr>
          </w:p>
        </w:tc>
      </w:tr>
      <w:tr>
        <w:trPr>
          <w:trHeight w:val="216"/>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(State or other jurisdiction of</w:t>
            </w:r>
          </w:p>
        </w:tc>
        <w:tc>
          <w:tcPr>
            <w:tcW w:w="11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(I.R.S. employer</w:t>
            </w:r>
          </w:p>
        </w:tc>
      </w:tr>
      <w:tr>
        <w:trPr>
          <w:trHeight w:val="230"/>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incorporation or organization)</w:t>
            </w:r>
          </w:p>
        </w:tc>
        <w:tc>
          <w:tcPr>
            <w:tcW w:w="1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identification no.)</w:t>
            </w: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r>
      <w:tr>
        <w:trPr>
          <w:trHeight w:val="452"/>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30 Rockefeller Plaza</w:t>
            </w:r>
          </w:p>
        </w:tc>
        <w:tc>
          <w:tcPr>
            <w:tcW w:w="11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30"/>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New York, New York</w:t>
            </w:r>
          </w:p>
        </w:tc>
        <w:tc>
          <w:tcPr>
            <w:tcW w:w="1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w w:val="93"/>
              </w:rPr>
              <w:t>10112-0015</w:t>
            </w:r>
          </w:p>
        </w:tc>
        <w:tc>
          <w:tcPr>
            <w:tcW w:w="4500" w:type="dxa"/>
            <w:vAlign w:val="bottom"/>
            <w:tcBorders>
              <w:right w:val="single" w:sz="8" w:color="auto"/>
            </w:tcBorders>
          </w:tcPr>
          <w:p>
            <w:pPr>
              <w:spacing w:after="0"/>
              <w:rPr>
                <w:sz w:val="20"/>
                <w:szCs w:val="20"/>
                <w:color w:val="auto"/>
              </w:rPr>
            </w:pPr>
          </w:p>
        </w:tc>
      </w:tr>
      <w:tr>
        <w:trPr>
          <w:trHeight w:val="270"/>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(Address of principal executive offices)</w:t>
            </w:r>
          </w:p>
        </w:tc>
        <w:tc>
          <w:tcPr>
            <w:tcW w:w="112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5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(Zip code)</w:t>
            </w:r>
          </w:p>
        </w:tc>
      </w:tr>
      <w:tr>
        <w:trPr>
          <w:trHeight w:val="203"/>
        </w:trPr>
        <w:tc>
          <w:tcPr>
            <w:tcW w:w="3380" w:type="dxa"/>
            <w:vAlign w:val="bottom"/>
            <w:tcBorders>
              <w:left w:val="single" w:sz="8" w:color="auto"/>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500" w:type="dxa"/>
            <w:vAlign w:val="bottom"/>
            <w:tcBorders>
              <w:bottom w:val="single" w:sz="8" w:color="auto"/>
              <w:right w:val="single" w:sz="8" w:color="auto"/>
            </w:tcBorders>
          </w:tcPr>
          <w:p>
            <w:pPr>
              <w:spacing w:after="0"/>
              <w:rPr>
                <w:sz w:val="17"/>
                <w:szCs w:val="17"/>
                <w:color w:val="auto"/>
              </w:rPr>
            </w:pPr>
          </w:p>
        </w:tc>
      </w:tr>
      <w:tr>
        <w:trPr>
          <w:trHeight w:val="411"/>
        </w:trPr>
        <w:tc>
          <w:tcPr>
            <w:tcW w:w="3380" w:type="dxa"/>
            <w:vAlign w:val="bottom"/>
          </w:tcPr>
          <w:p>
            <w:pPr>
              <w:spacing w:after="0"/>
              <w:rPr>
                <w:sz w:val="24"/>
                <w:szCs w:val="24"/>
                <w:color w:val="auto"/>
              </w:rPr>
            </w:pPr>
          </w:p>
        </w:tc>
        <w:tc>
          <w:tcPr>
            <w:tcW w:w="8040" w:type="dxa"/>
            <w:vAlign w:val="bottom"/>
            <w:gridSpan w:val="4"/>
          </w:tcPr>
          <w:p>
            <w:pPr>
              <w:jc w:val="center"/>
              <w:ind w:right="3360"/>
              <w:spacing w:after="0"/>
              <w:rPr>
                <w:sz w:val="20"/>
                <w:szCs w:val="20"/>
                <w:color w:val="auto"/>
              </w:rPr>
            </w:pPr>
            <w:r>
              <w:rPr>
                <w:rFonts w:ascii="Arial" w:cs="Arial" w:eastAsia="Arial" w:hAnsi="Arial"/>
                <w:sz w:val="18"/>
                <w:szCs w:val="18"/>
                <w:color w:val="auto"/>
                <w:w w:val="91"/>
              </w:rPr>
              <w:t>Comcast Cable Communications, LLC</w:t>
            </w:r>
          </w:p>
        </w:tc>
      </w:tr>
      <w:tr>
        <w:trPr>
          <w:trHeight w:val="230"/>
        </w:trPr>
        <w:tc>
          <w:tcPr>
            <w:tcW w:w="3380" w:type="dxa"/>
            <w:vAlign w:val="bottom"/>
          </w:tcPr>
          <w:p>
            <w:pPr>
              <w:spacing w:after="0"/>
              <w:rPr>
                <w:sz w:val="20"/>
                <w:szCs w:val="20"/>
                <w:color w:val="auto"/>
              </w:rPr>
            </w:pPr>
          </w:p>
        </w:tc>
        <w:tc>
          <w:tcPr>
            <w:tcW w:w="8040" w:type="dxa"/>
            <w:vAlign w:val="bottom"/>
            <w:gridSpan w:val="4"/>
          </w:tcPr>
          <w:p>
            <w:pPr>
              <w:jc w:val="center"/>
              <w:ind w:right="33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16"/>
        </w:trPr>
        <w:tc>
          <w:tcPr>
            <w:tcW w:w="3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r>
      <w:tr>
        <w:trPr>
          <w:trHeight w:val="236"/>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1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w w:val="93"/>
              </w:rPr>
              <w:t>23-2175755</w:t>
            </w:r>
          </w:p>
        </w:tc>
        <w:tc>
          <w:tcPr>
            <w:tcW w:w="4500" w:type="dxa"/>
            <w:vAlign w:val="bottom"/>
            <w:tcBorders>
              <w:right w:val="single" w:sz="8" w:color="auto"/>
            </w:tcBorders>
          </w:tcPr>
          <w:p>
            <w:pPr>
              <w:spacing w:after="0"/>
              <w:rPr>
                <w:sz w:val="20"/>
                <w:szCs w:val="20"/>
                <w:color w:val="auto"/>
              </w:rPr>
            </w:pPr>
          </w:p>
        </w:tc>
      </w:tr>
      <w:tr>
        <w:trPr>
          <w:trHeight w:val="216"/>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(State or other jurisdiction of</w:t>
            </w:r>
          </w:p>
        </w:tc>
        <w:tc>
          <w:tcPr>
            <w:tcW w:w="11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(I.R.S. employer</w:t>
            </w:r>
          </w:p>
        </w:tc>
      </w:tr>
      <w:tr>
        <w:trPr>
          <w:trHeight w:val="230"/>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incorporation or organization)</w:t>
            </w:r>
          </w:p>
        </w:tc>
        <w:tc>
          <w:tcPr>
            <w:tcW w:w="1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identification no.)</w:t>
            </w:r>
          </w:p>
        </w:tc>
      </w:tr>
      <w:tr>
        <w:trPr>
          <w:trHeight w:val="41"/>
        </w:trPr>
        <w:tc>
          <w:tcPr>
            <w:tcW w:w="3380" w:type="dxa"/>
            <w:vAlign w:val="bottom"/>
            <w:tcBorders>
              <w:left w:val="single" w:sz="8" w:color="auto"/>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r>
      <w:tr>
        <w:trPr>
          <w:trHeight w:val="452"/>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One Comcast Center</w:t>
            </w:r>
          </w:p>
        </w:tc>
        <w:tc>
          <w:tcPr>
            <w:tcW w:w="11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500" w:type="dxa"/>
            <w:vAlign w:val="bottom"/>
            <w:tcBorders>
              <w:right w:val="single" w:sz="8" w:color="auto"/>
            </w:tcBorders>
          </w:tcPr>
          <w:p>
            <w:pPr>
              <w:spacing w:after="0"/>
              <w:rPr>
                <w:sz w:val="24"/>
                <w:szCs w:val="24"/>
                <w:color w:val="auto"/>
              </w:rPr>
            </w:pPr>
          </w:p>
        </w:tc>
      </w:tr>
      <w:tr>
        <w:trPr>
          <w:trHeight w:val="230"/>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Philadelphia, Pennsylvania</w:t>
            </w:r>
          </w:p>
        </w:tc>
        <w:tc>
          <w:tcPr>
            <w:tcW w:w="1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w w:val="93"/>
              </w:rPr>
              <w:t>19103-2838</w:t>
            </w:r>
          </w:p>
        </w:tc>
        <w:tc>
          <w:tcPr>
            <w:tcW w:w="4500" w:type="dxa"/>
            <w:vAlign w:val="bottom"/>
            <w:tcBorders>
              <w:right w:val="single" w:sz="8" w:color="auto"/>
            </w:tcBorders>
          </w:tcPr>
          <w:p>
            <w:pPr>
              <w:spacing w:after="0"/>
              <w:rPr>
                <w:sz w:val="20"/>
                <w:szCs w:val="20"/>
                <w:color w:val="auto"/>
              </w:rPr>
            </w:pPr>
          </w:p>
        </w:tc>
      </w:tr>
      <w:tr>
        <w:trPr>
          <w:trHeight w:val="270"/>
        </w:trPr>
        <w:tc>
          <w:tcPr>
            <w:tcW w:w="3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(Address of principal executive offices)</w:t>
            </w:r>
          </w:p>
        </w:tc>
        <w:tc>
          <w:tcPr>
            <w:tcW w:w="112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5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(Zip code)</w:t>
            </w:r>
          </w:p>
        </w:tc>
      </w:tr>
      <w:tr>
        <w:trPr>
          <w:trHeight w:val="203"/>
        </w:trPr>
        <w:tc>
          <w:tcPr>
            <w:tcW w:w="3380" w:type="dxa"/>
            <w:vAlign w:val="bottom"/>
            <w:tcBorders>
              <w:left w:val="single" w:sz="8" w:color="auto"/>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500" w:type="dxa"/>
            <w:vAlign w:val="bottom"/>
            <w:tcBorders>
              <w:bottom w:val="single" w:sz="8" w:color="auto"/>
              <w:right w:val="single" w:sz="8" w:color="auto"/>
            </w:tcBorders>
          </w:tcPr>
          <w:p>
            <w:pPr>
              <w:spacing w:after="0"/>
              <w:rPr>
                <w:sz w:val="17"/>
                <w:szCs w:val="17"/>
                <w:color w:val="auto"/>
              </w:rPr>
            </w:pPr>
          </w:p>
        </w:tc>
      </w:tr>
      <w:tr>
        <w:trPr>
          <w:trHeight w:val="169"/>
        </w:trPr>
        <w:tc>
          <w:tcPr>
            <w:tcW w:w="3380" w:type="dxa"/>
            <w:vAlign w:val="bottom"/>
          </w:tcPr>
          <w:p>
            <w:pPr>
              <w:spacing w:after="0"/>
              <w:rPr>
                <w:sz w:val="14"/>
                <w:szCs w:val="14"/>
                <w:color w:val="auto"/>
              </w:rPr>
            </w:pPr>
          </w:p>
        </w:tc>
        <w:tc>
          <w:tcPr>
            <w:tcW w:w="8040" w:type="dxa"/>
            <w:vAlign w:val="bottom"/>
            <w:gridSpan w:val="4"/>
          </w:tcPr>
          <w:p>
            <w:pPr>
              <w:jc w:val="center"/>
              <w:ind w:right="3380"/>
              <w:spacing w:after="0" w:line="170" w:lineRule="exact"/>
              <w:rPr>
                <w:sz w:val="20"/>
                <w:szCs w:val="20"/>
                <w:color w:val="auto"/>
              </w:rPr>
            </w:pPr>
            <w:r>
              <w:rPr>
                <w:rFonts w:ascii="Arial" w:cs="Arial" w:eastAsia="Arial" w:hAnsi="Arial"/>
                <w:sz w:val="18"/>
                <w:szCs w:val="18"/>
                <w:color w:val="auto"/>
                <w:w w:val="89"/>
              </w:rPr>
              <w:t>___________________________</w:t>
            </w:r>
          </w:p>
        </w:tc>
      </w:tr>
      <w:tr>
        <w:trPr>
          <w:trHeight w:val="438"/>
        </w:trPr>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3.969% Notes due 2047</w:t>
            </w:r>
          </w:p>
        </w:tc>
        <w:tc>
          <w:tcPr>
            <w:tcW w:w="450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gridSpan w:val="3"/>
          </w:tcPr>
          <w:p>
            <w:pPr>
              <w:jc w:val="center"/>
              <w:ind w:right="4500"/>
              <w:spacing w:after="0"/>
              <w:rPr>
                <w:sz w:val="20"/>
                <w:szCs w:val="20"/>
                <w:color w:val="auto"/>
              </w:rPr>
            </w:pPr>
            <w:r>
              <w:rPr>
                <w:rFonts w:ascii="Arial" w:cs="Arial" w:eastAsia="Arial" w:hAnsi="Arial"/>
                <w:sz w:val="18"/>
                <w:szCs w:val="18"/>
                <w:color w:val="auto"/>
                <w:w w:val="90"/>
              </w:rPr>
              <w:t>3.999% Notes due 2049</w:t>
            </w:r>
          </w:p>
        </w:tc>
      </w:tr>
      <w:tr>
        <w:trPr>
          <w:trHeight w:val="216"/>
        </w:trPr>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gridSpan w:val="3"/>
          </w:tcPr>
          <w:p>
            <w:pPr>
              <w:jc w:val="center"/>
              <w:ind w:right="4500"/>
              <w:spacing w:after="0"/>
              <w:rPr>
                <w:sz w:val="20"/>
                <w:szCs w:val="20"/>
                <w:color w:val="auto"/>
              </w:rPr>
            </w:pPr>
            <w:r>
              <w:rPr>
                <w:rFonts w:ascii="Arial" w:cs="Arial" w:eastAsia="Arial" w:hAnsi="Arial"/>
                <w:sz w:val="18"/>
                <w:szCs w:val="18"/>
                <w:color w:val="auto"/>
                <w:w w:val="90"/>
              </w:rPr>
              <w:t>4.049% Notes due 2052</w:t>
            </w:r>
          </w:p>
        </w:tc>
      </w:tr>
      <w:tr>
        <w:trPr>
          <w:trHeight w:val="230"/>
        </w:trPr>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920" w:type="dxa"/>
            <w:vAlign w:val="bottom"/>
            <w:gridSpan w:val="3"/>
          </w:tcPr>
          <w:p>
            <w:pPr>
              <w:jc w:val="center"/>
              <w:ind w:right="4480"/>
              <w:spacing w:after="0"/>
              <w:rPr>
                <w:sz w:val="20"/>
                <w:szCs w:val="20"/>
                <w:color w:val="auto"/>
              </w:rPr>
            </w:pPr>
            <w:r>
              <w:rPr>
                <w:rFonts w:ascii="Arial" w:cs="Arial" w:eastAsia="Arial" w:hAnsi="Arial"/>
                <w:sz w:val="18"/>
                <w:szCs w:val="18"/>
                <w:color w:val="auto"/>
                <w:w w:val="91"/>
              </w:rPr>
              <w:t>(Title of the indenture securities)</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05" w:name="page106"/>
    <w:bookmarkEnd w:id="105"/>
    <w:p>
      <w:pPr>
        <w:ind w:left="652" w:hanging="652"/>
        <w:spacing w:after="0"/>
        <w:tabs>
          <w:tab w:leader="none" w:pos="65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225"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142240</wp:posOffset>
            </wp:positionV>
            <wp:extent cx="72720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223" w:lineRule="exact"/>
        <w:rPr>
          <w:sz w:val="20"/>
          <w:szCs w:val="20"/>
          <w:color w:val="auto"/>
        </w:rPr>
      </w:pPr>
    </w:p>
    <w:tbl>
      <w:tblPr>
        <w:tblLayout w:type="fixed"/>
        <w:tblInd w:w="572" w:type="dxa"/>
        <w:tblCellMar>
          <w:top w:w="0" w:type="dxa"/>
          <w:left w:w="0" w:type="dxa"/>
          <w:bottom w:w="0" w:type="dxa"/>
          <w:right w:w="0" w:type="dxa"/>
        </w:tblCellMar>
      </w:tblPr>
      <w:tr>
        <w:trPr>
          <w:trHeight w:val="230"/>
        </w:trPr>
        <w:tc>
          <w:tcPr>
            <w:tcW w:w="6000" w:type="dxa"/>
            <w:vAlign w:val="bottom"/>
          </w:tcPr>
          <w:p>
            <w:pPr>
              <w:ind w:left="2580"/>
              <w:spacing w:after="0"/>
              <w:rPr>
                <w:sz w:val="20"/>
                <w:szCs w:val="20"/>
                <w:color w:val="auto"/>
              </w:rPr>
            </w:pPr>
            <w:r>
              <w:rPr>
                <w:rFonts w:ascii="Arial" w:cs="Arial" w:eastAsia="Arial" w:hAnsi="Arial"/>
                <w:sz w:val="18"/>
                <w:szCs w:val="18"/>
                <w:color w:val="auto"/>
              </w:rPr>
              <w:t>Name</w:t>
            </w:r>
          </w:p>
        </w:tc>
        <w:tc>
          <w:tcPr>
            <w:tcW w:w="4500" w:type="dxa"/>
            <w:vAlign w:val="bottom"/>
          </w:tcPr>
          <w:p>
            <w:pPr>
              <w:ind w:left="2200"/>
              <w:spacing w:after="0"/>
              <w:rPr>
                <w:sz w:val="20"/>
                <w:szCs w:val="20"/>
                <w:color w:val="auto"/>
              </w:rPr>
            </w:pPr>
            <w:r>
              <w:rPr>
                <w:rFonts w:ascii="Arial" w:cs="Arial" w:eastAsia="Arial" w:hAnsi="Arial"/>
                <w:sz w:val="18"/>
                <w:szCs w:val="18"/>
                <w:color w:val="auto"/>
              </w:rPr>
              <w:t>Address</w:t>
            </w:r>
          </w:p>
        </w:tc>
      </w:tr>
      <w:tr>
        <w:trPr>
          <w:trHeight w:val="458"/>
        </w:trPr>
        <w:tc>
          <w:tcPr>
            <w:tcW w:w="6000" w:type="dxa"/>
            <w:vAlign w:val="bottom"/>
          </w:tcPr>
          <w:p>
            <w:pPr>
              <w:spacing w:after="0"/>
              <w:rPr>
                <w:sz w:val="20"/>
                <w:szCs w:val="20"/>
                <w:color w:val="auto"/>
              </w:rPr>
            </w:pPr>
            <w:r>
              <w:rPr>
                <w:rFonts w:ascii="Arial" w:cs="Arial" w:eastAsia="Arial" w:hAnsi="Arial"/>
                <w:sz w:val="18"/>
                <w:szCs w:val="18"/>
                <w:color w:val="auto"/>
                <w:w w:val="93"/>
              </w:rPr>
              <w:t>Superintendent of the Department of Financial Services of the State of New York</w:t>
            </w:r>
          </w:p>
        </w:tc>
        <w:tc>
          <w:tcPr>
            <w:tcW w:w="4500" w:type="dxa"/>
            <w:vAlign w:val="bottom"/>
          </w:tcPr>
          <w:p>
            <w:pPr>
              <w:ind w:left="160"/>
              <w:spacing w:after="0"/>
              <w:rPr>
                <w:sz w:val="20"/>
                <w:szCs w:val="20"/>
                <w:color w:val="auto"/>
              </w:rPr>
            </w:pPr>
            <w:r>
              <w:rPr>
                <w:rFonts w:ascii="Arial" w:cs="Arial" w:eastAsia="Arial" w:hAnsi="Arial"/>
                <w:sz w:val="18"/>
                <w:szCs w:val="18"/>
                <w:color w:val="auto"/>
                <w:w w:val="91"/>
              </w:rPr>
              <w:t>One State Street, New York, N.Y. 10004-1417, and Albany,</w:t>
            </w:r>
          </w:p>
        </w:tc>
      </w:tr>
      <w:tr>
        <w:trPr>
          <w:trHeight w:val="216"/>
        </w:trPr>
        <w:tc>
          <w:tcPr>
            <w:tcW w:w="600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N.Y. 12223</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Federal Reserve Bank of New York</w:t>
            </w:r>
          </w:p>
        </w:tc>
        <w:tc>
          <w:tcPr>
            <w:tcW w:w="4500" w:type="dxa"/>
            <w:vAlign w:val="bottom"/>
          </w:tcPr>
          <w:p>
            <w:pPr>
              <w:ind w:left="160"/>
              <w:spacing w:after="0"/>
              <w:rPr>
                <w:sz w:val="20"/>
                <w:szCs w:val="20"/>
                <w:color w:val="auto"/>
              </w:rPr>
            </w:pPr>
            <w:r>
              <w:rPr>
                <w:rFonts w:ascii="Arial" w:cs="Arial" w:eastAsia="Arial" w:hAnsi="Arial"/>
                <w:sz w:val="18"/>
                <w:szCs w:val="18"/>
                <w:color w:val="auto"/>
              </w:rPr>
              <w:t>33 Liberty Street, New York, N.Y. 10045</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500" w:type="dxa"/>
            <w:vAlign w:val="bottom"/>
          </w:tcPr>
          <w:p>
            <w:pPr>
              <w:ind w:left="160"/>
              <w:spacing w:after="0" w:line="256" w:lineRule="exact"/>
              <w:rPr>
                <w:sz w:val="20"/>
                <w:szCs w:val="20"/>
                <w:color w:val="auto"/>
              </w:rPr>
            </w:pPr>
            <w:r>
              <w:rPr>
                <w:rFonts w:ascii="Arial" w:cs="Arial" w:eastAsia="Arial" w:hAnsi="Arial"/>
                <w:sz w:val="18"/>
                <w:szCs w:val="18"/>
                <w:color w:val="auto"/>
              </w:rPr>
              <w:t>550 17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NW</w:t>
            </w:r>
          </w:p>
        </w:tc>
      </w:tr>
      <w:tr>
        <w:trPr>
          <w:trHeight w:val="216"/>
        </w:trPr>
        <w:tc>
          <w:tcPr>
            <w:tcW w:w="600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Washington, D.C. 20429</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The Clearing House Association L.L.C.</w:t>
            </w:r>
          </w:p>
        </w:tc>
        <w:tc>
          <w:tcPr>
            <w:tcW w:w="4500" w:type="dxa"/>
            <w:vAlign w:val="bottom"/>
          </w:tcPr>
          <w:p>
            <w:pPr>
              <w:ind w:left="160"/>
              <w:spacing w:after="0"/>
              <w:rPr>
                <w:sz w:val="20"/>
                <w:szCs w:val="20"/>
                <w:color w:val="auto"/>
              </w:rPr>
            </w:pPr>
            <w:r>
              <w:rPr>
                <w:rFonts w:ascii="Arial" w:cs="Arial" w:eastAsia="Arial" w:hAnsi="Arial"/>
                <w:sz w:val="18"/>
                <w:szCs w:val="18"/>
                <w:color w:val="auto"/>
              </w:rPr>
              <w:t>100 Broad Street</w:t>
            </w:r>
          </w:p>
        </w:tc>
      </w:tr>
      <w:tr>
        <w:trPr>
          <w:trHeight w:val="230"/>
        </w:trPr>
        <w:tc>
          <w:tcPr>
            <w:tcW w:w="600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New York, N.Y. 10004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-1161415</wp:posOffset>
            </wp:positionV>
            <wp:extent cx="72720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ind w:left="1292" w:hanging="644"/>
        <w:spacing w:after="0"/>
        <w:tabs>
          <w:tab w:leader="none" w:pos="129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ind w:left="652" w:hanging="652"/>
        <w:spacing w:after="0"/>
        <w:tabs>
          <w:tab w:leader="none" w:pos="65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52" w:hanging="652"/>
        <w:spacing w:after="0"/>
        <w:tabs>
          <w:tab w:leader="none" w:pos="65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25" w:lineRule="exact"/>
        <w:rPr>
          <w:rFonts w:ascii="Arial" w:cs="Arial" w:eastAsia="Arial" w:hAnsi="Arial"/>
          <w:sz w:val="18"/>
          <w:szCs w:val="18"/>
          <w:b w:val="1"/>
          <w:bCs w:val="1"/>
          <w:color w:val="auto"/>
        </w:rPr>
      </w:pPr>
    </w:p>
    <w:p>
      <w:pPr>
        <w:ind w:left="652"/>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65" w:lineRule="exact"/>
        <w:rPr>
          <w:rFonts w:ascii="Arial" w:cs="Arial" w:eastAsia="Arial" w:hAnsi="Arial"/>
          <w:sz w:val="18"/>
          <w:szCs w:val="18"/>
          <w:b w:val="1"/>
          <w:bCs w:val="1"/>
          <w:color w:val="auto"/>
        </w:rPr>
      </w:pPr>
    </w:p>
    <w:p>
      <w:pPr>
        <w:ind w:left="1292" w:right="60" w:hanging="644"/>
        <w:spacing w:after="0" w:line="297" w:lineRule="auto"/>
        <w:tabs>
          <w:tab w:leader="none" w:pos="12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472" w:right="239" w:bottom="1440" w:gutter="0" w:footer="0" w:header="0"/>
        </w:sectPr>
      </w:pPr>
    </w:p>
    <w:bookmarkStart w:id="106" w:name="page107"/>
    <w:bookmarkEnd w:id="106"/>
    <w:p>
      <w:pPr>
        <w:ind w:left="644" w:hanging="644"/>
        <w:spacing w:after="0"/>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333-207042).</w:t>
      </w:r>
    </w:p>
    <w:p>
      <w:pPr>
        <w:spacing w:after="0" w:line="225" w:lineRule="exact"/>
        <w:rPr>
          <w:sz w:val="20"/>
          <w:szCs w:val="20"/>
          <w:color w:val="auto"/>
        </w:rPr>
      </w:pPr>
    </w:p>
    <w:p>
      <w:pPr>
        <w:ind w:left="644" w:hanging="644"/>
        <w:spacing w:after="0"/>
        <w:tabs>
          <w:tab w:leader="none" w:pos="64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333-188382).</w:t>
      </w:r>
    </w:p>
    <w:p>
      <w:pPr>
        <w:spacing w:after="0" w:line="24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47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31st day of October, 2017.</w:t>
      </w:r>
    </w:p>
    <w:p>
      <w:pPr>
        <w:spacing w:after="0" w:line="18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40"/>
              <w:spacing w:after="0"/>
              <w:rPr>
                <w:sz w:val="20"/>
                <w:szCs w:val="20"/>
                <w:color w:val="auto"/>
              </w:rPr>
            </w:pPr>
            <w:r>
              <w:rPr>
                <w:rFonts w:ascii="Arial" w:cs="Arial" w:eastAsia="Arial" w:hAnsi="Arial"/>
                <w:sz w:val="18"/>
                <w:szCs w:val="18"/>
                <w:color w:val="auto"/>
              </w:rPr>
              <w:t>By:</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Francine Kincaid</w:t>
            </w:r>
          </w:p>
        </w:tc>
      </w:tr>
      <w:tr>
        <w:trPr>
          <w:trHeight w:val="195"/>
        </w:trPr>
        <w:tc>
          <w:tcPr>
            <w:tcW w:w="7320" w:type="dxa"/>
            <w:vAlign w:val="bottom"/>
          </w:tcPr>
          <w:p>
            <w:pPr>
              <w:spacing w:after="0"/>
              <w:rPr>
                <w:sz w:val="16"/>
                <w:szCs w:val="16"/>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580" w:type="dxa"/>
            <w:vAlign w:val="bottom"/>
          </w:tcPr>
          <w:p>
            <w:pPr>
              <w:ind w:left="320"/>
              <w:spacing w:after="0" w:line="195" w:lineRule="exact"/>
              <w:rPr>
                <w:sz w:val="20"/>
                <w:szCs w:val="20"/>
                <w:color w:val="auto"/>
              </w:rPr>
            </w:pPr>
            <w:r>
              <w:rPr>
                <w:rFonts w:ascii="Arial" w:cs="Arial" w:eastAsia="Arial" w:hAnsi="Arial"/>
                <w:sz w:val="18"/>
                <w:szCs w:val="18"/>
                <w:color w:val="auto"/>
              </w:rPr>
              <w:t>Francine Kincaid</w:t>
            </w:r>
          </w:p>
        </w:tc>
      </w:tr>
      <w:tr>
        <w:trPr>
          <w:trHeight w:val="230"/>
        </w:trPr>
        <w:tc>
          <w:tcPr>
            <w:tcW w:w="73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ind w:left="280"/>
              <w:spacing w:after="0"/>
              <w:rPr>
                <w:sz w:val="20"/>
                <w:szCs w:val="20"/>
                <w:color w:val="auto"/>
              </w:rPr>
            </w:pPr>
            <w:r>
              <w:rPr>
                <w:rFonts w:ascii="Arial" w:cs="Arial" w:eastAsia="Arial" w:hAnsi="Arial"/>
                <w:sz w:val="18"/>
                <w:szCs w:val="18"/>
                <w:color w:val="auto"/>
              </w:rPr>
              <w:t>Vice President</w:t>
            </w:r>
          </w:p>
        </w:tc>
      </w:tr>
      <w:tr>
        <w:trPr>
          <w:trHeight w:val="675"/>
        </w:trPr>
        <w:tc>
          <w:tcPr>
            <w:tcW w:w="7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08" w:name="page109"/>
    <w:bookmarkEnd w:id="108"/>
    <w:p>
      <w:pPr>
        <w:ind w:left="10720"/>
        <w:spacing w:after="0"/>
        <w:rPr>
          <w:sz w:val="20"/>
          <w:szCs w:val="20"/>
          <w:color w:val="auto"/>
        </w:rPr>
      </w:pPr>
      <w:r>
        <w:rPr>
          <w:rFonts w:ascii="Arial" w:cs="Arial" w:eastAsia="Arial" w:hAnsi="Arial"/>
          <w:sz w:val="16"/>
          <w:szCs w:val="16"/>
          <w:b w:val="1"/>
          <w:bCs w:val="1"/>
          <w:u w:val="single" w:color="auto"/>
          <w:color w:val="auto"/>
        </w:rPr>
        <w:t>Exhibit 7</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Report of Condition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225 Liberty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member of the Federal Reserve System, at the close of business June 30, 2017, published in accordance with a call made by the Federal Reserve Bank of this District pursuant to the provisions of the Federal Reserve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Dollar amounts</w:t>
            </w:r>
          </w:p>
        </w:tc>
      </w:tr>
      <w:tr>
        <w:trPr>
          <w:trHeight w:val="230"/>
        </w:trPr>
        <w:tc>
          <w:tcPr>
            <w:tcW w:w="10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in thousands</w:t>
            </w: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Cash and balances due from depository institutions:</w:t>
            </w:r>
          </w:p>
        </w:tc>
        <w:tc>
          <w:tcPr>
            <w:tcW w:w="1120" w:type="dxa"/>
            <w:vAlign w:val="bottom"/>
            <w:shd w:val="clear" w:color="auto" w:fill="D5EAEA"/>
          </w:tcPr>
          <w:p>
            <w:pPr>
              <w:spacing w:after="0"/>
              <w:rPr>
                <w:sz w:val="18"/>
                <w:szCs w:val="18"/>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Noninterest-bearing balances and currency and coin</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4,189,000</w:t>
            </w: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Interest-bearing balances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85,914,000</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Securities:</w:t>
            </w:r>
          </w:p>
        </w:tc>
        <w:tc>
          <w:tcPr>
            <w:tcW w:w="1120" w:type="dxa"/>
            <w:vAlign w:val="bottom"/>
          </w:tcPr>
          <w:p>
            <w:pPr>
              <w:spacing w:after="0"/>
              <w:rPr>
                <w:sz w:val="18"/>
                <w:szCs w:val="18"/>
                <w:color w:val="auto"/>
              </w:rPr>
            </w:pP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Held-to-maturity securities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40,424,000</w:t>
            </w: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74,557,000</w:t>
            </w: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120" w:type="dxa"/>
            <w:vAlign w:val="bottom"/>
            <w:shd w:val="clear" w:color="auto" w:fill="D5EAEA"/>
          </w:tcPr>
          <w:p>
            <w:pPr>
              <w:spacing w:after="0"/>
              <w:rPr>
                <w:sz w:val="18"/>
                <w:szCs w:val="18"/>
                <w:color w:val="auto"/>
              </w:rPr>
            </w:pPr>
          </w:p>
        </w:tc>
      </w:tr>
      <w:tr>
        <w:trPr>
          <w:trHeight w:val="216"/>
        </w:trPr>
        <w:tc>
          <w:tcPr>
            <w:tcW w:w="10300" w:type="dxa"/>
            <w:vAlign w:val="bottom"/>
          </w:tcPr>
          <w:p>
            <w:pPr>
              <w:ind w:left="140"/>
              <w:spacing w:after="0"/>
              <w:rPr>
                <w:sz w:val="20"/>
                <w:szCs w:val="20"/>
                <w:color w:val="auto"/>
              </w:rPr>
            </w:pPr>
            <w:r>
              <w:rPr>
                <w:rFonts w:ascii="Arial" w:cs="Arial" w:eastAsia="Arial" w:hAnsi="Arial"/>
                <w:sz w:val="18"/>
                <w:szCs w:val="18"/>
                <w:color w:val="auto"/>
              </w:rPr>
              <w:t>Federal funds sold in domestic offices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Securities purchased under agreements to resell</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13,632,000</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1120" w:type="dxa"/>
            <w:vAlign w:val="bottom"/>
          </w:tcPr>
          <w:p>
            <w:pPr>
              <w:spacing w:after="0"/>
              <w:rPr>
                <w:sz w:val="18"/>
                <w:szCs w:val="18"/>
                <w:color w:val="auto"/>
              </w:rPr>
            </w:pP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Loans and leases held for sale.</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Loans and leases held for investment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32,260,000</w:t>
            </w: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LESS: Allowance for loan and lease losses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137,000</w:t>
            </w: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Loans and leases held for investment, net of allowance</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32,123,000</w:t>
            </w: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Trading assets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3,022,000</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1,391,000</w:t>
            </w: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Other real estate owned</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4,000</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570,000</w:t>
            </w: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18"/>
                <w:szCs w:val="18"/>
                <w:color w:val="auto"/>
              </w:rPr>
            </w:pPr>
          </w:p>
        </w:tc>
      </w:tr>
      <w:tr>
        <w:trPr>
          <w:trHeight w:val="216"/>
        </w:trPr>
        <w:tc>
          <w:tcPr>
            <w:tcW w:w="10300" w:type="dxa"/>
            <w:vAlign w:val="bottom"/>
            <w:shd w:val="clear" w:color="auto" w:fill="D5EAEA"/>
          </w:tcPr>
          <w:p>
            <w:pPr>
              <w:ind w:left="140"/>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6,308,000</w:t>
            </w:r>
          </w:p>
        </w:tc>
      </w:tr>
      <w:tr>
        <w:trPr>
          <w:trHeight w:val="216"/>
        </w:trPr>
        <w:tc>
          <w:tcPr>
            <w:tcW w:w="1030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876,000</w:t>
            </w:r>
          </w:p>
        </w:tc>
      </w:tr>
      <w:tr>
        <w:trPr>
          <w:trHeight w:val="230"/>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Other assets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17,866,000</w:t>
            </w:r>
          </w:p>
        </w:tc>
      </w:tr>
      <w:tr>
        <w:trPr>
          <w:trHeight w:val="237"/>
        </w:trPr>
        <w:tc>
          <w:tcPr>
            <w:tcW w:w="10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904"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3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w w:val="99"/>
              </w:rPr>
              <w:t>280,876,000</w:t>
            </w:r>
          </w:p>
        </w:tc>
        <w:tc>
          <w:tcPr>
            <w:tcW w:w="0" w:type="dxa"/>
            <w:vAlign w:val="bottom"/>
          </w:tcPr>
          <w:p>
            <w:pPr>
              <w:spacing w:after="0"/>
              <w:rPr>
                <w:sz w:val="1"/>
                <w:szCs w:val="1"/>
                <w:color w:val="auto"/>
              </w:rPr>
            </w:pPr>
          </w:p>
        </w:tc>
      </w:tr>
      <w:tr>
        <w:trPr>
          <w:trHeight w:val="20"/>
        </w:trPr>
        <w:tc>
          <w:tcPr>
            <w:tcW w:w="10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3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Deposits:</w:t>
            </w: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In domestic offices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126,191,000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Noninterest-bearing</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80,114,000</w:t>
            </w:r>
          </w:p>
        </w:tc>
        <w:tc>
          <w:tcPr>
            <w:tcW w:w="0" w:type="dxa"/>
            <w:vAlign w:val="bottom"/>
          </w:tcPr>
          <w:p>
            <w:pPr>
              <w:spacing w:after="0"/>
              <w:rPr>
                <w:sz w:val="1"/>
                <w:szCs w:val="1"/>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46,077,000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 foreign offices, Edge and Agreement subsidiaries, and IBFs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9"/>
              </w:rPr>
              <w:t>112,793,000</w:t>
            </w:r>
          </w:p>
        </w:tc>
        <w:tc>
          <w:tcPr>
            <w:tcW w:w="0" w:type="dxa"/>
            <w:vAlign w:val="bottom"/>
          </w:tcPr>
          <w:p>
            <w:pPr>
              <w:spacing w:after="0"/>
              <w:rPr>
                <w:sz w:val="1"/>
                <w:szCs w:val="1"/>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Noninterest-bearing</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9,023,000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Interest-bearing</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9"/>
              </w:rPr>
              <w:t>103,770,000</w:t>
            </w: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Federal funds purchased in domestic offices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693,000</w:t>
            </w: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Trading liabilities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3,136,000</w:t>
            </w:r>
          </w:p>
        </w:tc>
        <w:tc>
          <w:tcPr>
            <w:tcW w:w="0" w:type="dxa"/>
            <w:vAlign w:val="bottom"/>
          </w:tcPr>
          <w:p>
            <w:pPr>
              <w:spacing w:after="0"/>
              <w:rPr>
                <w:sz w:val="1"/>
                <w:szCs w:val="1"/>
                <w:color w:val="auto"/>
              </w:rPr>
            </w:pPr>
          </w:p>
        </w:tc>
      </w:tr>
      <w:tr>
        <w:trPr>
          <w:trHeight w:val="202"/>
        </w:trPr>
        <w:tc>
          <w:tcPr>
            <w:tcW w:w="10300" w:type="dxa"/>
            <w:vAlign w:val="bottom"/>
          </w:tcPr>
          <w:p>
            <w:pPr>
              <w:spacing w:after="0" w:line="201" w:lineRule="exact"/>
              <w:rPr>
                <w:sz w:val="20"/>
                <w:szCs w:val="20"/>
                <w:color w:val="auto"/>
              </w:rPr>
            </w:pPr>
            <w:r>
              <w:rPr>
                <w:rFonts w:ascii="Arial" w:cs="Arial" w:eastAsia="Arial" w:hAnsi="Arial"/>
                <w:sz w:val="18"/>
                <w:szCs w:val="18"/>
                <w:color w:val="auto"/>
              </w:rPr>
              <w:t>Other borrowed money:</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00" w:type="dxa"/>
            <w:vAlign w:val="bottom"/>
          </w:tcPr>
          <w:p>
            <w:pPr>
              <w:ind w:left="1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2,784,000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Not applicable</w:t>
            </w: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Not applicable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Subordinated notes and debentures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30"/>
        </w:trPr>
        <w:tc>
          <w:tcPr>
            <w:tcW w:w="103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liabilities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6,552,000</w:t>
            </w:r>
          </w:p>
        </w:tc>
        <w:tc>
          <w:tcPr>
            <w:tcW w:w="0" w:type="dxa"/>
            <w:vAlign w:val="bottom"/>
          </w:tcPr>
          <w:p>
            <w:pPr>
              <w:spacing w:after="0"/>
              <w:rPr>
                <w:sz w:val="1"/>
                <w:szCs w:val="1"/>
                <w:color w:val="auto"/>
              </w:rPr>
            </w:pPr>
          </w:p>
        </w:tc>
      </w:tr>
      <w:tr>
        <w:trPr>
          <w:trHeight w:val="223"/>
        </w:trPr>
        <w:tc>
          <w:tcPr>
            <w:tcW w:w="103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w w:val="99"/>
              </w:rPr>
              <w:t>255,052,000</w:t>
            </w:r>
          </w:p>
        </w:tc>
        <w:tc>
          <w:tcPr>
            <w:tcW w:w="0" w:type="dxa"/>
            <w:vAlign w:val="bottom"/>
          </w:tcPr>
          <w:p>
            <w:pPr>
              <w:spacing w:after="0"/>
              <w:rPr>
                <w:sz w:val="1"/>
                <w:szCs w:val="1"/>
                <w:color w:val="auto"/>
              </w:rPr>
            </w:pPr>
          </w:p>
        </w:tc>
      </w:tr>
      <w:tr>
        <w:trPr>
          <w:trHeight w:val="20"/>
        </w:trPr>
        <w:tc>
          <w:tcPr>
            <w:tcW w:w="10300" w:type="dxa"/>
            <w:vAlign w:val="bottom"/>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3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Perpetual preferred stock and related surplus</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Common stock</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1,135,000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10,643,000</w:t>
            </w: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Retained earnings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15,327,000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Accumulated other comprehensive income</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-1,631,000</w:t>
            </w: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Total bank equity capital</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25,474,000</w:t>
            </w:r>
          </w:p>
        </w:tc>
        <w:tc>
          <w:tcPr>
            <w:tcW w:w="0" w:type="dxa"/>
            <w:vAlign w:val="bottom"/>
          </w:tcPr>
          <w:p>
            <w:pPr>
              <w:spacing w:after="0"/>
              <w:rPr>
                <w:sz w:val="1"/>
                <w:szCs w:val="1"/>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10300" w:type="dxa"/>
            <w:vAlign w:val="bottom"/>
            <w:shd w:val="clear" w:color="auto" w:fill="D5EAEA"/>
          </w:tcPr>
          <w:p>
            <w:pPr>
              <w:spacing w:after="0"/>
              <w:rPr>
                <w:sz w:val="20"/>
                <w:szCs w:val="20"/>
                <w:color w:val="auto"/>
              </w:rPr>
            </w:pPr>
            <w:r>
              <w:rPr>
                <w:rFonts w:ascii="Arial" w:cs="Arial" w:eastAsia="Arial" w:hAnsi="Arial"/>
                <w:sz w:val="18"/>
                <w:szCs w:val="18"/>
                <w:color w:val="auto"/>
              </w:rPr>
              <w:t>Total equity capital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25,824,000</w:t>
            </w:r>
          </w:p>
        </w:tc>
        <w:tc>
          <w:tcPr>
            <w:tcW w:w="0" w:type="dxa"/>
            <w:vAlign w:val="bottom"/>
          </w:tcPr>
          <w:p>
            <w:pPr>
              <w:spacing w:after="0"/>
              <w:rPr>
                <w:sz w:val="1"/>
                <w:szCs w:val="1"/>
                <w:color w:val="auto"/>
              </w:rPr>
            </w:pPr>
          </w:p>
        </w:tc>
      </w:tr>
      <w:tr>
        <w:trPr>
          <w:trHeight w:val="223"/>
        </w:trPr>
        <w:tc>
          <w:tcPr>
            <w:tcW w:w="10300" w:type="dxa"/>
            <w:vAlign w:val="bottom"/>
          </w:tcPr>
          <w:p>
            <w:pPr>
              <w:spacing w:after="0"/>
              <w:rPr>
                <w:sz w:val="20"/>
                <w:szCs w:val="20"/>
                <w:color w:val="auto"/>
              </w:rPr>
            </w:pPr>
            <w:r>
              <w:rPr>
                <w:rFonts w:ascii="Arial" w:cs="Arial" w:eastAsia="Arial" w:hAnsi="Arial"/>
                <w:sz w:val="18"/>
                <w:szCs w:val="18"/>
                <w:color w:val="auto"/>
              </w:rPr>
              <w:t>Total liabilities and equity capital</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280,876,000</w:t>
            </w:r>
          </w:p>
        </w:tc>
        <w:tc>
          <w:tcPr>
            <w:tcW w:w="0" w:type="dxa"/>
            <w:vAlign w:val="bottom"/>
          </w:tcPr>
          <w:p>
            <w:pPr>
              <w:spacing w:after="0"/>
              <w:rPr>
                <w:sz w:val="1"/>
                <w:szCs w:val="1"/>
                <w:color w:val="auto"/>
              </w:rPr>
            </w:pPr>
          </w:p>
        </w:tc>
      </w:tr>
      <w:tr>
        <w:trPr>
          <w:trHeight w:val="20"/>
        </w:trPr>
        <w:tc>
          <w:tcPr>
            <w:tcW w:w="10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7" w:right="239" w:bottom="1440" w:gutter="0" w:footer="0" w:header="0"/>
        </w:sectPr>
      </w:pPr>
    </w:p>
    <w:bookmarkStart w:id="110" w:name="page111"/>
    <w:bookmarkEnd w:id="110"/>
    <w:p>
      <w:pPr>
        <w:ind w:firstLine="648"/>
        <w:spacing w:after="0" w:line="277" w:lineRule="auto"/>
        <w:rPr>
          <w:sz w:val="20"/>
          <w:szCs w:val="20"/>
          <w:color w:val="auto"/>
        </w:rPr>
      </w:pPr>
      <w:r>
        <w:rPr>
          <w:rFonts w:ascii="Arial" w:cs="Arial" w:eastAsia="Arial" w:hAnsi="Arial"/>
          <w:sz w:val="18"/>
          <w:szCs w:val="18"/>
          <w:color w:val="auto"/>
        </w:rPr>
        <w:t>I, Thomas P. Gibbons, Chief Financial Officer of the above-named bank do hereby declare that this Report of Condition is true and correct to the best of my knowledge and belief.</w:t>
      </w:r>
    </w:p>
    <w:p>
      <w:pPr>
        <w:spacing w:after="0" w:line="170"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Thomas P. Gibbons,</w:t>
      </w:r>
    </w:p>
    <w:p>
      <w:pPr>
        <w:spacing w:after="0" w:line="23"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391795</wp:posOffset>
            </wp:positionV>
            <wp:extent cx="137160" cy="702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137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3"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Samuel C. Scott</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J. Echevarria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215"/>
    </w:lvl>
  </w:abstractNum>
  <w:abstractNum w:abstractNumId="1">
    <w:nsid w:val="275AC794"/>
    <w:multiLevelType w:val="hybridMultilevel"/>
    <w:lvl w:ilvl="0">
      <w:lvlJc w:val="left"/>
      <w:lvlText w:val="(%1)"/>
      <w:numFmt w:val="decimal"/>
      <w:start w:val="212"/>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decimal"/>
      <w:start w:val="215"/>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1)"/>
      <w:numFmt w:val="lowerRoman"/>
      <w:start w:val="3"/>
    </w:lvl>
  </w:abstractNum>
  <w:abstractNum w:abstractNumId="8">
    <w:nsid w:val="15B5AF5C"/>
    <w:multiLevelType w:val="hybridMultilevel"/>
    <w:lvl w:ilvl="0">
      <w:lvlJc w:val="left"/>
      <w:lvlText w:val="(%1)"/>
      <w:numFmt w:val="lowerLetter"/>
      <w:start w:val="4"/>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decimal"/>
      <w:start w:val="1"/>
    </w:lvl>
    <w:lvl w:ilvl="1">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lvl w:ilvl="1">
      <w:lvlJc w:val="left"/>
      <w:lvlText w:val="·"/>
      <w:numFmt w:val="bullet"/>
      <w:start w:val="1"/>
    </w:lvl>
  </w:abstractNum>
  <w:abstractNum w:abstractNumId="21">
    <w:nsid w:val="1DBABF00"/>
    <w:multiLevelType w:val="hybridMultilevel"/>
    <w:lvl w:ilvl="0">
      <w:lvlJc w:val="left"/>
      <w:lvlText w:val="(%1)"/>
      <w:numFmt w:val="lowerLetter"/>
      <w:start w:val="1"/>
    </w:lvl>
  </w:abstractNum>
  <w:abstractNum w:abstractNumId="22">
    <w:nsid w:val="4AD084E9"/>
    <w:multiLevelType w:val="hybridMultilevel"/>
    <w:lvl w:ilvl="0">
      <w:lvlJc w:val="left"/>
      <w:lvlText w:val="(%1)"/>
      <w:numFmt w:val="lowerLetter"/>
      <w:start w:val="1"/>
    </w:lvl>
  </w:abstractNum>
  <w:abstractNum w:abstractNumId="23">
    <w:nsid w:val="1F48EAA1"/>
    <w:multiLevelType w:val="hybridMultilevel"/>
    <w:lvl w:ilvl="0">
      <w:lvlJc w:val="left"/>
      <w:lvlText w:val="(%1)"/>
      <w:numFmt w:val="lowerLetter"/>
      <w:start w:val="1"/>
    </w:lvl>
  </w:abstractNum>
  <w:abstractNum w:abstractNumId="24">
    <w:nsid w:val="1381823A"/>
    <w:multiLevelType w:val="hybridMultilevel"/>
    <w:lvl w:ilvl="0">
      <w:lvlJc w:val="left"/>
      <w:lvlText w:val="(%1)"/>
      <w:numFmt w:val="lowerLetter"/>
      <w:start w:val="1"/>
    </w:lvl>
  </w:abstractNum>
  <w:abstractNum w:abstractNumId="25">
    <w:nsid w:val="5DB70AE5"/>
    <w:multiLevelType w:val="hybridMultilevel"/>
    <w:lvl w:ilvl="0">
      <w:lvlJc w:val="left"/>
      <w:lvlText w:val="(%1)"/>
      <w:numFmt w:val="lowerLetter"/>
      <w:start w:val="3"/>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4"/>
    </w:lvl>
  </w:abstractNum>
  <w:abstractNum w:abstractNumId="35">
    <w:nsid w:val="1EBA5D23"/>
    <w:multiLevelType w:val="hybridMultilevel"/>
    <w:lvl w:ilvl="0">
      <w:lvlJc w:val="left"/>
      <w:lvlText w:val="·"/>
      <w:numFmt w:val="bullet"/>
      <w:start w:val="1"/>
    </w:lvl>
    <w:lvl w:ilvl="1">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3">
    <w:nsid w:val="11447B73"/>
    <w:multiLevelType w:val="hybridMultilevel"/>
    <w:lvl w:ilvl="0">
      <w:lvlJc w:val="left"/>
      <w:lvlText w:val="%1"/>
      <w:numFmt w:val="lowerLetter"/>
      <w:start w:val="1"/>
    </w:lvl>
    <w:lvl w:ilvl="1">
      <w:lvlJc w:val="left"/>
      <w:lvlText w:val="(%2)"/>
      <w:numFmt w:val="decimal"/>
      <w:start w:val="5"/>
    </w:lvl>
    <w:lvl w:ilvl="2">
      <w:lvlJc w:val="left"/>
      <w:lvlText w:val="•"/>
      <w:numFmt w:val="bullet"/>
      <w:start w:val="1"/>
    </w:lvl>
  </w:abstractNum>
  <w:abstractNum w:abstractNumId="44">
    <w:nsid w:val="42963E5A"/>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1."/>
      <w:numFmt w:val="decimal"/>
      <w:start w:val="2"/>
    </w:lvl>
  </w:abstractNum>
  <w:abstractNum w:abstractNumId="47">
    <w:nsid w:val="1A32234B"/>
    <w:multiLevelType w:val="hybridMultilevel"/>
    <w:lvl w:ilvl="0">
      <w:lvlJc w:val="left"/>
      <w:lvlText w:val="%1."/>
      <w:numFmt w:val="decimal"/>
      <w:start w:val="3"/>
    </w:lvl>
  </w:abstractNum>
  <w:abstractNum w:abstractNumId="48">
    <w:nsid w:val="3B0FD379"/>
    <w:multiLevelType w:val="hybridMultilevel"/>
    <w:lvl w:ilvl="0">
      <w:lvlJc w:val="left"/>
      <w:lvlText w:val="%1."/>
      <w:numFmt w:val="decimal"/>
      <w:start w:val="4"/>
    </w:lvl>
  </w:abstractNum>
  <w:abstractNum w:abstractNumId="49">
    <w:nsid w:val="68EB2F63"/>
    <w:multiLevelType w:val="hybridMultilevel"/>
    <w:lvl w:ilvl="0">
      <w:lvlJc w:val="left"/>
      <w:lvlText w:val="%1."/>
      <w:numFmt w:val="decimal"/>
      <w:start w:val="5"/>
    </w:lvl>
  </w:abstractNum>
  <w:abstractNum w:abstractNumId="50">
    <w:nsid w:val="4962813B"/>
    <w:multiLevelType w:val="hybridMultilevel"/>
    <w:lvl w:ilvl="0">
      <w:lvlJc w:val="left"/>
      <w:lvlText w:val="%1."/>
      <w:numFmt w:val="decimal"/>
      <w:start w:val="6"/>
    </w:lvl>
  </w:abstractNum>
  <w:abstractNum w:abstractNumId="51">
    <w:nsid w:val="60B6DF70"/>
    <w:multiLevelType w:val="hybridMultilevel"/>
    <w:lvl w:ilvl="0">
      <w:lvlJc w:val="left"/>
      <w:lvlText w:val="%1."/>
      <w:numFmt w:val="decimal"/>
      <w:start w:val="7"/>
    </w:lvl>
  </w:abstractNum>
  <w:abstractNum w:abstractNumId="52">
    <w:nsid w:val="6A5EE64"/>
    <w:multiLevelType w:val="hybridMultilevel"/>
    <w:lvl w:ilvl="0">
      <w:lvlJc w:val="left"/>
      <w:lvlText w:val="%1."/>
      <w:numFmt w:val="decimal"/>
      <w:start w:val="8"/>
    </w:lvl>
  </w:abstractNum>
  <w:abstractNum w:abstractNumId="53">
    <w:nsid w:val="14330624"/>
    <w:multiLevelType w:val="hybridMultilevel"/>
    <w:lvl w:ilvl="0">
      <w:lvlJc w:val="left"/>
      <w:lvlText w:val="%1."/>
      <w:numFmt w:val="decimal"/>
      <w:start w:val="9"/>
    </w:lvl>
  </w:abstractNum>
  <w:abstractNum w:abstractNumId="54">
    <w:nsid w:val="7FFFCA11"/>
    <w:multiLevelType w:val="hybridMultilevel"/>
    <w:lvl w:ilvl="0">
      <w:lvlJc w:val="left"/>
      <w:lvlText w:val="%1."/>
      <w:numFmt w:val="decimal"/>
      <w:start w:val="10"/>
    </w:lvl>
  </w:abstractNum>
  <w:abstractNum w:abstractNumId="55">
    <w:nsid w:val="1A27709E"/>
    <w:multiLevelType w:val="hybridMultilevel"/>
    <w:lvl w:ilvl="0">
      <w:lvlJc w:val="left"/>
      <w:lvlText w:val="%1."/>
      <w:numFmt w:val="decimal"/>
      <w:start w:val="11"/>
    </w:lvl>
  </w:abstractNum>
  <w:abstractNum w:abstractNumId="56">
    <w:nsid w:val="71EA1109"/>
    <w:multiLevelType w:val="hybridMultilevel"/>
    <w:lvl w:ilvl="0">
      <w:lvlJc w:val="left"/>
      <w:lvlText w:val="%1."/>
      <w:numFmt w:val="decimal"/>
      <w:start w:val="12"/>
    </w:lvl>
  </w:abstractNum>
  <w:abstractNum w:abstractNumId="57">
    <w:nsid w:val="100F59DC"/>
    <w:multiLevelType w:val="hybridMultilevel"/>
    <w:lvl w:ilvl="0">
      <w:lvlJc w:val="left"/>
      <w:lvlText w:val="%1."/>
      <w:numFmt w:val="decimal"/>
      <w:start w:val="13"/>
    </w:lvl>
  </w:abstractNum>
  <w:abstractNum w:abstractNumId="58">
    <w:nsid w:val="7FB7E0AA"/>
    <w:multiLevelType w:val="hybridMultilevel"/>
    <w:lvl w:ilvl="0">
      <w:lvlJc w:val="left"/>
      <w:lvlText w:val="%1."/>
      <w:numFmt w:val="decimal"/>
      <w:start w:val="14"/>
    </w:lvl>
  </w:abstractNum>
  <w:abstractNum w:abstractNumId="59">
    <w:nsid w:val="6EB5BD4"/>
    <w:multiLevelType w:val="hybridMultilevel"/>
    <w:lvl w:ilvl="0">
      <w:lvlJc w:val="left"/>
      <w:lvlText w:val="%1."/>
      <w:numFmt w:val="decimal"/>
      <w:start w:val="15"/>
    </w:lvl>
  </w:abstractNum>
  <w:abstractNum w:abstractNumId="60">
    <w:nsid w:val="6F6DD9AC"/>
    <w:multiLevelType w:val="hybridMultilevel"/>
    <w:lvl w:ilvl="0">
      <w:lvlJc w:val="left"/>
      <w:lvlText w:val="%1."/>
      <w:numFmt w:val="decimal"/>
      <w:start w:val="16"/>
    </w:lvl>
  </w:abstractNum>
  <w:abstractNum w:abstractNumId="61">
    <w:nsid w:val="94211F2"/>
    <w:multiLevelType w:val="hybridMultilevel"/>
    <w:lvl w:ilvl="0">
      <w:lvlJc w:val="left"/>
      <w:lvlText w:val="%1."/>
      <w:numFmt w:val="decimal"/>
      <w:start w:val="17"/>
    </w:lvl>
  </w:abstractNum>
  <w:abstractNum w:abstractNumId="62">
    <w:nsid w:val="885E1B"/>
    <w:multiLevelType w:val="hybridMultilevel"/>
    <w:lvl w:ilvl="0">
      <w:lvlJc w:val="left"/>
      <w:lvlText w:val="%1."/>
      <w:numFmt w:val="decimal"/>
      <w:start w:val="18"/>
    </w:lvl>
  </w:abstractNum>
  <w:abstractNum w:abstractNumId="63">
    <w:nsid w:val="76272110"/>
    <w:multiLevelType w:val="hybridMultilevel"/>
    <w:lvl w:ilvl="0">
      <w:lvlJc w:val="left"/>
      <w:lvlText w:val="%1."/>
      <w:numFmt w:val="decimal"/>
      <w:start w:val="19"/>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2"/>
    </w:lvl>
  </w:abstractNum>
  <w:abstractNum w:abstractNumId="66">
    <w:nsid w:val="14E17E33"/>
    <w:multiLevelType w:val="hybridMultilevel"/>
    <w:lvl w:ilvl="0">
      <w:lvlJc w:val="left"/>
      <w:lvlText w:val="%1."/>
      <w:numFmt w:val="decimal"/>
      <w:start w:val="3"/>
    </w:lvl>
  </w:abstractNum>
  <w:abstractNum w:abstractNumId="67">
    <w:nsid w:val="3222E7CD"/>
    <w:multiLevelType w:val="hybridMultilevel"/>
    <w:lvl w:ilvl="0">
      <w:lvlJc w:val="left"/>
      <w:lvlText w:val="%1."/>
      <w:numFmt w:val="decimal"/>
      <w:start w:val="4"/>
    </w:lvl>
  </w:abstractNum>
  <w:abstractNum w:abstractNumId="68">
    <w:nsid w:val="74DE0EE3"/>
    <w:multiLevelType w:val="hybridMultilevel"/>
    <w:lvl w:ilvl="0">
      <w:lvlJc w:val="left"/>
      <w:lvlText w:val="%1."/>
      <w:numFmt w:val="decimal"/>
      <w:start w:val="5"/>
    </w:lvl>
  </w:abstractNum>
  <w:abstractNum w:abstractNumId="69">
    <w:nsid w:val="68EBC550"/>
    <w:multiLevelType w:val="hybridMultilevel"/>
    <w:lvl w:ilvl="0">
      <w:lvlJc w:val="left"/>
      <w:lvlText w:val="%1."/>
      <w:numFmt w:val="decimal"/>
      <w:start w:val="6"/>
    </w:lvl>
  </w:abstractNum>
  <w:abstractNum w:abstractNumId="70">
    <w:nsid w:val="2DF6D648"/>
    <w:multiLevelType w:val="hybridMultilevel"/>
    <w:lvl w:ilvl="0">
      <w:lvlJc w:val="left"/>
      <w:lvlText w:val="%1."/>
      <w:numFmt w:val="decimal"/>
      <w:start w:val="7"/>
    </w:lvl>
  </w:abstractNum>
  <w:abstractNum w:abstractNumId="71">
    <w:nsid w:val="46B7D447"/>
    <w:multiLevelType w:val="hybridMultilevel"/>
    <w:lvl w:ilvl="0">
      <w:lvlJc w:val="left"/>
      <w:lvlText w:val="%1."/>
      <w:numFmt w:val="decimal"/>
      <w:start w:val="8"/>
    </w:lvl>
  </w:abstractNum>
  <w:abstractNum w:abstractNumId="72">
    <w:nsid w:val="4A2AC315"/>
    <w:multiLevelType w:val="hybridMultilevel"/>
    <w:lvl w:ilvl="0">
      <w:lvlJc w:val="left"/>
      <w:lvlText w:val="%1."/>
      <w:numFmt w:val="decimal"/>
      <w:start w:val="9"/>
    </w:lvl>
  </w:abstractNum>
  <w:abstractNum w:abstractNumId="73">
    <w:nsid w:val="39EE015C"/>
    <w:multiLevelType w:val="hybridMultilevel"/>
    <w:lvl w:ilvl="0">
      <w:lvlJc w:val="left"/>
      <w:lvlText w:val="%1."/>
      <w:numFmt w:val="decimal"/>
      <w:start w:val="10"/>
    </w:lvl>
  </w:abstractNum>
  <w:abstractNum w:abstractNumId="74">
    <w:nsid w:val="57FC4FBB"/>
    <w:multiLevelType w:val="hybridMultilevel"/>
    <w:lvl w:ilvl="0">
      <w:lvlJc w:val="left"/>
      <w:lvlText w:val="%1."/>
      <w:numFmt w:val="decimal"/>
      <w:start w:val="11"/>
    </w:lvl>
  </w:abstractNum>
  <w:abstractNum w:abstractNumId="75">
    <w:nsid w:val="CC1016F"/>
    <w:multiLevelType w:val="hybridMultilevel"/>
    <w:lvl w:ilvl="0">
      <w:lvlJc w:val="left"/>
      <w:lvlText w:val="%1."/>
      <w:numFmt w:val="decimal"/>
      <w:start w:val="12"/>
    </w:lvl>
  </w:abstractNum>
  <w:abstractNum w:abstractNumId="76">
    <w:nsid w:val="43F18422"/>
    <w:multiLevelType w:val="hybridMultilevel"/>
    <w:lvl w:ilvl="0">
      <w:lvlJc w:val="left"/>
      <w:lvlText w:val="%1."/>
      <w:numFmt w:val="decimal"/>
      <w:start w:val="13"/>
    </w:lvl>
  </w:abstractNum>
  <w:abstractNum w:abstractNumId="77">
    <w:nsid w:val="60EF0119"/>
    <w:multiLevelType w:val="hybridMultilevel"/>
    <w:lvl w:ilvl="0">
      <w:lvlJc w:val="left"/>
      <w:lvlText w:val="%1."/>
      <w:numFmt w:val="decimal"/>
      <w:start w:val="14"/>
    </w:lvl>
  </w:abstractNum>
  <w:abstractNum w:abstractNumId="78">
    <w:nsid w:val="26F324BA"/>
    <w:multiLevelType w:val="hybridMultilevel"/>
    <w:lvl w:ilvl="0">
      <w:lvlJc w:val="left"/>
      <w:lvlText w:val="%1."/>
      <w:numFmt w:val="decimal"/>
      <w:start w:val="15"/>
    </w:lvl>
  </w:abstractNum>
  <w:abstractNum w:abstractNumId="79">
    <w:nsid w:val="7F01579B"/>
    <w:multiLevelType w:val="hybridMultilevel"/>
    <w:lvl w:ilvl="0">
      <w:lvlJc w:val="left"/>
      <w:lvlText w:val="%1."/>
      <w:numFmt w:val="decimal"/>
      <w:start w:val="16"/>
    </w:lvl>
  </w:abstractNum>
  <w:abstractNum w:abstractNumId="80">
    <w:nsid w:val="49DA307D"/>
    <w:multiLevelType w:val="hybridMultilevel"/>
    <w:lvl w:ilvl="0">
      <w:lvlJc w:val="left"/>
      <w:lvlText w:val="%1."/>
      <w:numFmt w:val="decimal"/>
      <w:start w:val="17"/>
    </w:lvl>
  </w:abstractNum>
  <w:abstractNum w:abstractNumId="81">
    <w:nsid w:val="7055A5F5"/>
    <w:multiLevelType w:val="hybridMultilevel"/>
    <w:lvl w:ilvl="0">
      <w:lvlJc w:val="left"/>
      <w:lvlText w:val="%1."/>
      <w:numFmt w:val="decimal"/>
      <w:start w:val="18"/>
    </w:lvl>
  </w:abstractNum>
  <w:abstractNum w:abstractNumId="82">
    <w:nsid w:val="5FB8370B"/>
    <w:multiLevelType w:val="hybridMultilevel"/>
    <w:lvl w:ilvl="0">
      <w:lvlJc w:val="left"/>
      <w:lvlText w:val="%1."/>
      <w:numFmt w:val="decimal"/>
      <w:start w:val="19"/>
    </w:lvl>
  </w:abstractNum>
  <w:abstractNum w:abstractNumId="83">
    <w:nsid w:val="50801EE1"/>
    <w:multiLevelType w:val="hybridMultilevel"/>
    <w:lvl w:ilvl="0">
      <w:lvlJc w:val="left"/>
      <w:lvlText w:val="%1."/>
      <w:numFmt w:val="decimal"/>
      <w:start w:val="1"/>
    </w:lvl>
  </w:abstractNum>
  <w:abstractNum w:abstractNumId="84">
    <w:nsid w:val="488AC1A"/>
    <w:multiLevelType w:val="hybridMultilevel"/>
    <w:lvl w:ilvl="0">
      <w:lvlJc w:val="left"/>
      <w:lvlText w:val="%1."/>
      <w:numFmt w:val="decimal"/>
      <w:start w:val="2"/>
    </w:lvl>
  </w:abstractNum>
  <w:abstractNum w:abstractNumId="85">
    <w:nsid w:val="5FB8011C"/>
    <w:multiLevelType w:val="hybridMultilevel"/>
    <w:lvl w:ilvl="0">
      <w:lvlJc w:val="left"/>
      <w:lvlText w:val="%1."/>
      <w:numFmt w:val="decimal"/>
      <w:start w:val="3"/>
    </w:lvl>
  </w:abstractNum>
  <w:abstractNum w:abstractNumId="86">
    <w:nsid w:val="6AA78F7F"/>
    <w:multiLevelType w:val="hybridMultilevel"/>
    <w:lvl w:ilvl="0">
      <w:lvlJc w:val="left"/>
      <w:lvlText w:val="%1."/>
      <w:numFmt w:val="decimal"/>
      <w:start w:val="4"/>
    </w:lvl>
  </w:abstractNum>
  <w:abstractNum w:abstractNumId="87">
    <w:nsid w:val="7672BD23"/>
    <w:multiLevelType w:val="hybridMultilevel"/>
    <w:lvl w:ilvl="0">
      <w:lvlJc w:val="left"/>
      <w:lvlText w:val="%1."/>
      <w:numFmt w:val="decimal"/>
      <w:start w:val="5"/>
    </w:lvl>
  </w:abstractNum>
  <w:abstractNum w:abstractNumId="88">
    <w:nsid w:val="6FC75AF8"/>
    <w:multiLevelType w:val="hybridMultilevel"/>
    <w:lvl w:ilvl="0">
      <w:lvlJc w:val="left"/>
      <w:lvlText w:val="%1."/>
      <w:numFmt w:val="decimal"/>
      <w:start w:val="6"/>
    </w:lvl>
  </w:abstractNum>
  <w:abstractNum w:abstractNumId="89">
    <w:nsid w:val="6A5F7029"/>
    <w:multiLevelType w:val="hybridMultilevel"/>
    <w:lvl w:ilvl="0">
      <w:lvlJc w:val="left"/>
      <w:lvlText w:val="%1."/>
      <w:numFmt w:val="decimal"/>
      <w:start w:val="7"/>
    </w:lvl>
  </w:abstractNum>
  <w:abstractNum w:abstractNumId="90">
    <w:nsid w:val="7D5E18F8"/>
    <w:multiLevelType w:val="hybridMultilevel"/>
    <w:lvl w:ilvl="0">
      <w:lvlJc w:val="left"/>
      <w:lvlText w:val="%1."/>
      <w:numFmt w:val="decimal"/>
      <w:start w:val="8"/>
    </w:lvl>
  </w:abstractNum>
  <w:abstractNum w:abstractNumId="91">
    <w:nsid w:val="5F3534A4"/>
    <w:multiLevelType w:val="hybridMultilevel"/>
    <w:lvl w:ilvl="0">
      <w:lvlJc w:val="left"/>
      <w:lvlText w:val="%1."/>
      <w:numFmt w:val="decimal"/>
      <w:start w:val="9"/>
    </w:lvl>
  </w:abstractNum>
  <w:abstractNum w:abstractNumId="92">
    <w:nsid w:val="73A1821B"/>
    <w:multiLevelType w:val="hybridMultilevel"/>
    <w:lvl w:ilvl="0">
      <w:lvlJc w:val="left"/>
      <w:lvlText w:val="%1."/>
      <w:numFmt w:val="decimal"/>
      <w:start w:val="10"/>
    </w:lvl>
  </w:abstractNum>
  <w:abstractNum w:abstractNumId="93">
    <w:nsid w:val="7DE67713"/>
    <w:multiLevelType w:val="hybridMultilevel"/>
    <w:lvl w:ilvl="0">
      <w:lvlJc w:val="left"/>
      <w:lvlText w:val="%1."/>
      <w:numFmt w:val="decimal"/>
      <w:start w:val="11"/>
    </w:lvl>
  </w:abstractNum>
  <w:abstractNum w:abstractNumId="94">
    <w:nsid w:val="555C55B5"/>
    <w:multiLevelType w:val="hybridMultilevel"/>
    <w:lvl w:ilvl="0">
      <w:lvlJc w:val="left"/>
      <w:lvlText w:val="%1."/>
      <w:numFmt w:val="decimal"/>
      <w:start w:val="12"/>
    </w:lvl>
  </w:abstractNum>
  <w:abstractNum w:abstractNumId="95">
    <w:nsid w:val="3FA62ACA"/>
    <w:multiLevelType w:val="hybridMultilevel"/>
    <w:lvl w:ilvl="0">
      <w:lvlJc w:val="left"/>
      <w:lvlText w:val="%1."/>
      <w:numFmt w:val="decimal"/>
      <w:start w:val="13"/>
    </w:lvl>
  </w:abstractNum>
  <w:abstractNum w:abstractNumId="96">
    <w:nsid w:val="14FCE74E"/>
    <w:multiLevelType w:val="hybridMultilevel"/>
    <w:lvl w:ilvl="0">
      <w:lvlJc w:val="left"/>
      <w:lvlText w:val="%1."/>
      <w:numFmt w:val="decimal"/>
      <w:start w:val="14"/>
    </w:lvl>
  </w:abstractNum>
  <w:abstractNum w:abstractNumId="97">
    <w:nsid w:val="6A3DD3E8"/>
    <w:multiLevelType w:val="hybridMultilevel"/>
    <w:lvl w:ilvl="0">
      <w:lvlJc w:val="left"/>
      <w:lvlText w:val="%1."/>
      <w:numFmt w:val="decimal"/>
      <w:start w:val="15"/>
    </w:lvl>
  </w:abstractNum>
  <w:abstractNum w:abstractNumId="98">
    <w:nsid w:val="71C91298"/>
    <w:multiLevelType w:val="hybridMultilevel"/>
    <w:lvl w:ilvl="0">
      <w:lvlJc w:val="left"/>
      <w:lvlText w:val="%1."/>
      <w:numFmt w:val="decimal"/>
      <w:start w:val="16"/>
    </w:lvl>
  </w:abstractNum>
  <w:abstractNum w:abstractNumId="99">
    <w:nsid w:val="9DAF632"/>
    <w:multiLevelType w:val="hybridMultilevel"/>
    <w:lvl w:ilvl="0">
      <w:lvlJc w:val="left"/>
      <w:lvlText w:val="%1."/>
      <w:numFmt w:val="decimal"/>
      <w:start w:val="17"/>
    </w:lvl>
  </w:abstractNum>
  <w:abstractNum w:abstractNumId="100">
    <w:nsid w:val="53299938"/>
    <w:multiLevelType w:val="hybridMultilevel"/>
    <w:lvl w:ilvl="0">
      <w:lvlJc w:val="left"/>
      <w:lvlText w:val="%1."/>
      <w:numFmt w:val="decimal"/>
      <w:start w:val="18"/>
    </w:lvl>
  </w:abstractNum>
  <w:abstractNum w:abstractNumId="101">
    <w:nsid w:val="1FBFE8E0"/>
    <w:multiLevelType w:val="hybridMultilevel"/>
    <w:lvl w:ilvl="0">
      <w:lvlJc w:val="left"/>
      <w:lvlText w:val="%1."/>
      <w:numFmt w:val="decimal"/>
      <w:start w:val="19"/>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lvl w:ilvl="1">
      <w:lvlJc w:val="left"/>
      <w:lvlText w:val="(%2)"/>
      <w:numFmt w:val="lowerLetter"/>
      <w:start w:val="1"/>
    </w:lvl>
  </w:abstractNum>
  <w:abstractNum w:abstractNumId="105">
    <w:nsid w:val="288F1A34"/>
    <w:multiLevelType w:val="hybridMultilevel"/>
    <w:lvl w:ilvl="0">
      <w:lvlJc w:val="left"/>
      <w:lvlText w:val="(%1)"/>
      <w:numFmt w:val="lowerLetter"/>
      <w:start w:val="2"/>
    </w:lvl>
  </w:abstractNum>
  <w:abstractNum w:abstractNumId="106">
    <w:nsid w:val="2A155DBC"/>
    <w:multiLevelType w:val="hybridMultilevel"/>
    <w:lvl w:ilvl="0">
      <w:lvlJc w:val="left"/>
      <w:lvlText w:val="%1."/>
      <w:numFmt w:val="decimal"/>
      <w:start w:val="2"/>
    </w:lvl>
  </w:abstractNum>
  <w:abstractNum w:abstractNumId="107">
    <w:nsid w:val="1D9F6E5F"/>
    <w:multiLevelType w:val="hybridMultilevel"/>
    <w:lvl w:ilvl="0">
      <w:lvlJc w:val="left"/>
      <w:lvlText w:val="%1."/>
      <w:numFmt w:val="decimal"/>
      <w:start w:val="16"/>
    </w:lvl>
    <w:lvl w:ilvl="1">
      <w:lvlJc w:val="left"/>
      <w:lvlText w:val="%2."/>
      <w:numFmt w:val="decimal"/>
      <w:start w:val="1"/>
    </w:lvl>
  </w:abstractNum>
  <w:abstractNum w:abstractNumId="108">
    <w:nsid w:val="97E1B4E"/>
    <w:multiLevelType w:val="hybridMultilevel"/>
    <w:lvl w:ilvl="0">
      <w:lvlJc w:val="left"/>
      <w:lvlText w:val="%1."/>
      <w:numFmt w:val="decimal"/>
      <w:start w:val="4"/>
    </w:lvl>
  </w:abstractNum>
  <w:abstractNum w:abstractNumId="109">
    <w:nsid w:val="5108827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4"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70" Type="http://schemas.openxmlformats.org/officeDocument/2006/relationships/hyperlink" Target="http://www.sec.gov/Archives/edgar/data/355069/000119312513370526/d554661dex43.htm" TargetMode="External"/><Relationship Id="rId71" Type="http://schemas.openxmlformats.org/officeDocument/2006/relationships/hyperlink" Target="http://www.sec.gov/Archives/edgar/data/902739/000119312515384253/d60854dex44.htm" TargetMode="External"/><Relationship Id="rId72" Type="http://schemas.openxmlformats.org/officeDocument/2006/relationships/hyperlink" Target="http://www.sec.gov/Archives/edgar/data/902739/000095010317010131/dp81757_ex0401.htm" TargetMode="External"/><Relationship Id="rId73" Type="http://schemas.openxmlformats.org/officeDocument/2006/relationships/hyperlink" Target="http://www.sec.gov/Archives/edgar/data/902739/000095010317010131/dp81757_ex0402.htm" TargetMode="External"/><Relationship Id="rId75" Type="http://schemas.openxmlformats.org/officeDocument/2006/relationships/hyperlink" Target="http://www.sec.gov/Archives/edgar/data/902739/000119312516452423/d49239dex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2019-12-16T13:01:43Z</dcterms:created>
  <dcterms:modified xsi:type="dcterms:W3CDTF">2019-12-16T13:01:43Z</dcterms:modified>
</cp:coreProperties>
</file>