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FORM SD</w:t>
      </w:r>
    </w:p>
    <w:p>
      <w:pPr>
        <w:spacing w:after="0" w:line="3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ind w:right="-519"/>
        <w:spacing w:after="0"/>
        <w:rPr>
          <w:sz w:val="20"/>
          <w:szCs w:val="20"/>
          <w:color w:val="auto"/>
        </w:rPr>
      </w:pPr>
      <w:r>
        <w:rPr>
          <w:rFonts w:ascii="Arial" w:cs="Arial" w:eastAsia="Arial" w:hAnsi="Arial"/>
          <w:sz w:val="40"/>
          <w:szCs w:val="40"/>
          <w:b w:val="1"/>
          <w:bCs w:val="1"/>
          <w:color w:val="auto"/>
        </w:rPr>
        <w:t>COMCAST CORPORATION</w:t>
      </w:r>
    </w:p>
    <w:p>
      <w:pPr>
        <w:spacing w:after="0" w:line="3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468" w:right="8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40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001-32871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50" w:lineRule="exact"/>
        <w:rPr>
          <w:sz w:val="24"/>
          <w:szCs w:val="24"/>
          <w:color w:val="auto"/>
        </w:rPr>
      </w:pPr>
    </w:p>
    <w:p>
      <w:pPr>
        <w:sectPr>
          <w:pgSz w:w="11900" w:h="16838" w:orient="portrait"/>
          <w:cols w:equalWidth="0" w:num="3">
            <w:col w:w="4640" w:space="720"/>
            <w:col w:w="2920" w:space="720"/>
            <w:col w:w="1740"/>
          </w:cols>
          <w:pgMar w:left="320" w:top="468" w:right="839" w:bottom="1440" w:gutter="0" w:footer="0" w:header="0"/>
          <w:type w:val="continuous"/>
        </w:sectPr>
      </w:pPr>
    </w:p>
    <w:p>
      <w:pPr>
        <w:jc w:val="center"/>
        <w:ind w:right="700"/>
        <w:spacing w:after="0"/>
        <w:rPr>
          <w:sz w:val="20"/>
          <w:szCs w:val="20"/>
          <w:color w:val="auto"/>
        </w:rPr>
      </w:pPr>
      <w:r>
        <w:rPr>
          <w:rFonts w:ascii="Arial" w:cs="Arial" w:eastAsia="Arial" w:hAnsi="Arial"/>
          <w:sz w:val="18"/>
          <w:szCs w:val="18"/>
          <w:color w:val="auto"/>
        </w:rPr>
        <w:t>(State or other jurisdiction</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62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40" w:space="720"/>
            <w:col w:w="2800" w:space="720"/>
            <w:col w:w="1960"/>
          </w:cols>
          <w:pgMar w:left="320" w:top="468" w:right="839" w:bottom="1440" w:gutter="0" w:footer="0" w:header="0"/>
          <w:type w:val="continuous"/>
        </w:sectPr>
      </w:pPr>
    </w:p>
    <w:p>
      <w:pPr>
        <w:spacing w:after="0" w:line="18"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400" w:space="720"/>
            <w:col w:w="2620"/>
          </w:cols>
          <w:pgMar w:left="320" w:top="468" w:right="839" w:bottom="1440" w:gutter="0" w:footer="0" w:header="0"/>
          <w:type w:val="continuous"/>
        </w:sectPr>
      </w:pPr>
    </w:p>
    <w:p>
      <w:pPr>
        <w:spacing w:after="0" w:line="2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Thomas J. Reid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(Name and telephone number, including area code,</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right="880" w:firstLine="8"/>
        <w:spacing w:after="0" w:line="308" w:lineRule="auto"/>
        <w:tabs>
          <w:tab w:leader="none" w:pos="445"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2021. o 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468"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352425</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t>Section 1 – Conflict Minerals Disclosure</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Comcast Corporation (“Comcast”) has issued a Conflict Minerals Report for the period from January 1, 2021 to December 31, 2021. A copy of the Conflict Minerals Report is filed as Exhibit 1.01 hereto and is available at </w:t>
      </w:r>
      <w:r>
        <w:rPr>
          <w:rFonts w:ascii="Arial" w:cs="Arial" w:eastAsia="Arial" w:hAnsi="Arial"/>
          <w:sz w:val="18"/>
          <w:szCs w:val="18"/>
          <w:i w:val="1"/>
          <w:iCs w:val="1"/>
          <w:color w:val="auto"/>
        </w:rPr>
        <w:t>https://www.cmcsa.com/esg-reporting</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3.01.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May 31, 2022</w:t>
            </w:r>
          </w:p>
        </w:tc>
        <w:tc>
          <w:tcPr>
            <w:tcW w:w="2460" w:type="dxa"/>
            <w:vAlign w:val="bottom"/>
          </w:tcPr>
          <w:p>
            <w:pPr>
              <w:ind w:left="170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Reid</w:t>
            </w:r>
          </w:p>
        </w:tc>
      </w:tr>
      <w:tr>
        <w:trPr>
          <w:trHeight w:val="195"/>
        </w:trPr>
        <w:tc>
          <w:tcPr>
            <w:tcW w:w="3160" w:type="dxa"/>
            <w:vAlign w:val="bottom"/>
          </w:tcPr>
          <w:p>
            <w:pPr>
              <w:spacing w:after="0"/>
              <w:rPr>
                <w:sz w:val="16"/>
                <w:szCs w:val="16"/>
                <w:color w:val="auto"/>
              </w:rPr>
            </w:pPr>
          </w:p>
        </w:tc>
        <w:tc>
          <w:tcPr>
            <w:tcW w:w="2460" w:type="dxa"/>
            <w:vAlign w:val="bottom"/>
          </w:tcPr>
          <w:p>
            <w:pPr>
              <w:ind w:left="1700"/>
              <w:spacing w:after="0" w:line="195" w:lineRule="exact"/>
              <w:rPr>
                <w:sz w:val="20"/>
                <w:szCs w:val="20"/>
                <w:color w:val="auto"/>
              </w:rPr>
            </w:pPr>
            <w:r>
              <w:rPr>
                <w:rFonts w:ascii="Arial" w:cs="Arial" w:eastAsia="Arial" w:hAnsi="Arial"/>
                <w:sz w:val="18"/>
                <w:szCs w:val="18"/>
                <w:color w:val="auto"/>
              </w:rPr>
              <w:t>Name:</w:t>
            </w: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3160" w:type="dxa"/>
            <w:vAlign w:val="bottom"/>
          </w:tcPr>
          <w:p>
            <w:pPr>
              <w:spacing w:after="0"/>
              <w:rPr>
                <w:sz w:val="20"/>
                <w:szCs w:val="20"/>
                <w:color w:val="auto"/>
              </w:rPr>
            </w:pPr>
          </w:p>
        </w:tc>
        <w:tc>
          <w:tcPr>
            <w:tcW w:w="2460" w:type="dxa"/>
            <w:vAlign w:val="bottom"/>
          </w:tcPr>
          <w:p>
            <w:pPr>
              <w:ind w:left="1700"/>
              <w:spacing w:after="0"/>
              <w:rPr>
                <w:sz w:val="20"/>
                <w:szCs w:val="20"/>
                <w:color w:val="auto"/>
              </w:rPr>
            </w:pPr>
            <w:r>
              <w:rPr>
                <w:rFonts w:ascii="Arial" w:cs="Arial" w:eastAsia="Arial" w:hAnsi="Arial"/>
                <w:sz w:val="18"/>
                <w:szCs w:val="18"/>
                <w:color w:val="auto"/>
              </w:rPr>
              <w:t>Title:</w:t>
            </w:r>
          </w:p>
        </w:tc>
        <w:tc>
          <w:tcPr>
            <w:tcW w:w="5620" w:type="dxa"/>
            <w:vAlign w:val="bottom"/>
          </w:tcPr>
          <w:p>
            <w:pPr>
              <w:spacing w:after="0"/>
              <w:rPr>
                <w:sz w:val="20"/>
                <w:szCs w:val="20"/>
                <w:color w:val="auto"/>
              </w:rPr>
            </w:pPr>
            <w:r>
              <w:rPr>
                <w:rFonts w:ascii="Arial" w:cs="Arial" w:eastAsia="Arial" w:hAnsi="Arial"/>
                <w:sz w:val="18"/>
                <w:szCs w:val="18"/>
                <w:color w:val="auto"/>
              </w:rPr>
              <w:t>Chief Legal Officer and Secretary</w:t>
            </w:r>
          </w:p>
        </w:tc>
      </w:tr>
      <w:tr>
        <w:trPr>
          <w:trHeight w:val="553"/>
        </w:trPr>
        <w:tc>
          <w:tcPr>
            <w:tcW w:w="3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jc w:val="center"/>
        <w:spacing w:after="0"/>
        <w:rPr>
          <w:sz w:val="20"/>
          <w:szCs w:val="20"/>
          <w:color w:val="auto"/>
        </w:rPr>
      </w:pPr>
      <w:r>
        <w:rPr>
          <w:rFonts w:ascii="Arial" w:cs="Arial" w:eastAsia="Arial" w:hAnsi="Arial"/>
          <w:sz w:val="20"/>
          <w:szCs w:val="20"/>
          <w:b w:val="1"/>
          <w:bCs w:val="1"/>
          <w:color w:val="auto"/>
        </w:rPr>
        <w:t>For the Year Ended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Conflict Minerals Report (this “Report”) of Comcast Corporation (“Comcast,” the “Company,” “we,” “us,” or “our”) for calendar year 2021 has been prepared in accordance with Rule 13p-1 under the Securities Exchange Act of 1934 (“Rule 13p-1”), as modified by guidance of the Securities and Exchange Commission (the “Conflict Minerals Rule”).</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Conflict Minerals Rule requires issuers to annually file a Form SD with the U.S. Securities and Exchange Commission (“SEC”) to disclose information regarding the use and origin of “Conflict Minerals” necessary for the functionality or production of products manufactured or contracted to be manufactured by such issuer. Under the Conflict Minerals Rule, “Conflict Minerals” currently include columbite-tantalite (coltan), cassiterite, gold, wolframite, and also their derivatives tantalum, tin and tungsten. We refer to gold, tantalum, tin and tungsten collectively as “3TG.” The purpose of the Conflict Minerals Rule is to discover if covered issuers’ use of 3TG may have directly or indirectly financed or benefitted armed groups in the Democratic Republic of Congo and its adjoining countries (the “Covered Countries”).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This Report describes the Company’s compliance program for products covered by the Conflict Minerals Rule, as well as steps taken to implement the compliance program, conduct in good faith an investigation as to the country of origin of the minerals used in the products that are within the scope of the Conflict Minerals Rule and perform due diligence on the source and chain of custody of such minerals (see “Product Description and Determination” below).</w:t>
      </w:r>
    </w:p>
    <w:p>
      <w:pPr>
        <w:spacing w:after="0" w:line="205"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This Report is based on information available at the time of filing. This Report may contain forward-looking statements regarding steps to be taken in the future, and those statements are subject to risks and uncertainties. References to any website in this Form SD or Report do not incorporate information from that website into this filing.</w:t>
      </w:r>
    </w:p>
    <w:p>
      <w:pPr>
        <w:spacing w:after="0" w:line="199" w:lineRule="exact"/>
        <w:rPr>
          <w:sz w:val="20"/>
          <w:szCs w:val="20"/>
          <w:color w:val="auto"/>
        </w:rPr>
      </w:pPr>
    </w:p>
    <w:p>
      <w:pPr>
        <w:ind w:right="260"/>
        <w:spacing w:after="0" w:line="257" w:lineRule="auto"/>
        <w:rPr>
          <w:sz w:val="20"/>
          <w:szCs w:val="20"/>
          <w:color w:val="auto"/>
        </w:rPr>
      </w:pPr>
      <w:r>
        <w:rPr>
          <w:rFonts w:ascii="Arial" w:cs="Arial" w:eastAsia="Arial" w:hAnsi="Arial"/>
          <w:sz w:val="19"/>
          <w:szCs w:val="19"/>
          <w:color w:val="auto"/>
        </w:rPr>
        <w:t>Forward-looking statements are subject to risks and uncertainties that could cause actual actions or performance to differ materially from those expressed in the forward-looking statements. These risks and uncertainties include, but are not limited to, (1) the implementation of satisfactory traceability and other compliance measures by our direct and indirect suppliers on a timely basis or at all, (2) whether smelters and refiners and other market participants responsibly source conflict minerals, (3) internal and external resource constraints, and (4) political and regulatory developments, whether in the Covered Countries, the United States or elsewhere. You are cautioned not to place undue reliance on these forward-looking statements, which speak only as of the date of filing of this Report. We do not intend, and undertake no obligation, to publish revised forward-looking statements to reflect events or circumstances after the date of filing of this Report or to reflect the occurrence of unanticipated events.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Description and Determination</w:t>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due diligence measures set forth below were undertaken with respect to suppliers of the following products that the Company contracts to manufacture:</w:t>
      </w:r>
    </w:p>
    <w:p>
      <w:pPr>
        <w:spacing w:after="0" w:line="19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Sky Glass television, which was first launched in 2021;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certain lighting fixtures assembled by Cineo Lighting, which we acquired in June 2019 (the “Covered Products”).</w:t>
      </w:r>
    </w:p>
    <w:p>
      <w:pPr>
        <w:spacing w:after="0" w:line="229"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After taking the due diligence measures described below, we are not able to determine whether the 3TG smelter/refiner facilities used in our supply chain sourced 3TG from the Covered Countries and, if so, whether that 3TG was sourced from recycled, scrap or other conflict-free sources.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Reasonable Country of Origin Inquiry</w:t>
      </w:r>
    </w:p>
    <w:p>
      <w:pPr>
        <w:spacing w:after="0" w:line="23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In accordance with the Conflict Minerals Rule, our compliance process includes a Reasonable Country of Origin Inquiry (“RCOI”) seeking the location of the smelter/refiner facilities used to refine or process the 3TG used in the Covered Products.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Because the smelters and refiners that produce 3TG metals, and the mines from which the minerals are originally sourced, are many steps away from the Company in the supply chain, we rely on our suppliers to provide information to support our due diligence efforts. We have requested that the direct suppliers involved in our Covered Products conduct due diligence to identify the origin of the 3TG metals in the components or products they sell to us in seeking to ensure that the 3TG metals are sourced responsibly.</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conducted our RCOI based on the smelter information received from these suppliers. We then compared this information with the RCOI database compiled by the Responsible Minerals Initiative (“RMI”), an industry initiative. The RMI supports the collection of information, increased transparency, and smelter audits for due diligence over the mineral supply chain. Their RCOI database contains aggregated data on the origins of 3TG metals from smelters that conform with the RMI’s Responsible Minerals Assurance Process (“RMAP”). In some cases, information provided by our direct suppliers is incomplete, and suppliers are unable to confirm the country of origin information for 3TG metals. Based on data collected from the suppliers for the year ended December 31, 2021, we have reason to believe that 3TG metals contained in the Covered Products may have originated from one or more of the Covered Countries and were not from recycled or scrap sources.</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See Annex 1 for a list of the identified smelters included in the Conflict Minerals Reporting Templates (“CMRT”) submitted by suppliers for the Covered Products and the smelter’s geographic location.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Comcast’s Due Diligence Framework</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have designed our due diligence measures with respect to the source and chain of custody of conflict minerals in the Covered Products to conform, in all material respects, with the internationally recognized five-step framework recommended by the Organization for Economic Cooperation and Development (“OECD”) in its </w:t>
      </w:r>
      <w:r>
        <w:rPr>
          <w:rFonts w:ascii="Arial" w:cs="Arial" w:eastAsia="Arial" w:hAnsi="Arial"/>
          <w:sz w:val="18"/>
          <w:szCs w:val="18"/>
          <w:i w:val="1"/>
          <w:iCs w:val="1"/>
          <w:color w:val="auto"/>
        </w:rPr>
        <w:t>Due Diligence Guidance for Responsible Supply Chains of Minerals from Conflict-Affected</w:t>
      </w:r>
      <w:r>
        <w:rPr>
          <w:rFonts w:ascii="Arial" w:cs="Arial" w:eastAsia="Arial" w:hAnsi="Arial"/>
          <w:sz w:val="18"/>
          <w:szCs w:val="18"/>
          <w:color w:val="auto"/>
        </w:rPr>
        <w:t xml:space="preserve"> </w:t>
      </w:r>
      <w:r>
        <w:rPr>
          <w:rFonts w:ascii="Arial" w:cs="Arial" w:eastAsia="Arial" w:hAnsi="Arial"/>
          <w:sz w:val="18"/>
          <w:szCs w:val="18"/>
          <w:i w:val="1"/>
          <w:iCs w:val="1"/>
          <w:color w:val="auto"/>
        </w:rPr>
        <w:t>and High-Risk Areas</w:t>
      </w:r>
      <w:r>
        <w:rPr>
          <w:rFonts w:ascii="Arial" w:cs="Arial" w:eastAsia="Arial" w:hAnsi="Arial"/>
          <w:sz w:val="18"/>
          <w:szCs w:val="18"/>
          <w:color w:val="auto"/>
        </w:rPr>
        <w:t>, Third Edition (OECD, 2016) (the “OECD Framework”). These five steps are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OECD Step 1: Establish Strong Company Management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taken the following steps to strengthen our company management systems with respect to Conflicts Minerals matters:</w:t>
      </w:r>
    </w:p>
    <w:p>
      <w:pPr>
        <w:spacing w:after="0" w:line="252" w:lineRule="exact"/>
        <w:rPr>
          <w:sz w:val="20"/>
          <w:szCs w:val="20"/>
          <w:color w:val="auto"/>
        </w:rPr>
      </w:pPr>
    </w:p>
    <w:p>
      <w:pPr>
        <w:jc w:val="both"/>
        <w:ind w:left="340" w:hanging="332"/>
        <w:spacing w:after="0" w:line="250"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Instituted a Conflicts Minerals Policy</w:t>
      </w:r>
      <w:r>
        <w:rPr>
          <w:rFonts w:ascii="Arial" w:cs="Arial" w:eastAsia="Arial" w:hAnsi="Arial"/>
          <w:sz w:val="20"/>
          <w:szCs w:val="20"/>
          <w:color w:val="auto"/>
        </w:rPr>
        <w:t>. We maintain a Conflict Minerals Policy (the “Conflict Minerals Policy”) with respect to Covered</w:t>
      </w:r>
      <w:r>
        <w:rPr>
          <w:rFonts w:ascii="Arial" w:cs="Arial" w:eastAsia="Arial" w:hAnsi="Arial"/>
          <w:sz w:val="20"/>
          <w:szCs w:val="20"/>
          <w:i w:val="1"/>
          <w:iCs w:val="1"/>
          <w:color w:val="auto"/>
        </w:rPr>
        <w:t xml:space="preserve"> </w:t>
      </w:r>
      <w:r>
        <w:rPr>
          <w:rFonts w:ascii="Arial" w:cs="Arial" w:eastAsia="Arial" w:hAnsi="Arial"/>
          <w:sz w:val="20"/>
          <w:szCs w:val="20"/>
          <w:color w:val="auto"/>
        </w:rPr>
        <w:t>Products that sets forth (i) our support for sourcing conflict-free materials from the Covered Countries in accordance with the OECD Framework, and (ii)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 w:name="page6"/>
    <w:bookmarkEnd w:id="5"/>
    <w:p>
      <w:pPr>
        <w:ind w:left="340"/>
        <w:spacing w:after="0" w:line="260" w:lineRule="auto"/>
        <w:rPr>
          <w:sz w:val="20"/>
          <w:szCs w:val="20"/>
          <w:color w:val="auto"/>
        </w:rPr>
      </w:pPr>
      <w:r>
        <w:rPr>
          <w:rFonts w:ascii="Arial" w:cs="Arial" w:eastAsia="Arial" w:hAnsi="Arial"/>
          <w:sz w:val="20"/>
          <w:szCs w:val="20"/>
          <w:color w:val="auto"/>
        </w:rPr>
        <w:t xml:space="preserve">expectations of suppliers in support of our compliance activities. The Conflict Minerals Policy is publicly available at </w:t>
      </w:r>
      <w:r>
        <w:rPr>
          <w:rFonts w:ascii="Arial" w:cs="Arial" w:eastAsia="Arial" w:hAnsi="Arial"/>
          <w:sz w:val="20"/>
          <w:szCs w:val="20"/>
          <w:i w:val="1"/>
          <w:iCs w:val="1"/>
          <w:color w:val="auto"/>
        </w:rPr>
        <w:t>https://www.cmcsa.com/esg-reporting</w:t>
      </w:r>
      <w:r>
        <w:rPr>
          <w:rFonts w:ascii="Arial" w:cs="Arial" w:eastAsia="Arial" w:hAnsi="Arial"/>
          <w:sz w:val="20"/>
          <w:szCs w:val="20"/>
          <w:color w:val="auto"/>
        </w:rPr>
        <w:t>.</w:t>
      </w:r>
    </w:p>
    <w:p>
      <w:pPr>
        <w:spacing w:after="0" w:line="190" w:lineRule="exact"/>
        <w:rPr>
          <w:sz w:val="20"/>
          <w:szCs w:val="20"/>
          <w:color w:val="auto"/>
        </w:rPr>
      </w:pPr>
    </w:p>
    <w:p>
      <w:pPr>
        <w:jc w:val="both"/>
        <w:ind w:left="340" w:hanging="332"/>
        <w:spacing w:after="0" w:line="27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Created a Cross-Functional Working Group to Support Conflict Minerals Due Diligence</w:t>
      </w:r>
      <w:r>
        <w:rPr>
          <w:rFonts w:ascii="Arial" w:cs="Arial" w:eastAsia="Arial" w:hAnsi="Arial"/>
          <w:sz w:val="18"/>
          <w:szCs w:val="18"/>
          <w:color w:val="auto"/>
        </w:rPr>
        <w:t>. The implementation of our RCOI, conducting</w:t>
      </w:r>
      <w:r>
        <w:rPr>
          <w:rFonts w:ascii="Arial" w:cs="Arial" w:eastAsia="Arial" w:hAnsi="Arial"/>
          <w:sz w:val="18"/>
          <w:szCs w:val="18"/>
          <w:i w:val="1"/>
          <w:iCs w:val="1"/>
          <w:color w:val="auto"/>
        </w:rPr>
        <w:t xml:space="preserve"> </w:t>
      </w:r>
      <w:r>
        <w:rPr>
          <w:rFonts w:ascii="Arial" w:cs="Arial" w:eastAsia="Arial" w:hAnsi="Arial"/>
          <w:sz w:val="18"/>
          <w:szCs w:val="18"/>
          <w:color w:val="auto"/>
        </w:rPr>
        <w:t>due diligence on the source and chain of custody of conflict minerals in the Covered Products and identifying Covered Products are managed by a cross-functional working group that includes representatives across our primary business units from procurement, compliance, sustainability, accounting and legal departments (the “Conflict Minerals Working Group”). We have worked with specialist consultancy service providers to assist in tracking data, assessing risks and preparing our reporting information.</w:t>
      </w:r>
    </w:p>
    <w:p>
      <w:pPr>
        <w:spacing w:after="0" w:line="178" w:lineRule="exact"/>
        <w:rPr>
          <w:rFonts w:ascii="Arial" w:cs="Arial" w:eastAsia="Arial" w:hAnsi="Arial"/>
          <w:sz w:val="18"/>
          <w:szCs w:val="18"/>
          <w:color w:val="auto"/>
        </w:rPr>
      </w:pPr>
    </w:p>
    <w:p>
      <w:pPr>
        <w:jc w:val="both"/>
        <w:ind w:left="340" w:hanging="332"/>
        <w:spacing w:after="0" w:line="243"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Established a Conflict Minerals Supply Chain Due Diligence Process</w:t>
      </w:r>
      <w:r>
        <w:rPr>
          <w:rFonts w:ascii="Arial" w:cs="Arial" w:eastAsia="Arial" w:hAnsi="Arial"/>
          <w:sz w:val="20"/>
          <w:szCs w:val="20"/>
          <w:color w:val="auto"/>
        </w:rPr>
        <w:t>. We have requested that the direct suppliers involved in our</w:t>
      </w:r>
      <w:r>
        <w:rPr>
          <w:rFonts w:ascii="Arial" w:cs="Arial" w:eastAsia="Arial" w:hAnsi="Arial"/>
          <w:sz w:val="20"/>
          <w:szCs w:val="20"/>
          <w:i w:val="1"/>
          <w:iCs w:val="1"/>
          <w:color w:val="auto"/>
        </w:rPr>
        <w:t xml:space="preserve"> </w:t>
      </w:r>
      <w:r>
        <w:rPr>
          <w:rFonts w:ascii="Arial" w:cs="Arial" w:eastAsia="Arial" w:hAnsi="Arial"/>
          <w:sz w:val="20"/>
          <w:szCs w:val="20"/>
          <w:color w:val="auto"/>
        </w:rPr>
        <w:t>Covered Products conduct due diligence to identify the origin of the 3TG metals in the components or products they sell to us in seeking to ensure that the 3TG metals are sourced responsibly. These suppliers are expected to extend a similar identification process to their own suppliers and cascade them down the supply chain until the origin of 3TG metals contained in the products supplied to us can be identified. These suppliers report their progress through the RMI’s CMRT. The CMRT is designed to identify the smelters from which any 3TG metals in each of the Covered Products are sourced.</w:t>
      </w:r>
    </w:p>
    <w:p>
      <w:pPr>
        <w:spacing w:after="0" w:line="209" w:lineRule="exact"/>
        <w:rPr>
          <w:rFonts w:ascii="Arial" w:cs="Arial" w:eastAsia="Arial" w:hAnsi="Arial"/>
          <w:sz w:val="20"/>
          <w:szCs w:val="20"/>
          <w:color w:val="auto"/>
        </w:rPr>
      </w:pPr>
    </w:p>
    <w:p>
      <w:pPr>
        <w:jc w:val="both"/>
        <w:ind w:left="340" w:hanging="332"/>
        <w:spacing w:after="0" w:line="257"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i w:val="1"/>
          <w:iCs w:val="1"/>
          <w:color w:val="auto"/>
        </w:rPr>
        <w:t>Provided a Company-level Grievance Mechanism for Reporting Concerns</w:t>
      </w:r>
      <w:r>
        <w:rPr>
          <w:rFonts w:ascii="Arial" w:cs="Arial" w:eastAsia="Arial" w:hAnsi="Arial"/>
          <w:sz w:val="19"/>
          <w:szCs w:val="19"/>
          <w:color w:val="auto"/>
        </w:rPr>
        <w:t>. Our Comcast NBCUniversal Listens and Sky Listens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programs outlined in our Code of Conduct (available at </w:t>
      </w:r>
      <w:r>
        <w:rPr>
          <w:rFonts w:ascii="Arial" w:cs="Arial" w:eastAsia="Arial" w:hAnsi="Arial"/>
          <w:sz w:val="19"/>
          <w:szCs w:val="19"/>
          <w:i w:val="1"/>
          <w:iCs w:val="1"/>
          <w:color w:val="auto"/>
        </w:rPr>
        <w:t>https://corporate.comcast.com/impact/values-integrity/integrity/code-of-conduct</w:t>
      </w:r>
      <w:r>
        <w:rPr>
          <w:rFonts w:ascii="Arial" w:cs="Arial" w:eastAsia="Arial" w:hAnsi="Arial"/>
          <w:sz w:val="19"/>
          <w:szCs w:val="19"/>
          <w:color w:val="auto"/>
        </w:rPr>
        <w:t xml:space="preserve">) provides a company-level grievance mechanism for reporting any concerns related to allegations of illegal or unethical conduct or violations of Comcast’s Code of Conduct and policies, including those related to conflict minerals. It can be used by employees, contractors, suppliers’ employees or contractors, business partners or any other individual or organization to report concerns, anonymously if they prefer. Information on our Code of Conduct for Suppliers and Business Partners is available on our website at </w:t>
      </w:r>
      <w:r>
        <w:rPr>
          <w:rFonts w:ascii="Arial" w:cs="Arial" w:eastAsia="Arial" w:hAnsi="Arial"/>
          <w:sz w:val="19"/>
          <w:szCs w:val="19"/>
          <w:i w:val="1"/>
          <w:iCs w:val="1"/>
          <w:color w:val="auto"/>
        </w:rPr>
        <w:t>https://corporate.comcast.com/impact/values-integrity/integrity/our-suppliers-and-business-partners</w:t>
      </w:r>
      <w:r>
        <w:rPr>
          <w:rFonts w:ascii="Arial" w:cs="Arial" w:eastAsia="Arial" w:hAnsi="Arial"/>
          <w:sz w:val="19"/>
          <w:szCs w:val="19"/>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OECD Step 2: Identify and Assess Risks in the Supply Chain</w:t>
      </w:r>
    </w:p>
    <w:p>
      <w:pPr>
        <w:spacing w:after="0" w:line="22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To help identify and assess conflict minerals risks in our supply chain, we requested that the suppliers of Covered Products complete the CMRT. We then analyzed their responses, and if we identified disclosure-related risks, we followed up with such supplier to further assess.</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Certain individuals within the Conflict Minerals Working Group managed the collection of information reported on the CMRT, coordinated follow-up communications with suppliers as needed, and evaluated information collected as well as additional information that may be available from other sources for potential red flags and other risks.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also compared the smelters identified in our supplier responses with the RMI List of All Operational 3TG Smelters, the RMI Smelter Revision History List, the RMI List of Conformant Smelters and the RMI List of Active Smelters. These lists are maintained online by the RMI and are frequently updated to reflect changes in the reporting status of various smelters.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See Annex 1 for a list of the identified smelters included in the CMRT submitted by suppliers for the Covered Products and the smelter’s geographic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i w:val="1"/>
          <w:iCs w:val="1"/>
          <w:color w:val="auto"/>
        </w:rPr>
        <w:t>OECD Step 3: Design and Implement a Strategy to Respond to Identified Risks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Our strategy to respond to material identified risks in the supply chain includes a range of measures that form part of our due diligence process.</w:t>
      </w:r>
    </w:p>
    <w:p>
      <w:pPr>
        <w:spacing w:after="0" w:line="190" w:lineRule="exact"/>
        <w:rPr>
          <w:sz w:val="20"/>
          <w:szCs w:val="20"/>
          <w:color w:val="auto"/>
        </w:rPr>
      </w:pPr>
    </w:p>
    <w:p>
      <w:pPr>
        <w:ind w:left="340" w:right="20" w:hanging="332"/>
        <w:spacing w:after="0" w:line="260"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review supplier responses to the CMRT and follow up with suppliers to request clarification or more complete responses where necessary.</w:t>
      </w:r>
    </w:p>
    <w:p>
      <w:pPr>
        <w:spacing w:after="0" w:line="190" w:lineRule="exact"/>
        <w:rPr>
          <w:rFonts w:ascii="Arial" w:cs="Arial" w:eastAsia="Arial" w:hAnsi="Arial"/>
          <w:sz w:val="20"/>
          <w:szCs w:val="20"/>
          <w:color w:val="auto"/>
        </w:rPr>
      </w:pPr>
    </w:p>
    <w:p>
      <w:pPr>
        <w:ind w:left="340" w:right="20" w:hanging="332"/>
        <w:spacing w:after="0" w:line="287"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Where potentially material risks are identified, we have communication processes to notify relevant management and engage with suppliers and request their commitment to corrective actions to manage these risks, including to improve data quality.</w:t>
      </w:r>
    </w:p>
    <w:p>
      <w:pPr>
        <w:spacing w:after="0" w:line="165" w:lineRule="exact"/>
        <w:rPr>
          <w:rFonts w:ascii="Arial" w:cs="Arial" w:eastAsia="Arial" w:hAnsi="Arial"/>
          <w:sz w:val="19"/>
          <w:szCs w:val="19"/>
          <w:color w:val="auto"/>
        </w:rPr>
      </w:pPr>
    </w:p>
    <w:p>
      <w:pPr>
        <w:ind w:left="340" w:hanging="332"/>
        <w:spacing w:after="0" w:line="287"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ask that, when suppliers of Covered Products identify smelters within the supply chain that are RMAP Non-Conformant, suppliers encourage the smelters to participate in the RMAP process or consider alternate sourcing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OECD Step 4: Carry Out Independent Third-Party Audit of Smelter/Refiner’s Due Diligence Practices</w:t>
      </w:r>
    </w:p>
    <w:p>
      <w:pPr>
        <w:spacing w:after="0" w:line="229"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We are a downstream consumer of 3TG and are many steps removed from the smelters that provide minerals and ores. Because we do not have a direct relationship with any smelter/refiner facilities for minerals contained in the Covered Products, we are unable to conduct audits of these entities. Instead, as recommended by the OECD Framework, we participate in industry initiatives for the development and implementation of a smelter/refiner audit program through the RMI, which administers the Responsible Minerals Assurance Process, which includes an audit.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OECD Step 5: Report Annually on Supply Chain Due Diligence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Report and the related Form SD are publicly available online at </w:t>
      </w:r>
      <w:r>
        <w:rPr>
          <w:rFonts w:ascii="Arial" w:cs="Arial" w:eastAsia="Arial" w:hAnsi="Arial"/>
          <w:sz w:val="20"/>
          <w:szCs w:val="20"/>
          <w:i w:val="1"/>
          <w:iCs w:val="1"/>
          <w:color w:val="auto"/>
        </w:rPr>
        <w:t>https://www.cmcsa.com/financials/sec-filings</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Due Diligence Performed and Results</w:t>
      </w:r>
    </w:p>
    <w:p>
      <w:pPr>
        <w:spacing w:after="0" w:line="235"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With respect to the 2021 calendar year reporting period, we performed the following due diligence measures with respect to Covered Products:</w:t>
      </w:r>
    </w:p>
    <w:p>
      <w:pPr>
        <w:spacing w:after="0" w:line="190" w:lineRule="exact"/>
        <w:rPr>
          <w:sz w:val="20"/>
          <w:szCs w:val="20"/>
          <w:color w:val="auto"/>
        </w:rPr>
      </w:pPr>
    </w:p>
    <w:p>
      <w:pPr>
        <w:ind w:left="340" w:right="160" w:hanging="332"/>
        <w:spacing w:after="0" w:line="26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Collected information through the CMRT from suppliers on the smelters and refiners of conflict minerals that were reported to be in the supply chain during 2021;</w:t>
      </w:r>
    </w:p>
    <w:p>
      <w:pPr>
        <w:spacing w:after="0" w:line="190" w:lineRule="exact"/>
        <w:rPr>
          <w:rFonts w:ascii="Arial" w:cs="Arial" w:eastAsia="Arial" w:hAnsi="Arial"/>
          <w:sz w:val="20"/>
          <w:szCs w:val="20"/>
          <w:color w:val="auto"/>
        </w:rPr>
      </w:pPr>
    </w:p>
    <w:p>
      <w:pPr>
        <w:ind w:left="340" w:right="400" w:hanging="332"/>
        <w:spacing w:after="0" w:line="26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Compared the reported smelters and refiners to the list of smelters and refiners found by RMI to be conformant (or actively pursuing conformity) with the RMAP standards;</w:t>
      </w:r>
    </w:p>
    <w:p>
      <w:pPr>
        <w:spacing w:after="0" w:line="190" w:lineRule="exact"/>
        <w:rPr>
          <w:rFonts w:ascii="Arial" w:cs="Arial" w:eastAsia="Arial" w:hAnsi="Arial"/>
          <w:sz w:val="20"/>
          <w:szCs w:val="20"/>
          <w:color w:val="auto"/>
        </w:rPr>
      </w:pPr>
    </w:p>
    <w:p>
      <w:pPr>
        <w:ind w:left="340" w:right="320" w:hanging="332"/>
        <w:spacing w:after="0" w:line="26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Reviewed available information from certain additional resources on the sourcing and due diligence practices of the reported smelters and refiners; and</w:t>
      </w:r>
    </w:p>
    <w:p>
      <w:pPr>
        <w:spacing w:after="0" w:line="190"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Supported through our Sky subsidiary the RMI’s programs and initiatives, such as the RMAP, and attended RMI working group meetings and the RMI annual conference.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efforts to determine the mine or location of origin consisted of the due diligence measures described in this Report. As a downstream consumer of 3TG, we do not have a direct relationship with any of the reported smelters and refiners, and we relied upon our suppliers and third-party organizations such as RMI to review upstream information, including the mine or location of origin of necessary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0"/>
          <w:szCs w:val="20"/>
          <w:color w:val="auto"/>
        </w:rPr>
        <w:t>We believe that seeking information about 3TG smelter/refiner facilities in our supply chain and otherwise participating in the RMI’s assessment program as described above represents a reasonable effort to determine the mines or locations of origin of 3TG in our supply chain.</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received responses from 100% of the suppliers surveyed. The survey included 34 suppliers identified as potentially incorporating 3TG into Covered Products supplied to the Company. The relevant suppliers declared a total of 276 unique smelter names as the source of 3TG in the Covered Products. Of those smelters, 237 were designated as conformant or active under the RMAP as of December 31, 2021. However, we are unable to link specific smelters to our applicable products.</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Annex 1 contains a list of the unique smelter names disclosed to us by suppliers of the Covered Products and the smelter’s geographic location. Based on the information provided by the suppliers, from the RMAP and from other sources, we believe that the countries of origin of the conflict minerals contained in some of our Covered Products might include Covered Countries, as well as recycled and scrap sources.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Annex 2 contains the aggregated list of countries of origin of the conflict minerals used by the smelter facilities listed in Annex 1 based on input from RMI and our suppliers.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Continuous Improvement Efforts to Mitigate Risk</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9"/>
          <w:szCs w:val="19"/>
          <w:color w:val="auto"/>
        </w:rPr>
        <w:t>recognize that efforts to reduce violence associated with conflict minerals are ongoing and require us to adapt to changing situations. We</w:t>
      </w:r>
      <w:r>
        <w:rPr>
          <w:rFonts w:ascii="Arial" w:cs="Arial" w:eastAsia="Arial" w:hAnsi="Arial"/>
          <w:sz w:val="18"/>
          <w:szCs w:val="18"/>
          <w:color w:val="auto"/>
        </w:rPr>
        <w:t xml:space="preserve"> </w:t>
      </w:r>
      <w:r>
        <w:rPr>
          <w:rFonts w:ascii="Arial" w:cs="Arial" w:eastAsia="Arial" w:hAnsi="Arial"/>
          <w:sz w:val="19"/>
          <w:szCs w:val="19"/>
          <w:color w:val="auto"/>
        </w:rPr>
        <w:t>are committed to improving our compliance processes and engaging with suppliers of Covered Products.</w:t>
      </w:r>
    </w:p>
    <w:p>
      <w:pPr>
        <w:spacing w:after="0" w:line="15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will continue to improve our compliance processes including, but not limited to, taking the following steps for the 2022 reporting year with respect to Covered Products:</w:t>
      </w:r>
    </w:p>
    <w:p>
      <w:pPr>
        <w:spacing w:after="0" w:line="190" w:lineRule="exact"/>
        <w:rPr>
          <w:sz w:val="20"/>
          <w:szCs w:val="20"/>
          <w:color w:val="auto"/>
        </w:rPr>
      </w:pPr>
    </w:p>
    <w:p>
      <w:pPr>
        <w:ind w:left="340" w:hanging="332"/>
        <w:spacing w:after="0" w:line="26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20"/>
          <w:szCs w:val="20"/>
          <w:color w:val="auto"/>
        </w:rPr>
        <w:t>We will continue to engage with our in-scope suppliers to gain better visibility of the country of origin and chain of custody of the 3TG used in our in-scope products.</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8"/>
          <w:szCs w:val="18"/>
          <w:color w:val="auto"/>
        </w:rPr>
        <w:t>We will continue to work with our in-scope suppliers and engage with our supply chain to increase the quality of the data provided to us.</w:t>
      </w:r>
    </w:p>
    <w:p>
      <w:pPr>
        <w:spacing w:after="0" w:line="238"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20"/>
          <w:szCs w:val="20"/>
          <w:color w:val="auto"/>
        </w:rPr>
        <w:t>We will continue to contribute to various industry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8" w:name="page9"/>
    <w:bookmarkEnd w:id="8"/>
    <w:p>
      <w:pPr>
        <w:ind w:left="5240"/>
        <w:spacing w:after="0"/>
        <w:rPr>
          <w:sz w:val="20"/>
          <w:szCs w:val="20"/>
          <w:color w:val="auto"/>
        </w:rPr>
      </w:pPr>
      <w:r>
        <w:rPr>
          <w:rFonts w:ascii="Arial" w:cs="Arial" w:eastAsia="Arial" w:hAnsi="Arial"/>
          <w:sz w:val="18"/>
          <w:szCs w:val="18"/>
          <w:b w:val="1"/>
          <w:bCs w:val="1"/>
          <w:u w:val="single" w:color="auto"/>
          <w:color w:val="auto"/>
        </w:rPr>
        <w:t>ANNEX 1</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Identified Smelters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(Of the 276 identified Smelters, 237 were RMAP “Active” or “Conformant” as of December 31, 2021)</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shd w:val="clear" w:color="auto" w:fill="203764"/>
          </w:tcPr>
          <w:p>
            <w:pPr>
              <w:ind w:left="100"/>
              <w:spacing w:after="0"/>
              <w:rPr>
                <w:sz w:val="20"/>
                <w:szCs w:val="20"/>
                <w:color w:val="auto"/>
              </w:rPr>
            </w:pPr>
            <w:r>
              <w:rPr>
                <w:rFonts w:ascii="Arial" w:cs="Arial" w:eastAsia="Arial" w:hAnsi="Arial"/>
                <w:sz w:val="18"/>
                <w:szCs w:val="18"/>
                <w:b w:val="1"/>
                <w:bCs w:val="1"/>
                <w:color w:val="FFFFFF"/>
              </w:rPr>
              <w:t>Metal</w:t>
            </w:r>
          </w:p>
        </w:tc>
        <w:tc>
          <w:tcPr>
            <w:tcW w:w="752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Smelter Name</w:t>
            </w:r>
          </w:p>
        </w:tc>
        <w:tc>
          <w:tcPr>
            <w:tcW w:w="166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Country</w:t>
            </w:r>
          </w:p>
        </w:tc>
      </w:tr>
      <w:tr>
        <w:trPr>
          <w:trHeight w:val="68"/>
        </w:trPr>
        <w:tc>
          <w:tcPr>
            <w:tcW w:w="2060" w:type="dxa"/>
            <w:vAlign w:val="bottom"/>
            <w:tcBorders>
              <w:left w:val="single" w:sz="8" w:color="auto"/>
              <w:bottom w:val="single" w:sz="8" w:color="auto"/>
              <w:right w:val="single" w:sz="8" w:color="auto"/>
            </w:tcBorders>
            <w:shd w:val="clear" w:color="auto" w:fill="203764"/>
          </w:tcPr>
          <w:p>
            <w:pPr>
              <w:spacing w:after="0"/>
              <w:rPr>
                <w:sz w:val="5"/>
                <w:szCs w:val="5"/>
                <w:color w:val="auto"/>
              </w:rPr>
            </w:pPr>
          </w:p>
        </w:tc>
        <w:tc>
          <w:tcPr>
            <w:tcW w:w="7520" w:type="dxa"/>
            <w:vAlign w:val="bottom"/>
            <w:tcBorders>
              <w:bottom w:val="single" w:sz="8" w:color="auto"/>
              <w:right w:val="single" w:sz="8" w:color="auto"/>
            </w:tcBorders>
            <w:shd w:val="clear" w:color="auto" w:fill="203764"/>
          </w:tcPr>
          <w:p>
            <w:pPr>
              <w:spacing w:after="0"/>
              <w:rPr>
                <w:sz w:val="5"/>
                <w:szCs w:val="5"/>
                <w:color w:val="auto"/>
              </w:rPr>
            </w:pPr>
          </w:p>
        </w:tc>
        <w:tc>
          <w:tcPr>
            <w:tcW w:w="1660" w:type="dxa"/>
            <w:vAlign w:val="bottom"/>
            <w:tcBorders>
              <w:bottom w:val="single" w:sz="8" w:color="auto"/>
              <w:right w:val="single" w:sz="8" w:color="auto"/>
            </w:tcBorders>
            <w:shd w:val="clear" w:color="auto" w:fill="203764"/>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GCC Gujrat Gold Centre Pvt.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8853 S.p.A.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Advanced Chemical Company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Aida Chemical Industries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 Etihad Gold Refinery DMCC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Allgemeine Gold-und Silberscheideanstalt A.G.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Almalyk Mining and Metallurgical Complex (AMMC)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UZ</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AngloGold Ashanti Corrego do Sitio Mineracao</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Argor-Heraeus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Asahi Pretec Corp.</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Asahi Refining Canada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Asahi Refining USA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Asaka Riken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Aurubis AG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Bangalore Refinery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Bangko Sentral ng Pilipinas (Central Bank of the Philippines)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Boliden AB</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 Hafner GmbH + Co. KG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CCR Refinery - Glencore Canada Corporation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Cendres + Metaux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Chimet S.p.A.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Chugai Mining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DODUCO Contacts and Refining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Dowa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DSC (Do Sung Corporation)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North Plant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West Plant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Emirates Gold DMCC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Geib Refining Corporation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 Refinery of Zijin Mining Group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HeeSung Metal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Heimerle + Meule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Heraeus Metals Hong Kong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Heraeus Precious Metals GmbH &amp; Co. KG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Inner Mongolia Qiankun Gold and Silver Refinery Share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304"/>
        </w:trPr>
        <w:tc>
          <w:tcPr>
            <w:tcW w:w="20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027"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shd w:val="clear" w:color="auto" w:fill="203764"/>
          </w:tcPr>
          <w:p>
            <w:pPr>
              <w:ind w:left="100"/>
              <w:spacing w:after="0"/>
              <w:rPr>
                <w:sz w:val="20"/>
                <w:szCs w:val="20"/>
                <w:color w:val="auto"/>
              </w:rPr>
            </w:pPr>
            <w:r>
              <w:rPr>
                <w:rFonts w:ascii="Arial" w:cs="Arial" w:eastAsia="Arial" w:hAnsi="Arial"/>
                <w:sz w:val="18"/>
                <w:szCs w:val="18"/>
                <w:b w:val="1"/>
                <w:bCs w:val="1"/>
                <w:color w:val="FFFFFF"/>
              </w:rPr>
              <w:t>Metal</w:t>
            </w:r>
          </w:p>
        </w:tc>
        <w:tc>
          <w:tcPr>
            <w:tcW w:w="752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Smelter Name</w:t>
            </w:r>
          </w:p>
        </w:tc>
        <w:tc>
          <w:tcPr>
            <w:tcW w:w="166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Country</w:t>
            </w:r>
          </w:p>
        </w:tc>
      </w:tr>
      <w:tr>
        <w:trPr>
          <w:trHeight w:val="68"/>
        </w:trPr>
        <w:tc>
          <w:tcPr>
            <w:tcW w:w="2060" w:type="dxa"/>
            <w:vAlign w:val="bottom"/>
            <w:tcBorders>
              <w:left w:val="single" w:sz="8" w:color="auto"/>
              <w:bottom w:val="single" w:sz="8" w:color="auto"/>
              <w:right w:val="single" w:sz="8" w:color="auto"/>
            </w:tcBorders>
            <w:shd w:val="clear" w:color="auto" w:fill="203764"/>
          </w:tcPr>
          <w:p>
            <w:pPr>
              <w:spacing w:after="0"/>
              <w:rPr>
                <w:sz w:val="5"/>
                <w:szCs w:val="5"/>
                <w:color w:val="auto"/>
              </w:rPr>
            </w:pPr>
          </w:p>
        </w:tc>
        <w:tc>
          <w:tcPr>
            <w:tcW w:w="7520" w:type="dxa"/>
            <w:vAlign w:val="bottom"/>
            <w:tcBorders>
              <w:bottom w:val="single" w:sz="8" w:color="auto"/>
              <w:right w:val="single" w:sz="8" w:color="auto"/>
            </w:tcBorders>
            <w:shd w:val="clear" w:color="auto" w:fill="203764"/>
          </w:tcPr>
          <w:p>
            <w:pPr>
              <w:spacing w:after="0"/>
              <w:rPr>
                <w:sz w:val="5"/>
                <w:szCs w:val="5"/>
                <w:color w:val="auto"/>
              </w:rPr>
            </w:pPr>
          </w:p>
        </w:tc>
        <w:tc>
          <w:tcPr>
            <w:tcW w:w="1660" w:type="dxa"/>
            <w:vAlign w:val="bottom"/>
            <w:tcBorders>
              <w:bottom w:val="single" w:sz="8" w:color="auto"/>
              <w:right w:val="single" w:sz="8" w:color="auto"/>
            </w:tcBorders>
            <w:shd w:val="clear" w:color="auto" w:fill="203764"/>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Ishifuku Metal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Istanbul Gold Refinery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Italpreziosi</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 Mint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Copper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JX Nippon Mining &amp;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Kazzinc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KZ</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Kennecott Utah Copper LLC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KGHM Polska Miedz Spolka Akcyjna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Kojima Chemicals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Zinc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L'Orfebre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LS-NIKKO Copper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Marsam Metals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Materion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Matsuda Sangyo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(Hong Kong)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(Singapore) Pte.,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SG</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(Suzhou)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USA Refining Corporation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Metalurgica Met-Mex Penoles S.A. De C.V.</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MX</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Mitsubishi Materials Corporation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Mitsui Mining and Smelting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MMTC-PAMP India Pvt.,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Nadir Metal Rafineri San. Ve Tic. A.S.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Navoi Mining and Metallurgical Combinat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UZ</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NH Recytech Company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Nihon Material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Ogussa Osterreichische Gold- und Silber-Scheideanstalt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Ohura Precious Metal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PAMP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Planta Recuperadora de Metales SpA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Aneka Tambang (Persero) Tbk</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PX Precinox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Rand Refinery (Pty)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ZA</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REMONDIS PMR B.V.</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NL</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Royal Canadian Mint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SAAMP</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Safimet S.p.A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SAFINA A.S.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CZ</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Samduck Precious Metals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shd w:val="clear" w:color="auto" w:fill="203764"/>
          </w:tcPr>
          <w:p>
            <w:pPr>
              <w:ind w:left="100"/>
              <w:spacing w:after="0"/>
              <w:rPr>
                <w:sz w:val="20"/>
                <w:szCs w:val="20"/>
                <w:color w:val="auto"/>
              </w:rPr>
            </w:pPr>
            <w:r>
              <w:rPr>
                <w:rFonts w:ascii="Arial" w:cs="Arial" w:eastAsia="Arial" w:hAnsi="Arial"/>
                <w:sz w:val="18"/>
                <w:szCs w:val="18"/>
                <w:b w:val="1"/>
                <w:bCs w:val="1"/>
                <w:color w:val="FFFFFF"/>
              </w:rPr>
              <w:t>Metal</w:t>
            </w:r>
          </w:p>
        </w:tc>
        <w:tc>
          <w:tcPr>
            <w:tcW w:w="752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Smelter Name</w:t>
            </w:r>
          </w:p>
        </w:tc>
        <w:tc>
          <w:tcPr>
            <w:tcW w:w="166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Country</w:t>
            </w:r>
          </w:p>
        </w:tc>
      </w:tr>
      <w:tr>
        <w:trPr>
          <w:trHeight w:val="67"/>
        </w:trPr>
        <w:tc>
          <w:tcPr>
            <w:tcW w:w="2060" w:type="dxa"/>
            <w:vAlign w:val="bottom"/>
            <w:tcBorders>
              <w:left w:val="single" w:sz="8" w:color="auto"/>
              <w:bottom w:val="single" w:sz="8" w:color="auto"/>
              <w:right w:val="single" w:sz="8" w:color="auto"/>
            </w:tcBorders>
            <w:shd w:val="clear" w:color="auto" w:fill="203764"/>
          </w:tcPr>
          <w:p>
            <w:pPr>
              <w:spacing w:after="0"/>
              <w:rPr>
                <w:sz w:val="5"/>
                <w:szCs w:val="5"/>
                <w:color w:val="auto"/>
              </w:rPr>
            </w:pPr>
          </w:p>
        </w:tc>
        <w:tc>
          <w:tcPr>
            <w:tcW w:w="7520" w:type="dxa"/>
            <w:vAlign w:val="bottom"/>
            <w:tcBorders>
              <w:bottom w:val="single" w:sz="8" w:color="auto"/>
              <w:right w:val="single" w:sz="8" w:color="auto"/>
            </w:tcBorders>
            <w:shd w:val="clear" w:color="auto" w:fill="203764"/>
          </w:tcPr>
          <w:p>
            <w:pPr>
              <w:spacing w:after="0"/>
              <w:rPr>
                <w:sz w:val="5"/>
                <w:szCs w:val="5"/>
                <w:color w:val="auto"/>
              </w:rPr>
            </w:pPr>
          </w:p>
        </w:tc>
        <w:tc>
          <w:tcPr>
            <w:tcW w:w="1660" w:type="dxa"/>
            <w:vAlign w:val="bottom"/>
            <w:tcBorders>
              <w:bottom w:val="single" w:sz="8" w:color="auto"/>
              <w:right w:val="single" w:sz="8" w:color="auto"/>
            </w:tcBorders>
            <w:shd w:val="clear" w:color="auto" w:fill="203764"/>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SAXONIA Edelmetalle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SEMPSA Joyeria Plateria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Shandong Zhaojin Gold &amp; Silver Refinery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Sichuan Tianze Precious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Singway Technology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TW</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Solar Applied Materials Technology Corp.</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TW</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Sumitomo Metal Mining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SungEel HiMetal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T.C.A S.p.A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Tanaka Kikinzoku Kogyo K.K.</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Refinery of Shandong Gold Mining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Tokuriki Honten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TOO Tau-Ken-Altyn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KZ</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Torecom</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Umicore Precious Metals Thailand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Umicore S.A. Business Unit Precious Metals Refining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Precious Metal Refining,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Valcambi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Western Australian Mint (T/a The Perth Mint)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WIELAND Edelmetalle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Yamakin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Yokohama Metal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Zhongyuan Gold Smelter of Zhongjin Gold Corporation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Atasay Kuyumculuk Sanayi Ve Ticaret A.S.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 Traders and Refiners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ZA</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Daye Non-Ferrous Metals Mining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Degussa Sonne / Mond Goldhandel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Great Wall Precious Metals Co., Ltd. of CBPM</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Guangdong Jinding Gold Limited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Guoda Safina High-Tech Environmental Refinery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Hangzhou Fuchunjiang Smelting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Hunan Chenzhou Mining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HwaSeong CJ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JSC Uralelectromed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Kazakhmys Smelting LLC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KZ</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Kyrgyzaltyn JSC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KG</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Kyshtym Copper-Electrolytic Plant ZAO</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L'azurde Company For Jewelry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Lingbao Gold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Lingbao Jinyuan Tonghui Refinery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Luoyang Zijin Yinhui Gold Refinery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Modeltech Sdn Bhd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MY</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shd w:val="clear" w:color="auto" w:fill="203764"/>
          </w:tcPr>
          <w:p>
            <w:pPr>
              <w:ind w:left="100"/>
              <w:spacing w:after="0"/>
              <w:rPr>
                <w:sz w:val="20"/>
                <w:szCs w:val="20"/>
                <w:color w:val="auto"/>
              </w:rPr>
            </w:pPr>
            <w:r>
              <w:rPr>
                <w:rFonts w:ascii="Arial" w:cs="Arial" w:eastAsia="Arial" w:hAnsi="Arial"/>
                <w:sz w:val="18"/>
                <w:szCs w:val="18"/>
                <w:b w:val="1"/>
                <w:bCs w:val="1"/>
                <w:color w:val="FFFFFF"/>
              </w:rPr>
              <w:t>Metal</w:t>
            </w:r>
          </w:p>
        </w:tc>
        <w:tc>
          <w:tcPr>
            <w:tcW w:w="752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Smelter Name</w:t>
            </w:r>
          </w:p>
        </w:tc>
        <w:tc>
          <w:tcPr>
            <w:tcW w:w="166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Country</w:t>
            </w:r>
          </w:p>
        </w:tc>
      </w:tr>
      <w:tr>
        <w:trPr>
          <w:trHeight w:val="68"/>
        </w:trPr>
        <w:tc>
          <w:tcPr>
            <w:tcW w:w="2060" w:type="dxa"/>
            <w:vAlign w:val="bottom"/>
            <w:tcBorders>
              <w:left w:val="single" w:sz="8" w:color="auto"/>
              <w:bottom w:val="single" w:sz="8" w:color="auto"/>
              <w:right w:val="single" w:sz="8" w:color="auto"/>
            </w:tcBorders>
            <w:shd w:val="clear" w:color="auto" w:fill="203764"/>
          </w:tcPr>
          <w:p>
            <w:pPr>
              <w:spacing w:after="0"/>
              <w:rPr>
                <w:sz w:val="5"/>
                <w:szCs w:val="5"/>
                <w:color w:val="auto"/>
              </w:rPr>
            </w:pPr>
          </w:p>
        </w:tc>
        <w:tc>
          <w:tcPr>
            <w:tcW w:w="7520" w:type="dxa"/>
            <w:vAlign w:val="bottom"/>
            <w:tcBorders>
              <w:bottom w:val="single" w:sz="8" w:color="auto"/>
              <w:right w:val="single" w:sz="8" w:color="auto"/>
            </w:tcBorders>
            <w:shd w:val="clear" w:color="auto" w:fill="203764"/>
          </w:tcPr>
          <w:p>
            <w:pPr>
              <w:spacing w:after="0"/>
              <w:rPr>
                <w:sz w:val="5"/>
                <w:szCs w:val="5"/>
                <w:color w:val="auto"/>
              </w:rPr>
            </w:pPr>
          </w:p>
        </w:tc>
        <w:tc>
          <w:tcPr>
            <w:tcW w:w="1660" w:type="dxa"/>
            <w:vAlign w:val="bottom"/>
            <w:tcBorders>
              <w:bottom w:val="single" w:sz="8" w:color="auto"/>
              <w:right w:val="single" w:sz="8" w:color="auto"/>
            </w:tcBorders>
            <w:shd w:val="clear" w:color="auto" w:fill="203764"/>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Morris and Watson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NZ</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Moscow Special Alloys Processing Plant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OJSC "The Gulidov Krasnoyarsk Non-Ferrous Metals Plant" (OJSC Krastsvetmet)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OJSC Novosibirsk Refinery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Pease &amp; Curren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Penglai Penggang Gold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Prioksky Plant of Non-Ferrous Metals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Refinery of Seemine Gold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Sabin Metal Corp.</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Sai Refinery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Samwon Metals Corp.</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Shandong Tiancheng Biological Gold Industrial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SOE Shyolkovsky Factory of Secondary Precious Metals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Tongling Nonferrous Metals Group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(Au)</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Yunnan Copper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Asaka Riken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Changsha South Tantalum Niobium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 Block Metals, LLC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Exotech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F&amp;X Electro-Materials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FIR Metals &amp; Resource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Global Advanced Metals Aizu</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Global Advanced Metals Boyertown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Guangdong Zhiyuan New Material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Hermsdorf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Smelting GmbH &amp; Co. KG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Tantalum and Niobium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Hengyang King Xing Lifeng New Materials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Dinghai Tantalum &amp; Niobium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Tuohong New Raw Material</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JiuJiang JinXin Nonferrous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Jiujiang Tanbre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Jiujiang Zhongao Tantalum &amp; Niobium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KEMET Blue Metals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MX</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LSM Brasil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Metallurgical Products India Pvt.,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304"/>
        </w:trPr>
        <w:tc>
          <w:tcPr>
            <w:tcW w:w="20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325"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shd w:val="clear" w:color="auto" w:fill="203764"/>
          </w:tcPr>
          <w:p>
            <w:pPr>
              <w:ind w:left="100"/>
              <w:spacing w:after="0"/>
              <w:rPr>
                <w:sz w:val="20"/>
                <w:szCs w:val="20"/>
                <w:color w:val="auto"/>
              </w:rPr>
            </w:pPr>
            <w:r>
              <w:rPr>
                <w:rFonts w:ascii="Arial" w:cs="Arial" w:eastAsia="Arial" w:hAnsi="Arial"/>
                <w:sz w:val="18"/>
                <w:szCs w:val="18"/>
                <w:b w:val="1"/>
                <w:bCs w:val="1"/>
                <w:color w:val="FFFFFF"/>
              </w:rPr>
              <w:t>Metal</w:t>
            </w:r>
          </w:p>
        </w:tc>
        <w:tc>
          <w:tcPr>
            <w:tcW w:w="752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Smelter Name</w:t>
            </w:r>
          </w:p>
        </w:tc>
        <w:tc>
          <w:tcPr>
            <w:tcW w:w="166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Country</w:t>
            </w:r>
          </w:p>
        </w:tc>
      </w:tr>
      <w:tr>
        <w:trPr>
          <w:trHeight w:val="68"/>
        </w:trPr>
        <w:tc>
          <w:tcPr>
            <w:tcW w:w="2060" w:type="dxa"/>
            <w:vAlign w:val="bottom"/>
            <w:tcBorders>
              <w:left w:val="single" w:sz="8" w:color="auto"/>
              <w:bottom w:val="single" w:sz="8" w:color="auto"/>
              <w:right w:val="single" w:sz="8" w:color="auto"/>
            </w:tcBorders>
            <w:shd w:val="clear" w:color="auto" w:fill="203764"/>
          </w:tcPr>
          <w:p>
            <w:pPr>
              <w:spacing w:after="0"/>
              <w:rPr>
                <w:sz w:val="5"/>
                <w:szCs w:val="5"/>
                <w:color w:val="auto"/>
              </w:rPr>
            </w:pPr>
          </w:p>
        </w:tc>
        <w:tc>
          <w:tcPr>
            <w:tcW w:w="7520" w:type="dxa"/>
            <w:vAlign w:val="bottom"/>
            <w:tcBorders>
              <w:bottom w:val="single" w:sz="8" w:color="auto"/>
              <w:right w:val="single" w:sz="8" w:color="auto"/>
            </w:tcBorders>
            <w:shd w:val="clear" w:color="auto" w:fill="203764"/>
          </w:tcPr>
          <w:p>
            <w:pPr>
              <w:spacing w:after="0"/>
              <w:rPr>
                <w:sz w:val="5"/>
                <w:szCs w:val="5"/>
                <w:color w:val="auto"/>
              </w:rPr>
            </w:pPr>
          </w:p>
        </w:tc>
        <w:tc>
          <w:tcPr>
            <w:tcW w:w="1660" w:type="dxa"/>
            <w:vAlign w:val="bottom"/>
            <w:tcBorders>
              <w:bottom w:val="single" w:sz="8" w:color="auto"/>
              <w:right w:val="single" w:sz="8" w:color="auto"/>
            </w:tcBorders>
            <w:shd w:val="clear" w:color="auto" w:fill="203764"/>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Mineracao Taboca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Mitsui Mining and Smelting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Ningxia Orient Tantalum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NPM Silmet AS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Power Resources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MK</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QuantumClean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Resind Industria e Comercio Ltda.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RFH Tantalum Smeltery Co., Ltd./Yanling Jincheng Tantalum &amp; Niobium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Solikamsk Magnesium Works OAO</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Taki Chemical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Telex Metals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Ulba Metallurgical Plant JSC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KZ</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(Ta)</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XinXing HaoRong Electronic Material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CV Venus Inti Perkasa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Estanho de Rondonia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Super Ligas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Yunnan Tin Company Limited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Alpha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Chenzhou Yunxiang Mining and Metallurgy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Chifeng Dajingzi Tin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 Tin Group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Dowa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 Vinto</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Fenix Metals</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Gejiu Non-Ferrous Metal Processing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Gejiu Yunxin Nonferrous Electrolysis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Gejiu Zili Mining And Metallurgy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Guangdong Hanhe Non-Ferrous Metal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HuiChang Hill Tin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New Nanshan Technology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Luna Smelter,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RW</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Ma'anshan Weitai Tin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Magnu's Minerais Metais e Ligas Ltda.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Malaysia Smelting Corporation (MSC)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MY</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Melt Metais e Ligas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Metallic Resources,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Metallo Belgium N.V.</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Metallo Spain S.L.U.</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Mineracao Taboca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Minsur</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Mitsubishi Materials Corporation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304"/>
        </w:trPr>
        <w:tc>
          <w:tcPr>
            <w:tcW w:w="20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shd w:val="clear" w:color="auto" w:fill="203764"/>
          </w:tcPr>
          <w:p>
            <w:pPr>
              <w:ind w:left="100"/>
              <w:spacing w:after="0"/>
              <w:rPr>
                <w:sz w:val="20"/>
                <w:szCs w:val="20"/>
                <w:color w:val="auto"/>
              </w:rPr>
            </w:pPr>
            <w:r>
              <w:rPr>
                <w:rFonts w:ascii="Arial" w:cs="Arial" w:eastAsia="Arial" w:hAnsi="Arial"/>
                <w:sz w:val="18"/>
                <w:szCs w:val="18"/>
                <w:b w:val="1"/>
                <w:bCs w:val="1"/>
                <w:color w:val="FFFFFF"/>
              </w:rPr>
              <w:t>Metal</w:t>
            </w:r>
          </w:p>
        </w:tc>
        <w:tc>
          <w:tcPr>
            <w:tcW w:w="752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Smelter Name</w:t>
            </w:r>
          </w:p>
        </w:tc>
        <w:tc>
          <w:tcPr>
            <w:tcW w:w="166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Country</w:t>
            </w:r>
          </w:p>
        </w:tc>
      </w:tr>
      <w:tr>
        <w:trPr>
          <w:trHeight w:val="68"/>
        </w:trPr>
        <w:tc>
          <w:tcPr>
            <w:tcW w:w="2060" w:type="dxa"/>
            <w:vAlign w:val="bottom"/>
            <w:tcBorders>
              <w:left w:val="single" w:sz="8" w:color="auto"/>
              <w:bottom w:val="single" w:sz="8" w:color="auto"/>
              <w:right w:val="single" w:sz="8" w:color="auto"/>
            </w:tcBorders>
            <w:shd w:val="clear" w:color="auto" w:fill="203764"/>
          </w:tcPr>
          <w:p>
            <w:pPr>
              <w:spacing w:after="0"/>
              <w:rPr>
                <w:sz w:val="5"/>
                <w:szCs w:val="5"/>
                <w:color w:val="auto"/>
              </w:rPr>
            </w:pPr>
          </w:p>
        </w:tc>
        <w:tc>
          <w:tcPr>
            <w:tcW w:w="7520" w:type="dxa"/>
            <w:vAlign w:val="bottom"/>
            <w:tcBorders>
              <w:bottom w:val="single" w:sz="8" w:color="auto"/>
              <w:right w:val="single" w:sz="8" w:color="auto"/>
            </w:tcBorders>
            <w:shd w:val="clear" w:color="auto" w:fill="203764"/>
          </w:tcPr>
          <w:p>
            <w:pPr>
              <w:spacing w:after="0"/>
              <w:rPr>
                <w:sz w:val="5"/>
                <w:szCs w:val="5"/>
                <w:color w:val="auto"/>
              </w:rPr>
            </w:pPr>
          </w:p>
        </w:tc>
        <w:tc>
          <w:tcPr>
            <w:tcW w:w="1660" w:type="dxa"/>
            <w:vAlign w:val="bottom"/>
            <w:tcBorders>
              <w:bottom w:val="single" w:sz="8" w:color="auto"/>
              <w:right w:val="single" w:sz="8" w:color="auto"/>
            </w:tcBorders>
            <w:shd w:val="clear" w:color="auto" w:fill="203764"/>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O.M. Manufacturing (Thailand)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O.M. Manufacturing Philippines,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Operaciones Metalurgicas 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Artha Cipta Langgeng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ATD Makmur Mandiri Jaya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Babel Inti Perkasa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Babel Surya Alam Lestari</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Bangka Serumpun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Menara Cipta Mulia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Mitra Stania Prima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Prima Timah Utama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Rajawali Rimba Perkasa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Rajehan Ariq</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Refined Bangka Tin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Stanindo Inti Perkasa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Timah Tbk Kundur</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Timah Tbk Mentok</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Tinindo Inter Nusa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Resind Industria e Comercio Ltda.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Rui Da Hung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TW</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Soft Metais Ltda.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Thai Nguyen Mining and Metallurgy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Thaisarco</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Tin Technology &amp; Refining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White Solder Metalurgia e Mineracao Ltda.</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Yunnan Chengfeng Non-ferrous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 Vinh Joint Stock Mineral Processing Company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Dongguan CiEXPO Environmental Engineering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Electro-Mechanical Facility of the Cao Bang Minerals &amp; Metallurgy Joint Stock Company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Gejiu Kai Meng Industry and Trade LLC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Modeltech Sdn Bhd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MY</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Nghe Tinh Non-Ferrous Metals Joint Stock Company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Pongpipat Company Limited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MM</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Precious Minerals and Smelting Limited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Tuyen Quang Non-Ferrous Metals Joint Stock Company</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(Sn)</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Yunnan Yunfan Non-ferrous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A.L.M.T. Corp.</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ACL Metais Eireli</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Asia Tungsten Products Vietnam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Chenzhou Diamond Tungsten Products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 Molybdenum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304"/>
        </w:trPr>
        <w:tc>
          <w:tcPr>
            <w:tcW w:w="20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60" w:type="dxa"/>
            <w:vAlign w:val="bottom"/>
            <w:tcBorders>
              <w:top w:val="single" w:sz="8" w:color="auto"/>
              <w:left w:val="single" w:sz="8" w:color="auto"/>
              <w:right w:val="single" w:sz="8" w:color="auto"/>
            </w:tcBorders>
            <w:shd w:val="clear" w:color="auto" w:fill="203764"/>
          </w:tcPr>
          <w:p>
            <w:pPr>
              <w:ind w:left="100"/>
              <w:spacing w:after="0"/>
              <w:rPr>
                <w:sz w:val="20"/>
                <w:szCs w:val="20"/>
                <w:color w:val="auto"/>
              </w:rPr>
            </w:pPr>
            <w:r>
              <w:rPr>
                <w:rFonts w:ascii="Arial" w:cs="Arial" w:eastAsia="Arial" w:hAnsi="Arial"/>
                <w:sz w:val="18"/>
                <w:szCs w:val="18"/>
                <w:b w:val="1"/>
                <w:bCs w:val="1"/>
                <w:color w:val="FFFFFF"/>
              </w:rPr>
              <w:t>Metal</w:t>
            </w:r>
          </w:p>
        </w:tc>
        <w:tc>
          <w:tcPr>
            <w:tcW w:w="752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Smelter Name</w:t>
            </w:r>
          </w:p>
        </w:tc>
        <w:tc>
          <w:tcPr>
            <w:tcW w:w="1660" w:type="dxa"/>
            <w:vAlign w:val="bottom"/>
            <w:tcBorders>
              <w:top w:val="single" w:sz="8" w:color="auto"/>
              <w:right w:val="single" w:sz="8" w:color="auto"/>
            </w:tcBorders>
            <w:shd w:val="clear" w:color="auto" w:fill="203764"/>
          </w:tcPr>
          <w:p>
            <w:pPr>
              <w:ind w:left="60"/>
              <w:spacing w:after="0"/>
              <w:rPr>
                <w:sz w:val="20"/>
                <w:szCs w:val="20"/>
                <w:color w:val="auto"/>
              </w:rPr>
            </w:pPr>
            <w:r>
              <w:rPr>
                <w:rFonts w:ascii="Arial" w:cs="Arial" w:eastAsia="Arial" w:hAnsi="Arial"/>
                <w:sz w:val="18"/>
                <w:szCs w:val="18"/>
                <w:b w:val="1"/>
                <w:bCs w:val="1"/>
                <w:color w:val="FFFFFF"/>
              </w:rPr>
              <w:t>Country</w:t>
            </w:r>
          </w:p>
        </w:tc>
      </w:tr>
      <w:tr>
        <w:trPr>
          <w:trHeight w:val="68"/>
        </w:trPr>
        <w:tc>
          <w:tcPr>
            <w:tcW w:w="2060" w:type="dxa"/>
            <w:vAlign w:val="bottom"/>
            <w:tcBorders>
              <w:left w:val="single" w:sz="8" w:color="auto"/>
              <w:bottom w:val="single" w:sz="8" w:color="auto"/>
              <w:right w:val="single" w:sz="8" w:color="auto"/>
            </w:tcBorders>
            <w:shd w:val="clear" w:color="auto" w:fill="203764"/>
          </w:tcPr>
          <w:p>
            <w:pPr>
              <w:spacing w:after="0"/>
              <w:rPr>
                <w:sz w:val="5"/>
                <w:szCs w:val="5"/>
                <w:color w:val="auto"/>
              </w:rPr>
            </w:pPr>
          </w:p>
        </w:tc>
        <w:tc>
          <w:tcPr>
            <w:tcW w:w="7520" w:type="dxa"/>
            <w:vAlign w:val="bottom"/>
            <w:tcBorders>
              <w:bottom w:val="single" w:sz="8" w:color="auto"/>
              <w:right w:val="single" w:sz="8" w:color="auto"/>
            </w:tcBorders>
            <w:shd w:val="clear" w:color="auto" w:fill="203764"/>
          </w:tcPr>
          <w:p>
            <w:pPr>
              <w:spacing w:after="0"/>
              <w:rPr>
                <w:sz w:val="5"/>
                <w:szCs w:val="5"/>
                <w:color w:val="auto"/>
              </w:rPr>
            </w:pPr>
          </w:p>
        </w:tc>
        <w:tc>
          <w:tcPr>
            <w:tcW w:w="1660" w:type="dxa"/>
            <w:vAlign w:val="bottom"/>
            <w:tcBorders>
              <w:bottom w:val="single" w:sz="8" w:color="auto"/>
              <w:right w:val="single" w:sz="8" w:color="auto"/>
            </w:tcBorders>
            <w:shd w:val="clear" w:color="auto" w:fill="203764"/>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Chongyi Zhangyuan 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Fujian Ganmin RareMetal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Ganzhou Haichuang 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Ganzhou Huaxing Tungsten Products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Ganzhou Jiangwu Ferrotungsten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Ganzhou Seadragon W &amp; Mo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Global Tungsten &amp; Powders Corp.</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Guangdong Xianglu 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Smelting GmbH &amp; Co. KG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H.C. Starck Tungsten GmbH</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Hunan Chenzhou Mining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Hunan Chunchang Nonferrous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Hydrometallurg, JSC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 New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JP</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Jiangwu H.C. Starck Tungsten Products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Gan Bei 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Tonggu Non-ferrous Metallurgical &amp; Chemical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Xinsheng Tungsten Industry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Yaosheng 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Kennametal Fallon</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Kennametal Huntsville</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KGETS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Lianyou Metals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TW</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Malipo Haiyu 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Masan Tungsten Chemical LLC (MTC)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Moliren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Niagara Refining LLC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Philippine Chuangxin Industrial Co., Inc.</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Unecha Refractory metals plant</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w:t>
            </w:r>
          </w:p>
        </w:tc>
      </w:tr>
      <w:tr>
        <w:trPr>
          <w:trHeight w:val="67"/>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Wolfram Bergbau und Hutten AG</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Woltech Korea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Xiamen Tungsten (H.C.)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Xiamen Tungsten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77"/>
        </w:trPr>
        <w:tc>
          <w:tcPr>
            <w:tcW w:w="20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(W)</w:t>
            </w:r>
          </w:p>
        </w:tc>
        <w:tc>
          <w:tcPr>
            <w:tcW w:w="7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Xinfeng Huarui Tungsten &amp; Molybdenum New Material Co., Ltd.</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CN</w:t>
            </w: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75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304"/>
        </w:trPr>
        <w:tc>
          <w:tcPr>
            <w:tcW w:w="20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b w:val="1"/>
          <w:bCs w:val="1"/>
          <w:u w:val="single" w:color="auto"/>
          <w:color w:val="auto"/>
        </w:rPr>
        <w:t>ANNEX 2</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Countries of Origin of 3TG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Based on RMI April 29, 2022, Data</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5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Argentina</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Guinea</w:t>
            </w:r>
          </w:p>
        </w:tc>
        <w:tc>
          <w:tcPr>
            <w:tcW w:w="4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Peru</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Armenia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Guyana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Philippines</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Honduras</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Portugal</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Austria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Azerbaijan</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Rwanda*</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Benin</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Ivory Coast</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Saudi Arabia</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Bolivia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Senegal</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Botswana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Kazakhstan</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Sierra Leone</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Kenya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Slovakia</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Burkina Faso</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Kyrgyzstan</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South Africa</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Burundi*</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Laos</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South Korea</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Liberia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Spain</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Chile</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Madagascar</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Sudan</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Malaysia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Suriname</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Colombia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Mali</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Swaziland</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Congo, Democratic Republic of the*</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Mauritania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Sweden</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Cuba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Mexico</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Taiwan</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Dominican Republic</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Mongolia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Tanzania*</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Ecuador</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Morocco</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Thailand</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Egypt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Mozambique</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Turkey</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Eritrea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Myanmar</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Uganda*</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Ethiopia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Namibia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United Kingdom of Great Britain and Northern Ireland</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Fiji</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Zealand</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Finland</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Nicaragua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Uzbekistan</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France</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Niger</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Venezuela</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French Guiana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Nigeria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Vietnam</w:t>
            </w: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Oman</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Zambia*</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Ghana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Panama</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Zimbabwe</w:t>
            </w:r>
          </w:p>
        </w:tc>
      </w:tr>
      <w:tr>
        <w:trPr>
          <w:trHeight w:val="67"/>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77"/>
        </w:trPr>
        <w:tc>
          <w:tcPr>
            <w:tcW w:w="3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Guatemala</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Papua New Guinea</w:t>
            </w:r>
          </w:p>
        </w:tc>
        <w:tc>
          <w:tcPr>
            <w:tcW w:w="4140" w:type="dxa"/>
            <w:vAlign w:val="bottom"/>
            <w:tcBorders>
              <w:right w:val="single" w:sz="8" w:color="auto"/>
            </w:tcBorders>
          </w:tcPr>
          <w:p>
            <w:pPr>
              <w:spacing w:after="0"/>
              <w:rPr>
                <w:sz w:val="24"/>
                <w:szCs w:val="24"/>
                <w:color w:val="auto"/>
              </w:rPr>
            </w:pPr>
          </w:p>
        </w:tc>
      </w:tr>
      <w:tr>
        <w:trPr>
          <w:trHeight w:val="68"/>
        </w:trPr>
        <w:tc>
          <w:tcPr>
            <w:tcW w:w="3520" w:type="dxa"/>
            <w:vAlign w:val="bottom"/>
            <w:tcBorders>
              <w:left w:val="single" w:sz="8" w:color="auto"/>
              <w:bottom w:val="single" w:sz="8" w:color="auto"/>
              <w:right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c>
          <w:tcPr>
            <w:tcW w:w="4140" w:type="dxa"/>
            <w:vAlign w:val="bottom"/>
            <w:tcBorders>
              <w:bottom w:val="single" w:sz="8" w:color="auto"/>
              <w:right w:val="single" w:sz="8" w:color="auto"/>
            </w:tcBorders>
          </w:tcPr>
          <w:p>
            <w:pPr>
              <w:spacing w:after="0"/>
              <w:rPr>
                <w:sz w:val="5"/>
                <w:szCs w:val="5"/>
                <w:color w:val="auto"/>
              </w:rPr>
            </w:pP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*Covered Country</w:t>
            </w:r>
          </w:p>
        </w:tc>
        <w:tc>
          <w:tcPr>
            <w:tcW w:w="35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512"/>
        </w:trPr>
        <w:tc>
          <w:tcPr>
            <w:tcW w:w="3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2022-05-31T06:48:52Z</dcterms:created>
  <dcterms:modified xsi:type="dcterms:W3CDTF">2022-05-31T06:48:52Z</dcterms:modified>
</cp:coreProperties>
</file>