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March 20, 2014</w:t>
      </w:r>
    </w:p>
    <w:p>
      <w:pPr>
        <w:spacing w:after="0" w:line="3" w:lineRule="exact"/>
        <w:rPr>
          <w:sz w:val="24"/>
          <w:szCs w:val="24"/>
          <w:color w:val="auto"/>
        </w:rPr>
      </w:pPr>
    </w:p>
    <w:p>
      <w:pPr>
        <w:ind w:left="98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69215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66675</wp:posOffset>
            </wp:positionV>
            <wp:extent cx="1521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jc w:val="center"/>
        <w:spacing w:after="0" w:line="225" w:lineRule="auto"/>
        <w:rPr>
          <w:sz w:val="20"/>
          <w:szCs w:val="20"/>
          <w:color w:val="auto"/>
        </w:rPr>
      </w:pPr>
      <w:r>
        <w:rPr>
          <w:rFonts w:ascii="Arial" w:cs="Arial" w:eastAsia="Arial" w:hAnsi="Arial"/>
          <w:sz w:val="14"/>
          <w:szCs w:val="14"/>
          <w:b w:val="1"/>
          <w:bCs w:val="1"/>
          <w:i w:val="1"/>
          <w:iCs w:val="1"/>
          <w:color w:val="auto"/>
        </w:rPr>
        <w:t>UNDER</w:t>
      </w: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34925</wp:posOffset>
            </wp:positionV>
            <wp:extent cx="1521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COMCAST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53340</wp:posOffset>
            </wp:positionV>
            <wp:extent cx="1521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32" w:lineRule="exact"/>
        <w:rPr>
          <w:sz w:val="24"/>
          <w:szCs w:val="24"/>
          <w:color w:val="auto"/>
        </w:rPr>
      </w:pPr>
    </w:p>
    <w:p>
      <w:pPr>
        <w:ind w:left="1560"/>
        <w:spacing w:after="0"/>
        <w:tabs>
          <w:tab w:leader="none" w:pos="5700" w:val="left"/>
          <w:tab w:leader="none" w:pos="9260" w:val="left"/>
        </w:tabs>
        <w:rPr>
          <w:sz w:val="20"/>
          <w:szCs w:val="20"/>
          <w:color w:val="auto"/>
        </w:rPr>
      </w:pPr>
      <w:r>
        <w:rPr>
          <w:rFonts w:ascii="Arial" w:cs="Arial" w:eastAsia="Arial" w:hAnsi="Arial"/>
          <w:sz w:val="13"/>
          <w:szCs w:val="13"/>
          <w:b w:val="1"/>
          <w:bCs w:val="1"/>
          <w:color w:val="auto"/>
        </w:rPr>
        <w:t>Pennsylvania</w:t>
      </w:r>
      <w:r>
        <w:rPr>
          <w:sz w:val="20"/>
          <w:szCs w:val="20"/>
          <w:color w:val="auto"/>
        </w:rPr>
        <w:tab/>
      </w:r>
      <w:r>
        <w:rPr>
          <w:rFonts w:ascii="Arial" w:cs="Arial" w:eastAsia="Arial" w:hAnsi="Arial"/>
          <w:sz w:val="13"/>
          <w:szCs w:val="13"/>
          <w:b w:val="1"/>
          <w:bCs w:val="1"/>
          <w:color w:val="auto"/>
        </w:rPr>
        <w:t>4841</w:t>
      </w:r>
      <w:r>
        <w:rPr>
          <w:sz w:val="20"/>
          <w:szCs w:val="20"/>
          <w:color w:val="auto"/>
        </w:rPr>
        <w:tab/>
      </w:r>
      <w:r>
        <w:rPr>
          <w:rFonts w:ascii="Arial" w:cs="Arial" w:eastAsia="Arial" w:hAnsi="Arial"/>
          <w:sz w:val="11"/>
          <w:szCs w:val="11"/>
          <w:b w:val="1"/>
          <w:bCs w:val="1"/>
          <w:color w:val="auto"/>
        </w:rPr>
        <w:t>27-0000798</w:t>
      </w:r>
    </w:p>
    <w:p>
      <w:pPr>
        <w:ind w:left="1080"/>
        <w:spacing w:after="0"/>
        <w:tabs>
          <w:tab w:leader="none" w:pos="4980" w:val="left"/>
          <w:tab w:leader="none" w:pos="9100" w:val="left"/>
        </w:tabs>
        <w:rPr>
          <w:sz w:val="20"/>
          <w:szCs w:val="20"/>
          <w:color w:val="auto"/>
        </w:rPr>
      </w:pPr>
      <w:r>
        <w:rPr>
          <w:rFonts w:ascii="Arial" w:cs="Arial" w:eastAsia="Arial" w:hAnsi="Arial"/>
          <w:sz w:val="13"/>
          <w:szCs w:val="13"/>
          <w:b w:val="1"/>
          <w:bCs w:val="1"/>
          <w:color w:val="auto"/>
        </w:rPr>
        <w:t>(State or Other Jurisdiction of</w:t>
      </w:r>
      <w:r>
        <w:rPr>
          <w:sz w:val="20"/>
          <w:szCs w:val="20"/>
          <w:color w:val="auto"/>
        </w:rPr>
        <w:tab/>
      </w:r>
      <w:r>
        <w:rPr>
          <w:rFonts w:ascii="Arial" w:cs="Arial" w:eastAsia="Arial" w:hAnsi="Arial"/>
          <w:sz w:val="13"/>
          <w:szCs w:val="13"/>
          <w:b w:val="1"/>
          <w:bCs w:val="1"/>
          <w:color w:val="auto"/>
        </w:rPr>
        <w:t>(Primary Standard Industrial</w:t>
      </w:r>
      <w:r>
        <w:rPr>
          <w:sz w:val="20"/>
          <w:szCs w:val="20"/>
          <w:color w:val="auto"/>
        </w:rPr>
        <w:tab/>
      </w:r>
      <w:r>
        <w:rPr>
          <w:rFonts w:ascii="Arial" w:cs="Arial" w:eastAsia="Arial" w:hAnsi="Arial"/>
          <w:sz w:val="12"/>
          <w:szCs w:val="12"/>
          <w:b w:val="1"/>
          <w:bCs w:val="1"/>
          <w:color w:val="auto"/>
        </w:rPr>
        <w:t>(I.R.S. Employer</w:t>
      </w:r>
    </w:p>
    <w:p>
      <w:pPr>
        <w:spacing w:after="0" w:line="1" w:lineRule="exact"/>
        <w:rPr>
          <w:sz w:val="24"/>
          <w:szCs w:val="24"/>
          <w:color w:val="auto"/>
        </w:rPr>
      </w:pPr>
    </w:p>
    <w:p>
      <w:pPr>
        <w:ind w:left="1040"/>
        <w:spacing w:after="0"/>
        <w:tabs>
          <w:tab w:leader="none" w:pos="5000" w:val="left"/>
          <w:tab w:leader="none" w:pos="8920" w:val="left"/>
        </w:tabs>
        <w:rPr>
          <w:sz w:val="20"/>
          <w:szCs w:val="20"/>
          <w:color w:val="auto"/>
        </w:rPr>
      </w:pPr>
      <w:r>
        <w:rPr>
          <w:rFonts w:ascii="Arial" w:cs="Arial" w:eastAsia="Arial" w:hAnsi="Arial"/>
          <w:sz w:val="13"/>
          <w:szCs w:val="13"/>
          <w:b w:val="1"/>
          <w:bCs w:val="1"/>
          <w:color w:val="auto"/>
        </w:rPr>
        <w:t>Incorporation or Organization)</w:t>
      </w:r>
      <w:r>
        <w:rPr>
          <w:sz w:val="20"/>
          <w:szCs w:val="20"/>
          <w:color w:val="auto"/>
        </w:rPr>
        <w:tab/>
      </w:r>
      <w:r>
        <w:rPr>
          <w:rFonts w:ascii="Arial" w:cs="Arial" w:eastAsia="Arial" w:hAnsi="Arial"/>
          <w:sz w:val="13"/>
          <w:szCs w:val="13"/>
          <w:b w:val="1"/>
          <w:bCs w:val="1"/>
          <w:color w:val="auto"/>
        </w:rPr>
        <w:t>Classification Code Number)</w:t>
      </w:r>
      <w:r>
        <w:rPr>
          <w:sz w:val="20"/>
          <w:szCs w:val="20"/>
          <w:color w:val="auto"/>
        </w:rPr>
        <w:tab/>
      </w:r>
      <w:r>
        <w:rPr>
          <w:rFonts w:ascii="Arial" w:cs="Arial" w:eastAsia="Arial" w:hAnsi="Arial"/>
          <w:sz w:val="12"/>
          <w:szCs w:val="12"/>
          <w:b w:val="1"/>
          <w:bCs w:val="1"/>
          <w:color w:val="auto"/>
        </w:rPr>
        <w:t>Identification Number)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One Comcast Center</w:t>
      </w:r>
    </w:p>
    <w:p>
      <w:pPr>
        <w:jc w:val="center"/>
        <w:spacing w:after="0" w:line="222" w:lineRule="auto"/>
        <w:rPr>
          <w:sz w:val="20"/>
          <w:szCs w:val="20"/>
          <w:color w:val="auto"/>
        </w:rPr>
      </w:pPr>
      <w:r>
        <w:rPr>
          <w:rFonts w:ascii="Arial" w:cs="Arial" w:eastAsia="Arial" w:hAnsi="Arial"/>
          <w:sz w:val="13"/>
          <w:szCs w:val="13"/>
          <w:b w:val="1"/>
          <w:bCs w:val="1"/>
          <w:color w:val="auto"/>
        </w:rPr>
        <w:t>Philadelphia, Pennsylvania</w:t>
      </w:r>
    </w:p>
    <w:p>
      <w:pPr>
        <w:jc w:val="center"/>
        <w:spacing w:after="0" w:line="223" w:lineRule="auto"/>
        <w:rPr>
          <w:sz w:val="20"/>
          <w:szCs w:val="20"/>
          <w:color w:val="auto"/>
        </w:rPr>
      </w:pPr>
      <w:r>
        <w:rPr>
          <w:rFonts w:ascii="Arial" w:cs="Arial" w:eastAsia="Arial" w:hAnsi="Arial"/>
          <w:sz w:val="13"/>
          <w:szCs w:val="13"/>
          <w:b w:val="1"/>
          <w:bCs w:val="1"/>
          <w:color w:val="auto"/>
        </w:rPr>
        <w:t>19103-2838</w:t>
      </w:r>
    </w:p>
    <w:p>
      <w:pPr>
        <w:jc w:val="center"/>
        <w:spacing w:after="0" w:line="223" w:lineRule="auto"/>
        <w:rPr>
          <w:sz w:val="20"/>
          <w:szCs w:val="20"/>
          <w:color w:val="auto"/>
        </w:rPr>
      </w:pPr>
      <w:r>
        <w:rPr>
          <w:rFonts w:ascii="Arial" w:cs="Arial" w:eastAsia="Arial" w:hAnsi="Arial"/>
          <w:sz w:val="13"/>
          <w:szCs w:val="13"/>
          <w:b w:val="1"/>
          <w:bCs w:val="1"/>
          <w:color w:val="auto"/>
        </w:rPr>
        <w:t>(215) 286-1700</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1521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Arthur R. Block, Esq.</w:t>
      </w:r>
    </w:p>
    <w:p>
      <w:pPr>
        <w:jc w:val="center"/>
        <w:spacing w:after="0" w:line="227" w:lineRule="auto"/>
        <w:rPr>
          <w:sz w:val="20"/>
          <w:szCs w:val="20"/>
          <w:color w:val="auto"/>
        </w:rPr>
      </w:pPr>
      <w:r>
        <w:rPr>
          <w:rFonts w:ascii="Arial" w:cs="Arial" w:eastAsia="Arial" w:hAnsi="Arial"/>
          <w:sz w:val="13"/>
          <w:szCs w:val="13"/>
          <w:b w:val="1"/>
          <w:bCs w:val="1"/>
          <w:color w:val="auto"/>
        </w:rPr>
        <w:t>Senior Vice President,</w:t>
      </w:r>
    </w:p>
    <w:p>
      <w:pPr>
        <w:jc w:val="center"/>
        <w:spacing w:after="0" w:line="223" w:lineRule="auto"/>
        <w:rPr>
          <w:sz w:val="20"/>
          <w:szCs w:val="20"/>
          <w:color w:val="auto"/>
        </w:rPr>
      </w:pPr>
      <w:r>
        <w:rPr>
          <w:rFonts w:ascii="Arial" w:cs="Arial" w:eastAsia="Arial" w:hAnsi="Arial"/>
          <w:sz w:val="13"/>
          <w:szCs w:val="13"/>
          <w:b w:val="1"/>
          <w:bCs w:val="1"/>
          <w:color w:val="auto"/>
        </w:rPr>
        <w:t>General Counsel and Secretary</w:t>
      </w:r>
    </w:p>
    <w:p>
      <w:pPr>
        <w:jc w:val="center"/>
        <w:spacing w:after="0" w:line="223" w:lineRule="auto"/>
        <w:rPr>
          <w:sz w:val="20"/>
          <w:szCs w:val="20"/>
          <w:color w:val="auto"/>
        </w:rPr>
      </w:pPr>
      <w:r>
        <w:rPr>
          <w:rFonts w:ascii="Arial" w:cs="Arial" w:eastAsia="Arial" w:hAnsi="Arial"/>
          <w:sz w:val="13"/>
          <w:szCs w:val="13"/>
          <w:b w:val="1"/>
          <w:bCs w:val="1"/>
          <w:color w:val="auto"/>
        </w:rPr>
        <w:t>Comcast Corporation</w:t>
      </w:r>
    </w:p>
    <w:p>
      <w:pPr>
        <w:jc w:val="center"/>
        <w:spacing w:after="0" w:line="223" w:lineRule="auto"/>
        <w:rPr>
          <w:sz w:val="20"/>
          <w:szCs w:val="20"/>
          <w:color w:val="auto"/>
        </w:rPr>
      </w:pPr>
      <w:r>
        <w:rPr>
          <w:rFonts w:ascii="Arial" w:cs="Arial" w:eastAsia="Arial" w:hAnsi="Arial"/>
          <w:sz w:val="13"/>
          <w:szCs w:val="13"/>
          <w:b w:val="1"/>
          <w:bCs w:val="1"/>
          <w:color w:val="auto"/>
        </w:rPr>
        <w:t>One Comcast Center</w:t>
      </w:r>
    </w:p>
    <w:p>
      <w:pPr>
        <w:jc w:val="center"/>
        <w:spacing w:after="0" w:line="222" w:lineRule="auto"/>
        <w:rPr>
          <w:sz w:val="20"/>
          <w:szCs w:val="20"/>
          <w:color w:val="auto"/>
        </w:rPr>
      </w:pPr>
      <w:r>
        <w:rPr>
          <w:rFonts w:ascii="Arial" w:cs="Arial" w:eastAsia="Arial" w:hAnsi="Arial"/>
          <w:sz w:val="13"/>
          <w:szCs w:val="13"/>
          <w:b w:val="1"/>
          <w:bCs w:val="1"/>
          <w:color w:val="auto"/>
        </w:rPr>
        <w:t>Philadelphia, Pennsylvania</w:t>
      </w:r>
    </w:p>
    <w:p>
      <w:pPr>
        <w:jc w:val="center"/>
        <w:spacing w:after="0" w:line="223" w:lineRule="auto"/>
        <w:rPr>
          <w:sz w:val="20"/>
          <w:szCs w:val="20"/>
          <w:color w:val="auto"/>
        </w:rPr>
      </w:pPr>
      <w:r>
        <w:rPr>
          <w:rFonts w:ascii="Arial" w:cs="Arial" w:eastAsia="Arial" w:hAnsi="Arial"/>
          <w:sz w:val="13"/>
          <w:szCs w:val="13"/>
          <w:b w:val="1"/>
          <w:bCs w:val="1"/>
          <w:color w:val="auto"/>
        </w:rPr>
        <w:t>19103-2838</w:t>
      </w:r>
    </w:p>
    <w:p>
      <w:pPr>
        <w:jc w:val="center"/>
        <w:spacing w:after="0" w:line="223" w:lineRule="auto"/>
        <w:rPr>
          <w:sz w:val="20"/>
          <w:szCs w:val="20"/>
          <w:color w:val="auto"/>
        </w:rPr>
      </w:pPr>
      <w:r>
        <w:rPr>
          <w:rFonts w:ascii="Arial" w:cs="Arial" w:eastAsia="Arial" w:hAnsi="Arial"/>
          <w:sz w:val="13"/>
          <w:szCs w:val="13"/>
          <w:b w:val="1"/>
          <w:bCs w:val="1"/>
          <w:color w:val="auto"/>
        </w:rPr>
        <w:t>(215) 286-1700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45085</wp:posOffset>
            </wp:positionV>
            <wp:extent cx="1521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71"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2700" w:type="dxa"/>
            <w:vAlign w:val="bottom"/>
            <w:vMerge w:val="restart"/>
          </w:tcPr>
          <w:p>
            <w:pPr>
              <w:jc w:val="center"/>
              <w:ind w:right="993"/>
              <w:spacing w:after="0"/>
              <w:rPr>
                <w:sz w:val="20"/>
                <w:szCs w:val="20"/>
                <w:color w:val="auto"/>
              </w:rPr>
            </w:pPr>
            <w:r>
              <w:rPr>
                <w:rFonts w:ascii="Arial" w:cs="Arial" w:eastAsia="Arial" w:hAnsi="Arial"/>
                <w:sz w:val="13"/>
                <w:szCs w:val="13"/>
                <w:b w:val="1"/>
                <w:bCs w:val="1"/>
                <w:color w:val="auto"/>
                <w:w w:val="96"/>
              </w:rPr>
              <w:t>David L. Caplan, Esq.</w:t>
            </w:r>
          </w:p>
        </w:tc>
        <w:tc>
          <w:tcPr>
            <w:tcW w:w="3920" w:type="dxa"/>
            <w:vAlign w:val="bottom"/>
          </w:tcPr>
          <w:p>
            <w:pPr>
              <w:jc w:val="center"/>
              <w:ind w:left="53"/>
              <w:spacing w:after="0"/>
              <w:rPr>
                <w:sz w:val="20"/>
                <w:szCs w:val="20"/>
                <w:color w:val="auto"/>
              </w:rPr>
            </w:pPr>
            <w:r>
              <w:rPr>
                <w:rFonts w:ascii="Arial" w:cs="Arial" w:eastAsia="Arial" w:hAnsi="Arial"/>
                <w:sz w:val="13"/>
                <w:szCs w:val="13"/>
                <w:b w:val="1"/>
                <w:bCs w:val="1"/>
                <w:i w:val="1"/>
                <w:iCs w:val="1"/>
                <w:color w:val="auto"/>
                <w:w w:val="88"/>
              </w:rPr>
              <w:t>Copies to:</w:t>
            </w:r>
          </w:p>
        </w:tc>
        <w:tc>
          <w:tcPr>
            <w:tcW w:w="2820" w:type="dxa"/>
            <w:vAlign w:val="bottom"/>
            <w:vMerge w:val="restart"/>
          </w:tcPr>
          <w:p>
            <w:pPr>
              <w:jc w:val="center"/>
              <w:ind w:left="853"/>
              <w:spacing w:after="0"/>
              <w:rPr>
                <w:sz w:val="20"/>
                <w:szCs w:val="20"/>
                <w:color w:val="auto"/>
              </w:rPr>
            </w:pPr>
            <w:r>
              <w:rPr>
                <w:rFonts w:ascii="Arial" w:cs="Arial" w:eastAsia="Arial" w:hAnsi="Arial"/>
                <w:sz w:val="13"/>
                <w:szCs w:val="13"/>
                <w:b w:val="1"/>
                <w:bCs w:val="1"/>
                <w:color w:val="auto"/>
                <w:w w:val="93"/>
              </w:rPr>
              <w:t>Robert B. Schumer, Esq.</w:t>
            </w:r>
          </w:p>
        </w:tc>
        <w:tc>
          <w:tcPr>
            <w:tcW w:w="0" w:type="dxa"/>
            <w:vAlign w:val="bottom"/>
          </w:tcPr>
          <w:p>
            <w:pPr>
              <w:spacing w:after="0"/>
              <w:rPr>
                <w:sz w:val="1"/>
                <w:szCs w:val="1"/>
                <w:color w:val="auto"/>
              </w:rPr>
            </w:pPr>
          </w:p>
        </w:tc>
      </w:tr>
      <w:tr>
        <w:trPr>
          <w:trHeight w:val="139"/>
        </w:trPr>
        <w:tc>
          <w:tcPr>
            <w:tcW w:w="2700" w:type="dxa"/>
            <w:vAlign w:val="bottom"/>
            <w:vMerge w:val="continue"/>
          </w:tcPr>
          <w:p>
            <w:pPr>
              <w:spacing w:after="0"/>
              <w:rPr>
                <w:sz w:val="12"/>
                <w:szCs w:val="12"/>
                <w:color w:val="auto"/>
              </w:rPr>
            </w:pPr>
          </w:p>
        </w:tc>
        <w:tc>
          <w:tcPr>
            <w:tcW w:w="3920" w:type="dxa"/>
            <w:vAlign w:val="bottom"/>
          </w:tcPr>
          <w:p>
            <w:pPr>
              <w:jc w:val="center"/>
              <w:ind w:left="53"/>
              <w:spacing w:after="0" w:line="139" w:lineRule="exact"/>
              <w:rPr>
                <w:sz w:val="20"/>
                <w:szCs w:val="20"/>
                <w:color w:val="auto"/>
              </w:rPr>
            </w:pPr>
            <w:r>
              <w:rPr>
                <w:rFonts w:ascii="Arial" w:cs="Arial" w:eastAsia="Arial" w:hAnsi="Arial"/>
                <w:sz w:val="13"/>
                <w:szCs w:val="13"/>
                <w:b w:val="1"/>
                <w:bCs w:val="1"/>
                <w:color w:val="auto"/>
                <w:w w:val="95"/>
              </w:rPr>
              <w:t>Marc Lawrence-Apfelbaum, Esq.</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jc w:val="center"/>
              <w:ind w:right="973"/>
              <w:spacing w:after="0" w:line="139" w:lineRule="exact"/>
              <w:rPr>
                <w:sz w:val="20"/>
                <w:szCs w:val="20"/>
                <w:color w:val="auto"/>
              </w:rPr>
            </w:pPr>
            <w:r>
              <w:rPr>
                <w:rFonts w:ascii="Arial" w:cs="Arial" w:eastAsia="Arial" w:hAnsi="Arial"/>
                <w:sz w:val="13"/>
                <w:szCs w:val="13"/>
                <w:b w:val="1"/>
                <w:bCs w:val="1"/>
                <w:color w:val="auto"/>
                <w:w w:val="96"/>
              </w:rPr>
              <w:t>William J. Chudd, Esq.</w:t>
            </w:r>
          </w:p>
        </w:tc>
        <w:tc>
          <w:tcPr>
            <w:tcW w:w="3920" w:type="dxa"/>
            <w:vAlign w:val="bottom"/>
          </w:tcPr>
          <w:p>
            <w:pPr>
              <w:jc w:val="center"/>
              <w:ind w:left="73"/>
              <w:spacing w:after="0" w:line="139" w:lineRule="exact"/>
              <w:rPr>
                <w:sz w:val="20"/>
                <w:szCs w:val="20"/>
                <w:color w:val="auto"/>
              </w:rPr>
            </w:pPr>
            <w:r>
              <w:rPr>
                <w:rFonts w:ascii="Arial" w:cs="Arial" w:eastAsia="Arial" w:hAnsi="Arial"/>
                <w:sz w:val="13"/>
                <w:szCs w:val="13"/>
                <w:b w:val="1"/>
                <w:bCs w:val="1"/>
                <w:color w:val="auto"/>
                <w:w w:val="92"/>
              </w:rPr>
              <w:t>Executive Vice President, General</w:t>
            </w:r>
          </w:p>
        </w:tc>
        <w:tc>
          <w:tcPr>
            <w:tcW w:w="2820" w:type="dxa"/>
            <w:vAlign w:val="bottom"/>
          </w:tcPr>
          <w:p>
            <w:pPr>
              <w:jc w:val="center"/>
              <w:ind w:left="853"/>
              <w:spacing w:after="0" w:line="139" w:lineRule="exact"/>
              <w:rPr>
                <w:sz w:val="20"/>
                <w:szCs w:val="20"/>
                <w:color w:val="auto"/>
              </w:rPr>
            </w:pPr>
            <w:r>
              <w:rPr>
                <w:rFonts w:ascii="Arial" w:cs="Arial" w:eastAsia="Arial" w:hAnsi="Arial"/>
                <w:sz w:val="13"/>
                <w:szCs w:val="13"/>
                <w:b w:val="1"/>
                <w:bCs w:val="1"/>
                <w:color w:val="auto"/>
                <w:w w:val="94"/>
              </w:rPr>
              <w:t>Ariel J. Deckelbaum, Esq.</w:t>
            </w:r>
          </w:p>
        </w:tc>
        <w:tc>
          <w:tcPr>
            <w:tcW w:w="0" w:type="dxa"/>
            <w:vAlign w:val="bottom"/>
          </w:tcPr>
          <w:p>
            <w:pPr>
              <w:spacing w:after="0"/>
              <w:rPr>
                <w:sz w:val="1"/>
                <w:szCs w:val="1"/>
                <w:color w:val="auto"/>
              </w:rPr>
            </w:pPr>
          </w:p>
        </w:tc>
      </w:tr>
      <w:tr>
        <w:trPr>
          <w:trHeight w:val="139"/>
        </w:trPr>
        <w:tc>
          <w:tcPr>
            <w:tcW w:w="2700" w:type="dxa"/>
            <w:vAlign w:val="bottom"/>
          </w:tcPr>
          <w:p>
            <w:pPr>
              <w:jc w:val="center"/>
              <w:ind w:right="973"/>
              <w:spacing w:after="0" w:line="139" w:lineRule="exact"/>
              <w:rPr>
                <w:sz w:val="20"/>
                <w:szCs w:val="20"/>
                <w:color w:val="auto"/>
              </w:rPr>
            </w:pPr>
            <w:r>
              <w:rPr>
                <w:rFonts w:ascii="Arial" w:cs="Arial" w:eastAsia="Arial" w:hAnsi="Arial"/>
                <w:sz w:val="13"/>
                <w:szCs w:val="13"/>
                <w:b w:val="1"/>
                <w:bCs w:val="1"/>
                <w:color w:val="auto"/>
                <w:w w:val="93"/>
              </w:rPr>
              <w:t>Bruce K. Dallas, Esq.</w:t>
            </w:r>
          </w:p>
        </w:tc>
        <w:tc>
          <w:tcPr>
            <w:tcW w:w="3920" w:type="dxa"/>
            <w:vAlign w:val="bottom"/>
          </w:tcPr>
          <w:p>
            <w:pPr>
              <w:jc w:val="center"/>
              <w:ind w:left="73"/>
              <w:spacing w:after="0" w:line="139" w:lineRule="exact"/>
              <w:rPr>
                <w:sz w:val="20"/>
                <w:szCs w:val="20"/>
                <w:color w:val="auto"/>
              </w:rPr>
            </w:pPr>
            <w:r>
              <w:rPr>
                <w:rFonts w:ascii="Arial" w:cs="Arial" w:eastAsia="Arial" w:hAnsi="Arial"/>
                <w:sz w:val="13"/>
                <w:szCs w:val="13"/>
                <w:b w:val="1"/>
                <w:bCs w:val="1"/>
                <w:color w:val="auto"/>
                <w:w w:val="92"/>
              </w:rPr>
              <w:t>Counsel and Secretary</w:t>
            </w:r>
          </w:p>
        </w:tc>
        <w:tc>
          <w:tcPr>
            <w:tcW w:w="2820" w:type="dxa"/>
            <w:vAlign w:val="bottom"/>
          </w:tcPr>
          <w:p>
            <w:pPr>
              <w:jc w:val="center"/>
              <w:ind w:left="833"/>
              <w:spacing w:after="0" w:line="139" w:lineRule="exact"/>
              <w:rPr>
                <w:sz w:val="20"/>
                <w:szCs w:val="20"/>
                <w:color w:val="auto"/>
              </w:rPr>
            </w:pPr>
            <w:r>
              <w:rPr>
                <w:rFonts w:ascii="Arial" w:cs="Arial" w:eastAsia="Arial" w:hAnsi="Arial"/>
                <w:sz w:val="13"/>
                <w:szCs w:val="13"/>
                <w:b w:val="1"/>
                <w:bCs w:val="1"/>
                <w:color w:val="auto"/>
                <w:w w:val="91"/>
              </w:rPr>
              <w:t>Ross A. Fieldston, Esq.</w:t>
            </w:r>
          </w:p>
        </w:tc>
        <w:tc>
          <w:tcPr>
            <w:tcW w:w="0" w:type="dxa"/>
            <w:vAlign w:val="bottom"/>
          </w:tcPr>
          <w:p>
            <w:pPr>
              <w:spacing w:after="0"/>
              <w:rPr>
                <w:sz w:val="1"/>
                <w:szCs w:val="1"/>
                <w:color w:val="auto"/>
              </w:rPr>
            </w:pPr>
          </w:p>
        </w:tc>
      </w:tr>
      <w:tr>
        <w:trPr>
          <w:trHeight w:val="139"/>
        </w:trPr>
        <w:tc>
          <w:tcPr>
            <w:tcW w:w="2700" w:type="dxa"/>
            <w:vAlign w:val="bottom"/>
          </w:tcPr>
          <w:p>
            <w:pPr>
              <w:jc w:val="center"/>
              <w:ind w:right="993"/>
              <w:spacing w:after="0" w:line="139" w:lineRule="exact"/>
              <w:rPr>
                <w:sz w:val="20"/>
                <w:szCs w:val="20"/>
                <w:color w:val="auto"/>
              </w:rPr>
            </w:pPr>
            <w:r>
              <w:rPr>
                <w:rFonts w:ascii="Arial" w:cs="Arial" w:eastAsia="Arial" w:hAnsi="Arial"/>
                <w:sz w:val="13"/>
                <w:szCs w:val="13"/>
                <w:b w:val="1"/>
                <w:bCs w:val="1"/>
                <w:color w:val="auto"/>
                <w:w w:val="97"/>
              </w:rPr>
              <w:t>Davis Polk &amp; Wardwell LLP</w:t>
            </w:r>
          </w:p>
        </w:tc>
        <w:tc>
          <w:tcPr>
            <w:tcW w:w="3920" w:type="dxa"/>
            <w:vAlign w:val="bottom"/>
          </w:tcPr>
          <w:p>
            <w:pPr>
              <w:jc w:val="center"/>
              <w:ind w:left="53"/>
              <w:spacing w:after="0" w:line="139" w:lineRule="exact"/>
              <w:rPr>
                <w:sz w:val="20"/>
                <w:szCs w:val="20"/>
                <w:color w:val="auto"/>
              </w:rPr>
            </w:pPr>
            <w:r>
              <w:rPr>
                <w:rFonts w:ascii="Arial" w:cs="Arial" w:eastAsia="Arial" w:hAnsi="Arial"/>
                <w:sz w:val="13"/>
                <w:szCs w:val="13"/>
                <w:b w:val="1"/>
                <w:bCs w:val="1"/>
                <w:color w:val="auto"/>
                <w:w w:val="97"/>
              </w:rPr>
              <w:t>Time Warner Cable Inc.</w:t>
            </w:r>
          </w:p>
        </w:tc>
        <w:tc>
          <w:tcPr>
            <w:tcW w:w="2820" w:type="dxa"/>
            <w:vAlign w:val="bottom"/>
          </w:tcPr>
          <w:p>
            <w:pPr>
              <w:jc w:val="center"/>
              <w:ind w:left="853"/>
              <w:spacing w:after="0" w:line="139" w:lineRule="exact"/>
              <w:rPr>
                <w:sz w:val="20"/>
                <w:szCs w:val="20"/>
                <w:color w:val="auto"/>
              </w:rPr>
            </w:pPr>
            <w:r>
              <w:rPr>
                <w:rFonts w:ascii="Arial" w:cs="Arial" w:eastAsia="Arial" w:hAnsi="Arial"/>
                <w:sz w:val="13"/>
                <w:szCs w:val="13"/>
                <w:b w:val="1"/>
                <w:bCs w:val="1"/>
                <w:color w:val="auto"/>
                <w:w w:val="96"/>
              </w:rPr>
              <w:t>Paul, Weiss, Rifkind, Wharton &amp;</w:t>
            </w:r>
          </w:p>
        </w:tc>
        <w:tc>
          <w:tcPr>
            <w:tcW w:w="0" w:type="dxa"/>
            <w:vAlign w:val="bottom"/>
          </w:tcPr>
          <w:p>
            <w:pPr>
              <w:spacing w:after="0"/>
              <w:rPr>
                <w:sz w:val="1"/>
                <w:szCs w:val="1"/>
                <w:color w:val="auto"/>
              </w:rPr>
            </w:pPr>
          </w:p>
        </w:tc>
      </w:tr>
      <w:tr>
        <w:trPr>
          <w:trHeight w:val="139"/>
        </w:trPr>
        <w:tc>
          <w:tcPr>
            <w:tcW w:w="2700" w:type="dxa"/>
            <w:vAlign w:val="bottom"/>
          </w:tcPr>
          <w:p>
            <w:pPr>
              <w:jc w:val="center"/>
              <w:ind w:right="973"/>
              <w:spacing w:after="0" w:line="139" w:lineRule="exact"/>
              <w:rPr>
                <w:sz w:val="20"/>
                <w:szCs w:val="20"/>
                <w:color w:val="auto"/>
              </w:rPr>
            </w:pPr>
            <w:r>
              <w:rPr>
                <w:rFonts w:ascii="Arial" w:cs="Arial" w:eastAsia="Arial" w:hAnsi="Arial"/>
                <w:sz w:val="13"/>
                <w:szCs w:val="13"/>
                <w:b w:val="1"/>
                <w:bCs w:val="1"/>
                <w:color w:val="auto"/>
                <w:w w:val="92"/>
              </w:rPr>
              <w:t>450 Lexington Ave.</w:t>
            </w:r>
          </w:p>
        </w:tc>
        <w:tc>
          <w:tcPr>
            <w:tcW w:w="3920" w:type="dxa"/>
            <w:vAlign w:val="bottom"/>
          </w:tcPr>
          <w:p>
            <w:pPr>
              <w:jc w:val="center"/>
              <w:ind w:left="73"/>
              <w:spacing w:after="0" w:line="139" w:lineRule="exact"/>
              <w:rPr>
                <w:sz w:val="20"/>
                <w:szCs w:val="20"/>
                <w:color w:val="auto"/>
              </w:rPr>
            </w:pPr>
            <w:r>
              <w:rPr>
                <w:rFonts w:ascii="Arial" w:cs="Arial" w:eastAsia="Arial" w:hAnsi="Arial"/>
                <w:sz w:val="13"/>
                <w:szCs w:val="13"/>
                <w:b w:val="1"/>
                <w:bCs w:val="1"/>
                <w:color w:val="auto"/>
                <w:w w:val="93"/>
              </w:rPr>
              <w:t>60 Columbus Circle</w:t>
            </w:r>
          </w:p>
        </w:tc>
        <w:tc>
          <w:tcPr>
            <w:tcW w:w="2820" w:type="dxa"/>
            <w:vAlign w:val="bottom"/>
          </w:tcPr>
          <w:p>
            <w:pPr>
              <w:jc w:val="center"/>
              <w:ind w:left="853"/>
              <w:spacing w:after="0" w:line="139" w:lineRule="exact"/>
              <w:rPr>
                <w:sz w:val="20"/>
                <w:szCs w:val="20"/>
                <w:color w:val="auto"/>
              </w:rPr>
            </w:pPr>
            <w:r>
              <w:rPr>
                <w:rFonts w:ascii="Arial" w:cs="Arial" w:eastAsia="Arial" w:hAnsi="Arial"/>
                <w:sz w:val="13"/>
                <w:szCs w:val="13"/>
                <w:b w:val="1"/>
                <w:bCs w:val="1"/>
                <w:color w:val="auto"/>
                <w:w w:val="99"/>
              </w:rPr>
              <w:t>Garrison LLP</w:t>
            </w:r>
          </w:p>
        </w:tc>
        <w:tc>
          <w:tcPr>
            <w:tcW w:w="0" w:type="dxa"/>
            <w:vAlign w:val="bottom"/>
          </w:tcPr>
          <w:p>
            <w:pPr>
              <w:spacing w:after="0"/>
              <w:rPr>
                <w:sz w:val="1"/>
                <w:szCs w:val="1"/>
                <w:color w:val="auto"/>
              </w:rPr>
            </w:pPr>
          </w:p>
        </w:tc>
      </w:tr>
      <w:tr>
        <w:trPr>
          <w:trHeight w:val="139"/>
        </w:trPr>
        <w:tc>
          <w:tcPr>
            <w:tcW w:w="2700" w:type="dxa"/>
            <w:vAlign w:val="bottom"/>
          </w:tcPr>
          <w:p>
            <w:pPr>
              <w:jc w:val="center"/>
              <w:ind w:right="973"/>
              <w:spacing w:after="0" w:line="139" w:lineRule="exact"/>
              <w:rPr>
                <w:sz w:val="20"/>
                <w:szCs w:val="20"/>
                <w:color w:val="auto"/>
              </w:rPr>
            </w:pPr>
            <w:r>
              <w:rPr>
                <w:rFonts w:ascii="Arial" w:cs="Arial" w:eastAsia="Arial" w:hAnsi="Arial"/>
                <w:sz w:val="13"/>
                <w:szCs w:val="13"/>
                <w:b w:val="1"/>
                <w:bCs w:val="1"/>
                <w:color w:val="auto"/>
                <w:w w:val="95"/>
              </w:rPr>
              <w:t>New York, New York 10017</w:t>
            </w:r>
          </w:p>
        </w:tc>
        <w:tc>
          <w:tcPr>
            <w:tcW w:w="3920" w:type="dxa"/>
            <w:vAlign w:val="bottom"/>
          </w:tcPr>
          <w:p>
            <w:pPr>
              <w:jc w:val="center"/>
              <w:ind w:left="73"/>
              <w:spacing w:after="0" w:line="139" w:lineRule="exact"/>
              <w:rPr>
                <w:sz w:val="20"/>
                <w:szCs w:val="20"/>
                <w:color w:val="auto"/>
              </w:rPr>
            </w:pPr>
            <w:r>
              <w:rPr>
                <w:rFonts w:ascii="Arial" w:cs="Arial" w:eastAsia="Arial" w:hAnsi="Arial"/>
                <w:sz w:val="13"/>
                <w:szCs w:val="13"/>
                <w:b w:val="1"/>
                <w:bCs w:val="1"/>
                <w:color w:val="auto"/>
                <w:w w:val="95"/>
              </w:rPr>
              <w:t>New York, New York 10023</w:t>
            </w:r>
          </w:p>
        </w:tc>
        <w:tc>
          <w:tcPr>
            <w:tcW w:w="2820" w:type="dxa"/>
            <w:vAlign w:val="bottom"/>
          </w:tcPr>
          <w:p>
            <w:pPr>
              <w:jc w:val="center"/>
              <w:ind w:left="853"/>
              <w:spacing w:after="0" w:line="139" w:lineRule="exact"/>
              <w:rPr>
                <w:sz w:val="20"/>
                <w:szCs w:val="20"/>
                <w:color w:val="auto"/>
              </w:rPr>
            </w:pPr>
            <w:r>
              <w:rPr>
                <w:rFonts w:ascii="Arial" w:cs="Arial" w:eastAsia="Arial" w:hAnsi="Arial"/>
                <w:sz w:val="13"/>
                <w:szCs w:val="13"/>
                <w:b w:val="1"/>
                <w:bCs w:val="1"/>
                <w:color w:val="auto"/>
                <w:w w:val="91"/>
              </w:rPr>
              <w:t>1285 Avenue of the Americas</w:t>
            </w:r>
          </w:p>
        </w:tc>
        <w:tc>
          <w:tcPr>
            <w:tcW w:w="0" w:type="dxa"/>
            <w:vAlign w:val="bottom"/>
          </w:tcPr>
          <w:p>
            <w:pPr>
              <w:spacing w:after="0"/>
              <w:rPr>
                <w:sz w:val="1"/>
                <w:szCs w:val="1"/>
                <w:color w:val="auto"/>
              </w:rPr>
            </w:pPr>
          </w:p>
        </w:tc>
      </w:tr>
      <w:tr>
        <w:trPr>
          <w:trHeight w:val="139"/>
        </w:trPr>
        <w:tc>
          <w:tcPr>
            <w:tcW w:w="2700" w:type="dxa"/>
            <w:vAlign w:val="bottom"/>
          </w:tcPr>
          <w:p>
            <w:pPr>
              <w:jc w:val="center"/>
              <w:ind w:right="993"/>
              <w:spacing w:after="0" w:line="139" w:lineRule="exact"/>
              <w:rPr>
                <w:sz w:val="20"/>
                <w:szCs w:val="20"/>
                <w:color w:val="auto"/>
              </w:rPr>
            </w:pPr>
            <w:r>
              <w:rPr>
                <w:rFonts w:ascii="Arial" w:cs="Arial" w:eastAsia="Arial" w:hAnsi="Arial"/>
                <w:sz w:val="13"/>
                <w:szCs w:val="13"/>
                <w:b w:val="1"/>
                <w:bCs w:val="1"/>
                <w:color w:val="auto"/>
                <w:w w:val="94"/>
              </w:rPr>
              <w:t>(212) 450-4000</w:t>
            </w:r>
          </w:p>
        </w:tc>
        <w:tc>
          <w:tcPr>
            <w:tcW w:w="3920" w:type="dxa"/>
            <w:vAlign w:val="bottom"/>
          </w:tcPr>
          <w:p>
            <w:pPr>
              <w:jc w:val="center"/>
              <w:ind w:left="53"/>
              <w:spacing w:after="0" w:line="139" w:lineRule="exact"/>
              <w:rPr>
                <w:sz w:val="20"/>
                <w:szCs w:val="20"/>
                <w:color w:val="auto"/>
              </w:rPr>
            </w:pPr>
            <w:r>
              <w:rPr>
                <w:rFonts w:ascii="Arial" w:cs="Arial" w:eastAsia="Arial" w:hAnsi="Arial"/>
                <w:sz w:val="13"/>
                <w:szCs w:val="13"/>
                <w:b w:val="1"/>
                <w:bCs w:val="1"/>
                <w:color w:val="auto"/>
                <w:w w:val="94"/>
              </w:rPr>
              <w:t>(212) 364-8200</w:t>
            </w:r>
          </w:p>
        </w:tc>
        <w:tc>
          <w:tcPr>
            <w:tcW w:w="2820" w:type="dxa"/>
            <w:vAlign w:val="bottom"/>
          </w:tcPr>
          <w:p>
            <w:pPr>
              <w:jc w:val="center"/>
              <w:ind w:left="853"/>
              <w:spacing w:after="0" w:line="139" w:lineRule="exact"/>
              <w:rPr>
                <w:sz w:val="20"/>
                <w:szCs w:val="20"/>
                <w:color w:val="auto"/>
              </w:rPr>
            </w:pPr>
            <w:r>
              <w:rPr>
                <w:rFonts w:ascii="Arial" w:cs="Arial" w:eastAsia="Arial" w:hAnsi="Arial"/>
                <w:sz w:val="13"/>
                <w:szCs w:val="13"/>
                <w:b w:val="1"/>
                <w:bCs w:val="1"/>
                <w:color w:val="auto"/>
                <w:w w:val="95"/>
              </w:rPr>
              <w:t>New York, New York 10019</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20" w:type="dxa"/>
            <w:vAlign w:val="bottom"/>
          </w:tcPr>
          <w:p>
            <w:pPr>
              <w:jc w:val="center"/>
              <w:ind w:left="833"/>
              <w:spacing w:after="0"/>
              <w:rPr>
                <w:sz w:val="20"/>
                <w:szCs w:val="20"/>
                <w:color w:val="auto"/>
              </w:rPr>
            </w:pPr>
            <w:r>
              <w:rPr>
                <w:rFonts w:ascii="Arial" w:cs="Arial" w:eastAsia="Arial" w:hAnsi="Arial"/>
                <w:sz w:val="13"/>
                <w:szCs w:val="13"/>
                <w:b w:val="1"/>
                <w:bCs w:val="1"/>
                <w:color w:val="auto"/>
                <w:w w:val="94"/>
              </w:rPr>
              <w:t>(212) 373-3000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46990</wp:posOffset>
            </wp:positionV>
            <wp:extent cx="1521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71" w:lineRule="exact"/>
        <w:rPr>
          <w:sz w:val="24"/>
          <w:szCs w:val="24"/>
          <w:color w:val="auto"/>
        </w:rPr>
      </w:pPr>
    </w:p>
    <w:p>
      <w:pPr>
        <w:ind w:right="60" w:firstLine="343"/>
        <w:spacing w:after="0" w:line="250" w:lineRule="auto"/>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this Registration Statement becomes effective and upon completion of the merger of Tango Acquisition Sub,</w:t>
      </w:r>
      <w:r>
        <w:rPr>
          <w:rFonts w:ascii="Arial" w:cs="Arial" w:eastAsia="Arial" w:hAnsi="Arial"/>
          <w:sz w:val="13"/>
          <w:szCs w:val="13"/>
          <w:b w:val="1"/>
          <w:bCs w:val="1"/>
          <w:color w:val="auto"/>
        </w:rPr>
        <w:t xml:space="preserve"> </w:t>
      </w:r>
      <w:r>
        <w:rPr>
          <w:rFonts w:ascii="Arial" w:cs="Arial" w:eastAsia="Arial" w:hAnsi="Arial"/>
          <w:sz w:val="13"/>
          <w:szCs w:val="13"/>
          <w:color w:val="auto"/>
        </w:rPr>
        <w:t>Inc., a wholly owned subsidiary of Comcast Corporation (“Comcast”), with and into Time Warner Cable Inc. (“TWC”).</w:t>
      </w:r>
    </w:p>
    <w:p>
      <w:pPr>
        <w:spacing w:after="0" w:line="1" w:lineRule="exact"/>
        <w:rPr>
          <w:sz w:val="24"/>
          <w:szCs w:val="24"/>
          <w:color w:val="auto"/>
        </w:rPr>
      </w:pPr>
    </w:p>
    <w:p>
      <w:pPr>
        <w:ind w:left="34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43" w:lineRule="exact"/>
        <w:rPr>
          <w:sz w:val="24"/>
          <w:szCs w:val="24"/>
          <w:color w:val="auto"/>
        </w:rPr>
      </w:pPr>
    </w:p>
    <w:p>
      <w:pPr>
        <w:ind w:right="20" w:firstLine="343"/>
        <w:spacing w:after="0" w:line="15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ectPr>
          <w:pgSz w:w="11900" w:h="16838" w:orient="portrait"/>
          <w:cols w:equalWidth="0" w:num="1">
            <w:col w:w="11420"/>
          </w:cols>
          <w:pgMar w:left="240" w:top="225" w:right="239" w:bottom="1440" w:gutter="0" w:footer="0" w:header="0"/>
        </w:sectPr>
      </w:pPr>
    </w:p>
    <w:p>
      <w:pPr>
        <w:ind w:firstLine="343"/>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300" w:firstLine="343"/>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20" w:type="dxa"/>
        <w:tblCellMar>
          <w:top w:w="0" w:type="dxa"/>
          <w:left w:w="0" w:type="dxa"/>
          <w:bottom w:w="0" w:type="dxa"/>
          <w:right w:w="0" w:type="dxa"/>
        </w:tblCellMar>
      </w:tblPr>
      <w:tr>
        <w:trPr>
          <w:trHeight w:val="138"/>
        </w:trPr>
        <w:tc>
          <w:tcPr>
            <w:tcW w:w="1440" w:type="dxa"/>
            <w:vAlign w:val="bottom"/>
          </w:tcPr>
          <w:p>
            <w:pPr>
              <w:spacing w:after="0" w:line="138" w:lineRule="exact"/>
              <w:rPr>
                <w:sz w:val="20"/>
                <w:szCs w:val="20"/>
                <w:color w:val="auto"/>
              </w:rPr>
            </w:pPr>
            <w:r>
              <w:rPr>
                <w:rFonts w:ascii="Arial" w:cs="Arial" w:eastAsia="Arial" w:hAnsi="Arial"/>
                <w:sz w:val="13"/>
                <w:szCs w:val="13"/>
                <w:color w:val="auto"/>
              </w:rPr>
              <w:t>Large accelerated filer</w:t>
            </w:r>
          </w:p>
        </w:tc>
        <w:tc>
          <w:tcPr>
            <w:tcW w:w="3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6020" w:type="dxa"/>
            <w:vAlign w:val="bottom"/>
          </w:tcPr>
          <w:p>
            <w:pPr>
              <w:ind w:left="4540"/>
              <w:spacing w:after="0" w:line="138" w:lineRule="exact"/>
              <w:rPr>
                <w:sz w:val="20"/>
                <w:szCs w:val="20"/>
                <w:color w:val="auto"/>
              </w:rPr>
            </w:pPr>
            <w:r>
              <w:rPr>
                <w:rFonts w:ascii="Arial" w:cs="Arial" w:eastAsia="Arial" w:hAnsi="Arial"/>
                <w:sz w:val="13"/>
                <w:szCs w:val="13"/>
                <w:color w:val="auto"/>
              </w:rPr>
              <w:t>Accelerated filer</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140" w:type="dxa"/>
            <w:vAlign w:val="bottom"/>
          </w:tcPr>
          <w:p>
            <w:pPr>
              <w:ind w:left="2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6020" w:type="dxa"/>
            <w:vAlign w:val="bottom"/>
          </w:tcPr>
          <w:p>
            <w:pPr>
              <w:ind w:left="4540"/>
              <w:spacing w:after="0"/>
              <w:rPr>
                <w:sz w:val="20"/>
                <w:szCs w:val="20"/>
                <w:color w:val="auto"/>
              </w:rPr>
            </w:pPr>
            <w:r>
              <w:rPr>
                <w:rFonts w:ascii="Arial" w:cs="Arial" w:eastAsia="Arial" w:hAnsi="Arial"/>
                <w:sz w:val="13"/>
                <w:szCs w:val="13"/>
                <w:color w:val="auto"/>
                <w:w w:val="93"/>
              </w:rPr>
              <w:t>Smaller reporting company</w:t>
            </w:r>
          </w:p>
        </w:tc>
        <w:tc>
          <w:tcPr>
            <w:tcW w:w="0" w:type="dxa"/>
            <w:vAlign w:val="bottom"/>
          </w:tcPr>
          <w:p>
            <w:pPr>
              <w:spacing w:after="0"/>
              <w:rPr>
                <w:sz w:val="1"/>
                <w:szCs w:val="1"/>
                <w:color w:val="auto"/>
              </w:rPr>
            </w:pPr>
          </w:p>
        </w:tc>
      </w:tr>
      <w:tr>
        <w:trPr>
          <w:trHeight w:val="139"/>
        </w:trPr>
        <w:tc>
          <w:tcPr>
            <w:tcW w:w="10600" w:type="dxa"/>
            <w:vAlign w:val="bottom"/>
            <w:gridSpan w:val="3"/>
          </w:tcPr>
          <w:p>
            <w:pPr>
              <w:ind w:left="220"/>
              <w:spacing w:after="0" w:line="139" w:lineRule="exact"/>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tc>
        <w:tc>
          <w:tcPr>
            <w:tcW w:w="0" w:type="dxa"/>
            <w:vAlign w:val="bottom"/>
          </w:tcPr>
          <w:p>
            <w:pPr>
              <w:spacing w:after="0"/>
              <w:rPr>
                <w:sz w:val="1"/>
                <w:szCs w:val="1"/>
                <w:color w:val="auto"/>
              </w:rPr>
            </w:pPr>
          </w:p>
        </w:tc>
      </w:tr>
      <w:tr>
        <w:trPr>
          <w:trHeight w:val="211"/>
        </w:trPr>
        <w:tc>
          <w:tcPr>
            <w:tcW w:w="4580" w:type="dxa"/>
            <w:vAlign w:val="bottom"/>
            <w:gridSpan w:val="2"/>
          </w:tcPr>
          <w:p>
            <w:pPr>
              <w:ind w:left="220"/>
              <w:spacing w:after="0" w:line="150" w:lineRule="exact"/>
              <w:rPr>
                <w:sz w:val="20"/>
                <w:szCs w:val="20"/>
                <w:color w:val="auto"/>
              </w:rPr>
            </w:pPr>
            <w:r>
              <w:rPr>
                <w:rFonts w:ascii="Arial" w:cs="Arial" w:eastAsia="Arial" w:hAnsi="Arial"/>
                <w:sz w:val="13"/>
                <w:szCs w:val="13"/>
                <w:color w:val="auto"/>
                <w:w w:val="98"/>
              </w:rPr>
              <w:t xml:space="preserve">Securities Exchange Act Rule 13e-4(i) (Cross-Border Issuer Tender Offer) </w:t>
            </w:r>
            <w:r>
              <w:rPr>
                <w:rFonts w:ascii="MS PGothic" w:cs="MS PGothic" w:eastAsia="MS PGothic" w:hAnsi="MS PGothic"/>
                <w:sz w:val="13"/>
                <w:szCs w:val="13"/>
                <w:color w:val="auto"/>
                <w:w w:val="98"/>
              </w:rPr>
              <w:t>☐</w:t>
            </w:r>
          </w:p>
        </w:tc>
        <w:tc>
          <w:tcPr>
            <w:tcW w:w="602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20"/>
              <w:spacing w:after="0"/>
              <w:rPr>
                <w:sz w:val="20"/>
                <w:szCs w:val="20"/>
                <w:color w:val="auto"/>
              </w:rPr>
            </w:pPr>
            <w:r>
              <w:rPr>
                <w:rFonts w:ascii="Arial" w:cs="Arial" w:eastAsia="Arial" w:hAnsi="Arial"/>
                <w:sz w:val="13"/>
                <w:szCs w:val="13"/>
                <w:color w:val="auto"/>
                <w:w w:val="95"/>
              </w:rPr>
              <w:t>Securities Exchange Act Rule 14d-l(d) (Cross-Border Third-Party Tender Offer)</w:t>
            </w:r>
          </w:p>
        </w:tc>
        <w:tc>
          <w:tcPr>
            <w:tcW w:w="6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29845</wp:posOffset>
            </wp:positionV>
            <wp:extent cx="1521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57" w:lineRule="exact"/>
        <w:rPr>
          <w:sz w:val="24"/>
          <w:szCs w:val="24"/>
          <w:color w:val="auto"/>
        </w:rPr>
      </w:pPr>
    </w:p>
    <w:p>
      <w:pPr>
        <w:jc w:val="center"/>
        <w:ind w:left="260"/>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55" w:lineRule="exact"/>
        <w:rPr>
          <w:sz w:val="24"/>
          <w:szCs w:val="24"/>
          <w:color w:val="auto"/>
        </w:rPr>
      </w:pPr>
    </w:p>
    <w:p>
      <w:pPr>
        <w:sectPr>
          <w:pgSz w:w="11900" w:h="16838" w:orient="portrait"/>
          <w:cols w:equalWidth="0" w:num="2">
            <w:col w:w="11160" w:space="140"/>
            <w:col w:w="12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93"/>
              </w:rPr>
              <w:t>Amount</w:t>
            </w:r>
          </w:p>
        </w:tc>
        <w:tc>
          <w:tcPr>
            <w:tcW w:w="1500" w:type="dxa"/>
            <w:vAlign w:val="bottom"/>
            <w:tcBorders>
              <w:right w:val="single" w:sz="8" w:color="auto"/>
            </w:tcBorders>
          </w:tcPr>
          <w:p>
            <w:pPr>
              <w:jc w:val="center"/>
              <w:ind w:left="15"/>
              <w:spacing w:after="0" w:line="96" w:lineRule="exact"/>
              <w:rPr>
                <w:sz w:val="20"/>
                <w:szCs w:val="20"/>
                <w:color w:val="auto"/>
              </w:rPr>
            </w:pPr>
            <w:r>
              <w:rPr>
                <w:rFonts w:ascii="Arial" w:cs="Arial" w:eastAsia="Arial" w:hAnsi="Arial"/>
                <w:sz w:val="11"/>
                <w:szCs w:val="11"/>
                <w:b w:val="1"/>
                <w:bCs w:val="1"/>
                <w:color w:val="auto"/>
              </w:rPr>
              <w:t>Proposed</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Proposed</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ind w:left="35"/>
              <w:spacing w:after="0" w:line="139" w:lineRule="exact"/>
              <w:rPr>
                <w:sz w:val="20"/>
                <w:szCs w:val="20"/>
                <w:color w:val="auto"/>
              </w:rPr>
            </w:pPr>
            <w:r>
              <w:rPr>
                <w:rFonts w:ascii="Arial" w:cs="Arial" w:eastAsia="Arial" w:hAnsi="Arial"/>
                <w:sz w:val="13"/>
                <w:szCs w:val="13"/>
                <w:b w:val="1"/>
                <w:bCs w:val="1"/>
                <w:color w:val="auto"/>
                <w:w w:val="99"/>
              </w:rPr>
              <w:t>Maximum</w:t>
            </w:r>
          </w:p>
        </w:tc>
        <w:tc>
          <w:tcPr>
            <w:tcW w:w="1820" w:type="dxa"/>
            <w:vAlign w:val="bottom"/>
            <w:tcBorders>
              <w:right w:val="single" w:sz="8" w:color="auto"/>
            </w:tcBorders>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w w:val="95"/>
              </w:rPr>
              <w:t>Title Of Each Class Of</w:t>
            </w:r>
          </w:p>
        </w:tc>
        <w:tc>
          <w:tcPr>
            <w:tcW w:w="1840" w:type="dxa"/>
            <w:vAlign w:val="bottom"/>
            <w:tcBorders>
              <w:right w:val="single" w:sz="8" w:color="auto"/>
            </w:tcBorders>
          </w:tcPr>
          <w:p>
            <w:pPr>
              <w:jc w:val="center"/>
              <w:ind w:left="33"/>
              <w:spacing w:after="0" w:line="147" w:lineRule="exact"/>
              <w:rPr>
                <w:sz w:val="20"/>
                <w:szCs w:val="20"/>
                <w:color w:val="auto"/>
              </w:rPr>
            </w:pPr>
            <w:r>
              <w:rPr>
                <w:rFonts w:ascii="Arial" w:cs="Arial" w:eastAsia="Arial" w:hAnsi="Arial"/>
                <w:sz w:val="13"/>
                <w:szCs w:val="13"/>
                <w:b w:val="1"/>
                <w:bCs w:val="1"/>
                <w:color w:val="auto"/>
                <w:w w:val="94"/>
              </w:rPr>
              <w:t>To Be</w:t>
            </w:r>
          </w:p>
        </w:tc>
        <w:tc>
          <w:tcPr>
            <w:tcW w:w="1500" w:type="dxa"/>
            <w:vAlign w:val="bottom"/>
            <w:tcBorders>
              <w:right w:val="single" w:sz="8" w:color="auto"/>
            </w:tcBorders>
          </w:tcPr>
          <w:p>
            <w:pPr>
              <w:jc w:val="center"/>
              <w:ind w:left="15"/>
              <w:spacing w:after="0" w:line="147" w:lineRule="exact"/>
              <w:rPr>
                <w:sz w:val="20"/>
                <w:szCs w:val="20"/>
                <w:color w:val="auto"/>
              </w:rPr>
            </w:pPr>
            <w:r>
              <w:rPr>
                <w:rFonts w:ascii="Arial" w:cs="Arial" w:eastAsia="Arial" w:hAnsi="Arial"/>
                <w:sz w:val="13"/>
                <w:szCs w:val="13"/>
                <w:b w:val="1"/>
                <w:bCs w:val="1"/>
                <w:color w:val="auto"/>
                <w:w w:val="95"/>
              </w:rPr>
              <w:t>Offering Price</w:t>
            </w:r>
          </w:p>
        </w:tc>
        <w:tc>
          <w:tcPr>
            <w:tcW w:w="1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w w:val="93"/>
              </w:rPr>
              <w:t>Maximum Aggregate</w:t>
            </w:r>
          </w:p>
        </w:tc>
        <w:tc>
          <w:tcPr>
            <w:tcW w:w="1440" w:type="dxa"/>
            <w:vAlign w:val="bottom"/>
          </w:tcPr>
          <w:p>
            <w:pPr>
              <w:jc w:val="center"/>
              <w:ind w:left="33"/>
              <w:spacing w:after="0" w:line="147" w:lineRule="exact"/>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Securities To Be Registered</w:t>
            </w:r>
          </w:p>
        </w:tc>
        <w:tc>
          <w:tcPr>
            <w:tcW w:w="184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2"/>
              </w:rPr>
              <w:t>Registered</w:t>
            </w:r>
          </w:p>
        </w:tc>
        <w:tc>
          <w:tcPr>
            <w:tcW w:w="15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6"/>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Offering Price</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2"/>
              </w:rPr>
              <w:t>Registration Fee</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right w:val="single" w:sz="8" w:color="auto"/>
            </w:tcBorders>
          </w:tcPr>
          <w:p>
            <w:pPr>
              <w:spacing w:after="0" w:line="131" w:lineRule="exact"/>
              <w:rPr>
                <w:sz w:val="20"/>
                <w:szCs w:val="20"/>
                <w:color w:val="auto"/>
              </w:rPr>
            </w:pPr>
            <w:r>
              <w:rPr>
                <w:rFonts w:ascii="Arial" w:cs="Arial" w:eastAsia="Arial" w:hAnsi="Arial"/>
                <w:sz w:val="13"/>
                <w:szCs w:val="13"/>
                <w:color w:val="auto"/>
              </w:rPr>
              <w:t>Comcast Class A Common Stock, par value $0.01 per share</w:t>
            </w:r>
          </w:p>
        </w:tc>
        <w:tc>
          <w:tcPr>
            <w:tcW w:w="1840" w:type="dxa"/>
            <w:vAlign w:val="bottom"/>
            <w:tcBorders>
              <w:bottom w:val="single" w:sz="8" w:color="auto"/>
              <w:right w:val="single" w:sz="8" w:color="auto"/>
            </w:tcBorders>
          </w:tcPr>
          <w:p>
            <w:pPr>
              <w:jc w:val="center"/>
              <w:ind w:left="33"/>
              <w:spacing w:after="0" w:line="131" w:lineRule="exact"/>
              <w:rPr>
                <w:sz w:val="20"/>
                <w:szCs w:val="20"/>
                <w:color w:val="auto"/>
              </w:rPr>
            </w:pPr>
            <w:r>
              <w:rPr>
                <w:rFonts w:ascii="Arial" w:cs="Arial" w:eastAsia="Arial" w:hAnsi="Arial"/>
                <w:sz w:val="13"/>
                <w:szCs w:val="13"/>
                <w:color w:val="auto"/>
                <w:w w:val="90"/>
              </w:rPr>
              <w:t>810,732,069 shares(1)</w:t>
            </w:r>
          </w:p>
        </w:tc>
        <w:tc>
          <w:tcPr>
            <w:tcW w:w="1500" w:type="dxa"/>
            <w:vAlign w:val="bottom"/>
            <w:tcBorders>
              <w:bottom w:val="single" w:sz="8" w:color="auto"/>
              <w:right w:val="single" w:sz="8" w:color="auto"/>
            </w:tcBorders>
          </w:tcPr>
          <w:p>
            <w:pPr>
              <w:jc w:val="center"/>
              <w:ind w:left="35"/>
              <w:spacing w:after="0" w:line="131" w:lineRule="exact"/>
              <w:rPr>
                <w:sz w:val="20"/>
                <w:szCs w:val="20"/>
                <w:color w:val="auto"/>
              </w:rPr>
            </w:pPr>
            <w:r>
              <w:rPr>
                <w:rFonts w:ascii="Arial" w:cs="Arial" w:eastAsia="Arial" w:hAnsi="Arial"/>
                <w:sz w:val="13"/>
                <w:szCs w:val="13"/>
                <w:color w:val="auto"/>
              </w:rPr>
              <w:t>N/A</w:t>
            </w:r>
          </w:p>
        </w:tc>
        <w:tc>
          <w:tcPr>
            <w:tcW w:w="182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$39,061,776,050.76(2)</w:t>
            </w:r>
          </w:p>
        </w:tc>
        <w:tc>
          <w:tcPr>
            <w:tcW w:w="1440" w:type="dxa"/>
            <w:vAlign w:val="bottom"/>
            <w:tcBorders>
              <w:bottom w:val="single" w:sz="8" w:color="auto"/>
            </w:tcBorders>
          </w:tcPr>
          <w:p>
            <w:pPr>
              <w:jc w:val="center"/>
              <w:ind w:left="13"/>
              <w:spacing w:after="0" w:line="131" w:lineRule="exact"/>
              <w:rPr>
                <w:sz w:val="20"/>
                <w:szCs w:val="20"/>
                <w:color w:val="auto"/>
              </w:rPr>
            </w:pPr>
            <w:r>
              <w:rPr>
                <w:rFonts w:ascii="Arial" w:cs="Arial" w:eastAsia="Arial" w:hAnsi="Arial"/>
                <w:sz w:val="13"/>
                <w:szCs w:val="13"/>
                <w:color w:val="auto"/>
                <w:w w:val="93"/>
              </w:rPr>
              <w:t>$5,031,156.76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9"/>
        <w:spacing w:after="0" w:line="224"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maximum number of shares of Class A common stock, par value $0.01 per share, of Comcast estimated to be issued upon the completion of the merger of Tango Acquisition Sub, Inc., a wholly owned subsidiary of Comcast, with and into TWC based on the product of (x) the sum of (i) 278,363,115 (the number of shares of common stock, $0.01 par value, of TWC outstanding as of March 17, 2014) and (ii) 3,630,648 (the number of shares of common stock, $0.01 par value, of TWC issuable upon the exercise or settlement of TWC options and restricted stock units outstanding as of March 17, 2014 that are or may become exercisable or issuable upon settlement prior to completion of the merger) and (y) an exchange ratio of 2.875 (which represents the number of shares of Comcast Class A common stock to be issued for each share of TWC common stock).</w:t>
      </w:r>
    </w:p>
    <w:p>
      <w:pPr>
        <w:spacing w:after="0" w:line="2" w:lineRule="exact"/>
        <w:rPr>
          <w:rFonts w:ascii="Arial" w:cs="Arial" w:eastAsia="Arial" w:hAnsi="Arial"/>
          <w:sz w:val="13"/>
          <w:szCs w:val="13"/>
          <w:color w:val="auto"/>
        </w:rPr>
      </w:pPr>
    </w:p>
    <w:p>
      <w:pPr>
        <w:ind w:left="340" w:right="260" w:hanging="339"/>
        <w:spacing w:after="0" w:line="241"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required by Section 6(b) of the Securities Act and calculated in accordance with Rule 457(f)(1), Rule 457(f)(3) and Rule 457(c) of the Securities Act as follows: the product of (1) $138.52, the average of the high and low sales prices per share of TWC common stock on March 17, 2014 as quoted on the New York Stock Exchange, multiplied by (2) 281,993,763, the sum of the aggregate number of shares of TWC common stock outstanding as of March 17, 2014 and the aggregate number of shares of TWC common stock issuable upon the exercise or settlement of TWC options and restricted stock units that are or may become exercisable or issuable upon settlement prior to completion of the merger.</w:t>
      </w:r>
    </w:p>
    <w:p>
      <w:pPr>
        <w:ind w:left="340" w:hanging="339"/>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in accordance with Section 6(b) of the Securities Act and SEC Fee Advisory #1 for Fiscal Year 2014 at a rate equal to 0.0001288 multiplied by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92710</wp:posOffset>
            </wp:positionV>
            <wp:extent cx="1521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56" w:lineRule="exact"/>
        <w:rPr>
          <w:sz w:val="24"/>
          <w:szCs w:val="24"/>
          <w:color w:val="auto"/>
        </w:rPr>
      </w:pPr>
    </w:p>
    <w:p>
      <w:pPr>
        <w:ind w:right="420" w:firstLine="343"/>
        <w:spacing w:after="0" w:line="24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5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62230</wp:posOffset>
            </wp:positionV>
            <wp:extent cx="7255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DE1A1E"/>
        </w:rPr>
        <w:t>PRELIMINARY—SUBJECT TO COMPLETION—DATED MARCH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1241425" cy="432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1425" cy="43243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86360</wp:posOffset>
            </wp:positionV>
            <wp:extent cx="124142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14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2014</w:t>
      </w:r>
    </w:p>
    <w:p>
      <w:pPr>
        <w:spacing w:after="0" w:line="114" w:lineRule="exact"/>
        <w:rPr>
          <w:sz w:val="20"/>
          <w:szCs w:val="20"/>
          <w:color w:val="auto"/>
        </w:rPr>
      </w:pPr>
    </w:p>
    <w:p>
      <w:pPr>
        <w:ind w:right="3600" w:firstLine="3609"/>
        <w:spacing w:after="0" w:line="371" w:lineRule="auto"/>
        <w:rPr>
          <w:sz w:val="20"/>
          <w:szCs w:val="20"/>
          <w:color w:val="auto"/>
        </w:rPr>
      </w:pPr>
      <w:r>
        <w:rPr>
          <w:rFonts w:ascii="Arial" w:cs="Arial" w:eastAsia="Arial" w:hAnsi="Arial"/>
          <w:sz w:val="15"/>
          <w:szCs w:val="15"/>
          <w:b w:val="1"/>
          <w:bCs w:val="1"/>
          <w:color w:val="auto"/>
        </w:rPr>
        <w:t>MERGER PROPOSAL—YOUR VOTE IS VERY IMPORTANT Dear Comcast Corporation Shareholders and Time Warner Cable Inc. Stockholders:</w:t>
      </w:r>
    </w:p>
    <w:p>
      <w:pPr>
        <w:ind w:right="140" w:firstLine="343"/>
        <w:spacing w:after="0" w:line="290" w:lineRule="auto"/>
        <w:rPr>
          <w:sz w:val="20"/>
          <w:szCs w:val="20"/>
          <w:color w:val="auto"/>
        </w:rPr>
      </w:pPr>
      <w:r>
        <w:rPr>
          <w:rFonts w:ascii="Arial" w:cs="Arial" w:eastAsia="Arial" w:hAnsi="Arial"/>
          <w:sz w:val="14"/>
          <w:szCs w:val="14"/>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69" w:lineRule="exact"/>
        <w:rPr>
          <w:sz w:val="20"/>
          <w:szCs w:val="20"/>
          <w:color w:val="auto"/>
        </w:rPr>
      </w:pPr>
    </w:p>
    <w:p>
      <w:pPr>
        <w:ind w:right="560" w:firstLine="343"/>
        <w:spacing w:after="0" w:line="288" w:lineRule="auto"/>
        <w:rPr>
          <w:sz w:val="20"/>
          <w:szCs w:val="20"/>
          <w:color w:val="auto"/>
        </w:rPr>
      </w:pPr>
      <w:r>
        <w:rPr>
          <w:rFonts w:ascii="Arial" w:cs="Arial" w:eastAsia="Arial" w:hAnsi="Arial"/>
          <w:sz w:val="15"/>
          <w:szCs w:val="15"/>
          <w:color w:val="auto"/>
        </w:rPr>
        <w:t>Each of TWC and Comcast will be holding a special meeting for TWC stockholders and Comcast shareholders, respectively, to vote on certain matters in connection with the proposed merger.</w:t>
      </w:r>
    </w:p>
    <w:p>
      <w:pPr>
        <w:spacing w:after="0" w:line="65" w:lineRule="exact"/>
        <w:rPr>
          <w:sz w:val="20"/>
          <w:szCs w:val="20"/>
          <w:color w:val="auto"/>
        </w:rPr>
      </w:pPr>
    </w:p>
    <w:p>
      <w:pPr>
        <w:ind w:right="220" w:firstLine="343"/>
        <w:spacing w:after="0" w:line="271" w:lineRule="auto"/>
        <w:rPr>
          <w:sz w:val="20"/>
          <w:szCs w:val="20"/>
          <w:color w:val="auto"/>
        </w:rPr>
      </w:pPr>
      <w:r>
        <w:rPr>
          <w:rFonts w:ascii="Arial" w:cs="Arial" w:eastAsia="Arial" w:hAnsi="Arial"/>
          <w:sz w:val="15"/>
          <w:szCs w:val="15"/>
          <w:color w:val="auto"/>
        </w:rPr>
        <w:t>TWC stockholders are cordially invited to attend a special meeting of TWC stockholders to be held on [—], 2014 at [—]. At the TWC special meeting, TWC stockholders will be asked to adopt the merger agreement. Comcast shareholders are cordially invited to attend a special meeting of Comcast shareholders to be held on [—], 2014 at [—]. At the Comcast special meeting, Comcast shareholders will be asked to approve the issuance of shares of Comcast Class A common stock to TWC stockholders in the merger, which is referred to as the stock issuance.</w:t>
      </w:r>
    </w:p>
    <w:p>
      <w:pPr>
        <w:spacing w:after="0" w:line="75" w:lineRule="exact"/>
        <w:rPr>
          <w:sz w:val="20"/>
          <w:szCs w:val="20"/>
          <w:color w:val="auto"/>
        </w:rPr>
      </w:pPr>
    </w:p>
    <w:p>
      <w:pPr>
        <w:ind w:right="20" w:firstLine="343"/>
        <w:spacing w:after="0" w:line="271" w:lineRule="auto"/>
        <w:rPr>
          <w:sz w:val="20"/>
          <w:szCs w:val="20"/>
          <w:color w:val="auto"/>
        </w:rPr>
      </w:pPr>
      <w:r>
        <w:rPr>
          <w:rFonts w:ascii="Arial" w:cs="Arial" w:eastAsia="Arial" w:hAnsi="Arial"/>
          <w:sz w:val="15"/>
          <w:szCs w:val="15"/>
          <w:color w:val="auto"/>
        </w:rPr>
        <w:t xml:space="preserve">We cannot complete the merger unless TWC stockholders adopt the merger agreement and Comcast shareholders approve the stock issuance. </w:t>
      </w:r>
      <w:r>
        <w:rPr>
          <w:rFonts w:ascii="Arial" w:cs="Arial" w:eastAsia="Arial" w:hAnsi="Arial"/>
          <w:sz w:val="15"/>
          <w:szCs w:val="15"/>
          <w:b w:val="1"/>
          <w:bCs w:val="1"/>
          <w:color w:val="auto"/>
        </w:rPr>
        <w:t>Your vote is very important,</w:t>
      </w:r>
      <w:r>
        <w:rPr>
          <w:rFonts w:ascii="Arial" w:cs="Arial" w:eastAsia="Arial" w:hAnsi="Arial"/>
          <w:sz w:val="15"/>
          <w:szCs w:val="15"/>
          <w:color w:val="auto"/>
        </w:rPr>
        <w:t xml:space="preserve"> </w:t>
      </w:r>
      <w:r>
        <w:rPr>
          <w:rFonts w:ascii="Arial" w:cs="Arial" w:eastAsia="Arial" w:hAnsi="Arial"/>
          <w:sz w:val="15"/>
          <w:szCs w:val="15"/>
          <w:b w:val="1"/>
          <w:bCs w:val="1"/>
          <w:color w:val="auto"/>
        </w:rPr>
        <w:t>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5"/>
          <w:szCs w:val="15"/>
          <w:color w:val="auto"/>
        </w:rPr>
        <w:t>.</w:t>
      </w:r>
    </w:p>
    <w:p>
      <w:pPr>
        <w:spacing w:after="0" w:line="77" w:lineRule="exact"/>
        <w:rPr>
          <w:sz w:val="20"/>
          <w:szCs w:val="20"/>
          <w:color w:val="auto"/>
        </w:rPr>
      </w:pPr>
    </w:p>
    <w:p>
      <w:pPr>
        <w:ind w:right="60" w:firstLine="343"/>
        <w:spacing w:after="0" w:line="276" w:lineRule="auto"/>
        <w:rPr>
          <w:sz w:val="20"/>
          <w:szCs w:val="20"/>
          <w:color w:val="auto"/>
        </w:rPr>
      </w:pPr>
      <w:r>
        <w:rPr>
          <w:rFonts w:ascii="Arial" w:cs="Arial" w:eastAsia="Arial" w:hAnsi="Arial"/>
          <w:sz w:val="15"/>
          <w:szCs w:val="15"/>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69" w:lineRule="exact"/>
        <w:rPr>
          <w:sz w:val="20"/>
          <w:szCs w:val="20"/>
          <w:color w:val="auto"/>
        </w:rPr>
      </w:pPr>
    </w:p>
    <w:p>
      <w:pPr>
        <w:ind w:right="300" w:firstLine="343"/>
        <w:spacing w:after="0" w:line="294" w:lineRule="auto"/>
        <w:rPr>
          <w:sz w:val="20"/>
          <w:szCs w:val="20"/>
          <w:color w:val="auto"/>
        </w:rPr>
      </w:pPr>
      <w:r>
        <w:rPr>
          <w:rFonts w:ascii="Arial" w:cs="Arial" w:eastAsia="Arial" w:hAnsi="Arial"/>
          <w:sz w:val="15"/>
          <w:szCs w:val="15"/>
          <w:b w:val="1"/>
          <w:bCs w:val="1"/>
          <w:color w:val="auto"/>
        </w:rPr>
        <w:t>The TWC board of directors unanimously recommends that TWC stockholders vote “FOR” the adoption of the merger agreement and “FOR” the “golden parachute” compensation proposal.</w:t>
      </w:r>
    </w:p>
    <w:p>
      <w:pPr>
        <w:spacing w:after="0" w:line="57" w:lineRule="exact"/>
        <w:rPr>
          <w:sz w:val="20"/>
          <w:szCs w:val="20"/>
          <w:color w:val="auto"/>
        </w:rPr>
      </w:pPr>
    </w:p>
    <w:p>
      <w:pPr>
        <w:ind w:right="120" w:firstLine="343"/>
        <w:spacing w:after="0" w:line="332" w:lineRule="auto"/>
        <w:rPr>
          <w:sz w:val="20"/>
          <w:szCs w:val="20"/>
          <w:color w:val="auto"/>
        </w:rPr>
      </w:pPr>
      <w:r>
        <w:rPr>
          <w:rFonts w:ascii="Arial" w:cs="Arial" w:eastAsia="Arial" w:hAnsi="Arial"/>
          <w:sz w:val="14"/>
          <w:szCs w:val="14"/>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38" w:lineRule="exact"/>
        <w:rPr>
          <w:sz w:val="20"/>
          <w:szCs w:val="20"/>
          <w:color w:val="auto"/>
        </w:rPr>
      </w:pPr>
    </w:p>
    <w:p>
      <w:pPr>
        <w:ind w:right="20" w:firstLine="457"/>
        <w:spacing w:after="0" w:line="304" w:lineRule="auto"/>
        <w:rPr>
          <w:rFonts w:ascii="Arial" w:cs="Arial" w:eastAsia="Arial" w:hAnsi="Arial"/>
          <w:sz w:val="14"/>
          <w:szCs w:val="14"/>
          <w:b w:val="1"/>
          <w:bCs w:val="1"/>
          <w:color w:val="auto"/>
        </w:rPr>
      </w:pPr>
      <w:r>
        <w:rPr>
          <w:rFonts w:ascii="Arial" w:cs="Arial" w:eastAsia="Arial" w:hAnsi="Arial"/>
          <w:sz w:val="14"/>
          <w:szCs w:val="14"/>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4"/>
          <w:szCs w:val="14"/>
          <w:b w:val="1"/>
          <w:bCs w:val="1"/>
          <w:color w:val="auto"/>
        </w:rPr>
        <w:t>We urge you to read the accompanying joint proxy statement/prospectus (and any documents incorporated by reference into</w:t>
      </w:r>
      <w:r>
        <w:rPr>
          <w:rFonts w:ascii="Arial" w:cs="Arial" w:eastAsia="Arial" w:hAnsi="Arial"/>
          <w:sz w:val="14"/>
          <w:szCs w:val="14"/>
          <w:color w:val="auto"/>
        </w:rPr>
        <w:t xml:space="preserve"> </w:t>
      </w:r>
      <w:r>
        <w:rPr>
          <w:rFonts w:ascii="Arial" w:cs="Arial" w:eastAsia="Arial" w:hAnsi="Arial"/>
          <w:sz w:val="14"/>
          <w:szCs w:val="14"/>
          <w:b w:val="1"/>
          <w:bCs w:val="1"/>
          <w:color w:val="auto"/>
        </w:rPr>
        <w:t>the accompanying joint proxy statement/prospectus) carefully. Please pay particular attention to the section entitled “</w:t>
      </w:r>
      <w:hyperlink w:anchor="page61">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51.</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hope to see you at the special meetings and look forward to the successful completion of the merger.</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Sincerely,</w:t>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Brian L. Roberts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Robert D. Marcus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Time Warner Cable Inc.</w:t>
      </w:r>
    </w:p>
    <w:p>
      <w:pPr>
        <w:spacing w:after="0" w:line="112" w:lineRule="exact"/>
        <w:rPr>
          <w:sz w:val="20"/>
          <w:szCs w:val="20"/>
          <w:color w:val="auto"/>
        </w:rPr>
      </w:pPr>
    </w:p>
    <w:p>
      <w:pPr>
        <w:sectPr>
          <w:pgSz w:w="11900" w:h="16838" w:orient="portrait"/>
          <w:cols w:equalWidth="0" w:num="2">
            <w:col w:w="5460" w:space="720"/>
            <w:col w:w="5240"/>
          </w:cols>
          <w:pgMar w:left="240" w:top="439" w:right="239" w:bottom="1440" w:gutter="0" w:footer="0" w:header="0"/>
          <w:type w:val="continuous"/>
        </w:sectPr>
      </w:pPr>
    </w:p>
    <w:p>
      <w:pPr>
        <w:ind w:right="200"/>
        <w:spacing w:after="0" w:line="2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joint proxy statement/prospectus is dated [—], 2014, and is first being mailed to Comcast shareholders and TWC stockholders on or about [—], 2014.</w:t>
      </w:r>
    </w:p>
    <w:p>
      <w:pPr>
        <w:sectPr>
          <w:pgSz w:w="11900" w:h="16838" w:orient="portrait"/>
          <w:cols w:equalWidth="0" w:num="1">
            <w:col w:w="11420"/>
          </w:cols>
          <w:pgMar w:left="240" w:top="439"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INFORMATION</w:t>
      </w:r>
    </w:p>
    <w:p>
      <w:pPr>
        <w:spacing w:after="0" w:line="21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82" w:lineRule="exact"/>
        <w:rPr>
          <w:sz w:val="20"/>
          <w:szCs w:val="20"/>
          <w:color w:val="auto"/>
        </w:rPr>
      </w:pPr>
    </w:p>
    <w:tbl>
      <w:tblPr>
        <w:tblLayout w:type="fixed"/>
        <w:tblInd w:w="1520" w:type="dxa"/>
        <w:tblCellMar>
          <w:top w:w="0" w:type="dxa"/>
          <w:left w:w="0" w:type="dxa"/>
          <w:bottom w:w="0" w:type="dxa"/>
          <w:right w:w="0" w:type="dxa"/>
        </w:tblCellMar>
      </w:tblP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Comcast Corporation</w:t>
            </w:r>
          </w:p>
        </w:tc>
        <w:tc>
          <w:tcPr>
            <w:tcW w:w="3700" w:type="dxa"/>
            <w:vAlign w:val="bottom"/>
          </w:tcPr>
          <w:p>
            <w:pPr>
              <w:jc w:val="center"/>
              <w:ind w:left="1676"/>
              <w:spacing w:after="0"/>
              <w:rPr>
                <w:sz w:val="20"/>
                <w:szCs w:val="20"/>
                <w:color w:val="auto"/>
              </w:rPr>
            </w:pPr>
            <w:r>
              <w:rPr>
                <w:rFonts w:ascii="Arial" w:cs="Arial" w:eastAsia="Arial" w:hAnsi="Arial"/>
                <w:sz w:val="17"/>
                <w:szCs w:val="17"/>
                <w:color w:val="auto"/>
                <w:w w:val="90"/>
              </w:rPr>
              <w:t>Time Warner Cable Inc.</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7"/>
              </w:rPr>
              <w:t>One Comcast Center</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1"/>
              </w:rPr>
              <w:t>60 Columbus Circle</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Philadelphia, Pennsylvania 19103-2838</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1"/>
              </w:rPr>
              <w:t>New York, New York 10023</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92"/>
              </w:rPr>
              <w:t>Attention: Investor Relations</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2"/>
              </w:rPr>
              <w:t>Attention: Investor Relations</w:t>
            </w:r>
          </w:p>
        </w:tc>
      </w:tr>
      <w:tr>
        <w:trPr>
          <w:trHeight w:val="214"/>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Telephone: (866) 281-2100</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89"/>
              </w:rPr>
              <w:t>Telephone: (877) 446-3689</w:t>
            </w:r>
          </w:p>
        </w:tc>
      </w:tr>
    </w:tbl>
    <w:p>
      <w:pPr>
        <w:spacing w:after="0" w:line="202"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74" w:lineRule="exact"/>
        <w:rPr>
          <w:sz w:val="20"/>
          <w:szCs w:val="20"/>
          <w:color w:val="auto"/>
        </w:rPr>
      </w:pPr>
    </w:p>
    <w:p>
      <w:pPr>
        <w:ind w:right="20" w:firstLine="457"/>
        <w:spacing w:after="0" w:line="307" w:lineRule="auto"/>
        <w:rPr>
          <w:sz w:val="20"/>
          <w:szCs w:val="20"/>
          <w:color w:val="auto"/>
        </w:rPr>
      </w:pPr>
      <w:r>
        <w:rPr>
          <w:rFonts w:ascii="Arial" w:cs="Arial" w:eastAsia="Arial" w:hAnsi="Arial"/>
          <w:sz w:val="16"/>
          <w:szCs w:val="16"/>
          <w:b w:val="1"/>
          <w:bCs w:val="1"/>
          <w:color w:val="auto"/>
        </w:rPr>
        <w:t>If you would like to request documents, please do so no later than five business days before the date of Comcast’s special meeting of shareholders (which is [</w:t>
      </w:r>
      <w:r>
        <w:rPr>
          <w:rFonts w:ascii="Arial" w:cs="Arial" w:eastAsia="Arial" w:hAnsi="Arial"/>
          <w:sz w:val="16"/>
          <w:szCs w:val="16"/>
          <w:color w:val="auto"/>
        </w:rPr>
        <w:t>—</w:t>
      </w:r>
      <w:r>
        <w:rPr>
          <w:rFonts w:ascii="Arial" w:cs="Arial" w:eastAsia="Arial" w:hAnsi="Arial"/>
          <w:sz w:val="16"/>
          <w:szCs w:val="16"/>
          <w:b w:val="1"/>
          <w:bCs w:val="1"/>
          <w:color w:val="auto"/>
        </w:rPr>
        <w:t>], 2014) or five business days before the date of TWC’s special meeting of stockholders (which is [</w:t>
      </w:r>
      <w:r>
        <w:rPr>
          <w:rFonts w:ascii="Arial" w:cs="Arial" w:eastAsia="Arial" w:hAnsi="Arial"/>
          <w:sz w:val="16"/>
          <w:szCs w:val="16"/>
          <w:color w:val="auto"/>
        </w:rPr>
        <w:t>—</w:t>
      </w:r>
      <w:r>
        <w:rPr>
          <w:rFonts w:ascii="Arial" w:cs="Arial" w:eastAsia="Arial" w:hAnsi="Arial"/>
          <w:sz w:val="16"/>
          <w:szCs w:val="16"/>
          <w:b w:val="1"/>
          <w:bCs w:val="1"/>
          <w:color w:val="auto"/>
        </w:rPr>
        <w:t>], 2014), as applicable.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 of the accompanying joint proxy statement/prospectus for further information.</w:t>
      </w:r>
    </w:p>
    <w:p>
      <w:pPr>
        <w:sectPr>
          <w:pgSz w:w="11900" w:h="16838" w:orient="portrait"/>
          <w:cols w:equalWidth="0" w:num="1">
            <w:col w:w="11360"/>
          </w:cols>
          <w:pgMar w:left="240" w:top="439" w:right="2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SHAREHOLDERS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COMCAST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Shareholders of Comcast Corporation:</w:t>
      </w:r>
    </w:p>
    <w:p>
      <w:pPr>
        <w:spacing w:after="0" w:line="107"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A special meeting of shareholders of Comcast Corporation, a Pennsylvania corporation, will be held on [—], 2014, at [—], located at [—], at [—], local time, for the following purposes:</w:t>
      </w:r>
    </w:p>
    <w:p>
      <w:pPr>
        <w:spacing w:after="0" w:line="77" w:lineRule="exact"/>
        <w:rPr>
          <w:sz w:val="20"/>
          <w:szCs w:val="20"/>
          <w:color w:val="auto"/>
        </w:rPr>
      </w:pPr>
    </w:p>
    <w:p>
      <w:pPr>
        <w:ind w:left="900" w:right="40" w:hanging="445"/>
        <w:spacing w:after="0" w:line="255"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89" w:lineRule="exact"/>
        <w:rPr>
          <w:rFonts w:ascii="Arial" w:cs="Arial" w:eastAsia="Arial" w:hAnsi="Arial"/>
          <w:sz w:val="17"/>
          <w:szCs w:val="17"/>
          <w:color w:val="auto"/>
        </w:rPr>
      </w:pPr>
    </w:p>
    <w:p>
      <w:pPr>
        <w:ind w:left="900" w:right="420" w:hanging="445"/>
        <w:spacing w:after="0" w:line="270"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63"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If you hold shares of Comcast common stock in your name at the record date, please be prepared to provide proper identification, such as a driver’s license, to gain admission to the Comcast special meeting.</w:t>
      </w:r>
    </w:p>
    <w:p>
      <w:pPr>
        <w:spacing w:after="0" w:line="166"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 votes per share and each holder of Comcast Class B common stock is entitled to 15 votes per share. Holders of shares of Comcast Class A Special common stock are not</w:t>
      </w:r>
    </w:p>
    <w:p>
      <w:pPr>
        <w:sectPr>
          <w:pgSz w:w="11900" w:h="16838" w:orient="portrait"/>
          <w:cols w:equalWidth="0" w:num="1">
            <w:col w:w="11420"/>
          </w:cols>
          <w:pgMar w:left="240" w:top="439"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 xml:space="preserve">entitled to vote at the meeting. </w:t>
      </w:r>
      <w:r>
        <w:rPr>
          <w:rFonts w:ascii="Arial" w:cs="Arial" w:eastAsia="Arial" w:hAnsi="Arial"/>
          <w:sz w:val="15"/>
          <w:szCs w:val="15"/>
          <w:b w:val="1"/>
          <w:bCs w:val="1"/>
          <w:color w:val="auto"/>
        </w:rPr>
        <w:t>After consideration and consultation with its advisors, the members of the Comcast board of directors present at the Comcast</w:t>
      </w:r>
      <w:r>
        <w:rPr>
          <w:rFonts w:ascii="Arial" w:cs="Arial" w:eastAsia="Arial" w:hAnsi="Arial"/>
          <w:sz w:val="15"/>
          <w:szCs w:val="15"/>
          <w:color w:val="auto"/>
        </w:rPr>
        <w:t xml:space="preserve"> </w:t>
      </w:r>
      <w:r>
        <w:rPr>
          <w:rFonts w:ascii="Arial" w:cs="Arial" w:eastAsia="Arial" w:hAnsi="Arial"/>
          <w:sz w:val="15"/>
          <w:szCs w:val="15"/>
          <w:b w:val="1"/>
          <w:bCs w:val="1"/>
          <w:color w:val="auto"/>
        </w:rPr>
        <w:t>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Arthur R. Block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2014</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YOUR VOTE IS IMPORTANT!</w:t>
      </w:r>
    </w:p>
    <w:p>
      <w:pPr>
        <w:spacing w:after="0" w:line="208"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b w:val="1"/>
          <w:bCs w:val="1"/>
          <w:color w:val="auto"/>
        </w:rPr>
        <w:t>WHETHER OR NOT YOU EXPECT TO ATTEND THE COMCAST SPECIAL MEETING IN PERSON, IT IS IMPORTANT THAT YOUR SHARES BE REPRESENTED. WE URGE YOU TO SUBMIT YOUR PROXY AS PROMPTLY AS POSSIBLE (1) VIA THE INTERNET, (2) BY TELEPHONE OR</w:t>
      </w:r>
    </w:p>
    <w:p>
      <w:pPr>
        <w:spacing w:after="0" w:line="1" w:lineRule="exact"/>
        <w:rPr>
          <w:sz w:val="20"/>
          <w:szCs w:val="20"/>
          <w:color w:val="auto"/>
        </w:rPr>
      </w:pPr>
    </w:p>
    <w:p>
      <w:pPr>
        <w:ind w:firstLine="1"/>
        <w:spacing w:after="0" w:line="249" w:lineRule="auto"/>
        <w:tabs>
          <w:tab w:leader="none" w:pos="23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5" w:lineRule="exact"/>
        <w:rPr>
          <w:sz w:val="20"/>
          <w:szCs w:val="20"/>
          <w:color w:val="auto"/>
        </w:rPr>
      </w:pPr>
    </w:p>
    <w:p>
      <w:pPr>
        <w:ind w:right="240" w:firstLine="457"/>
        <w:spacing w:after="0" w:line="276"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Toll-Free: (800) 488-8035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Email: comcast@dfking.com</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(866) 281-2100</w:t>
      </w:r>
    </w:p>
    <w:p>
      <w:pPr>
        <w:sectPr>
          <w:pgSz w:w="11900" w:h="16838" w:orient="portrait"/>
          <w:cols w:equalWidth="0" w:num="1">
            <w:col w:w="11380"/>
          </w:cols>
          <w:pgMar w:left="240" w:top="439" w:right="2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WARNER CABLE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Stockholders of Time Warner Cable Inc.:</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A special meeting of stockholders of Time Warner Cable Inc., a Delaware corporation, will be held on [—], 2014, at [—] located at [—], at [—], local time, for the following purposes:</w:t>
      </w:r>
    </w:p>
    <w:p>
      <w:pPr>
        <w:spacing w:after="0" w:line="77" w:lineRule="exact"/>
        <w:rPr>
          <w:sz w:val="20"/>
          <w:szCs w:val="20"/>
          <w:color w:val="auto"/>
        </w:rPr>
      </w:pPr>
    </w:p>
    <w:p>
      <w:pPr>
        <w:ind w:left="900" w:right="20" w:hanging="445"/>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2" w:lineRule="exact"/>
        <w:rPr>
          <w:rFonts w:ascii="Arial" w:cs="Arial" w:eastAsia="Arial" w:hAnsi="Arial"/>
          <w:sz w:val="17"/>
          <w:szCs w:val="17"/>
          <w:color w:val="auto"/>
        </w:rPr>
      </w:pPr>
    </w:p>
    <w:p>
      <w:pPr>
        <w:ind w:left="900" w:right="80" w:hanging="445"/>
        <w:spacing w:after="0" w:line="270"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vote on a proposal to approve, on an advisory (non-binding) basis, the “golden parachute” compensation payments that will or may be paid by TWC to its named executive officers in connection with the merger.</w:t>
      </w:r>
    </w:p>
    <w:p>
      <w:pPr>
        <w:spacing w:after="0" w:line="166"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The TWC board of directors has fixed the close of business on [—],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8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63" w:lineRule="exact"/>
        <w:rPr>
          <w:sz w:val="20"/>
          <w:szCs w:val="20"/>
          <w:color w:val="auto"/>
        </w:rPr>
      </w:pPr>
    </w:p>
    <w:p>
      <w:pPr>
        <w:ind w:right="240" w:firstLine="457"/>
        <w:spacing w:after="0" w:line="253" w:lineRule="auto"/>
        <w:rPr>
          <w:sz w:val="20"/>
          <w:szCs w:val="20"/>
          <w:color w:val="auto"/>
        </w:rPr>
      </w:pPr>
      <w:r>
        <w:rPr>
          <w:rFonts w:ascii="Arial" w:cs="Arial" w:eastAsia="Arial" w:hAnsi="Arial"/>
          <w:sz w:val="17"/>
          <w:szCs w:val="17"/>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0"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 and consultation with its advisors, the TWC board of directors unanimously determined that the merger agreement, the merger and the other transactions contemplated by the merger agreement are fair to and in the best interests of TWC’s</w:t>
      </w:r>
    </w:p>
    <w:p>
      <w:pPr>
        <w:sectPr>
          <w:pgSz w:w="11900" w:h="16838" w:orient="portrait"/>
          <w:cols w:equalWidth="0" w:num="1">
            <w:col w:w="11420"/>
          </w:cols>
          <w:pgMar w:left="240" w:top="439"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 Lawrence-Apfelbaum</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General Counsel and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2014</w:t>
      </w:r>
    </w:p>
    <w:p>
      <w:pPr>
        <w:sectPr>
          <w:pgSz w:w="11900" w:h="16838" w:orient="portrait"/>
          <w:cols w:equalWidth="0" w:num="1">
            <w:col w:w="11340"/>
          </w:cols>
          <w:pgMar w:left="240" w:top="439" w:right="3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VOTE IS IMPORTANT!</w:t>
      </w:r>
    </w:p>
    <w:p>
      <w:pPr>
        <w:spacing w:after="0" w:line="208"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2"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proxy@mackenziepartners.com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ir@twcable.com</w:t>
      </w:r>
    </w:p>
    <w:p>
      <w:pPr>
        <w:sectPr>
          <w:pgSz w:w="11900" w:h="16838" w:orient="portrait"/>
          <w:cols w:equalWidth="0" w:num="1">
            <w:col w:w="11420"/>
          </w:cols>
          <w:pgMar w:left="240" w:top="439"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230505</wp:posOffset>
            </wp:positionV>
            <wp:extent cx="1521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40" w:type="dxa"/>
            <w:vAlign w:val="bottom"/>
            <w:gridSpan w:val="33"/>
            <w:vMerge w:val="restart"/>
          </w:tcPr>
          <w:p>
            <w:pPr>
              <w:spacing w:after="0"/>
              <w:rPr>
                <w:rFonts w:ascii="Arial" w:cs="Arial" w:eastAsia="Arial" w:hAnsi="Arial"/>
                <w:sz w:val="17"/>
                <w:szCs w:val="17"/>
                <w:color w:val="0000EE"/>
                <w:w w:val="90"/>
              </w:rPr>
            </w:pPr>
            <w:hyperlink w:anchor="page11">
              <w:r>
                <w:rPr>
                  <w:rFonts w:ascii="Arial" w:cs="Arial" w:eastAsia="Arial" w:hAnsi="Arial"/>
                  <w:sz w:val="17"/>
                  <w:szCs w:val="17"/>
                  <w:color w:val="0000EE"/>
                  <w:w w:val="90"/>
                </w:rPr>
                <w:t>Questions And Answers About The Merger And The Matters To Be Addressed At The Special Meetings</w:t>
              </w:r>
            </w:hyperlink>
          </w:p>
        </w:tc>
        <w:tc>
          <w:tcPr>
            <w:tcW w:w="4040" w:type="dxa"/>
            <w:vAlign w:val="bottom"/>
            <w:gridSpan w:val="2"/>
            <w:vMerge w:val="restart"/>
          </w:tcPr>
          <w:p>
            <w:pPr>
              <w:spacing w:after="0"/>
              <w:rPr>
                <w:sz w:val="13"/>
                <w:szCs w:val="13"/>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auto"/>
                <w:w w:val="85"/>
              </w:rPr>
              <w:t>Page</w:t>
            </w:r>
          </w:p>
        </w:tc>
        <w:tc>
          <w:tcPr>
            <w:tcW w:w="0" w:type="dxa"/>
            <w:vAlign w:val="bottom"/>
          </w:tcPr>
          <w:p>
            <w:pPr>
              <w:spacing w:after="0"/>
              <w:rPr>
                <w:sz w:val="1"/>
                <w:szCs w:val="1"/>
                <w:color w:val="auto"/>
              </w:rPr>
            </w:pPr>
          </w:p>
        </w:tc>
      </w:tr>
      <w:tr>
        <w:trPr>
          <w:trHeight w:val="149"/>
        </w:trPr>
        <w:tc>
          <w:tcPr>
            <w:tcW w:w="7040" w:type="dxa"/>
            <w:vAlign w:val="bottom"/>
            <w:tcBorders>
              <w:bottom w:val="single" w:sz="8" w:color="0000EE"/>
            </w:tcBorders>
            <w:gridSpan w:val="33"/>
            <w:vMerge w:val="continue"/>
          </w:tcPr>
          <w:p>
            <w:pPr>
              <w:spacing w:after="0"/>
              <w:rPr>
                <w:sz w:val="12"/>
                <w:szCs w:val="12"/>
                <w:color w:val="auto"/>
              </w:rPr>
            </w:pPr>
          </w:p>
        </w:tc>
        <w:tc>
          <w:tcPr>
            <w:tcW w:w="4040" w:type="dxa"/>
            <w:vAlign w:val="bottom"/>
            <w:gridSpan w:val="2"/>
            <w:vMerge w:val="continue"/>
          </w:tcPr>
          <w:p>
            <w:pPr>
              <w:spacing w:after="0"/>
              <w:rPr>
                <w:sz w:val="12"/>
                <w:szCs w:val="12"/>
                <w:color w:val="auto"/>
              </w:rPr>
            </w:pPr>
          </w:p>
        </w:tc>
        <w:tc>
          <w:tcPr>
            <w:tcW w:w="2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0000EE"/>
            </w:tcBorders>
            <w:gridSpan w:val="2"/>
          </w:tcPr>
          <w:p>
            <w:pPr>
              <w:spacing w:after="0" w:line="194" w:lineRule="exact"/>
              <w:rPr>
                <w:rFonts w:ascii="Arial" w:cs="Arial" w:eastAsia="Arial" w:hAnsi="Arial"/>
                <w:sz w:val="17"/>
                <w:szCs w:val="17"/>
                <w:color w:val="0000EE"/>
                <w:w w:val="87"/>
              </w:rPr>
            </w:pPr>
            <w:hyperlink w:anchor="page25">
              <w:r>
                <w:rPr>
                  <w:rFonts w:ascii="Arial" w:cs="Arial" w:eastAsia="Arial" w:hAnsi="Arial"/>
                  <w:sz w:val="17"/>
                  <w:szCs w:val="17"/>
                  <w:color w:val="0000EE"/>
                  <w:w w:val="87"/>
                </w:rPr>
                <w:t>Summary</w:t>
              </w:r>
            </w:hyperlink>
          </w:p>
        </w:tc>
        <w:tc>
          <w:tcPr>
            <w:tcW w:w="10420" w:type="dxa"/>
            <w:vAlign w:val="bottom"/>
            <w:gridSpan w:val="33"/>
          </w:tcPr>
          <w:p>
            <w:pPr>
              <w:spacing w:after="0"/>
              <w:rPr>
                <w:sz w:val="16"/>
                <w:szCs w:val="16"/>
                <w:color w:val="auto"/>
              </w:rPr>
            </w:pPr>
          </w:p>
        </w:tc>
        <w:tc>
          <w:tcPr>
            <w:tcW w:w="26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80" w:type="dxa"/>
            <w:vAlign w:val="bottom"/>
            <w:gridSpan w:val="35"/>
          </w:tcPr>
          <w:p>
            <w:pPr>
              <w:spacing w:after="0" w:line="182" w:lineRule="exact"/>
              <w:rPr>
                <w:rFonts w:ascii="Arial" w:cs="Arial" w:eastAsia="Arial" w:hAnsi="Arial"/>
                <w:sz w:val="17"/>
                <w:szCs w:val="17"/>
                <w:color w:val="0000EE"/>
              </w:rPr>
            </w:pPr>
            <w:hyperlink w:anchor="page45">
              <w:r>
                <w:rPr>
                  <w:rFonts w:ascii="Arial" w:cs="Arial" w:eastAsia="Arial" w:hAnsi="Arial"/>
                  <w:sz w:val="17"/>
                  <w:szCs w:val="17"/>
                  <w:color w:val="0000EE"/>
                </w:rPr>
                <w:t>Selected Historical Consolidated Financial Data of Comcast</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tcBorders>
              <w:top w:val="single" w:sz="8" w:color="0000EE"/>
            </w:tcBorders>
            <w:gridSpan w:val="22"/>
          </w:tcPr>
          <w:p>
            <w:pPr>
              <w:spacing w:after="0" w:line="182" w:lineRule="exact"/>
              <w:rPr>
                <w:rFonts w:ascii="Arial" w:cs="Arial" w:eastAsia="Arial" w:hAnsi="Arial"/>
                <w:sz w:val="17"/>
                <w:szCs w:val="17"/>
                <w:color w:val="0000EE"/>
                <w:w w:val="95"/>
              </w:rPr>
            </w:pPr>
            <w:hyperlink w:anchor="page46">
              <w:r>
                <w:rPr>
                  <w:rFonts w:ascii="Arial" w:cs="Arial" w:eastAsia="Arial" w:hAnsi="Arial"/>
                  <w:sz w:val="17"/>
                  <w:szCs w:val="17"/>
                  <w:color w:val="0000EE"/>
                  <w:w w:val="95"/>
                </w:rPr>
                <w:t>Selected Historical Consolidated Financial Data of TWC</w:t>
              </w:r>
            </w:hyperlink>
          </w:p>
        </w:tc>
        <w:tc>
          <w:tcPr>
            <w:tcW w:w="7040" w:type="dxa"/>
            <w:vAlign w:val="bottom"/>
            <w:gridSpan w:val="13"/>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80" w:type="dxa"/>
            <w:vAlign w:val="bottom"/>
            <w:gridSpan w:val="35"/>
          </w:tcPr>
          <w:p>
            <w:pPr>
              <w:spacing w:after="0" w:line="182" w:lineRule="exact"/>
              <w:rPr>
                <w:rFonts w:ascii="Arial" w:cs="Arial" w:eastAsia="Arial" w:hAnsi="Arial"/>
                <w:sz w:val="17"/>
                <w:szCs w:val="17"/>
                <w:color w:val="0000EE"/>
              </w:rPr>
            </w:pPr>
            <w:hyperlink w:anchor="page47">
              <w:r>
                <w:rPr>
                  <w:rFonts w:ascii="Arial" w:cs="Arial" w:eastAsia="Arial" w:hAnsi="Arial"/>
                  <w:sz w:val="17"/>
                  <w:szCs w:val="17"/>
                  <w:color w:val="0000EE"/>
                </w:rPr>
                <w:t>Comparative Historical and Unaudited Pro Forma Per Share Data</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0000EE"/>
              <w:bottom w:val="single" w:sz="8" w:color="0000EE"/>
            </w:tcBorders>
            <w:gridSpan w:val="24"/>
          </w:tcPr>
          <w:p>
            <w:pPr>
              <w:spacing w:after="0" w:line="182" w:lineRule="exact"/>
              <w:rPr>
                <w:rFonts w:ascii="Arial" w:cs="Arial" w:eastAsia="Arial" w:hAnsi="Arial"/>
                <w:sz w:val="17"/>
                <w:szCs w:val="17"/>
                <w:color w:val="0000EE"/>
                <w:w w:val="90"/>
              </w:rPr>
            </w:pPr>
            <w:hyperlink w:anchor="page49">
              <w:r>
                <w:rPr>
                  <w:rFonts w:ascii="Arial" w:cs="Arial" w:eastAsia="Arial" w:hAnsi="Arial"/>
                  <w:sz w:val="17"/>
                  <w:szCs w:val="17"/>
                  <w:color w:val="0000EE"/>
                  <w:w w:val="90"/>
                </w:rPr>
                <w:t>Comparative Per Share Market Price and Dividend Information</w:t>
              </w:r>
            </w:hyperlink>
          </w:p>
        </w:tc>
        <w:tc>
          <w:tcPr>
            <w:tcW w:w="120" w:type="dxa"/>
            <w:vAlign w:val="bottom"/>
            <w:tcBorders>
              <w:top w:val="single" w:sz="8" w:color="0000EE"/>
            </w:tcBorders>
          </w:tcPr>
          <w:p>
            <w:pPr>
              <w:spacing w:after="0"/>
              <w:rPr>
                <w:sz w:val="15"/>
                <w:szCs w:val="15"/>
                <w:color w:val="auto"/>
              </w:rPr>
            </w:pPr>
          </w:p>
        </w:tc>
        <w:tc>
          <w:tcPr>
            <w:tcW w:w="6680" w:type="dxa"/>
            <w:vAlign w:val="bottom"/>
            <w:gridSpan w:val="10"/>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80" w:type="dxa"/>
            <w:vAlign w:val="bottom"/>
            <w:gridSpan w:val="35"/>
          </w:tcPr>
          <w:p>
            <w:pPr>
              <w:spacing w:after="0" w:line="182" w:lineRule="exact"/>
              <w:rPr>
                <w:rFonts w:ascii="Arial" w:cs="Arial" w:eastAsia="Arial" w:hAnsi="Arial"/>
                <w:sz w:val="17"/>
                <w:szCs w:val="17"/>
                <w:color w:val="0000EE"/>
              </w:rPr>
            </w:pPr>
            <w:hyperlink w:anchor="page51">
              <w:r>
                <w:rPr>
                  <w:rFonts w:ascii="Arial" w:cs="Arial" w:eastAsia="Arial" w:hAnsi="Arial"/>
                  <w:sz w:val="17"/>
                  <w:szCs w:val="17"/>
                  <w:color w:val="0000EE"/>
                </w:rPr>
                <w:t>Comcast and TWC Unaudited Pro Forma Condensed Combined Financial Statements</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60" w:type="dxa"/>
            <w:vAlign w:val="bottom"/>
            <w:tcBorders>
              <w:top w:val="single" w:sz="8" w:color="0000EE"/>
            </w:tcBorders>
            <w:gridSpan w:val="30"/>
          </w:tcPr>
          <w:p>
            <w:pPr>
              <w:spacing w:after="0" w:line="182" w:lineRule="exact"/>
              <w:rPr>
                <w:rFonts w:ascii="Arial" w:cs="Arial" w:eastAsia="Arial" w:hAnsi="Arial"/>
                <w:sz w:val="17"/>
                <w:szCs w:val="17"/>
                <w:color w:val="0000EE"/>
              </w:rPr>
            </w:pPr>
            <w:hyperlink w:anchor="page61">
              <w:r>
                <w:rPr>
                  <w:rFonts w:ascii="Arial" w:cs="Arial" w:eastAsia="Arial" w:hAnsi="Arial"/>
                  <w:sz w:val="17"/>
                  <w:szCs w:val="17"/>
                  <w:color w:val="0000EE"/>
                </w:rPr>
                <w:t>Risk Factors</w:t>
              </w:r>
            </w:hyperlink>
          </w:p>
        </w:tc>
        <w:tc>
          <w:tcPr>
            <w:tcW w:w="5320" w:type="dxa"/>
            <w:vAlign w:val="bottom"/>
            <w:gridSpan w:val="5"/>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80" w:type="dxa"/>
            <w:vAlign w:val="bottom"/>
            <w:gridSpan w:val="35"/>
          </w:tcPr>
          <w:p>
            <w:pPr>
              <w:spacing w:after="0" w:line="182" w:lineRule="exact"/>
              <w:rPr>
                <w:rFonts w:ascii="Arial" w:cs="Arial" w:eastAsia="Arial" w:hAnsi="Arial"/>
                <w:sz w:val="17"/>
                <w:szCs w:val="17"/>
                <w:color w:val="0000EE"/>
              </w:rPr>
            </w:pPr>
            <w:hyperlink w:anchor="page70">
              <w:r>
                <w:rPr>
                  <w:rFonts w:ascii="Arial" w:cs="Arial" w:eastAsia="Arial" w:hAnsi="Arial"/>
                  <w:sz w:val="17"/>
                  <w:szCs w:val="17"/>
                  <w:color w:val="0000EE"/>
                </w:rPr>
                <w:t>Cautionary Statement Regarding Forward-Looking Statements</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88"/>
              </w:rPr>
            </w:pPr>
            <w:hyperlink w:anchor="page71">
              <w:r>
                <w:rPr>
                  <w:rFonts w:ascii="Arial" w:cs="Arial" w:eastAsia="Arial" w:hAnsi="Arial"/>
                  <w:sz w:val="17"/>
                  <w:szCs w:val="17"/>
                  <w:color w:val="0000EE"/>
                  <w:w w:val="88"/>
                </w:rPr>
                <w:t>The Companies</w:t>
              </w:r>
            </w:hyperlink>
          </w:p>
        </w:tc>
        <w:tc>
          <w:tcPr>
            <w:tcW w:w="3140" w:type="dxa"/>
            <w:vAlign w:val="bottom"/>
            <w:tcBorders>
              <w:top w:val="single" w:sz="8" w:color="0000EE"/>
            </w:tcBorders>
            <w:gridSpan w:val="15"/>
          </w:tcPr>
          <w:p>
            <w:pPr>
              <w:spacing w:after="0"/>
              <w:rPr>
                <w:sz w:val="15"/>
                <w:szCs w:val="15"/>
                <w:color w:val="auto"/>
              </w:rPr>
            </w:pPr>
          </w:p>
        </w:tc>
        <w:tc>
          <w:tcPr>
            <w:tcW w:w="6860" w:type="dxa"/>
            <w:vAlign w:val="bottom"/>
            <w:gridSpan w:val="12"/>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20" w:type="dxa"/>
            <w:vAlign w:val="bottom"/>
            <w:tcBorders>
              <w:bottom w:val="single" w:sz="8" w:color="0000EE"/>
            </w:tcBorders>
            <w:gridSpan w:val="16"/>
          </w:tcPr>
          <w:p>
            <w:pPr>
              <w:spacing w:after="0" w:line="182" w:lineRule="exact"/>
              <w:rPr>
                <w:rFonts w:ascii="Arial" w:cs="Arial" w:eastAsia="Arial" w:hAnsi="Arial"/>
                <w:sz w:val="17"/>
                <w:szCs w:val="17"/>
                <w:color w:val="0000EE"/>
                <w:w w:val="89"/>
              </w:rPr>
            </w:pPr>
            <w:hyperlink w:anchor="page72">
              <w:r>
                <w:rPr>
                  <w:rFonts w:ascii="Arial" w:cs="Arial" w:eastAsia="Arial" w:hAnsi="Arial"/>
                  <w:sz w:val="17"/>
                  <w:szCs w:val="17"/>
                  <w:color w:val="0000EE"/>
                  <w:w w:val="89"/>
                </w:rPr>
                <w:t>Special Meeting of Shareholders of Comcast</w:t>
              </w:r>
            </w:hyperlink>
          </w:p>
        </w:tc>
        <w:tc>
          <w:tcPr>
            <w:tcW w:w="8060" w:type="dxa"/>
            <w:vAlign w:val="bottom"/>
            <w:gridSpan w:val="19"/>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7"/>
                <w:szCs w:val="17"/>
                <w:color w:val="0000EE"/>
                <w:w w:val="89"/>
              </w:rPr>
            </w:pPr>
            <w:hyperlink w:anchor="page72">
              <w:r>
                <w:rPr>
                  <w:rFonts w:ascii="Arial" w:cs="Arial" w:eastAsia="Arial" w:hAnsi="Arial"/>
                  <w:sz w:val="17"/>
                  <w:szCs w:val="17"/>
                  <w:color w:val="0000EE"/>
                  <w:w w:val="89"/>
                </w:rPr>
                <w:t>Date, Time and Location</w:t>
              </w:r>
            </w:hyperlink>
          </w:p>
        </w:tc>
        <w:tc>
          <w:tcPr>
            <w:tcW w:w="9060" w:type="dxa"/>
            <w:vAlign w:val="bottom"/>
            <w:gridSpan w:val="22"/>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2" w:lineRule="exact"/>
              <w:rPr>
                <w:rFonts w:ascii="Arial" w:cs="Arial" w:eastAsia="Arial" w:hAnsi="Arial"/>
                <w:sz w:val="17"/>
                <w:szCs w:val="17"/>
                <w:color w:val="0000EE"/>
                <w:w w:val="82"/>
              </w:rPr>
            </w:pPr>
            <w:hyperlink w:anchor="page72">
              <w:r>
                <w:rPr>
                  <w:rFonts w:ascii="Arial" w:cs="Arial" w:eastAsia="Arial" w:hAnsi="Arial"/>
                  <w:sz w:val="17"/>
                  <w:szCs w:val="17"/>
                  <w:color w:val="0000EE"/>
                  <w:w w:val="82"/>
                </w:rPr>
                <w:t>Purpose</w:t>
              </w:r>
            </w:hyperlink>
          </w:p>
        </w:tc>
        <w:tc>
          <w:tcPr>
            <w:tcW w:w="10200" w:type="dxa"/>
            <w:vAlign w:val="bottom"/>
            <w:gridSpan w:val="30"/>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620" w:type="dxa"/>
            <w:vAlign w:val="bottom"/>
            <w:tcBorders>
              <w:bottom w:val="single" w:sz="8" w:color="0000EE"/>
            </w:tcBorders>
            <w:gridSpan w:val="20"/>
          </w:tcPr>
          <w:p>
            <w:pPr>
              <w:spacing w:after="0" w:line="182" w:lineRule="exact"/>
              <w:rPr>
                <w:rFonts w:ascii="Arial" w:cs="Arial" w:eastAsia="Arial" w:hAnsi="Arial"/>
                <w:sz w:val="17"/>
                <w:szCs w:val="17"/>
                <w:color w:val="0000EE"/>
                <w:w w:val="89"/>
              </w:rPr>
            </w:pPr>
            <w:hyperlink w:anchor="page72">
              <w:r>
                <w:rPr>
                  <w:rFonts w:ascii="Arial" w:cs="Arial" w:eastAsia="Arial" w:hAnsi="Arial"/>
                  <w:sz w:val="17"/>
                  <w:szCs w:val="17"/>
                  <w:color w:val="0000EE"/>
                  <w:w w:val="89"/>
                </w:rPr>
                <w:t>Recommendations of the Comcast Board of Directors</w:t>
              </w:r>
            </w:hyperlink>
          </w:p>
        </w:tc>
        <w:tc>
          <w:tcPr>
            <w:tcW w:w="7120" w:type="dxa"/>
            <w:vAlign w:val="bottom"/>
            <w:gridSpan w:val="14"/>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940" w:type="dxa"/>
            <w:vAlign w:val="bottom"/>
            <w:tcBorders>
              <w:bottom w:val="single" w:sz="8" w:color="0000EE"/>
            </w:tcBorders>
            <w:gridSpan w:val="26"/>
          </w:tcPr>
          <w:p>
            <w:pPr>
              <w:spacing w:after="0" w:line="182" w:lineRule="exact"/>
              <w:rPr>
                <w:rFonts w:ascii="Arial" w:cs="Arial" w:eastAsia="Arial" w:hAnsi="Arial"/>
                <w:sz w:val="17"/>
                <w:szCs w:val="17"/>
                <w:color w:val="0000EE"/>
                <w:w w:val="88"/>
              </w:rPr>
            </w:pPr>
            <w:hyperlink w:anchor="page73">
              <w:r>
                <w:rPr>
                  <w:rFonts w:ascii="Arial" w:cs="Arial" w:eastAsia="Arial" w:hAnsi="Arial"/>
                  <w:sz w:val="17"/>
                  <w:szCs w:val="17"/>
                  <w:color w:val="0000EE"/>
                  <w:w w:val="88"/>
                </w:rPr>
                <w:t>Comcast Record Date; Outstanding Shares; Shareholders Entitled to Vote</w:t>
              </w:r>
            </w:hyperlink>
          </w:p>
        </w:tc>
        <w:tc>
          <w:tcPr>
            <w:tcW w:w="5800" w:type="dxa"/>
            <w:vAlign w:val="bottom"/>
            <w:gridSpan w:val="8"/>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bottom w:val="single" w:sz="8" w:color="0000EE"/>
            </w:tcBorders>
            <w:gridSpan w:val="5"/>
          </w:tcPr>
          <w:p>
            <w:pPr>
              <w:spacing w:after="0" w:line="182" w:lineRule="exact"/>
              <w:rPr>
                <w:rFonts w:ascii="Arial" w:cs="Arial" w:eastAsia="Arial" w:hAnsi="Arial"/>
                <w:sz w:val="17"/>
                <w:szCs w:val="17"/>
                <w:color w:val="0000EE"/>
                <w:w w:val="87"/>
              </w:rPr>
            </w:pPr>
            <w:hyperlink w:anchor="page73">
              <w:r>
                <w:rPr>
                  <w:rFonts w:ascii="Arial" w:cs="Arial" w:eastAsia="Arial" w:hAnsi="Arial"/>
                  <w:sz w:val="17"/>
                  <w:szCs w:val="17"/>
                  <w:color w:val="0000EE"/>
                  <w:w w:val="87"/>
                </w:rPr>
                <w:t>Quorum</w:t>
              </w:r>
            </w:hyperlink>
          </w:p>
        </w:tc>
        <w:tc>
          <w:tcPr>
            <w:tcW w:w="10180" w:type="dxa"/>
            <w:vAlign w:val="bottom"/>
            <w:gridSpan w:val="29"/>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73">
              <w:r>
                <w:rPr>
                  <w:rFonts w:ascii="Arial" w:cs="Arial" w:eastAsia="Arial" w:hAnsi="Arial"/>
                  <w:sz w:val="17"/>
                  <w:szCs w:val="17"/>
                  <w:color w:val="0000EE"/>
                </w:rPr>
                <w:t>Required Vote</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74">
              <w:r>
                <w:rPr>
                  <w:rFonts w:ascii="Arial" w:cs="Arial" w:eastAsia="Arial" w:hAnsi="Arial"/>
                  <w:sz w:val="17"/>
                  <w:szCs w:val="17"/>
                  <w:color w:val="0000EE"/>
                </w:rPr>
                <w:t>Share Ownership of and Voting by Comcast Directors and Executive Officers</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10"/>
          </w:tcPr>
          <w:p>
            <w:pPr>
              <w:spacing w:after="0" w:line="182" w:lineRule="exact"/>
              <w:rPr>
                <w:rFonts w:ascii="Arial" w:cs="Arial" w:eastAsia="Arial" w:hAnsi="Arial"/>
                <w:sz w:val="17"/>
                <w:szCs w:val="17"/>
                <w:color w:val="0000EE"/>
                <w:w w:val="87"/>
              </w:rPr>
            </w:pPr>
            <w:hyperlink w:anchor="page74">
              <w:r>
                <w:rPr>
                  <w:rFonts w:ascii="Arial" w:cs="Arial" w:eastAsia="Arial" w:hAnsi="Arial"/>
                  <w:sz w:val="17"/>
                  <w:szCs w:val="17"/>
                  <w:color w:val="0000EE"/>
                  <w:w w:val="87"/>
                </w:rPr>
                <w:t>Voting of Shares</w:t>
              </w:r>
            </w:hyperlink>
          </w:p>
        </w:tc>
        <w:tc>
          <w:tcPr>
            <w:tcW w:w="4080" w:type="dxa"/>
            <w:vAlign w:val="bottom"/>
            <w:tcBorders>
              <w:top w:val="single" w:sz="8" w:color="0000EE"/>
            </w:tcBorders>
            <w:gridSpan w:val="18"/>
          </w:tcPr>
          <w:p>
            <w:pPr>
              <w:spacing w:after="0"/>
              <w:rPr>
                <w:sz w:val="15"/>
                <w:szCs w:val="15"/>
                <w:color w:val="auto"/>
              </w:rPr>
            </w:pPr>
          </w:p>
        </w:tc>
        <w:tc>
          <w:tcPr>
            <w:tcW w:w="5540" w:type="dxa"/>
            <w:vAlign w:val="bottom"/>
            <w:gridSpan w:val="6"/>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76">
              <w:r>
                <w:rPr>
                  <w:rFonts w:ascii="Arial" w:cs="Arial" w:eastAsia="Arial" w:hAnsi="Arial"/>
                  <w:sz w:val="17"/>
                  <w:szCs w:val="17"/>
                  <w:color w:val="0000EE"/>
                </w:rPr>
                <w:t>Revocability of Proxies; Changing Your Vote</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76">
              <w:r>
                <w:rPr>
                  <w:rFonts w:ascii="Arial" w:cs="Arial" w:eastAsia="Arial" w:hAnsi="Arial"/>
                  <w:sz w:val="17"/>
                  <w:szCs w:val="17"/>
                  <w:color w:val="0000EE"/>
                </w:rPr>
                <w:t>Solicitation of Proxies; Expenses of Solicitation</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82" w:lineRule="exact"/>
              <w:rPr>
                <w:rFonts w:ascii="Arial" w:cs="Arial" w:eastAsia="Arial" w:hAnsi="Arial"/>
                <w:sz w:val="17"/>
                <w:szCs w:val="17"/>
                <w:color w:val="0000EE"/>
              </w:rPr>
            </w:pPr>
            <w:hyperlink w:anchor="page77">
              <w:r>
                <w:rPr>
                  <w:rFonts w:ascii="Arial" w:cs="Arial" w:eastAsia="Arial" w:hAnsi="Arial"/>
                  <w:sz w:val="17"/>
                  <w:szCs w:val="17"/>
                  <w:color w:val="0000EE"/>
                </w:rPr>
                <w:t>Householding</w:t>
              </w:r>
            </w:hyperlink>
          </w:p>
        </w:tc>
        <w:tc>
          <w:tcPr>
            <w:tcW w:w="7520" w:type="dxa"/>
            <w:vAlign w:val="bottom"/>
            <w:gridSpan w:val="17"/>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1"/>
              </w:rPr>
            </w:pPr>
            <w:hyperlink w:anchor="page77">
              <w:r>
                <w:rPr>
                  <w:rFonts w:ascii="Arial" w:cs="Arial" w:eastAsia="Arial" w:hAnsi="Arial"/>
                  <w:sz w:val="17"/>
                  <w:szCs w:val="17"/>
                  <w:color w:val="0000EE"/>
                  <w:w w:val="91"/>
                </w:rPr>
                <w:t>Adjournment</w:t>
              </w:r>
            </w:hyperlink>
          </w:p>
        </w:tc>
        <w:tc>
          <w:tcPr>
            <w:tcW w:w="60" w:type="dxa"/>
            <w:vAlign w:val="bottom"/>
            <w:tcBorders>
              <w:top w:val="single" w:sz="8" w:color="0000EE"/>
            </w:tcBorders>
          </w:tcPr>
          <w:p>
            <w:pPr>
              <w:spacing w:after="0"/>
              <w:rPr>
                <w:sz w:val="15"/>
                <w:szCs w:val="15"/>
                <w:color w:val="auto"/>
              </w:rPr>
            </w:pPr>
          </w:p>
        </w:tc>
        <w:tc>
          <w:tcPr>
            <w:tcW w:w="9780" w:type="dxa"/>
            <w:vAlign w:val="bottom"/>
            <w:gridSpan w:val="25"/>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77">
              <w:r>
                <w:rPr>
                  <w:rFonts w:ascii="Arial" w:cs="Arial" w:eastAsia="Arial" w:hAnsi="Arial"/>
                  <w:sz w:val="17"/>
                  <w:szCs w:val="17"/>
                  <w:color w:val="0000EE"/>
                </w:rPr>
                <w:t>Other Information</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6"/>
          </w:tcPr>
          <w:p>
            <w:pPr>
              <w:spacing w:after="0" w:line="182" w:lineRule="exact"/>
              <w:rPr>
                <w:rFonts w:ascii="Arial" w:cs="Arial" w:eastAsia="Arial" w:hAnsi="Arial"/>
                <w:sz w:val="17"/>
                <w:szCs w:val="17"/>
                <w:color w:val="0000EE"/>
                <w:w w:val="85"/>
              </w:rPr>
            </w:pPr>
            <w:hyperlink w:anchor="page78">
              <w:r>
                <w:rPr>
                  <w:rFonts w:ascii="Arial" w:cs="Arial" w:eastAsia="Arial" w:hAnsi="Arial"/>
                  <w:sz w:val="17"/>
                  <w:szCs w:val="17"/>
                  <w:color w:val="0000EE"/>
                  <w:w w:val="85"/>
                </w:rPr>
                <w:t>Assistance</w:t>
              </w:r>
            </w:hyperlink>
          </w:p>
        </w:tc>
        <w:tc>
          <w:tcPr>
            <w:tcW w:w="500" w:type="dxa"/>
            <w:vAlign w:val="bottom"/>
            <w:tcBorders>
              <w:top w:val="single" w:sz="8" w:color="0000EE"/>
            </w:tcBorders>
            <w:gridSpan w:val="5"/>
          </w:tcPr>
          <w:p>
            <w:pPr>
              <w:spacing w:after="0"/>
              <w:rPr>
                <w:sz w:val="15"/>
                <w:szCs w:val="15"/>
                <w:color w:val="auto"/>
              </w:rPr>
            </w:pPr>
          </w:p>
        </w:tc>
        <w:tc>
          <w:tcPr>
            <w:tcW w:w="9520" w:type="dxa"/>
            <w:vAlign w:val="bottom"/>
            <w:gridSpan w:val="23"/>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0" w:type="dxa"/>
            <w:vAlign w:val="bottom"/>
            <w:tcBorders>
              <w:bottom w:val="single" w:sz="8" w:color="0000EE"/>
            </w:tcBorders>
            <w:gridSpan w:val="15"/>
          </w:tcPr>
          <w:p>
            <w:pPr>
              <w:spacing w:after="0" w:line="182" w:lineRule="exact"/>
              <w:rPr>
                <w:rFonts w:ascii="Arial" w:cs="Arial" w:eastAsia="Arial" w:hAnsi="Arial"/>
                <w:sz w:val="17"/>
                <w:szCs w:val="17"/>
                <w:color w:val="0000EE"/>
                <w:w w:val="91"/>
              </w:rPr>
            </w:pPr>
            <w:hyperlink w:anchor="page79">
              <w:r>
                <w:rPr>
                  <w:rFonts w:ascii="Arial" w:cs="Arial" w:eastAsia="Arial" w:hAnsi="Arial"/>
                  <w:sz w:val="17"/>
                  <w:szCs w:val="17"/>
                  <w:color w:val="0000EE"/>
                  <w:w w:val="91"/>
                </w:rPr>
                <w:t>Special Meeting of Stockholders of TWC</w:t>
              </w:r>
            </w:hyperlink>
          </w:p>
        </w:tc>
        <w:tc>
          <w:tcPr>
            <w:tcW w:w="8280" w:type="dxa"/>
            <w:vAlign w:val="bottom"/>
            <w:gridSpan w:val="20"/>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7"/>
                <w:szCs w:val="17"/>
                <w:color w:val="0000EE"/>
                <w:w w:val="89"/>
              </w:rPr>
            </w:pPr>
            <w:hyperlink w:anchor="page79">
              <w:r>
                <w:rPr>
                  <w:rFonts w:ascii="Arial" w:cs="Arial" w:eastAsia="Arial" w:hAnsi="Arial"/>
                  <w:sz w:val="17"/>
                  <w:szCs w:val="17"/>
                  <w:color w:val="0000EE"/>
                  <w:w w:val="89"/>
                </w:rPr>
                <w:t>Date, Time and Location</w:t>
              </w:r>
            </w:hyperlink>
          </w:p>
        </w:tc>
        <w:tc>
          <w:tcPr>
            <w:tcW w:w="9060" w:type="dxa"/>
            <w:vAlign w:val="bottom"/>
            <w:gridSpan w:val="22"/>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2" w:lineRule="exact"/>
              <w:rPr>
                <w:rFonts w:ascii="Arial" w:cs="Arial" w:eastAsia="Arial" w:hAnsi="Arial"/>
                <w:sz w:val="17"/>
                <w:szCs w:val="17"/>
                <w:color w:val="0000EE"/>
                <w:w w:val="82"/>
              </w:rPr>
            </w:pPr>
            <w:hyperlink w:anchor="page79">
              <w:r>
                <w:rPr>
                  <w:rFonts w:ascii="Arial" w:cs="Arial" w:eastAsia="Arial" w:hAnsi="Arial"/>
                  <w:sz w:val="17"/>
                  <w:szCs w:val="17"/>
                  <w:color w:val="0000EE"/>
                  <w:w w:val="82"/>
                </w:rPr>
                <w:t>Purpose</w:t>
              </w:r>
            </w:hyperlink>
          </w:p>
        </w:tc>
        <w:tc>
          <w:tcPr>
            <w:tcW w:w="10200" w:type="dxa"/>
            <w:vAlign w:val="bottom"/>
            <w:gridSpan w:val="30"/>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400" w:type="dxa"/>
            <w:vAlign w:val="bottom"/>
            <w:tcBorders>
              <w:bottom w:val="single" w:sz="8" w:color="0000EE"/>
            </w:tcBorders>
            <w:gridSpan w:val="18"/>
          </w:tcPr>
          <w:p>
            <w:pPr>
              <w:spacing w:after="0" w:line="182" w:lineRule="exact"/>
              <w:rPr>
                <w:rFonts w:ascii="Arial" w:cs="Arial" w:eastAsia="Arial" w:hAnsi="Arial"/>
                <w:sz w:val="17"/>
                <w:szCs w:val="17"/>
                <w:color w:val="0000EE"/>
                <w:w w:val="90"/>
              </w:rPr>
            </w:pPr>
            <w:hyperlink w:anchor="page79">
              <w:r>
                <w:rPr>
                  <w:rFonts w:ascii="Arial" w:cs="Arial" w:eastAsia="Arial" w:hAnsi="Arial"/>
                  <w:sz w:val="17"/>
                  <w:szCs w:val="17"/>
                  <w:color w:val="0000EE"/>
                  <w:w w:val="90"/>
                </w:rPr>
                <w:t>Recommendations of the TWC Board of Directors</w:t>
              </w:r>
            </w:hyperlink>
          </w:p>
        </w:tc>
        <w:tc>
          <w:tcPr>
            <w:tcW w:w="7340" w:type="dxa"/>
            <w:vAlign w:val="bottom"/>
            <w:gridSpan w:val="16"/>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720" w:type="dxa"/>
            <w:vAlign w:val="bottom"/>
            <w:tcBorders>
              <w:bottom w:val="single" w:sz="8" w:color="0000EE"/>
            </w:tcBorders>
            <w:gridSpan w:val="25"/>
          </w:tcPr>
          <w:p>
            <w:pPr>
              <w:spacing w:after="0" w:line="182" w:lineRule="exact"/>
              <w:rPr>
                <w:rFonts w:ascii="Arial" w:cs="Arial" w:eastAsia="Arial" w:hAnsi="Arial"/>
                <w:sz w:val="17"/>
                <w:szCs w:val="17"/>
                <w:color w:val="0000EE"/>
                <w:w w:val="89"/>
              </w:rPr>
            </w:pPr>
            <w:hyperlink w:anchor="page80">
              <w:r>
                <w:rPr>
                  <w:rFonts w:ascii="Arial" w:cs="Arial" w:eastAsia="Arial" w:hAnsi="Arial"/>
                  <w:sz w:val="17"/>
                  <w:szCs w:val="17"/>
                  <w:color w:val="0000EE"/>
                  <w:w w:val="89"/>
                </w:rPr>
                <w:t>TWC Record Date; Outstanding Shares; Stockholders Entitled to Vote</w:t>
              </w:r>
            </w:hyperlink>
          </w:p>
        </w:tc>
        <w:tc>
          <w:tcPr>
            <w:tcW w:w="6020" w:type="dxa"/>
            <w:vAlign w:val="bottom"/>
            <w:gridSpan w:val="9"/>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bottom w:val="single" w:sz="8" w:color="0000EE"/>
            </w:tcBorders>
            <w:gridSpan w:val="5"/>
          </w:tcPr>
          <w:p>
            <w:pPr>
              <w:spacing w:after="0" w:line="182" w:lineRule="exact"/>
              <w:rPr>
                <w:rFonts w:ascii="Arial" w:cs="Arial" w:eastAsia="Arial" w:hAnsi="Arial"/>
                <w:sz w:val="17"/>
                <w:szCs w:val="17"/>
                <w:color w:val="0000EE"/>
                <w:w w:val="87"/>
              </w:rPr>
            </w:pPr>
            <w:hyperlink w:anchor="page80">
              <w:r>
                <w:rPr>
                  <w:rFonts w:ascii="Arial" w:cs="Arial" w:eastAsia="Arial" w:hAnsi="Arial"/>
                  <w:sz w:val="17"/>
                  <w:szCs w:val="17"/>
                  <w:color w:val="0000EE"/>
                  <w:w w:val="87"/>
                </w:rPr>
                <w:t>Quorum</w:t>
              </w:r>
            </w:hyperlink>
          </w:p>
        </w:tc>
        <w:tc>
          <w:tcPr>
            <w:tcW w:w="10180" w:type="dxa"/>
            <w:vAlign w:val="bottom"/>
            <w:gridSpan w:val="29"/>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80">
              <w:r>
                <w:rPr>
                  <w:rFonts w:ascii="Arial" w:cs="Arial" w:eastAsia="Arial" w:hAnsi="Arial"/>
                  <w:sz w:val="17"/>
                  <w:szCs w:val="17"/>
                  <w:color w:val="0000EE"/>
                </w:rPr>
                <w:t>Required Vote</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5000" w:type="dxa"/>
            <w:vAlign w:val="bottom"/>
            <w:tcBorders>
              <w:bottom w:val="single" w:sz="8" w:color="0000EE"/>
            </w:tcBorders>
            <w:gridSpan w:val="27"/>
          </w:tcPr>
          <w:p>
            <w:pPr>
              <w:spacing w:after="0" w:line="182" w:lineRule="exact"/>
              <w:rPr>
                <w:rFonts w:ascii="Arial" w:cs="Arial" w:eastAsia="Arial" w:hAnsi="Arial"/>
                <w:sz w:val="17"/>
                <w:szCs w:val="17"/>
                <w:color w:val="0000EE"/>
                <w:w w:val="90"/>
              </w:rPr>
            </w:pPr>
            <w:hyperlink w:anchor="page81">
              <w:r>
                <w:rPr>
                  <w:rFonts w:ascii="Arial" w:cs="Arial" w:eastAsia="Arial" w:hAnsi="Arial"/>
                  <w:sz w:val="17"/>
                  <w:szCs w:val="17"/>
                  <w:color w:val="0000EE"/>
                  <w:w w:val="90"/>
                </w:rPr>
                <w:t>Share Ownership of and Voting by TWC Directors and Executive Officers</w:t>
              </w:r>
            </w:hyperlink>
          </w:p>
        </w:tc>
        <w:tc>
          <w:tcPr>
            <w:tcW w:w="5740" w:type="dxa"/>
            <w:vAlign w:val="bottom"/>
            <w:gridSpan w:val="7"/>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120" w:type="dxa"/>
            <w:vAlign w:val="bottom"/>
            <w:tcBorders>
              <w:bottom w:val="single" w:sz="8" w:color="0000EE"/>
            </w:tcBorders>
            <w:gridSpan w:val="10"/>
          </w:tcPr>
          <w:p>
            <w:pPr>
              <w:spacing w:after="0" w:line="182" w:lineRule="exact"/>
              <w:rPr>
                <w:rFonts w:ascii="Arial" w:cs="Arial" w:eastAsia="Arial" w:hAnsi="Arial"/>
                <w:sz w:val="17"/>
                <w:szCs w:val="17"/>
                <w:color w:val="0000EE"/>
                <w:w w:val="87"/>
              </w:rPr>
            </w:pPr>
            <w:hyperlink w:anchor="page81">
              <w:r>
                <w:rPr>
                  <w:rFonts w:ascii="Arial" w:cs="Arial" w:eastAsia="Arial" w:hAnsi="Arial"/>
                  <w:sz w:val="17"/>
                  <w:szCs w:val="17"/>
                  <w:color w:val="0000EE"/>
                  <w:w w:val="87"/>
                </w:rPr>
                <w:t>Voting of Shares</w:t>
              </w:r>
            </w:hyperlink>
          </w:p>
        </w:tc>
        <w:tc>
          <w:tcPr>
            <w:tcW w:w="9620" w:type="dxa"/>
            <w:vAlign w:val="bottom"/>
            <w:gridSpan w:val="24"/>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83">
              <w:r>
                <w:rPr>
                  <w:rFonts w:ascii="Arial" w:cs="Arial" w:eastAsia="Arial" w:hAnsi="Arial"/>
                  <w:sz w:val="17"/>
                  <w:szCs w:val="17"/>
                  <w:color w:val="0000EE"/>
                </w:rPr>
                <w:t>Revocability of Proxies; Changing Your Vote</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9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83">
              <w:r>
                <w:rPr>
                  <w:rFonts w:ascii="Arial" w:cs="Arial" w:eastAsia="Arial" w:hAnsi="Arial"/>
                  <w:sz w:val="17"/>
                  <w:szCs w:val="17"/>
                  <w:color w:val="0000EE"/>
                </w:rPr>
                <w:t>Solicitation of Proxies; Expenses of Solicitation</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82" w:lineRule="exact"/>
              <w:rPr>
                <w:rFonts w:ascii="Arial" w:cs="Arial" w:eastAsia="Arial" w:hAnsi="Arial"/>
                <w:sz w:val="17"/>
                <w:szCs w:val="17"/>
                <w:color w:val="0000EE"/>
              </w:rPr>
            </w:pPr>
            <w:hyperlink w:anchor="page83">
              <w:r>
                <w:rPr>
                  <w:rFonts w:ascii="Arial" w:cs="Arial" w:eastAsia="Arial" w:hAnsi="Arial"/>
                  <w:sz w:val="17"/>
                  <w:szCs w:val="17"/>
                  <w:color w:val="0000EE"/>
                </w:rPr>
                <w:t>Householding</w:t>
              </w:r>
            </w:hyperlink>
          </w:p>
        </w:tc>
        <w:tc>
          <w:tcPr>
            <w:tcW w:w="7520" w:type="dxa"/>
            <w:vAlign w:val="bottom"/>
            <w:gridSpan w:val="17"/>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1"/>
              </w:rPr>
            </w:pPr>
            <w:hyperlink w:anchor="page84">
              <w:r>
                <w:rPr>
                  <w:rFonts w:ascii="Arial" w:cs="Arial" w:eastAsia="Arial" w:hAnsi="Arial"/>
                  <w:sz w:val="17"/>
                  <w:szCs w:val="17"/>
                  <w:color w:val="0000EE"/>
                  <w:w w:val="91"/>
                </w:rPr>
                <w:t>Adjournment</w:t>
              </w:r>
            </w:hyperlink>
          </w:p>
        </w:tc>
        <w:tc>
          <w:tcPr>
            <w:tcW w:w="60" w:type="dxa"/>
            <w:vAlign w:val="bottom"/>
            <w:tcBorders>
              <w:top w:val="single" w:sz="8" w:color="0000EE"/>
            </w:tcBorders>
          </w:tcPr>
          <w:p>
            <w:pPr>
              <w:spacing w:after="0"/>
              <w:rPr>
                <w:sz w:val="15"/>
                <w:szCs w:val="15"/>
                <w:color w:val="auto"/>
              </w:rPr>
            </w:pPr>
          </w:p>
        </w:tc>
        <w:tc>
          <w:tcPr>
            <w:tcW w:w="9780" w:type="dxa"/>
            <w:vAlign w:val="bottom"/>
            <w:gridSpan w:val="25"/>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84">
              <w:r>
                <w:rPr>
                  <w:rFonts w:ascii="Arial" w:cs="Arial" w:eastAsia="Arial" w:hAnsi="Arial"/>
                  <w:sz w:val="17"/>
                  <w:szCs w:val="17"/>
                  <w:color w:val="0000EE"/>
                </w:rPr>
                <w:t>Other Information</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6"/>
          </w:tcPr>
          <w:p>
            <w:pPr>
              <w:spacing w:after="0" w:line="182" w:lineRule="exact"/>
              <w:rPr>
                <w:rFonts w:ascii="Arial" w:cs="Arial" w:eastAsia="Arial" w:hAnsi="Arial"/>
                <w:sz w:val="17"/>
                <w:szCs w:val="17"/>
                <w:color w:val="0000EE"/>
                <w:w w:val="85"/>
              </w:rPr>
            </w:pPr>
            <w:hyperlink w:anchor="page84">
              <w:r>
                <w:rPr>
                  <w:rFonts w:ascii="Arial" w:cs="Arial" w:eastAsia="Arial" w:hAnsi="Arial"/>
                  <w:sz w:val="17"/>
                  <w:szCs w:val="17"/>
                  <w:color w:val="0000EE"/>
                  <w:w w:val="85"/>
                </w:rPr>
                <w:t>Assistance</w:t>
              </w:r>
            </w:hyperlink>
          </w:p>
        </w:tc>
        <w:tc>
          <w:tcPr>
            <w:tcW w:w="500" w:type="dxa"/>
            <w:vAlign w:val="bottom"/>
            <w:tcBorders>
              <w:top w:val="single" w:sz="8" w:color="0000EE"/>
            </w:tcBorders>
            <w:gridSpan w:val="5"/>
          </w:tcPr>
          <w:p>
            <w:pPr>
              <w:spacing w:after="0"/>
              <w:rPr>
                <w:sz w:val="15"/>
                <w:szCs w:val="15"/>
                <w:color w:val="auto"/>
              </w:rPr>
            </w:pPr>
          </w:p>
        </w:tc>
        <w:tc>
          <w:tcPr>
            <w:tcW w:w="9520" w:type="dxa"/>
            <w:vAlign w:val="bottom"/>
            <w:gridSpan w:val="23"/>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80" w:type="dxa"/>
            <w:vAlign w:val="bottom"/>
            <w:gridSpan w:val="35"/>
          </w:tcPr>
          <w:p>
            <w:pPr>
              <w:spacing w:after="0" w:line="182" w:lineRule="exact"/>
              <w:rPr>
                <w:rFonts w:ascii="Arial" w:cs="Arial" w:eastAsia="Arial" w:hAnsi="Arial"/>
                <w:sz w:val="17"/>
                <w:szCs w:val="17"/>
                <w:color w:val="0000EE"/>
              </w:rPr>
            </w:pPr>
            <w:hyperlink w:anchor="page85">
              <w:r>
                <w:rPr>
                  <w:rFonts w:ascii="Arial" w:cs="Arial" w:eastAsia="Arial" w:hAnsi="Arial"/>
                  <w:sz w:val="17"/>
                  <w:szCs w:val="17"/>
                  <w:color w:val="0000EE"/>
                </w:rPr>
                <w:t>TWC Proposal I: Adoption of the Merger Agreement and Comcast Proposal I: Approval of the Stock Issuance</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Borders>
              <w:top w:val="single" w:sz="8" w:color="0000EE"/>
            </w:tcBorders>
          </w:tcPr>
          <w:p>
            <w:pPr>
              <w:spacing w:after="0"/>
              <w:rPr>
                <w:sz w:val="15"/>
                <w:szCs w:val="15"/>
                <w:color w:val="auto"/>
              </w:rPr>
            </w:pPr>
          </w:p>
        </w:tc>
        <w:tc>
          <w:tcPr>
            <w:tcW w:w="7080" w:type="dxa"/>
            <w:vAlign w:val="bottom"/>
            <w:tcBorders>
              <w:top w:val="single" w:sz="8" w:color="0000EE"/>
            </w:tcBorders>
            <w:gridSpan w:val="33"/>
          </w:tcPr>
          <w:p>
            <w:pPr>
              <w:spacing w:after="0" w:line="182" w:lineRule="exact"/>
              <w:rPr>
                <w:rFonts w:ascii="Arial" w:cs="Arial" w:eastAsia="Arial" w:hAnsi="Arial"/>
                <w:sz w:val="17"/>
                <w:szCs w:val="17"/>
                <w:color w:val="0000EE"/>
              </w:rPr>
            </w:pPr>
            <w:hyperlink w:anchor="page85">
              <w:r>
                <w:rPr>
                  <w:rFonts w:ascii="Arial" w:cs="Arial" w:eastAsia="Arial" w:hAnsi="Arial"/>
                  <w:sz w:val="17"/>
                  <w:szCs w:val="17"/>
                  <w:color w:val="0000EE"/>
                </w:rPr>
                <w:t>General</w:t>
              </w:r>
            </w:hyperlink>
          </w:p>
        </w:tc>
        <w:tc>
          <w:tcPr>
            <w:tcW w:w="3660" w:type="dxa"/>
            <w:vAlign w:val="bottom"/>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40" w:type="dxa"/>
            <w:vAlign w:val="bottom"/>
            <w:gridSpan w:val="34"/>
          </w:tcPr>
          <w:p>
            <w:pPr>
              <w:spacing w:after="0" w:line="182" w:lineRule="exact"/>
              <w:rPr>
                <w:rFonts w:ascii="Arial" w:cs="Arial" w:eastAsia="Arial" w:hAnsi="Arial"/>
                <w:sz w:val="17"/>
                <w:szCs w:val="17"/>
                <w:color w:val="0000EE"/>
              </w:rPr>
            </w:pPr>
            <w:hyperlink w:anchor="page85">
              <w:r>
                <w:rPr>
                  <w:rFonts w:ascii="Arial" w:cs="Arial" w:eastAsia="Arial" w:hAnsi="Arial"/>
                  <w:sz w:val="17"/>
                  <w:szCs w:val="17"/>
                  <w:color w:val="0000EE"/>
                </w:rPr>
                <w:t>Background of the Merger</w:t>
              </w:r>
            </w:hyperlink>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gridSpan w:val="13"/>
            <w:shd w:val="clear" w:color="auto" w:fill="0000EE"/>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6520" w:type="dxa"/>
            <w:vAlign w:val="bottom"/>
            <w:tcBorders>
              <w:bottom w:val="single" w:sz="8" w:color="0000EE"/>
            </w:tcBorders>
            <w:gridSpan w:val="31"/>
          </w:tcPr>
          <w:p>
            <w:pPr>
              <w:spacing w:after="0" w:line="182" w:lineRule="exact"/>
              <w:rPr>
                <w:rFonts w:ascii="Arial" w:cs="Arial" w:eastAsia="Arial" w:hAnsi="Arial"/>
                <w:sz w:val="17"/>
                <w:szCs w:val="17"/>
                <w:color w:val="0000EE"/>
                <w:w w:val="90"/>
              </w:rPr>
            </w:pPr>
            <w:hyperlink w:anchor="page96">
              <w:r>
                <w:rPr>
                  <w:rFonts w:ascii="Arial" w:cs="Arial" w:eastAsia="Arial" w:hAnsi="Arial"/>
                  <w:sz w:val="17"/>
                  <w:szCs w:val="17"/>
                  <w:color w:val="0000EE"/>
                  <w:w w:val="90"/>
                </w:rPr>
                <w:t>TWC’s Reasons for the Merger; Recommendation of the Merger by the TWC Board of Directors</w:t>
              </w:r>
            </w:hyperlink>
          </w:p>
        </w:tc>
        <w:tc>
          <w:tcPr>
            <w:tcW w:w="4220" w:type="dxa"/>
            <w:vAlign w:val="bottom"/>
            <w:gridSpan w:val="3"/>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960" w:type="dxa"/>
            <w:vAlign w:val="bottom"/>
            <w:tcBorders>
              <w:bottom w:val="single" w:sz="8" w:color="0000EE"/>
            </w:tcBorders>
            <w:gridSpan w:val="30"/>
          </w:tcPr>
          <w:p>
            <w:pPr>
              <w:spacing w:after="0" w:line="182" w:lineRule="exact"/>
              <w:rPr>
                <w:rFonts w:ascii="Arial" w:cs="Arial" w:eastAsia="Arial" w:hAnsi="Arial"/>
                <w:sz w:val="17"/>
                <w:szCs w:val="17"/>
                <w:color w:val="0000EE"/>
                <w:w w:val="89"/>
              </w:rPr>
            </w:pPr>
            <w:hyperlink w:anchor="page101">
              <w:r>
                <w:rPr>
                  <w:rFonts w:ascii="Arial" w:cs="Arial" w:eastAsia="Arial" w:hAnsi="Arial"/>
                  <w:sz w:val="17"/>
                  <w:szCs w:val="17"/>
                  <w:color w:val="0000EE"/>
                  <w:w w:val="89"/>
                </w:rPr>
                <w:t>Comcast’s Reasons for the Merger; Recommendation of the Comcast Board of Directors</w:t>
              </w:r>
            </w:hyperlink>
          </w:p>
        </w:tc>
        <w:tc>
          <w:tcPr>
            <w:tcW w:w="4780" w:type="dxa"/>
            <w:vAlign w:val="bottom"/>
            <w:gridSpan w:val="4"/>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439" w:right="31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2640" w:type="dxa"/>
            <w:vAlign w:val="bottom"/>
            <w:gridSpan w:val="12"/>
            <w:vMerge w:val="restart"/>
          </w:tcPr>
          <w:p>
            <w:pPr>
              <w:spacing w:after="0"/>
              <w:rPr>
                <w:rFonts w:ascii="Arial" w:cs="Arial" w:eastAsia="Arial" w:hAnsi="Arial"/>
                <w:sz w:val="17"/>
                <w:szCs w:val="17"/>
                <w:color w:val="0000EE"/>
                <w:w w:val="92"/>
              </w:rPr>
            </w:pPr>
            <w:hyperlink w:anchor="page104">
              <w:r>
                <w:rPr>
                  <w:rFonts w:ascii="Arial" w:cs="Arial" w:eastAsia="Arial" w:hAnsi="Arial"/>
                  <w:sz w:val="17"/>
                  <w:szCs w:val="17"/>
                  <w:color w:val="0000EE"/>
                  <w:w w:val="92"/>
                </w:rPr>
                <w:t>Opinions of TWC’s Financial Advisors</w:t>
              </w:r>
            </w:hyperlink>
          </w:p>
        </w:tc>
        <w:tc>
          <w:tcPr>
            <w:tcW w:w="8040" w:type="dxa"/>
            <w:vAlign w:val="bottom"/>
            <w:gridSpan w:val="15"/>
            <w:vMerge w:val="restart"/>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Page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Borders>
              <w:bottom w:val="single" w:sz="8" w:color="0000EE"/>
            </w:tcBorders>
            <w:gridSpan w:val="12"/>
            <w:vMerge w:val="continue"/>
          </w:tcPr>
          <w:p>
            <w:pPr>
              <w:spacing w:after="0"/>
              <w:rPr>
                <w:sz w:val="12"/>
                <w:szCs w:val="12"/>
                <w:color w:val="auto"/>
              </w:rPr>
            </w:pPr>
          </w:p>
        </w:tc>
        <w:tc>
          <w:tcPr>
            <w:tcW w:w="8040" w:type="dxa"/>
            <w:vAlign w:val="bottom"/>
            <w:gridSpan w:val="15"/>
            <w:vMerge w:val="continue"/>
          </w:tcPr>
          <w:p>
            <w:pPr>
              <w:spacing w:after="0"/>
              <w:rPr>
                <w:sz w:val="12"/>
                <w:szCs w:val="12"/>
                <w:color w:val="auto"/>
              </w:rPr>
            </w:pPr>
          </w:p>
        </w:tc>
        <w:tc>
          <w:tcPr>
            <w:tcW w:w="320" w:type="dxa"/>
            <w:vAlign w:val="bottom"/>
          </w:tcPr>
          <w:p>
            <w:pPr>
              <w:jc w:val="right"/>
              <w:spacing w:after="0" w:line="131"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4360" w:type="dxa"/>
            <w:vAlign w:val="bottom"/>
            <w:tcBorders>
              <w:bottom w:val="single" w:sz="8" w:color="0000EE"/>
            </w:tcBorders>
            <w:gridSpan w:val="25"/>
          </w:tcPr>
          <w:p>
            <w:pPr>
              <w:spacing w:after="0" w:line="194" w:lineRule="exact"/>
              <w:rPr>
                <w:rFonts w:ascii="Arial" w:cs="Arial" w:eastAsia="Arial" w:hAnsi="Arial"/>
                <w:sz w:val="17"/>
                <w:szCs w:val="17"/>
                <w:color w:val="0000EE"/>
                <w:w w:val="91"/>
              </w:rPr>
            </w:pPr>
            <w:hyperlink w:anchor="page117">
              <w:r>
                <w:rPr>
                  <w:rFonts w:ascii="Arial" w:cs="Arial" w:eastAsia="Arial" w:hAnsi="Arial"/>
                  <w:sz w:val="17"/>
                  <w:szCs w:val="17"/>
                  <w:color w:val="0000EE"/>
                  <w:w w:val="91"/>
                </w:rPr>
                <w:t>Opinion of Financial Advisor to the TWC Independent Directors</w:t>
              </w:r>
            </w:hyperlink>
          </w:p>
        </w:tc>
        <w:tc>
          <w:tcPr>
            <w:tcW w:w="632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25">
              <w:r>
                <w:rPr>
                  <w:rFonts w:ascii="Arial" w:cs="Arial" w:eastAsia="Arial" w:hAnsi="Arial"/>
                  <w:sz w:val="17"/>
                  <w:szCs w:val="17"/>
                  <w:color w:val="0000EE"/>
                </w:rPr>
                <w:t>Opinion of Comcast’s Financial Advisor</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82" w:lineRule="exact"/>
              <w:rPr>
                <w:rFonts w:ascii="Arial" w:cs="Arial" w:eastAsia="Arial" w:hAnsi="Arial"/>
                <w:sz w:val="17"/>
                <w:szCs w:val="17"/>
                <w:color w:val="0000EE"/>
                <w:w w:val="90"/>
              </w:rPr>
            </w:pPr>
            <w:hyperlink w:anchor="page137">
              <w:r>
                <w:rPr>
                  <w:rFonts w:ascii="Arial" w:cs="Arial" w:eastAsia="Arial" w:hAnsi="Arial"/>
                  <w:sz w:val="17"/>
                  <w:szCs w:val="17"/>
                  <w:color w:val="0000EE"/>
                  <w:w w:val="90"/>
                </w:rPr>
                <w:t>Unaudited Prospective Financial Information</w:t>
              </w:r>
            </w:hyperlink>
          </w:p>
        </w:tc>
        <w:tc>
          <w:tcPr>
            <w:tcW w:w="7640" w:type="dxa"/>
            <w:vAlign w:val="bottom"/>
            <w:gridSpan w:val="11"/>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42">
              <w:r>
                <w:rPr>
                  <w:rFonts w:ascii="Arial" w:cs="Arial" w:eastAsia="Arial" w:hAnsi="Arial"/>
                  <w:sz w:val="17"/>
                  <w:szCs w:val="17"/>
                  <w:color w:val="0000EE"/>
                </w:rPr>
                <w:t>Certain Relationships between Comcast and TWC</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380" w:type="dxa"/>
            <w:vAlign w:val="bottom"/>
            <w:tcBorders>
              <w:top w:val="single" w:sz="8" w:color="0000EE"/>
            </w:tcBorders>
            <w:gridSpan w:val="21"/>
          </w:tcPr>
          <w:p>
            <w:pPr>
              <w:spacing w:after="0" w:line="182" w:lineRule="exact"/>
              <w:rPr>
                <w:rFonts w:ascii="Arial" w:cs="Arial" w:eastAsia="Arial" w:hAnsi="Arial"/>
                <w:sz w:val="17"/>
                <w:szCs w:val="17"/>
                <w:color w:val="0000EE"/>
                <w:w w:val="96"/>
              </w:rPr>
            </w:pPr>
            <w:hyperlink w:anchor="page143">
              <w:r>
                <w:rPr>
                  <w:rFonts w:ascii="Arial" w:cs="Arial" w:eastAsia="Arial" w:hAnsi="Arial"/>
                  <w:sz w:val="17"/>
                  <w:szCs w:val="17"/>
                  <w:color w:val="0000EE"/>
                  <w:w w:val="96"/>
                </w:rPr>
                <w:t>Regulatory Approvals Required for the Merger</w:t>
              </w:r>
            </w:hyperlink>
          </w:p>
        </w:tc>
        <w:tc>
          <w:tcPr>
            <w:tcW w:w="7300" w:type="dxa"/>
            <w:vAlign w:val="bottom"/>
            <w:gridSpan w:val="6"/>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5"/>
          </w:tcPr>
          <w:p>
            <w:pPr>
              <w:spacing w:after="0" w:line="182" w:lineRule="exact"/>
              <w:rPr>
                <w:rFonts w:ascii="Arial" w:cs="Arial" w:eastAsia="Arial" w:hAnsi="Arial"/>
                <w:sz w:val="17"/>
                <w:szCs w:val="17"/>
                <w:color w:val="0000EE"/>
                <w:w w:val="90"/>
              </w:rPr>
            </w:pPr>
            <w:hyperlink w:anchor="page146">
              <w:r>
                <w:rPr>
                  <w:rFonts w:ascii="Arial" w:cs="Arial" w:eastAsia="Arial" w:hAnsi="Arial"/>
                  <w:sz w:val="17"/>
                  <w:szCs w:val="17"/>
                  <w:color w:val="0000EE"/>
                  <w:w w:val="90"/>
                </w:rPr>
                <w:t>No Appraisal Rights</w:t>
              </w:r>
            </w:hyperlink>
          </w:p>
        </w:tc>
        <w:tc>
          <w:tcPr>
            <w:tcW w:w="1780" w:type="dxa"/>
            <w:vAlign w:val="bottom"/>
            <w:tcBorders>
              <w:top w:val="single" w:sz="8" w:color="0000EE"/>
            </w:tcBorders>
            <w:gridSpan w:val="13"/>
          </w:tcPr>
          <w:p>
            <w:pPr>
              <w:spacing w:after="0"/>
              <w:rPr>
                <w:sz w:val="15"/>
                <w:szCs w:val="15"/>
                <w:color w:val="auto"/>
              </w:rPr>
            </w:pPr>
          </w:p>
        </w:tc>
        <w:tc>
          <w:tcPr>
            <w:tcW w:w="7520" w:type="dxa"/>
            <w:vAlign w:val="bottom"/>
            <w:gridSpan w:val="9"/>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260" w:type="dxa"/>
            <w:vAlign w:val="bottom"/>
            <w:tcBorders>
              <w:bottom w:val="single" w:sz="8" w:color="0000EE"/>
            </w:tcBorders>
            <w:gridSpan w:val="23"/>
          </w:tcPr>
          <w:p>
            <w:pPr>
              <w:spacing w:after="0" w:line="182" w:lineRule="exact"/>
              <w:rPr>
                <w:rFonts w:ascii="Arial" w:cs="Arial" w:eastAsia="Arial" w:hAnsi="Arial"/>
                <w:sz w:val="17"/>
                <w:szCs w:val="17"/>
                <w:color w:val="0000EE"/>
                <w:w w:val="88"/>
              </w:rPr>
            </w:pPr>
            <w:hyperlink w:anchor="page146">
              <w:r>
                <w:rPr>
                  <w:rFonts w:ascii="Arial" w:cs="Arial" w:eastAsia="Arial" w:hAnsi="Arial"/>
                  <w:sz w:val="17"/>
                  <w:szCs w:val="17"/>
                  <w:color w:val="0000EE"/>
                  <w:w w:val="88"/>
                </w:rPr>
                <w:t>Material U.S. Federal Income Tax Consequences of the Merger</w:t>
              </w:r>
            </w:hyperlink>
          </w:p>
        </w:tc>
        <w:tc>
          <w:tcPr>
            <w:tcW w:w="6420" w:type="dxa"/>
            <w:vAlign w:val="bottom"/>
            <w:gridSpan w:val="4"/>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48">
              <w:r>
                <w:rPr>
                  <w:rFonts w:ascii="Arial" w:cs="Arial" w:eastAsia="Arial" w:hAnsi="Arial"/>
                  <w:sz w:val="17"/>
                  <w:szCs w:val="17"/>
                  <w:color w:val="0000EE"/>
                </w:rPr>
                <w:t>Accounting Treatment</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7540" w:type="dxa"/>
            <w:vAlign w:val="bottom"/>
            <w:tcBorders>
              <w:bottom w:val="single" w:sz="8" w:color="0000EE"/>
            </w:tcBorders>
            <w:gridSpan w:val="26"/>
          </w:tcPr>
          <w:p>
            <w:pPr>
              <w:spacing w:after="0" w:line="182" w:lineRule="exact"/>
              <w:rPr>
                <w:rFonts w:ascii="Arial" w:cs="Arial" w:eastAsia="Arial" w:hAnsi="Arial"/>
                <w:sz w:val="17"/>
                <w:szCs w:val="17"/>
                <w:color w:val="0000EE"/>
                <w:w w:val="90"/>
              </w:rPr>
            </w:pPr>
            <w:hyperlink w:anchor="page149">
              <w:r>
                <w:rPr>
                  <w:rFonts w:ascii="Arial" w:cs="Arial" w:eastAsia="Arial" w:hAnsi="Arial"/>
                  <w:sz w:val="17"/>
                  <w:szCs w:val="17"/>
                  <w:color w:val="0000EE"/>
                  <w:w w:val="90"/>
                </w:rPr>
                <w:t>Listing of Shares of Comcast Class A Common Stock and Delisting and Deregistration of TWC Common Stock</w:t>
              </w:r>
            </w:hyperlink>
          </w:p>
        </w:tc>
        <w:tc>
          <w:tcPr>
            <w:tcW w:w="3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49">
              <w:r>
                <w:rPr>
                  <w:rFonts w:ascii="Arial" w:cs="Arial" w:eastAsia="Arial" w:hAnsi="Arial"/>
                  <w:sz w:val="17"/>
                  <w:szCs w:val="17"/>
                  <w:color w:val="0000EE"/>
                </w:rPr>
                <w:t>Litigation Relating to the Merger</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50">
              <w:r>
                <w:rPr>
                  <w:rFonts w:ascii="Arial" w:cs="Arial" w:eastAsia="Arial" w:hAnsi="Arial"/>
                  <w:sz w:val="17"/>
                  <w:szCs w:val="17"/>
                  <w:color w:val="0000EE"/>
                </w:rPr>
                <w:t>The Merger Agreement</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82"/>
        </w:trPr>
        <w:tc>
          <w:tcPr>
            <w:tcW w:w="1540" w:type="dxa"/>
            <w:vAlign w:val="bottom"/>
            <w:tcBorders>
              <w:top w:val="single" w:sz="8" w:color="0000EE"/>
              <w:bottom w:val="single" w:sz="8" w:color="0000EE"/>
            </w:tcBorders>
            <w:gridSpan w:val="4"/>
          </w:tcPr>
          <w:p>
            <w:pPr>
              <w:spacing w:after="0" w:line="182" w:lineRule="exact"/>
              <w:rPr>
                <w:rFonts w:ascii="Arial" w:cs="Arial" w:eastAsia="Arial" w:hAnsi="Arial"/>
                <w:sz w:val="17"/>
                <w:szCs w:val="17"/>
                <w:color w:val="0000EE"/>
                <w:w w:val="89"/>
              </w:rPr>
            </w:pPr>
            <w:hyperlink w:anchor="page173">
              <w:r>
                <w:rPr>
                  <w:rFonts w:ascii="Arial" w:cs="Arial" w:eastAsia="Arial" w:hAnsi="Arial"/>
                  <w:sz w:val="17"/>
                  <w:szCs w:val="17"/>
                  <w:color w:val="0000EE"/>
                  <w:w w:val="89"/>
                </w:rPr>
                <w:t>The Voting Agreement</w:t>
              </w:r>
            </w:hyperlink>
          </w:p>
        </w:tc>
        <w:tc>
          <w:tcPr>
            <w:tcW w:w="40" w:type="dxa"/>
            <w:vAlign w:val="bottom"/>
            <w:tcBorders>
              <w:top w:val="single" w:sz="8" w:color="0000EE"/>
            </w:tcBorders>
          </w:tcPr>
          <w:p>
            <w:pPr>
              <w:spacing w:after="0"/>
              <w:rPr>
                <w:sz w:val="15"/>
                <w:szCs w:val="15"/>
                <w:color w:val="auto"/>
              </w:rPr>
            </w:pPr>
          </w:p>
        </w:tc>
        <w:tc>
          <w:tcPr>
            <w:tcW w:w="9440" w:type="dxa"/>
            <w:vAlign w:val="bottom"/>
            <w:gridSpan w:val="23"/>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75">
              <w:r>
                <w:rPr>
                  <w:rFonts w:ascii="Arial" w:cs="Arial" w:eastAsia="Arial" w:hAnsi="Arial"/>
                  <w:sz w:val="17"/>
                  <w:szCs w:val="17"/>
                  <w:color w:val="0000EE"/>
                </w:rPr>
                <w:t>Interests of Certain Persons in the Merger</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87">
              <w:r>
                <w:rPr>
                  <w:rFonts w:ascii="Arial" w:cs="Arial" w:eastAsia="Arial" w:hAnsi="Arial"/>
                  <w:sz w:val="17"/>
                  <w:szCs w:val="17"/>
                  <w:color w:val="0000EE"/>
                </w:rPr>
                <w:t>TWC Proposal II: Advisory Vote on Golden Parachute Compensation</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182"/>
        </w:trPr>
        <w:tc>
          <w:tcPr>
            <w:tcW w:w="4560" w:type="dxa"/>
            <w:vAlign w:val="bottom"/>
            <w:tcBorders>
              <w:top w:val="single" w:sz="8" w:color="0000EE"/>
              <w:bottom w:val="single" w:sz="8" w:color="0000EE"/>
            </w:tcBorders>
            <w:gridSpan w:val="23"/>
          </w:tcPr>
          <w:p>
            <w:pPr>
              <w:spacing w:after="0" w:line="182" w:lineRule="exact"/>
              <w:rPr>
                <w:rFonts w:ascii="Arial" w:cs="Arial" w:eastAsia="Arial" w:hAnsi="Arial"/>
                <w:sz w:val="17"/>
                <w:szCs w:val="17"/>
                <w:color w:val="0000EE"/>
                <w:w w:val="90"/>
              </w:rPr>
            </w:pPr>
            <w:hyperlink w:anchor="page188">
              <w:r>
                <w:rPr>
                  <w:rFonts w:ascii="Arial" w:cs="Arial" w:eastAsia="Arial" w:hAnsi="Arial"/>
                  <w:sz w:val="17"/>
                  <w:szCs w:val="17"/>
                  <w:color w:val="0000EE"/>
                  <w:w w:val="90"/>
                </w:rPr>
                <w:t>Comcast Proposal II: Adjournment of the Comcast Special Meeting</w:t>
              </w:r>
            </w:hyperlink>
          </w:p>
        </w:tc>
        <w:tc>
          <w:tcPr>
            <w:tcW w:w="120" w:type="dxa"/>
            <w:vAlign w:val="bottom"/>
            <w:tcBorders>
              <w:top w:val="single" w:sz="8" w:color="0000EE"/>
            </w:tcBorders>
            <w:gridSpan w:val="2"/>
          </w:tcPr>
          <w:p>
            <w:pPr>
              <w:spacing w:after="0"/>
              <w:rPr>
                <w:sz w:val="15"/>
                <w:szCs w:val="15"/>
                <w:color w:val="auto"/>
              </w:rPr>
            </w:pPr>
          </w:p>
        </w:tc>
        <w:tc>
          <w:tcPr>
            <w:tcW w:w="6340" w:type="dxa"/>
            <w:vAlign w:val="bottom"/>
            <w:gridSpan w:val="3"/>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89">
              <w:r>
                <w:rPr>
                  <w:rFonts w:ascii="Arial" w:cs="Arial" w:eastAsia="Arial" w:hAnsi="Arial"/>
                  <w:sz w:val="17"/>
                  <w:szCs w:val="17"/>
                  <w:color w:val="0000EE"/>
                </w:rPr>
                <w:t>Certain Beneficial Owners of TWC Common Stock</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00" w:type="dxa"/>
            <w:vAlign w:val="bottom"/>
            <w:tcBorders>
              <w:bottom w:val="single" w:sz="8" w:color="0000EE"/>
            </w:tcBorders>
            <w:gridSpan w:val="21"/>
          </w:tcPr>
          <w:p>
            <w:pPr>
              <w:spacing w:after="0" w:line="182" w:lineRule="exact"/>
              <w:rPr>
                <w:rFonts w:ascii="Arial" w:cs="Arial" w:eastAsia="Arial" w:hAnsi="Arial"/>
                <w:sz w:val="17"/>
                <w:szCs w:val="17"/>
                <w:color w:val="0000EE"/>
                <w:w w:val="90"/>
              </w:rPr>
            </w:pPr>
            <w:hyperlink w:anchor="page191">
              <w:r>
                <w:rPr>
                  <w:rFonts w:ascii="Arial" w:cs="Arial" w:eastAsia="Arial" w:hAnsi="Arial"/>
                  <w:sz w:val="17"/>
                  <w:szCs w:val="17"/>
                  <w:color w:val="0000EE"/>
                  <w:w w:val="90"/>
                </w:rPr>
                <w:t>Certain Beneficial Owners of Comcast Common Stock</w:t>
              </w:r>
            </w:hyperlink>
          </w:p>
        </w:tc>
        <w:tc>
          <w:tcPr>
            <w:tcW w:w="7320" w:type="dxa"/>
            <w:vAlign w:val="bottom"/>
            <w:gridSpan w:val="7"/>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94">
              <w:r>
                <w:rPr>
                  <w:rFonts w:ascii="Arial" w:cs="Arial" w:eastAsia="Arial" w:hAnsi="Arial"/>
                  <w:sz w:val="17"/>
                  <w:szCs w:val="17"/>
                  <w:color w:val="0000EE"/>
                </w:rPr>
                <w:t>Description of Comcast Capital Stock</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82"/>
        </w:trPr>
        <w:tc>
          <w:tcPr>
            <w:tcW w:w="2340" w:type="dxa"/>
            <w:vAlign w:val="bottom"/>
            <w:tcBorders>
              <w:top w:val="single" w:sz="8" w:color="0000EE"/>
              <w:bottom w:val="single" w:sz="8" w:color="0000EE"/>
            </w:tcBorders>
            <w:gridSpan w:val="9"/>
          </w:tcPr>
          <w:p>
            <w:pPr>
              <w:spacing w:after="0" w:line="182" w:lineRule="exact"/>
              <w:rPr>
                <w:rFonts w:ascii="Arial" w:cs="Arial" w:eastAsia="Arial" w:hAnsi="Arial"/>
                <w:sz w:val="17"/>
                <w:szCs w:val="17"/>
                <w:color w:val="0000EE"/>
                <w:w w:val="89"/>
              </w:rPr>
            </w:pPr>
            <w:hyperlink w:anchor="page200">
              <w:r>
                <w:rPr>
                  <w:rFonts w:ascii="Arial" w:cs="Arial" w:eastAsia="Arial" w:hAnsi="Arial"/>
                  <w:sz w:val="17"/>
                  <w:szCs w:val="17"/>
                  <w:color w:val="0000EE"/>
                  <w:w w:val="89"/>
                </w:rPr>
                <w:t>Comparison of Stockholder Rights</w:t>
              </w:r>
            </w:hyperlink>
          </w:p>
        </w:tc>
        <w:tc>
          <w:tcPr>
            <w:tcW w:w="220" w:type="dxa"/>
            <w:vAlign w:val="bottom"/>
            <w:tcBorders>
              <w:top w:val="single" w:sz="8" w:color="0000EE"/>
            </w:tcBorders>
          </w:tcPr>
          <w:p>
            <w:pPr>
              <w:spacing w:after="0"/>
              <w:rPr>
                <w:sz w:val="15"/>
                <w:szCs w:val="15"/>
                <w:color w:val="auto"/>
              </w:rPr>
            </w:pPr>
          </w:p>
        </w:tc>
        <w:tc>
          <w:tcPr>
            <w:tcW w:w="8460" w:type="dxa"/>
            <w:vAlign w:val="bottom"/>
            <w:gridSpan w:val="18"/>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82"/>
        </w:trPr>
        <w:tc>
          <w:tcPr>
            <w:tcW w:w="940" w:type="dxa"/>
            <w:vAlign w:val="bottom"/>
            <w:tcBorders>
              <w:bottom w:val="single" w:sz="8" w:color="0000EE"/>
            </w:tcBorders>
            <w:gridSpan w:val="3"/>
          </w:tcPr>
          <w:p>
            <w:pPr>
              <w:spacing w:after="0" w:line="182" w:lineRule="exact"/>
              <w:rPr>
                <w:rFonts w:ascii="Arial" w:cs="Arial" w:eastAsia="Arial" w:hAnsi="Arial"/>
                <w:sz w:val="17"/>
                <w:szCs w:val="17"/>
                <w:color w:val="0000EE"/>
                <w:w w:val="89"/>
              </w:rPr>
            </w:pPr>
            <w:hyperlink w:anchor="page216">
              <w:r>
                <w:rPr>
                  <w:rFonts w:ascii="Arial" w:cs="Arial" w:eastAsia="Arial" w:hAnsi="Arial"/>
                  <w:sz w:val="17"/>
                  <w:szCs w:val="17"/>
                  <w:color w:val="0000EE"/>
                  <w:w w:val="89"/>
                </w:rPr>
                <w:t>Legal Matters</w:t>
              </w:r>
            </w:hyperlink>
          </w:p>
        </w:tc>
        <w:tc>
          <w:tcPr>
            <w:tcW w:w="10080" w:type="dxa"/>
            <w:vAlign w:val="bottom"/>
            <w:gridSpan w:val="25"/>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182"/>
        </w:trPr>
        <w:tc>
          <w:tcPr>
            <w:tcW w:w="520" w:type="dxa"/>
            <w:vAlign w:val="bottom"/>
            <w:tcBorders>
              <w:bottom w:val="single" w:sz="8" w:color="0000EE"/>
            </w:tcBorders>
            <w:gridSpan w:val="2"/>
          </w:tcPr>
          <w:p>
            <w:pPr>
              <w:spacing w:after="0" w:line="182" w:lineRule="exact"/>
              <w:rPr>
                <w:rFonts w:ascii="Arial" w:cs="Arial" w:eastAsia="Arial" w:hAnsi="Arial"/>
                <w:sz w:val="17"/>
                <w:szCs w:val="17"/>
                <w:color w:val="0000EE"/>
                <w:w w:val="86"/>
              </w:rPr>
            </w:pPr>
            <w:hyperlink w:anchor="page216">
              <w:r>
                <w:rPr>
                  <w:rFonts w:ascii="Arial" w:cs="Arial" w:eastAsia="Arial" w:hAnsi="Arial"/>
                  <w:sz w:val="17"/>
                  <w:szCs w:val="17"/>
                  <w:color w:val="0000EE"/>
                  <w:w w:val="86"/>
                </w:rPr>
                <w:t>Experts</w:t>
              </w:r>
            </w:hyperlink>
          </w:p>
        </w:tc>
        <w:tc>
          <w:tcPr>
            <w:tcW w:w="10500" w:type="dxa"/>
            <w:vAlign w:val="bottom"/>
            <w:gridSpan w:val="26"/>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17">
              <w:r>
                <w:rPr>
                  <w:rFonts w:ascii="Arial" w:cs="Arial" w:eastAsia="Arial" w:hAnsi="Arial"/>
                  <w:sz w:val="17"/>
                  <w:szCs w:val="17"/>
                  <w:color w:val="0000EE"/>
                </w:rPr>
                <w:t>Future Shareholder Proposals</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76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tcBorders>
              <w:bottom w:val="single" w:sz="8" w:color="0000EE"/>
            </w:tcBorders>
            <w:gridSpan w:val="11"/>
          </w:tcPr>
          <w:p>
            <w:pPr>
              <w:spacing w:after="0" w:line="182" w:lineRule="exact"/>
              <w:rPr>
                <w:rFonts w:ascii="Arial" w:cs="Arial" w:eastAsia="Arial" w:hAnsi="Arial"/>
                <w:sz w:val="17"/>
                <w:szCs w:val="17"/>
                <w:color w:val="0000EE"/>
                <w:w w:val="91"/>
              </w:rPr>
            </w:pPr>
            <w:hyperlink w:anchor="page219">
              <w:r>
                <w:rPr>
                  <w:rFonts w:ascii="Arial" w:cs="Arial" w:eastAsia="Arial" w:hAnsi="Arial"/>
                  <w:sz w:val="17"/>
                  <w:szCs w:val="17"/>
                  <w:color w:val="0000EE"/>
                  <w:w w:val="91"/>
                </w:rPr>
                <w:t>Where You Can Find More Information</w:t>
              </w:r>
            </w:hyperlink>
          </w:p>
        </w:tc>
        <w:tc>
          <w:tcPr>
            <w:tcW w:w="8340" w:type="dxa"/>
            <w:vAlign w:val="bottom"/>
            <w:gridSpan w:val="17"/>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308"/>
        </w:trPr>
        <w:tc>
          <w:tcPr>
            <w:tcW w:w="11020" w:type="dxa"/>
            <w:vAlign w:val="bottom"/>
            <w:gridSpan w:val="28"/>
          </w:tcPr>
          <w:p>
            <w:pPr>
              <w:spacing w:after="0"/>
              <w:rPr>
                <w:sz w:val="20"/>
                <w:szCs w:val="20"/>
                <w:color w:val="auto"/>
              </w:rPr>
            </w:pPr>
            <w:r>
              <w:rPr>
                <w:rFonts w:ascii="Arial" w:cs="Arial" w:eastAsia="Arial" w:hAnsi="Arial"/>
                <w:sz w:val="17"/>
                <w:szCs w:val="17"/>
                <w:color w:val="auto"/>
              </w:rPr>
              <w:t>Annexes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020" w:type="dxa"/>
            <w:vAlign w:val="bottom"/>
            <w:gridSpan w:val="28"/>
          </w:tcPr>
          <w:p>
            <w:pPr>
              <w:spacing w:after="0" w:line="176" w:lineRule="exact"/>
              <w:rPr>
                <w:rFonts w:ascii="Arial" w:cs="Arial" w:eastAsia="Arial" w:hAnsi="Arial"/>
                <w:sz w:val="17"/>
                <w:szCs w:val="17"/>
                <w:color w:val="0000EE"/>
              </w:rPr>
            </w:pPr>
            <w:hyperlink w:anchor="page221">
              <w:r>
                <w:rPr>
                  <w:rFonts w:ascii="Arial" w:cs="Arial" w:eastAsia="Arial" w:hAnsi="Arial"/>
                  <w:sz w:val="17"/>
                  <w:szCs w:val="17"/>
                  <w:color w:val="0000EE"/>
                </w:rPr>
                <w:t>Annex A: Agreement and Plan of Merger</w:t>
              </w:r>
            </w:hyperlink>
          </w:p>
        </w:tc>
        <w:tc>
          <w:tcPr>
            <w:tcW w:w="320" w:type="dxa"/>
            <w:vAlign w:val="bottom"/>
          </w:tcPr>
          <w:p>
            <w:pPr>
              <w:jc w:val="right"/>
              <w:spacing w:after="0" w:line="176"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82"/>
        </w:trPr>
        <w:tc>
          <w:tcPr>
            <w:tcW w:w="2800" w:type="dxa"/>
            <w:vAlign w:val="bottom"/>
            <w:tcBorders>
              <w:top w:val="single" w:sz="8" w:color="0000EE"/>
            </w:tcBorders>
            <w:gridSpan w:val="12"/>
          </w:tcPr>
          <w:p>
            <w:pPr>
              <w:spacing w:after="0" w:line="182" w:lineRule="exact"/>
              <w:rPr>
                <w:rFonts w:ascii="Arial" w:cs="Arial" w:eastAsia="Arial" w:hAnsi="Arial"/>
                <w:sz w:val="17"/>
                <w:szCs w:val="17"/>
                <w:color w:val="0000EE"/>
              </w:rPr>
            </w:pPr>
            <w:hyperlink w:anchor="page308">
              <w:r>
                <w:rPr>
                  <w:rFonts w:ascii="Arial" w:cs="Arial" w:eastAsia="Arial" w:hAnsi="Arial"/>
                  <w:sz w:val="17"/>
                  <w:szCs w:val="17"/>
                  <w:color w:val="0000EE"/>
                </w:rPr>
                <w:t>Annex B: Voting Agreement</w:t>
              </w:r>
            </w:hyperlink>
          </w:p>
        </w:tc>
        <w:tc>
          <w:tcPr>
            <w:tcW w:w="8220" w:type="dxa"/>
            <w:vAlign w:val="bottom"/>
            <w:gridSpan w:val="16"/>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324">
              <w:r>
                <w:rPr>
                  <w:rFonts w:ascii="Arial" w:cs="Arial" w:eastAsia="Arial" w:hAnsi="Arial"/>
                  <w:sz w:val="17"/>
                  <w:szCs w:val="17"/>
                  <w:color w:val="0000EE"/>
                </w:rPr>
                <w:t>Annex C: Opinion of Allen &amp; Company LLC</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20"/>
        </w:trPr>
        <w:tc>
          <w:tcPr>
            <w:tcW w:w="3060" w:type="dxa"/>
            <w:vAlign w:val="bottom"/>
            <w:gridSpan w:val="1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0000EE"/>
            </w:tcBorders>
            <w:gridSpan w:val="20"/>
          </w:tcPr>
          <w:p>
            <w:pPr>
              <w:spacing w:after="0" w:line="182" w:lineRule="exact"/>
              <w:rPr>
                <w:rFonts w:ascii="Arial" w:cs="Arial" w:eastAsia="Arial" w:hAnsi="Arial"/>
                <w:sz w:val="17"/>
                <w:szCs w:val="17"/>
                <w:color w:val="0000EE"/>
                <w:w w:val="93"/>
              </w:rPr>
            </w:pPr>
            <w:hyperlink w:anchor="page328">
              <w:r>
                <w:rPr>
                  <w:rFonts w:ascii="Arial" w:cs="Arial" w:eastAsia="Arial" w:hAnsi="Arial"/>
                  <w:sz w:val="17"/>
                  <w:szCs w:val="17"/>
                  <w:color w:val="0000EE"/>
                  <w:w w:val="93"/>
                </w:rPr>
                <w:t>Annex D: Opinion of Citigroup Global Markets Inc.</w:t>
              </w:r>
            </w:hyperlink>
          </w:p>
        </w:tc>
        <w:tc>
          <w:tcPr>
            <w:tcW w:w="7500" w:type="dxa"/>
            <w:vAlign w:val="bottom"/>
            <w:gridSpan w:val="8"/>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D-1</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332">
              <w:r>
                <w:rPr>
                  <w:rFonts w:ascii="Arial" w:cs="Arial" w:eastAsia="Arial" w:hAnsi="Arial"/>
                  <w:sz w:val="17"/>
                  <w:szCs w:val="17"/>
                  <w:color w:val="0000EE"/>
                </w:rPr>
                <w:t>Annex E: Opinion of Morgan Stanley &amp; Co. LLC</w:t>
              </w:r>
            </w:hyperlink>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E-1</w:t>
            </w:r>
          </w:p>
        </w:tc>
        <w:tc>
          <w:tcPr>
            <w:tcW w:w="0" w:type="dxa"/>
            <w:vAlign w:val="bottom"/>
          </w:tcPr>
          <w:p>
            <w:pPr>
              <w:spacing w:after="0"/>
              <w:rPr>
                <w:sz w:val="1"/>
                <w:szCs w:val="1"/>
                <w:color w:val="auto"/>
              </w:rPr>
            </w:pPr>
          </w:p>
        </w:tc>
      </w:tr>
      <w:tr>
        <w:trPr>
          <w:trHeight w:val="182"/>
        </w:trPr>
        <w:tc>
          <w:tcPr>
            <w:tcW w:w="3180" w:type="dxa"/>
            <w:vAlign w:val="bottom"/>
            <w:tcBorders>
              <w:top w:val="single" w:sz="8" w:color="0000EE"/>
              <w:bottom w:val="single" w:sz="8" w:color="0000EE"/>
            </w:tcBorders>
            <w:gridSpan w:val="15"/>
          </w:tcPr>
          <w:p>
            <w:pPr>
              <w:spacing w:after="0" w:line="182" w:lineRule="exact"/>
              <w:rPr>
                <w:rFonts w:ascii="Arial" w:cs="Arial" w:eastAsia="Arial" w:hAnsi="Arial"/>
                <w:sz w:val="17"/>
                <w:szCs w:val="17"/>
                <w:color w:val="0000EE"/>
                <w:w w:val="91"/>
              </w:rPr>
            </w:pPr>
            <w:hyperlink w:anchor="page336">
              <w:r>
                <w:rPr>
                  <w:rFonts w:ascii="Arial" w:cs="Arial" w:eastAsia="Arial" w:hAnsi="Arial"/>
                  <w:sz w:val="17"/>
                  <w:szCs w:val="17"/>
                  <w:color w:val="0000EE"/>
                  <w:w w:val="91"/>
                </w:rPr>
                <w:t>Annex F: Opinion of Centerview Partners LLC</w:t>
              </w:r>
            </w:hyperlink>
          </w:p>
        </w:tc>
        <w:tc>
          <w:tcPr>
            <w:tcW w:w="160" w:type="dxa"/>
            <w:vAlign w:val="bottom"/>
            <w:tcBorders>
              <w:top w:val="single" w:sz="8" w:color="0000EE"/>
            </w:tcBorders>
          </w:tcPr>
          <w:p>
            <w:pPr>
              <w:spacing w:after="0"/>
              <w:rPr>
                <w:sz w:val="15"/>
                <w:szCs w:val="15"/>
                <w:color w:val="auto"/>
              </w:rPr>
            </w:pPr>
          </w:p>
        </w:tc>
        <w:tc>
          <w:tcPr>
            <w:tcW w:w="7680" w:type="dxa"/>
            <w:vAlign w:val="bottom"/>
            <w:gridSpan w:val="12"/>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0000EE"/>
            </w:tcBorders>
            <w:gridSpan w:val="16"/>
          </w:tcPr>
          <w:p>
            <w:pPr>
              <w:spacing w:after="0" w:line="182" w:lineRule="exact"/>
              <w:rPr>
                <w:rFonts w:ascii="Arial" w:cs="Arial" w:eastAsia="Arial" w:hAnsi="Arial"/>
                <w:sz w:val="17"/>
                <w:szCs w:val="17"/>
                <w:color w:val="0000EE"/>
                <w:w w:val="91"/>
              </w:rPr>
            </w:pPr>
            <w:hyperlink w:anchor="page340">
              <w:r>
                <w:rPr>
                  <w:rFonts w:ascii="Arial" w:cs="Arial" w:eastAsia="Arial" w:hAnsi="Arial"/>
                  <w:sz w:val="17"/>
                  <w:szCs w:val="17"/>
                  <w:color w:val="0000EE"/>
                  <w:w w:val="91"/>
                </w:rPr>
                <w:t>Annex G: Opinion of J.P. Morgan Securities LLC</w:t>
              </w:r>
            </w:hyperlink>
          </w:p>
        </w:tc>
        <w:tc>
          <w:tcPr>
            <w:tcW w:w="7680" w:type="dxa"/>
            <w:vAlign w:val="bottom"/>
            <w:gridSpan w:val="12"/>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7"/>
                <w:szCs w:val="17"/>
                <w:color w:val="auto"/>
              </w:rPr>
              <w:t>G-1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40"/>
          </w:cols>
          <w:pgMar w:left="240" w:top="439" w:right="3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QUESTIONS AND ANSWERS ABOUT THE MERGER AND THE MATTERS TO BE ADDRESSED AT THE SPECIAL MEETINGS</w:t>
      </w:r>
    </w:p>
    <w:p>
      <w:pPr>
        <w:spacing w:after="0" w:line="21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187" w:lineRule="exact"/>
        <w:rPr>
          <w:sz w:val="20"/>
          <w:szCs w:val="20"/>
          <w:color w:val="auto"/>
        </w:rPr>
      </w:pPr>
    </w:p>
    <w:p>
      <w:pPr>
        <w:ind w:left="460" w:hanging="459"/>
        <w:spacing w:after="0"/>
        <w:tabs>
          <w:tab w:leader="none" w:pos="4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Why am I receiving this document?</w:t>
      </w:r>
    </w:p>
    <w:p>
      <w:pPr>
        <w:spacing w:after="0" w:line="120" w:lineRule="exact"/>
        <w:rPr>
          <w:sz w:val="20"/>
          <w:szCs w:val="20"/>
          <w:color w:val="auto"/>
        </w:rPr>
      </w:pPr>
    </w:p>
    <w:p>
      <w:pPr>
        <w:ind w:left="460" w:right="220" w:hanging="459"/>
        <w:spacing w:after="0" w:line="29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49" w:lineRule="exact"/>
        <w:rPr>
          <w:rFonts w:ascii="Arial" w:cs="Arial" w:eastAsia="Arial" w:hAnsi="Arial"/>
          <w:sz w:val="15"/>
          <w:szCs w:val="15"/>
          <w:color w:val="auto"/>
        </w:rPr>
      </w:pPr>
    </w:p>
    <w:p>
      <w:pPr>
        <w:jc w:val="both"/>
        <w:ind w:left="460" w:right="60"/>
        <w:spacing w:after="0" w:line="282" w:lineRule="auto"/>
        <w:rPr>
          <w:rFonts w:ascii="Arial" w:cs="Arial" w:eastAsia="Arial" w:hAnsi="Arial"/>
          <w:sz w:val="15"/>
          <w:szCs w:val="15"/>
          <w:color w:val="auto"/>
        </w:rPr>
      </w:pPr>
      <w:r>
        <w:rPr>
          <w:rFonts w:ascii="Arial" w:cs="Arial" w:eastAsia="Arial" w:hAnsi="Arial"/>
          <w:sz w:val="16"/>
          <w:szCs w:val="16"/>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57" w:lineRule="exact"/>
        <w:rPr>
          <w:rFonts w:ascii="Arial" w:cs="Arial" w:eastAsia="Arial" w:hAnsi="Arial"/>
          <w:sz w:val="15"/>
          <w:szCs w:val="15"/>
          <w:color w:val="auto"/>
        </w:rPr>
      </w:pPr>
    </w:p>
    <w:p>
      <w:pPr>
        <w:ind w:left="460" w:right="120"/>
        <w:spacing w:after="0" w:line="309" w:lineRule="auto"/>
        <w:rPr>
          <w:rFonts w:ascii="Arial" w:cs="Arial" w:eastAsia="Arial" w:hAnsi="Arial"/>
          <w:sz w:val="15"/>
          <w:szCs w:val="15"/>
          <w:color w:val="auto"/>
        </w:rPr>
      </w:pPr>
      <w:r>
        <w:rPr>
          <w:rFonts w:ascii="Arial" w:cs="Arial" w:eastAsia="Arial" w:hAnsi="Arial"/>
          <w:sz w:val="15"/>
          <w:szCs w:val="15"/>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40" w:lineRule="exact"/>
        <w:rPr>
          <w:rFonts w:ascii="Arial" w:cs="Arial" w:eastAsia="Arial" w:hAnsi="Arial"/>
          <w:sz w:val="15"/>
          <w:szCs w:val="15"/>
          <w:color w:val="auto"/>
        </w:rPr>
      </w:pPr>
    </w:p>
    <w:p>
      <w:pPr>
        <w:ind w:left="460"/>
        <w:spacing w:after="0" w:line="250" w:lineRule="auto"/>
        <w:rPr>
          <w:rFonts w:ascii="Arial" w:cs="Arial" w:eastAsia="Arial" w:hAnsi="Arial"/>
          <w:sz w:val="15"/>
          <w:szCs w:val="15"/>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8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Your vote is important. We encourage you to vote as soon as possible.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439"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TWC stockholders receive in the merger?</w:t>
      </w:r>
    </w:p>
    <w:p>
      <w:pPr>
        <w:spacing w:after="0" w:line="120" w:lineRule="exact"/>
        <w:rPr>
          <w:sz w:val="20"/>
          <w:szCs w:val="20"/>
          <w:color w:val="auto"/>
        </w:rPr>
      </w:pPr>
    </w:p>
    <w:p>
      <w:pPr>
        <w:ind w:left="460" w:hanging="459"/>
        <w:spacing w:after="0" w:line="27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67" w:lineRule="exact"/>
        <w:rPr>
          <w:rFonts w:ascii="Arial" w:cs="Arial" w:eastAsia="Arial" w:hAnsi="Arial"/>
          <w:sz w:val="16"/>
          <w:szCs w:val="16"/>
          <w:color w:val="auto"/>
        </w:rPr>
      </w:pPr>
    </w:p>
    <w:p>
      <w:pPr>
        <w:ind w:left="460" w:right="40"/>
        <w:spacing w:after="0" w:line="287" w:lineRule="auto"/>
        <w:rPr>
          <w:rFonts w:ascii="Arial" w:cs="Arial" w:eastAsia="Arial" w:hAnsi="Arial"/>
          <w:sz w:val="16"/>
          <w:szCs w:val="16"/>
          <w:color w:val="auto"/>
        </w:rPr>
      </w:pPr>
      <w:r>
        <w:rPr>
          <w:rFonts w:ascii="Arial" w:cs="Arial" w:eastAsia="Arial" w:hAnsi="Arial"/>
          <w:sz w:val="15"/>
          <w:szCs w:val="15"/>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5"/>
          <w:szCs w:val="15"/>
          <w:b w:val="1"/>
          <w:bCs w:val="1"/>
          <w:color w:val="auto"/>
        </w:rPr>
        <w:t>Because Comcast will issue a fixed number of shares of Comcast Class A common stock</w:t>
      </w:r>
      <w:r>
        <w:rPr>
          <w:rFonts w:ascii="Arial" w:cs="Arial" w:eastAsia="Arial" w:hAnsi="Arial"/>
          <w:sz w:val="15"/>
          <w:szCs w:val="15"/>
          <w:color w:val="auto"/>
        </w:rPr>
        <w:t xml:space="preserve"> </w:t>
      </w:r>
      <w:r>
        <w:rPr>
          <w:rFonts w:ascii="Arial" w:cs="Arial" w:eastAsia="Arial" w:hAnsi="Arial"/>
          <w:sz w:val="15"/>
          <w:szCs w:val="15"/>
          <w:b w:val="1"/>
          <w:bCs w:val="1"/>
          <w:color w:val="auto"/>
        </w:rPr>
        <w:t>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187" w:lineRule="exact"/>
        <w:rPr>
          <w:sz w:val="20"/>
          <w:szCs w:val="20"/>
          <w:color w:val="auto"/>
        </w:rPr>
      </w:pPr>
    </w:p>
    <w:p>
      <w:pPr>
        <w:ind w:left="460" w:hanging="459"/>
        <w:spacing w:after="0"/>
        <w:tabs>
          <w:tab w:leader="none" w:pos="46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merger is not completed?</w:t>
      </w:r>
    </w:p>
    <w:p>
      <w:pPr>
        <w:spacing w:after="0" w:line="120" w:lineRule="exact"/>
        <w:rPr>
          <w:sz w:val="20"/>
          <w:szCs w:val="20"/>
          <w:color w:val="auto"/>
        </w:rPr>
      </w:pPr>
    </w:p>
    <w:p>
      <w:pPr>
        <w:ind w:left="460" w:right="240" w:hanging="459"/>
        <w:spacing w:after="0" w:line="30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68"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TWC stockholders being asked to vote on?</w:t>
      </w:r>
    </w:p>
    <w:p>
      <w:pPr>
        <w:spacing w:after="0" w:line="120"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TWC stockholders are being asked to vote on the following proposals:</w:t>
      </w:r>
    </w:p>
    <w:p>
      <w:pPr>
        <w:spacing w:after="0" w:line="119" w:lineRule="exact"/>
        <w:rPr>
          <w:rFonts w:ascii="Arial" w:cs="Arial" w:eastAsia="Arial" w:hAnsi="Arial"/>
          <w:sz w:val="17"/>
          <w:szCs w:val="17"/>
          <w:color w:val="auto"/>
        </w:rPr>
      </w:pPr>
    </w:p>
    <w:p>
      <w:pPr>
        <w:ind w:left="900" w:right="40" w:hanging="445"/>
        <w:spacing w:after="0" w:line="270"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900" w:right="240" w:hanging="445"/>
        <w:spacing w:after="0" w:line="270"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paid by TWC to its named executive officers in connection with the merger.</w:t>
      </w:r>
    </w:p>
    <w:p>
      <w:pPr>
        <w:spacing w:after="0" w:line="65" w:lineRule="exact"/>
        <w:rPr>
          <w:sz w:val="20"/>
          <w:szCs w:val="20"/>
          <w:color w:val="auto"/>
        </w:rPr>
      </w:pPr>
    </w:p>
    <w:p>
      <w:pPr>
        <w:ind w:left="460" w:right="180"/>
        <w:spacing w:after="0" w:line="30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68"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Comcast shareholders being asked to vote on?</w:t>
      </w:r>
    </w:p>
    <w:p>
      <w:pPr>
        <w:spacing w:after="0" w:line="120"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Comcast shareholders are being asked to vote on the following proposals: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900" w:right="280" w:hanging="445"/>
        <w:spacing w:after="0" w:line="270"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Comcast special meeting.</w:t>
      </w:r>
    </w:p>
    <w:p>
      <w:pPr>
        <w:spacing w:after="0" w:line="65" w:lineRule="exact"/>
        <w:rPr>
          <w:sz w:val="20"/>
          <w:szCs w:val="20"/>
          <w:color w:val="auto"/>
        </w:rPr>
      </w:pPr>
    </w:p>
    <w:p>
      <w:pPr>
        <w:ind w:left="460" w:right="220"/>
        <w:spacing w:after="0" w:line="338" w:lineRule="auto"/>
        <w:rPr>
          <w:sz w:val="20"/>
          <w:szCs w:val="20"/>
          <w:color w:val="auto"/>
        </w:rPr>
      </w:pPr>
      <w:r>
        <w:rPr>
          <w:rFonts w:ascii="Arial" w:cs="Arial" w:eastAsia="Arial" w:hAnsi="Arial"/>
          <w:sz w:val="15"/>
          <w:szCs w:val="15"/>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439"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TWC board of directors recommend that TWC stockholders adopt the merger agreement?</w:t>
      </w:r>
    </w:p>
    <w:p>
      <w:pPr>
        <w:spacing w:after="0" w:line="120" w:lineRule="exact"/>
        <w:rPr>
          <w:sz w:val="20"/>
          <w:szCs w:val="20"/>
          <w:color w:val="auto"/>
        </w:rPr>
      </w:pPr>
    </w:p>
    <w:p>
      <w:pPr>
        <w:ind w:left="460" w:right="60" w:hanging="459"/>
        <w:spacing w:after="0" w:line="25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206" w:lineRule="exact"/>
        <w:rPr>
          <w:sz w:val="20"/>
          <w:szCs w:val="20"/>
          <w:color w:val="auto"/>
        </w:rPr>
      </w:pPr>
    </w:p>
    <w:p>
      <w:pPr>
        <w:ind w:left="460" w:hanging="459"/>
        <w:spacing w:after="0"/>
        <w:tabs>
          <w:tab w:leader="none" w:pos="46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“golden parachute” compensation and why am I being asked to vote on it?</w:t>
      </w:r>
    </w:p>
    <w:p>
      <w:pPr>
        <w:spacing w:after="0" w:line="120" w:lineRule="exact"/>
        <w:rPr>
          <w:sz w:val="20"/>
          <w:szCs w:val="20"/>
          <w:color w:val="auto"/>
        </w:rPr>
      </w:pPr>
    </w:p>
    <w:p>
      <w:pPr>
        <w:ind w:left="460" w:hanging="459"/>
        <w:spacing w:after="0" w:line="25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203" w:lineRule="exact"/>
        <w:rPr>
          <w:sz w:val="20"/>
          <w:szCs w:val="20"/>
          <w:color w:val="auto"/>
        </w:rPr>
      </w:pPr>
    </w:p>
    <w:p>
      <w:pPr>
        <w:ind w:left="460" w:hanging="459"/>
        <w:spacing w:after="0"/>
        <w:tabs>
          <w:tab w:leader="none" w:pos="46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TWC board of directors recommend that TWC stockholders approve the “golden parachute” compensation proposal?</w:t>
      </w:r>
    </w:p>
    <w:p>
      <w:pPr>
        <w:spacing w:after="0" w:line="116" w:lineRule="exact"/>
        <w:rPr>
          <w:sz w:val="20"/>
          <w:szCs w:val="20"/>
          <w:color w:val="auto"/>
        </w:rPr>
      </w:pPr>
    </w:p>
    <w:p>
      <w:pPr>
        <w:ind w:left="460" w:right="220" w:hanging="459"/>
        <w:spacing w:after="0" w:line="261"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 of this joint proxy statement/prospectus.</w:t>
      </w:r>
    </w:p>
    <w:p>
      <w:pPr>
        <w:spacing w:after="0" w:line="199" w:lineRule="exact"/>
        <w:rPr>
          <w:sz w:val="20"/>
          <w:szCs w:val="20"/>
          <w:color w:val="auto"/>
        </w:rPr>
      </w:pPr>
    </w:p>
    <w:p>
      <w:pPr>
        <w:ind w:left="460" w:hanging="459"/>
        <w:spacing w:after="0"/>
        <w:tabs>
          <w:tab w:leader="none" w:pos="46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“golden parachute” compensation proposal is not approved?</w:t>
      </w:r>
    </w:p>
    <w:p>
      <w:pPr>
        <w:spacing w:after="0" w:line="120" w:lineRule="exact"/>
        <w:rPr>
          <w:sz w:val="20"/>
          <w:szCs w:val="20"/>
          <w:color w:val="auto"/>
        </w:rPr>
      </w:pPr>
    </w:p>
    <w:p>
      <w:pPr>
        <w:ind w:left="460" w:right="220" w:hanging="459"/>
        <w:spacing w:after="0" w:line="25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2" w:lineRule="exact"/>
        <w:rPr>
          <w:sz w:val="20"/>
          <w:szCs w:val="20"/>
          <w:color w:val="auto"/>
        </w:rPr>
      </w:pPr>
    </w:p>
    <w:p>
      <w:pPr>
        <w:ind w:left="460" w:hanging="459"/>
        <w:spacing w:after="0"/>
        <w:tabs>
          <w:tab w:leader="none" w:pos="46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Comcast board of directors recommend that Comcast shareholders approve the stock issuance?</w:t>
      </w:r>
    </w:p>
    <w:p>
      <w:pPr>
        <w:spacing w:after="0" w:line="120" w:lineRule="exact"/>
        <w:rPr>
          <w:sz w:val="20"/>
          <w:szCs w:val="20"/>
          <w:color w:val="auto"/>
        </w:rPr>
      </w:pPr>
    </w:p>
    <w:p>
      <w:pPr>
        <w:ind w:left="460" w:right="20" w:hanging="459"/>
        <w:spacing w:after="0" w:line="27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 of this joint proxy statement/prospectus.</w:t>
      </w:r>
    </w:p>
    <w:p>
      <w:pPr>
        <w:spacing w:after="0" w:line="196" w:lineRule="exact"/>
        <w:rPr>
          <w:sz w:val="20"/>
          <w:szCs w:val="20"/>
          <w:color w:val="auto"/>
        </w:rPr>
      </w:pPr>
    </w:p>
    <w:p>
      <w:pPr>
        <w:ind w:left="460" w:hanging="459"/>
        <w:spacing w:after="0"/>
        <w:tabs>
          <w:tab w:leader="none" w:pos="460" w:val="left"/>
        </w:tabs>
        <w:numPr>
          <w:ilvl w:val="0"/>
          <w:numId w:val="2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39" w:lineRule="exact"/>
        <w:rPr>
          <w:sz w:val="20"/>
          <w:szCs w:val="20"/>
          <w:color w:val="auto"/>
        </w:rPr>
      </w:pPr>
    </w:p>
    <w:p>
      <w:pPr>
        <w:ind w:left="460" w:right="280" w:hanging="459"/>
        <w:spacing w:after="0" w:line="28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439"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20" w:lineRule="exact"/>
        <w:rPr>
          <w:sz w:val="20"/>
          <w:szCs w:val="20"/>
          <w:color w:val="auto"/>
        </w:rPr>
      </w:pPr>
    </w:p>
    <w:p>
      <w:pPr>
        <w:ind w:left="460" w:hanging="459"/>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following are the vote requirements for the proposals:</w:t>
      </w:r>
    </w:p>
    <w:p>
      <w:pPr>
        <w:spacing w:after="0" w:line="119" w:lineRule="exact"/>
        <w:rPr>
          <w:rFonts w:ascii="Arial" w:cs="Arial" w:eastAsia="Arial" w:hAnsi="Arial"/>
          <w:sz w:val="17"/>
          <w:szCs w:val="17"/>
          <w:color w:val="auto"/>
        </w:rPr>
      </w:pPr>
    </w:p>
    <w:p>
      <w:pPr>
        <w:ind w:left="900" w:hanging="445"/>
        <w:spacing w:after="0" w:line="276"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 vote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4" w:lineRule="exact"/>
        <w:rPr>
          <w:rFonts w:ascii="Arial" w:cs="Arial" w:eastAsia="Arial" w:hAnsi="Arial"/>
          <w:sz w:val="16"/>
          <w:szCs w:val="16"/>
          <w:color w:val="auto"/>
        </w:rPr>
      </w:pPr>
    </w:p>
    <w:p>
      <w:pPr>
        <w:ind w:left="900" w:hanging="445"/>
        <w:spacing w:after="0" w:line="27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Approval of Golden Parachute Compensation</w:t>
      </w:r>
      <w:r>
        <w:rPr>
          <w:rFonts w:ascii="Arial" w:cs="Arial" w:eastAsia="Arial" w:hAnsi="Arial"/>
          <w:sz w:val="16"/>
          <w:szCs w:val="16"/>
          <w:color w:val="auto"/>
        </w:rPr>
        <w:t>: The affirmative vote of a majority of the votes cast at the TWC special meeting by holders of shares of TWC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193" w:lineRule="exact"/>
        <w:rPr>
          <w:sz w:val="20"/>
          <w:szCs w:val="20"/>
          <w:color w:val="auto"/>
        </w:rPr>
      </w:pPr>
    </w:p>
    <w:p>
      <w:pPr>
        <w:ind w:left="460" w:hanging="459"/>
        <w:spacing w:after="0"/>
        <w:tabs>
          <w:tab w:leader="none" w:pos="46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31" w:lineRule="exact"/>
        <w:rPr>
          <w:sz w:val="20"/>
          <w:szCs w:val="20"/>
          <w:color w:val="auto"/>
        </w:rPr>
      </w:pPr>
    </w:p>
    <w:p>
      <w:pPr>
        <w:ind w:left="460" w:hanging="459"/>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following are the vote requirements for the proposals: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Stock Issuance</w:t>
      </w:r>
      <w:r>
        <w:rPr>
          <w:rFonts w:ascii="Arial" w:cs="Arial" w:eastAsia="Arial" w:hAnsi="Arial"/>
          <w:sz w:val="17"/>
          <w:szCs w:val="17"/>
          <w:color w:val="auto"/>
        </w:rPr>
        <w:t>: There are two vote requirements required to approve the stock issuance:</w:t>
      </w:r>
    </w:p>
    <w:p>
      <w:pPr>
        <w:spacing w:after="0" w:line="119" w:lineRule="exact"/>
        <w:rPr>
          <w:rFonts w:ascii="Arial" w:cs="Arial" w:eastAsia="Arial" w:hAnsi="Arial"/>
          <w:sz w:val="17"/>
          <w:szCs w:val="17"/>
          <w:color w:val="auto"/>
        </w:rPr>
      </w:pPr>
    </w:p>
    <w:p>
      <w:pPr>
        <w:ind w:left="1480" w:hanging="571"/>
        <w:spacing w:after="0" w:line="272" w:lineRule="auto"/>
        <w:tabs>
          <w:tab w:leader="none" w:pos="1480"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79" w:lineRule="exact"/>
        <w:rPr>
          <w:rFonts w:ascii="Arial" w:cs="Arial" w:eastAsia="Arial" w:hAnsi="Arial"/>
          <w:sz w:val="16"/>
          <w:szCs w:val="16"/>
          <w:color w:val="auto"/>
        </w:rPr>
      </w:pPr>
    </w:p>
    <w:p>
      <w:pPr>
        <w:ind w:left="1480" w:hanging="571"/>
        <w:spacing w:after="0" w:line="258" w:lineRule="auto"/>
        <w:tabs>
          <w:tab w:leader="none" w:pos="1480" w:val="left"/>
        </w:tabs>
        <w:numPr>
          <w:ilvl w:val="2"/>
          <w:numId w:val="30"/>
        </w:numPr>
        <w:rPr>
          <w:rFonts w:ascii="Arial" w:cs="Arial" w:eastAsia="Arial" w:hAnsi="Arial"/>
          <w:sz w:val="17"/>
          <w:szCs w:val="17"/>
          <w:color w:val="auto"/>
        </w:rPr>
      </w:pPr>
      <w:r>
        <w:rPr>
          <w:rFonts w:ascii="Arial" w:cs="Arial" w:eastAsia="Arial" w:hAnsi="Arial"/>
          <w:sz w:val="17"/>
          <w:szCs w:val="17"/>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6" w:lineRule="exact"/>
        <w:rPr>
          <w:sz w:val="20"/>
          <w:szCs w:val="20"/>
          <w:color w:val="auto"/>
        </w:rPr>
      </w:pPr>
    </w:p>
    <w:p>
      <w:pPr>
        <w:ind w:left="920" w:right="140"/>
        <w:spacing w:after="0" w:line="270" w:lineRule="auto"/>
        <w:rPr>
          <w:sz w:val="20"/>
          <w:szCs w:val="20"/>
          <w:color w:val="auto"/>
        </w:rPr>
      </w:pPr>
      <w:r>
        <w:rPr>
          <w:rFonts w:ascii="Arial" w:cs="Arial" w:eastAsia="Arial" w:hAnsi="Arial"/>
          <w:sz w:val="16"/>
          <w:szCs w:val="16"/>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 [0.02]% of the outstanding shares of Comcast Class A common stock and 100% of the outstanding shares of Comcast Class B common stock, which together represent approximately [33.35]% of the combined voting power of Comcast Class A common stock and Comcast Class B common stock for purposes of the single class vote. The voting agreement may be terminated under certain circumstances.</w:t>
      </w:r>
    </w:p>
    <w:p>
      <w:pPr>
        <w:spacing w:after="0" w:line="70" w:lineRule="exact"/>
        <w:rPr>
          <w:sz w:val="20"/>
          <w:szCs w:val="20"/>
          <w:color w:val="auto"/>
        </w:rPr>
      </w:pPr>
    </w:p>
    <w:p>
      <w:pPr>
        <w:ind w:left="920" w:right="60"/>
        <w:spacing w:after="0" w:line="255"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39"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left="920" w:right="120"/>
        <w:spacing w:after="0" w:line="295" w:lineRule="auto"/>
        <w:rPr>
          <w:sz w:val="20"/>
          <w:szCs w:val="20"/>
          <w:color w:val="auto"/>
        </w:rPr>
      </w:pPr>
      <w:r>
        <w:rPr>
          <w:rFonts w:ascii="Arial" w:cs="Arial" w:eastAsia="Arial" w:hAnsi="Arial"/>
          <w:sz w:val="15"/>
          <w:szCs w:val="15"/>
          <w:color w:val="auto"/>
        </w:rPr>
        <w:t>The written consent is sufficient to approve the stock issuance for purposes of the separate Class B vote. Accordingly, the only vote being sought at the Comcast special meeting on the proposal to 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2" w:lineRule="exact"/>
        <w:rPr>
          <w:sz w:val="20"/>
          <w:szCs w:val="20"/>
          <w:color w:val="auto"/>
        </w:rPr>
      </w:pPr>
    </w:p>
    <w:p>
      <w:pPr>
        <w:ind w:left="900" w:right="120" w:hanging="445"/>
        <w:spacing w:after="0" w:line="295"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i w:val="1"/>
          <w:iCs w:val="1"/>
          <w:color w:val="auto"/>
        </w:rPr>
        <w:t>Adjournment (if necessary)</w:t>
      </w:r>
      <w:r>
        <w:rPr>
          <w:rFonts w:ascii="Arial" w:cs="Arial" w:eastAsia="Arial" w:hAnsi="Arial"/>
          <w:sz w:val="15"/>
          <w:szCs w:val="15"/>
          <w:color w:val="auto"/>
        </w:rPr>
        <w:t>: Whether or not a quorum is present, the affirmative vote of a majority of the votes cast at the Comcast special meeting by</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175" w:lineRule="exact"/>
        <w:rPr>
          <w:rFonts w:ascii="Arial" w:cs="Arial" w:eastAsia="Arial" w:hAnsi="Arial"/>
          <w:sz w:val="15"/>
          <w:szCs w:val="15"/>
          <w:color w:val="auto"/>
        </w:rPr>
      </w:pPr>
    </w:p>
    <w:p>
      <w:pPr>
        <w:ind w:left="460" w:hanging="459"/>
        <w:spacing w:after="0"/>
        <w:tabs>
          <w:tab w:leader="none" w:pos="46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constitutes a quorum for the TWC special meeting?</w:t>
      </w:r>
    </w:p>
    <w:p>
      <w:pPr>
        <w:spacing w:after="0" w:line="120" w:lineRule="exact"/>
        <w:rPr>
          <w:sz w:val="20"/>
          <w:szCs w:val="20"/>
          <w:color w:val="auto"/>
        </w:rPr>
      </w:pPr>
    </w:p>
    <w:p>
      <w:pPr>
        <w:ind w:left="460" w:right="200" w:hanging="459"/>
        <w:spacing w:after="0" w:line="27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88" w:lineRule="exact"/>
        <w:rPr>
          <w:sz w:val="20"/>
          <w:szCs w:val="20"/>
          <w:color w:val="auto"/>
        </w:rPr>
      </w:pPr>
    </w:p>
    <w:p>
      <w:pPr>
        <w:ind w:left="460" w:hanging="459"/>
        <w:spacing w:after="0"/>
        <w:tabs>
          <w:tab w:leader="none" w:pos="460"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constitutes a quorum for the Comcast special meeting?</w:t>
      </w:r>
    </w:p>
    <w:p>
      <w:pPr>
        <w:spacing w:after="0" w:line="120" w:lineRule="exact"/>
        <w:rPr>
          <w:sz w:val="20"/>
          <w:szCs w:val="20"/>
          <w:color w:val="auto"/>
        </w:rPr>
      </w:pPr>
    </w:p>
    <w:p>
      <w:pPr>
        <w:ind w:left="460" w:hanging="459"/>
        <w:spacing w:after="0" w:line="27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61" w:lineRule="exact"/>
        <w:rPr>
          <w:rFonts w:ascii="Arial" w:cs="Arial" w:eastAsia="Arial" w:hAnsi="Arial"/>
          <w:sz w:val="16"/>
          <w:szCs w:val="16"/>
          <w:color w:val="auto"/>
        </w:rPr>
      </w:pPr>
    </w:p>
    <w:p>
      <w:pPr>
        <w:ind w:left="460" w:right="40"/>
        <w:spacing w:after="0" w:line="28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184" w:lineRule="exact"/>
        <w:rPr>
          <w:sz w:val="20"/>
          <w:szCs w:val="20"/>
          <w:color w:val="auto"/>
        </w:rPr>
      </w:pPr>
    </w:p>
    <w:p>
      <w:pPr>
        <w:ind w:left="460" w:hanging="459"/>
        <w:spacing w:after="0"/>
        <w:tabs>
          <w:tab w:leader="none" w:pos="460" w:val="left"/>
        </w:tabs>
        <w:numPr>
          <w:ilvl w:val="0"/>
          <w:numId w:val="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entitled to vote at the TWC special meeting, and how many votes does each holder of TWC common stock have?</w:t>
      </w:r>
    </w:p>
    <w:p>
      <w:pPr>
        <w:spacing w:after="0" w:line="120" w:lineRule="exact"/>
        <w:rPr>
          <w:sz w:val="20"/>
          <w:szCs w:val="20"/>
          <w:color w:val="auto"/>
        </w:rPr>
      </w:pPr>
    </w:p>
    <w:p>
      <w:pPr>
        <w:ind w:left="460" w:right="200" w:hanging="459"/>
        <w:spacing w:after="0" w:line="255"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holders of TWC common stock who held shares at the record date for the TWC special meeting (the close of business on [—], 2014) are entitled to receive notice of, and to vote at, the TWC special meeting, provided that those shares remain outstanding on the date of the TWC special meeting. As of the close of business on [—], 2014, there were [—] shares of TWC common stock outstanding. Each holder of TWC common stock is entitled to one vote for each share of TWC common stock owned at the record date.</w:t>
      </w:r>
    </w:p>
    <w:p>
      <w:pPr>
        <w:spacing w:after="0" w:line="203" w:lineRule="exact"/>
        <w:rPr>
          <w:sz w:val="20"/>
          <w:szCs w:val="20"/>
          <w:color w:val="auto"/>
        </w:rPr>
      </w:pPr>
    </w:p>
    <w:p>
      <w:pPr>
        <w:ind w:left="460" w:hanging="459"/>
        <w:spacing w:after="0"/>
        <w:tabs>
          <w:tab w:leader="none" w:pos="460" w:val="left"/>
        </w:tabs>
        <w:numPr>
          <w:ilvl w:val="0"/>
          <w:numId w:val="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entitled to vote at the Comcast special meeting?</w:t>
      </w:r>
    </w:p>
    <w:p>
      <w:pPr>
        <w:spacing w:after="0" w:line="120" w:lineRule="exact"/>
        <w:rPr>
          <w:sz w:val="20"/>
          <w:szCs w:val="20"/>
          <w:color w:val="auto"/>
        </w:rPr>
      </w:pPr>
    </w:p>
    <w:p>
      <w:pPr>
        <w:ind w:left="460" w:right="20" w:hanging="459"/>
        <w:spacing w:after="0" w:line="338"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Comcast Class A shareholders and Comcast Class B shareholders who held shares at the record date for the Comcast special meeting (the close of business on [—], 2014) are entitled to receive notice of, and to vote at, the Comcast special meeting, provided that those shares remain outstanding on the date of the Comcast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439" w:right="2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600"/>
        <w:spacing w:after="0" w:line="338" w:lineRule="auto"/>
        <w:rPr>
          <w:sz w:val="20"/>
          <w:szCs w:val="20"/>
          <w:color w:val="auto"/>
        </w:rPr>
      </w:pPr>
      <w:r>
        <w:rPr>
          <w:rFonts w:ascii="Arial" w:cs="Arial" w:eastAsia="Arial" w:hAnsi="Arial"/>
          <w:sz w:val="15"/>
          <w:szCs w:val="15"/>
          <w:color w:val="auto"/>
        </w:rPr>
        <w:t>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19" w:lineRule="exact"/>
        <w:rPr>
          <w:sz w:val="20"/>
          <w:szCs w:val="20"/>
          <w:color w:val="auto"/>
        </w:rPr>
      </w:pPr>
    </w:p>
    <w:p>
      <w:pPr>
        <w:ind w:left="460" w:right="540"/>
        <w:spacing w:after="0" w:line="270" w:lineRule="auto"/>
        <w:rPr>
          <w:sz w:val="20"/>
          <w:szCs w:val="20"/>
          <w:color w:val="auto"/>
        </w:rPr>
      </w:pPr>
      <w:r>
        <w:rPr>
          <w:rFonts w:ascii="Arial" w:cs="Arial" w:eastAsia="Arial" w:hAnsi="Arial"/>
          <w:sz w:val="17"/>
          <w:szCs w:val="17"/>
          <w:color w:val="auto"/>
        </w:rPr>
        <w:t>As of the close of business on [—], 2014, there were [—] shares of Comcast Class A common stock outstanding and 9,444,375 shares of Comcast Class B common stock outstanding.</w:t>
      </w:r>
    </w:p>
    <w:p>
      <w:pPr>
        <w:spacing w:after="0" w:line="191" w:lineRule="exact"/>
        <w:rPr>
          <w:sz w:val="20"/>
          <w:szCs w:val="20"/>
          <w:color w:val="auto"/>
        </w:rPr>
      </w:pPr>
    </w:p>
    <w:p>
      <w:pPr>
        <w:ind w:left="460" w:hanging="459"/>
        <w:spacing w:after="0"/>
        <w:tabs>
          <w:tab w:leader="none" w:pos="460"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many votes does each Comcast shareholder have?</w:t>
      </w:r>
    </w:p>
    <w:p>
      <w:pPr>
        <w:spacing w:after="0" w:line="120" w:lineRule="exact"/>
        <w:rPr>
          <w:sz w:val="20"/>
          <w:szCs w:val="20"/>
          <w:color w:val="auto"/>
        </w:rPr>
      </w:pPr>
    </w:p>
    <w:p>
      <w:pPr>
        <w:ind w:left="460" w:right="60" w:hanging="459"/>
        <w:spacing w:after="0" w:line="24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219" w:lineRule="exact"/>
        <w:rPr>
          <w:sz w:val="20"/>
          <w:szCs w:val="20"/>
          <w:color w:val="auto"/>
        </w:rPr>
      </w:pPr>
    </w:p>
    <w:p>
      <w:pPr>
        <w:ind w:left="460" w:hanging="459"/>
        <w:spacing w:after="0"/>
        <w:tabs>
          <w:tab w:leader="none" w:pos="460" w:val="left"/>
        </w:tabs>
        <w:numPr>
          <w:ilvl w:val="0"/>
          <w:numId w:val="4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I hold shares in both TWC and Comcast?</w:t>
      </w:r>
    </w:p>
    <w:p>
      <w:pPr>
        <w:spacing w:after="0" w:line="120" w:lineRule="exact"/>
        <w:rPr>
          <w:sz w:val="20"/>
          <w:szCs w:val="20"/>
          <w:color w:val="auto"/>
        </w:rPr>
      </w:pPr>
    </w:p>
    <w:p>
      <w:pPr>
        <w:ind w:left="460" w:right="80" w:hanging="459"/>
        <w:spacing w:after="0" w:line="255"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7"/>
          <w:szCs w:val="17"/>
          <w:b w:val="1"/>
          <w:bCs w:val="1"/>
          <w:color w:val="auto"/>
        </w:rPr>
        <w:t>Therefore,</w:t>
      </w:r>
      <w:r>
        <w:rPr>
          <w:rFonts w:ascii="Arial" w:cs="Arial" w:eastAsia="Arial" w:hAnsi="Arial"/>
          <w:sz w:val="17"/>
          <w:szCs w:val="17"/>
          <w:color w:val="auto"/>
        </w:rPr>
        <w:t xml:space="preserve"> </w:t>
      </w:r>
      <w:r>
        <w:rPr>
          <w:rFonts w:ascii="Arial" w:cs="Arial" w:eastAsia="Arial" w:hAnsi="Arial"/>
          <w:sz w:val="17"/>
          <w:szCs w:val="17"/>
          <w:b w:val="1"/>
          <w:bCs w:val="1"/>
          <w:color w:val="auto"/>
        </w:rPr>
        <w:t>please sign, date, mark and return all proxy cards and/or voting instructions that you receive from TWC or Comcast, or submit them over the Internet or by telephone.</w:t>
      </w:r>
    </w:p>
    <w:p>
      <w:pPr>
        <w:spacing w:after="0" w:line="203" w:lineRule="exact"/>
        <w:rPr>
          <w:sz w:val="20"/>
          <w:szCs w:val="20"/>
          <w:color w:val="auto"/>
        </w:rPr>
      </w:pPr>
    </w:p>
    <w:p>
      <w:pPr>
        <w:ind w:left="460" w:hanging="459"/>
        <w:spacing w:after="0"/>
        <w:tabs>
          <w:tab w:leader="none" w:pos="460"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TWC special meeting?</w:t>
      </w:r>
    </w:p>
    <w:p>
      <w:pPr>
        <w:spacing w:after="0" w:line="120" w:lineRule="exact"/>
        <w:rPr>
          <w:sz w:val="20"/>
          <w:szCs w:val="20"/>
          <w:color w:val="auto"/>
        </w:rPr>
      </w:pPr>
    </w:p>
    <w:p>
      <w:pPr>
        <w:ind w:left="460" w:hanging="459"/>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TWC special meeting will be held on [—], 2014, at [—], located at [—], at [—], local time.</w:t>
      </w:r>
    </w:p>
    <w:p>
      <w:pPr>
        <w:spacing w:after="0" w:line="233" w:lineRule="exact"/>
        <w:rPr>
          <w:sz w:val="20"/>
          <w:szCs w:val="20"/>
          <w:color w:val="auto"/>
        </w:rPr>
      </w:pPr>
    </w:p>
    <w:p>
      <w:pPr>
        <w:ind w:left="460" w:hanging="459"/>
        <w:spacing w:after="0"/>
        <w:tabs>
          <w:tab w:leader="none" w:pos="460" w:val="left"/>
        </w:tabs>
        <w:numPr>
          <w:ilvl w:val="0"/>
          <w:numId w:val="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Comcast special meeting?</w:t>
      </w:r>
    </w:p>
    <w:p>
      <w:pPr>
        <w:spacing w:after="0" w:line="120" w:lineRule="exact"/>
        <w:rPr>
          <w:sz w:val="20"/>
          <w:szCs w:val="20"/>
          <w:color w:val="auto"/>
        </w:rPr>
      </w:pPr>
    </w:p>
    <w:p>
      <w:pPr>
        <w:ind w:left="460" w:hanging="459"/>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Comcast special meeting will be held on [—], 2014, at [—], located at [—], at [—], local time.</w:t>
      </w:r>
    </w:p>
    <w:p>
      <w:pPr>
        <w:spacing w:after="0" w:line="233" w:lineRule="exact"/>
        <w:rPr>
          <w:sz w:val="20"/>
          <w:szCs w:val="20"/>
          <w:color w:val="auto"/>
        </w:rPr>
      </w:pPr>
    </w:p>
    <w:p>
      <w:pPr>
        <w:ind w:left="460" w:hanging="459"/>
        <w:spacing w:after="0"/>
        <w:tabs>
          <w:tab w:leader="none" w:pos="460" w:val="left"/>
        </w:tabs>
        <w:numPr>
          <w:ilvl w:val="0"/>
          <w:numId w:val="4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I vote my shares at the TWC special meeting?</w:t>
      </w:r>
    </w:p>
    <w:p>
      <w:pPr>
        <w:spacing w:after="0" w:line="120" w:lineRule="exact"/>
        <w:rPr>
          <w:sz w:val="20"/>
          <w:szCs w:val="20"/>
          <w:color w:val="auto"/>
        </w:rPr>
      </w:pPr>
    </w:p>
    <w:p>
      <w:pPr>
        <w:ind w:left="460" w:hanging="459"/>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Via the Internet or by Telephone</w:t>
      </w:r>
    </w:p>
    <w:p>
      <w:pPr>
        <w:spacing w:after="0" w:line="107" w:lineRule="exact"/>
        <w:rPr>
          <w:rFonts w:ascii="Arial" w:cs="Arial" w:eastAsia="Arial" w:hAnsi="Arial"/>
          <w:sz w:val="17"/>
          <w:szCs w:val="17"/>
          <w:color w:val="auto"/>
        </w:rPr>
      </w:pPr>
    </w:p>
    <w:p>
      <w:pPr>
        <w:ind w:left="460"/>
        <w:spacing w:after="0" w:line="282" w:lineRule="auto"/>
        <w:rPr>
          <w:rFonts w:ascii="Arial" w:cs="Arial" w:eastAsia="Arial" w:hAnsi="Arial"/>
          <w:sz w:val="17"/>
          <w:szCs w:val="17"/>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57" w:lineRule="exact"/>
        <w:rPr>
          <w:rFonts w:ascii="Arial" w:cs="Arial" w:eastAsia="Arial" w:hAnsi="Arial"/>
          <w:sz w:val="17"/>
          <w:szCs w:val="17"/>
          <w:color w:val="auto"/>
        </w:rPr>
      </w:pPr>
    </w:p>
    <w:p>
      <w:pPr>
        <w:ind w:left="460" w:right="100"/>
        <w:spacing w:after="0" w:line="258" w:lineRule="auto"/>
        <w:rPr>
          <w:rFonts w:ascii="Arial" w:cs="Arial" w:eastAsia="Arial" w:hAnsi="Arial"/>
          <w:sz w:val="17"/>
          <w:szCs w:val="17"/>
          <w:color w:val="auto"/>
        </w:rPr>
      </w:pPr>
      <w:r>
        <w:rPr>
          <w:rFonts w:ascii="Arial" w:cs="Arial" w:eastAsia="Arial" w:hAnsi="Arial"/>
          <w:sz w:val="17"/>
          <w:szCs w:val="17"/>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7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i w:val="1"/>
          <w:iCs w:val="1"/>
          <w:color w:val="auto"/>
        </w:rPr>
        <w:t>By Mail</w:t>
      </w:r>
    </w:p>
    <w:p>
      <w:pPr>
        <w:spacing w:after="0" w:line="107" w:lineRule="exact"/>
        <w:rPr>
          <w:rFonts w:ascii="Arial" w:cs="Arial" w:eastAsia="Arial" w:hAnsi="Arial"/>
          <w:sz w:val="17"/>
          <w:szCs w:val="17"/>
          <w:color w:val="auto"/>
        </w:rPr>
      </w:pPr>
    </w:p>
    <w:p>
      <w:pPr>
        <w:ind w:left="460" w:right="40"/>
        <w:spacing w:after="0" w:line="255" w:lineRule="auto"/>
        <w:rPr>
          <w:rFonts w:ascii="Arial" w:cs="Arial" w:eastAsia="Arial" w:hAnsi="Arial"/>
          <w:sz w:val="17"/>
          <w:szCs w:val="17"/>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439" w:right="2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left="460" w:right="320"/>
        <w:spacing w:after="0" w:line="309" w:lineRule="auto"/>
        <w:rPr>
          <w:sz w:val="20"/>
          <w:szCs w:val="20"/>
          <w:color w:val="auto"/>
        </w:rPr>
      </w:pPr>
      <w:r>
        <w:rPr>
          <w:rFonts w:ascii="Arial" w:cs="Arial" w:eastAsia="Arial" w:hAnsi="Arial"/>
          <w:sz w:val="15"/>
          <w:szCs w:val="15"/>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Person</w:t>
      </w:r>
    </w:p>
    <w:p>
      <w:pPr>
        <w:spacing w:after="0" w:line="107" w:lineRule="exact"/>
        <w:rPr>
          <w:sz w:val="20"/>
          <w:szCs w:val="20"/>
          <w:color w:val="auto"/>
        </w:rPr>
      </w:pPr>
    </w:p>
    <w:p>
      <w:pPr>
        <w:ind w:left="460" w:right="40"/>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7" w:lineRule="exact"/>
        <w:rPr>
          <w:sz w:val="20"/>
          <w:szCs w:val="20"/>
          <w:color w:val="auto"/>
        </w:rPr>
      </w:pPr>
    </w:p>
    <w:p>
      <w:pPr>
        <w:jc w:val="both"/>
        <w:ind w:left="460" w:right="140"/>
        <w:spacing w:after="0" w:line="258" w:lineRule="auto"/>
        <w:rPr>
          <w:sz w:val="20"/>
          <w:szCs w:val="20"/>
          <w:color w:val="auto"/>
        </w:rPr>
      </w:pPr>
      <w:r>
        <w:rPr>
          <w:rFonts w:ascii="Arial" w:cs="Arial" w:eastAsia="Arial" w:hAnsi="Arial"/>
          <w:sz w:val="17"/>
          <w:szCs w:val="17"/>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Shares held in TWC’s 401(k) Plan</w:t>
      </w:r>
    </w:p>
    <w:p>
      <w:pPr>
        <w:spacing w:after="0" w:line="107"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 2014, your interest will be voted at the TWC special meeting in the same proportion as other participants’ interests in the TWC Savings Plan for which Fidelity Management Trust Company has received voting instructions.</w:t>
      </w:r>
    </w:p>
    <w:p>
      <w:pPr>
        <w:spacing w:after="0" w:line="66" w:lineRule="exact"/>
        <w:rPr>
          <w:sz w:val="20"/>
          <w:szCs w:val="20"/>
          <w:color w:val="auto"/>
        </w:rPr>
      </w:pPr>
    </w:p>
    <w:p>
      <w:pPr>
        <w:jc w:val="both"/>
        <w:ind w:left="460" w:right="300"/>
        <w:spacing w:after="0" w:line="261" w:lineRule="auto"/>
        <w:rPr>
          <w:sz w:val="20"/>
          <w:szCs w:val="20"/>
          <w:color w:val="auto"/>
        </w:rPr>
      </w:pPr>
      <w:r>
        <w:rPr>
          <w:rFonts w:ascii="Arial" w:cs="Arial" w:eastAsia="Arial" w:hAnsi="Arial"/>
          <w:sz w:val="17"/>
          <w:szCs w:val="17"/>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3" w:lineRule="exact"/>
        <w:rPr>
          <w:sz w:val="20"/>
          <w:szCs w:val="20"/>
          <w:color w:val="auto"/>
        </w:rPr>
      </w:pPr>
    </w:p>
    <w:p>
      <w:pPr>
        <w:ind w:left="460" w:right="60"/>
        <w:spacing w:after="0" w:line="268" w:lineRule="auto"/>
        <w:rPr>
          <w:sz w:val="20"/>
          <w:szCs w:val="20"/>
          <w:color w:val="auto"/>
        </w:rPr>
      </w:pPr>
      <w:r>
        <w:rPr>
          <w:rFonts w:ascii="Arial" w:cs="Arial" w:eastAsia="Arial" w:hAnsi="Arial"/>
          <w:sz w:val="16"/>
          <w:szCs w:val="16"/>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 2014, or TWC’s agent must receive your paper proxy card by mail no later than the close of business on [—], 2014.</w:t>
      </w:r>
    </w:p>
    <w:p>
      <w:pPr>
        <w:spacing w:after="0" w:line="198" w:lineRule="exact"/>
        <w:rPr>
          <w:sz w:val="20"/>
          <w:szCs w:val="20"/>
          <w:color w:val="auto"/>
        </w:rPr>
      </w:pPr>
    </w:p>
    <w:p>
      <w:pPr>
        <w:ind w:left="460" w:hanging="459"/>
        <w:spacing w:after="0"/>
        <w:tabs>
          <w:tab w:leader="none" w:pos="460"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If my shares of TWC common stock are held in “street name,” will my broker, bank, nominee or other holder of record automatically vote my shares for me?</w:t>
      </w:r>
    </w:p>
    <w:p>
      <w:pPr>
        <w:spacing w:after="0" w:line="154" w:lineRule="exact"/>
        <w:rPr>
          <w:sz w:val="20"/>
          <w:szCs w:val="20"/>
          <w:color w:val="auto"/>
        </w:rPr>
      </w:pPr>
    </w:p>
    <w:p>
      <w:pPr>
        <w:ind w:left="460" w:right="280" w:hanging="459"/>
        <w:spacing w:after="0" w:line="28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39"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31" w:lineRule="exact"/>
        <w:rPr>
          <w:sz w:val="20"/>
          <w:szCs w:val="20"/>
          <w:color w:val="auto"/>
        </w:rPr>
      </w:pPr>
    </w:p>
    <w:p>
      <w:pPr>
        <w:ind w:left="460" w:hanging="459"/>
        <w:spacing w:after="0" w:line="25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TWC common stock represented by your proxy will be voted in favor of that proposal.</w:t>
      </w:r>
    </w:p>
    <w:p>
      <w:pPr>
        <w:spacing w:after="0" w:line="202" w:lineRule="exact"/>
        <w:rPr>
          <w:sz w:val="20"/>
          <w:szCs w:val="20"/>
          <w:color w:val="auto"/>
        </w:rPr>
      </w:pPr>
    </w:p>
    <w:p>
      <w:pPr>
        <w:ind w:left="460" w:hanging="459"/>
        <w:spacing w:after="0"/>
        <w:tabs>
          <w:tab w:leader="none" w:pos="460" w:val="left"/>
        </w:tabs>
        <w:numPr>
          <w:ilvl w:val="0"/>
          <w:numId w:val="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I vote my shares at the Comcast special meeting?</w:t>
      </w:r>
    </w:p>
    <w:p>
      <w:pPr>
        <w:spacing w:after="0" w:line="120" w:lineRule="exact"/>
        <w:rPr>
          <w:sz w:val="20"/>
          <w:szCs w:val="20"/>
          <w:color w:val="auto"/>
        </w:rPr>
      </w:pPr>
    </w:p>
    <w:p>
      <w:pPr>
        <w:ind w:left="460" w:hanging="459"/>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Via the Internet or by Telephone</w:t>
      </w:r>
    </w:p>
    <w:p>
      <w:pPr>
        <w:spacing w:after="0" w:line="107" w:lineRule="exact"/>
        <w:rPr>
          <w:sz w:val="20"/>
          <w:szCs w:val="20"/>
          <w:color w:val="auto"/>
        </w:rPr>
      </w:pPr>
    </w:p>
    <w:p>
      <w:pPr>
        <w:ind w:left="460" w:right="360"/>
        <w:spacing w:after="0" w:line="30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41" w:lineRule="exact"/>
        <w:rPr>
          <w:sz w:val="20"/>
          <w:szCs w:val="20"/>
          <w:color w:val="auto"/>
        </w:rPr>
      </w:pPr>
    </w:p>
    <w:p>
      <w:pPr>
        <w:jc w:val="both"/>
        <w:ind w:left="460" w:right="160"/>
        <w:spacing w:after="0" w:line="258" w:lineRule="auto"/>
        <w:rPr>
          <w:sz w:val="20"/>
          <w:szCs w:val="20"/>
          <w:color w:val="auto"/>
        </w:rPr>
      </w:pPr>
      <w:r>
        <w:rPr>
          <w:rFonts w:ascii="Arial" w:cs="Arial" w:eastAsia="Arial" w:hAnsi="Arial"/>
          <w:sz w:val="17"/>
          <w:szCs w:val="17"/>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Mail</w:t>
      </w:r>
    </w:p>
    <w:p>
      <w:pPr>
        <w:spacing w:after="0" w:line="107" w:lineRule="exact"/>
        <w:rPr>
          <w:sz w:val="20"/>
          <w:szCs w:val="20"/>
          <w:color w:val="auto"/>
        </w:rPr>
      </w:pPr>
    </w:p>
    <w:p>
      <w:pPr>
        <w:jc w:val="both"/>
        <w:ind w:left="460" w:right="40"/>
        <w:spacing w:after="0" w:line="28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58" w:lineRule="exact"/>
        <w:rPr>
          <w:sz w:val="20"/>
          <w:szCs w:val="20"/>
          <w:color w:val="auto"/>
        </w:rPr>
      </w:pPr>
    </w:p>
    <w:p>
      <w:pPr>
        <w:ind w:left="460" w:right="120"/>
        <w:spacing w:after="0" w:line="309" w:lineRule="auto"/>
        <w:rPr>
          <w:sz w:val="20"/>
          <w:szCs w:val="20"/>
          <w:color w:val="auto"/>
        </w:rPr>
      </w:pPr>
      <w:r>
        <w:rPr>
          <w:rFonts w:ascii="Arial" w:cs="Arial" w:eastAsia="Arial" w:hAnsi="Arial"/>
          <w:sz w:val="15"/>
          <w:szCs w:val="15"/>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Person</w:t>
      </w:r>
    </w:p>
    <w:p>
      <w:pPr>
        <w:spacing w:after="0" w:line="107" w:lineRule="exact"/>
        <w:rPr>
          <w:sz w:val="20"/>
          <w:szCs w:val="20"/>
          <w:color w:val="auto"/>
        </w:rPr>
      </w:pPr>
    </w:p>
    <w:p>
      <w:pPr>
        <w:ind w:left="460" w:right="100"/>
        <w:spacing w:after="0" w:line="258" w:lineRule="auto"/>
        <w:rPr>
          <w:sz w:val="20"/>
          <w:szCs w:val="20"/>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76" w:lineRule="exact"/>
        <w:rPr>
          <w:sz w:val="20"/>
          <w:szCs w:val="20"/>
          <w:color w:val="auto"/>
        </w:rPr>
      </w:pPr>
    </w:p>
    <w:p>
      <w:pPr>
        <w:ind w:left="460" w:right="140"/>
        <w:spacing w:after="0" w:line="258" w:lineRule="auto"/>
        <w:rPr>
          <w:sz w:val="20"/>
          <w:szCs w:val="20"/>
          <w:color w:val="auto"/>
        </w:rPr>
      </w:pPr>
      <w:r>
        <w:rPr>
          <w:rFonts w:ascii="Arial" w:cs="Arial" w:eastAsia="Arial" w:hAnsi="Arial"/>
          <w:sz w:val="17"/>
          <w:szCs w:val="17"/>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Shares held in Comcast Corporation Retirement-Investment Plan and Comcast Spectacor 401(k) Plan</w:t>
      </w:r>
    </w:p>
    <w:p>
      <w:pPr>
        <w:spacing w:after="0" w:line="107" w:lineRule="exact"/>
        <w:rPr>
          <w:sz w:val="20"/>
          <w:szCs w:val="20"/>
          <w:color w:val="auto"/>
        </w:rPr>
      </w:pPr>
    </w:p>
    <w:p>
      <w:pPr>
        <w:ind w:left="460" w:right="140"/>
        <w:spacing w:after="0" w:line="252" w:lineRule="auto"/>
        <w:rPr>
          <w:sz w:val="20"/>
          <w:szCs w:val="20"/>
          <w:color w:val="auto"/>
        </w:rPr>
      </w:pPr>
      <w:r>
        <w:rPr>
          <w:rFonts w:ascii="Arial" w:cs="Arial" w:eastAsia="Arial" w:hAnsi="Arial"/>
          <w:sz w:val="17"/>
          <w:szCs w:val="17"/>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39"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0"/>
        <w:spacing w:after="0" w:line="290" w:lineRule="auto"/>
        <w:rPr>
          <w:sz w:val="20"/>
          <w:szCs w:val="20"/>
          <w:color w:val="auto"/>
        </w:rPr>
      </w:pPr>
      <w:r>
        <w:rPr>
          <w:rFonts w:ascii="Arial" w:cs="Arial" w:eastAsia="Arial" w:hAnsi="Arial"/>
          <w:sz w:val="15"/>
          <w:szCs w:val="15"/>
          <w:color w:val="auto"/>
        </w:rPr>
        <w:t>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 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 2014.</w:t>
      </w:r>
    </w:p>
    <w:p>
      <w:pPr>
        <w:spacing w:after="0" w:line="50" w:lineRule="exact"/>
        <w:rPr>
          <w:sz w:val="20"/>
          <w:szCs w:val="20"/>
          <w:color w:val="auto"/>
        </w:rPr>
      </w:pPr>
    </w:p>
    <w:p>
      <w:pPr>
        <w:ind w:left="460" w:right="120"/>
        <w:spacing w:after="0" w:line="261" w:lineRule="auto"/>
        <w:rPr>
          <w:sz w:val="20"/>
          <w:szCs w:val="20"/>
          <w:color w:val="auto"/>
        </w:rPr>
      </w:pPr>
      <w:r>
        <w:rPr>
          <w:rFonts w:ascii="Arial" w:cs="Arial" w:eastAsia="Arial" w:hAnsi="Arial"/>
          <w:sz w:val="17"/>
          <w:szCs w:val="17"/>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3"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 2014, or Comcast’s agent must receive your paper proxy card by mail no later than the close of business on [—], 2014.</w:t>
      </w:r>
    </w:p>
    <w:p>
      <w:pPr>
        <w:spacing w:after="0" w:line="198" w:lineRule="exact"/>
        <w:rPr>
          <w:sz w:val="20"/>
          <w:szCs w:val="20"/>
          <w:color w:val="auto"/>
        </w:rPr>
      </w:pPr>
    </w:p>
    <w:p>
      <w:pPr>
        <w:ind w:left="460" w:hanging="459"/>
        <w:spacing w:after="0"/>
        <w:tabs>
          <w:tab w:leader="none" w:pos="460" w:val="left"/>
        </w:tabs>
        <w:numPr>
          <w:ilvl w:val="0"/>
          <w:numId w:val="5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31" w:lineRule="exact"/>
        <w:rPr>
          <w:sz w:val="20"/>
          <w:szCs w:val="20"/>
          <w:color w:val="auto"/>
        </w:rPr>
      </w:pPr>
    </w:p>
    <w:p>
      <w:pPr>
        <w:ind w:left="460" w:right="20" w:hanging="459"/>
        <w:spacing w:after="0" w:line="25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202" w:lineRule="exact"/>
        <w:rPr>
          <w:sz w:val="20"/>
          <w:szCs w:val="20"/>
          <w:color w:val="auto"/>
        </w:rPr>
      </w:pPr>
    </w:p>
    <w:p>
      <w:pPr>
        <w:ind w:left="460" w:hanging="459"/>
        <w:spacing w:after="0"/>
        <w:tabs>
          <w:tab w:leader="none" w:pos="460" w:val="left"/>
        </w:tabs>
        <w:numPr>
          <w:ilvl w:val="0"/>
          <w:numId w:val="5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43" w:lineRule="exact"/>
        <w:rPr>
          <w:sz w:val="20"/>
          <w:szCs w:val="20"/>
          <w:color w:val="auto"/>
        </w:rPr>
      </w:pPr>
    </w:p>
    <w:p>
      <w:pPr>
        <w:jc w:val="both"/>
        <w:ind w:left="460" w:hanging="459"/>
        <w:spacing w:after="0" w:line="25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2" w:lineRule="exact"/>
        <w:rPr>
          <w:sz w:val="20"/>
          <w:szCs w:val="20"/>
          <w:color w:val="auto"/>
        </w:rPr>
      </w:pPr>
    </w:p>
    <w:p>
      <w:pPr>
        <w:ind w:left="460" w:hanging="459"/>
        <w:spacing w:after="0"/>
        <w:tabs>
          <w:tab w:leader="none" w:pos="460" w:val="left"/>
        </w:tabs>
        <w:numPr>
          <w:ilvl w:val="0"/>
          <w:numId w:val="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may attend the TWC special meeting?</w:t>
      </w:r>
    </w:p>
    <w:p>
      <w:pPr>
        <w:spacing w:after="0" w:line="120" w:lineRule="exact"/>
        <w:rPr>
          <w:sz w:val="20"/>
          <w:szCs w:val="20"/>
          <w:color w:val="auto"/>
        </w:rPr>
      </w:pPr>
    </w:p>
    <w:p>
      <w:pPr>
        <w:ind w:left="460" w:right="60" w:hanging="459"/>
        <w:spacing w:after="0" w:line="295"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TWC stockholders at the record date (the close of business on [—],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39"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60"/>
        <w:spacing w:after="0" w:line="253" w:lineRule="auto"/>
        <w:rPr>
          <w:sz w:val="20"/>
          <w:szCs w:val="20"/>
          <w:color w:val="auto"/>
        </w:rPr>
      </w:pPr>
      <w:r>
        <w:rPr>
          <w:rFonts w:ascii="Arial" w:cs="Arial" w:eastAsia="Arial" w:hAnsi="Arial"/>
          <w:sz w:val="17"/>
          <w:szCs w:val="17"/>
          <w:color w:val="auto"/>
        </w:rPr>
        <w:t>If you are a beneficial owner of shares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TWC stockholders may contact TWC’s Investor Relations Department toll-free at (877) 446-3689 to obtain directions to the location of the TWC special meeting.</w:t>
      </w:r>
    </w:p>
    <w:p>
      <w:pPr>
        <w:spacing w:after="0" w:line="256" w:lineRule="exact"/>
        <w:rPr>
          <w:sz w:val="20"/>
          <w:szCs w:val="20"/>
          <w:color w:val="auto"/>
        </w:rPr>
      </w:pPr>
    </w:p>
    <w:p>
      <w:pPr>
        <w:ind w:left="460" w:hanging="459"/>
        <w:spacing w:after="0"/>
        <w:tabs>
          <w:tab w:leader="none" w:pos="460" w:val="left"/>
        </w:tabs>
        <w:numPr>
          <w:ilvl w:val="0"/>
          <w:numId w:val="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may attend the Comcast special meeting?</w:t>
      </w:r>
    </w:p>
    <w:p>
      <w:pPr>
        <w:spacing w:after="0" w:line="120" w:lineRule="exact"/>
        <w:rPr>
          <w:sz w:val="20"/>
          <w:szCs w:val="20"/>
          <w:color w:val="auto"/>
        </w:rPr>
      </w:pPr>
    </w:p>
    <w:p>
      <w:pPr>
        <w:ind w:left="460" w:hanging="459"/>
        <w:spacing w:after="0" w:line="25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Comcast shareholders at the record date (the close of business on [—],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5" w:lineRule="exact"/>
        <w:rPr>
          <w:rFonts w:ascii="Arial" w:cs="Arial" w:eastAsia="Arial" w:hAnsi="Arial"/>
          <w:sz w:val="17"/>
          <w:szCs w:val="17"/>
          <w:color w:val="auto"/>
        </w:rPr>
      </w:pPr>
    </w:p>
    <w:p>
      <w:pPr>
        <w:ind w:left="460"/>
        <w:spacing w:after="0" w:line="253" w:lineRule="auto"/>
        <w:rPr>
          <w:rFonts w:ascii="Arial" w:cs="Arial" w:eastAsia="Arial" w:hAnsi="Arial"/>
          <w:sz w:val="17"/>
          <w:szCs w:val="17"/>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79" w:lineRule="exact"/>
        <w:rPr>
          <w:rFonts w:ascii="Arial" w:cs="Arial" w:eastAsia="Arial" w:hAnsi="Arial"/>
          <w:sz w:val="17"/>
          <w:szCs w:val="17"/>
          <w:color w:val="auto"/>
        </w:rPr>
      </w:pPr>
    </w:p>
    <w:p>
      <w:pPr>
        <w:ind w:left="460" w:right="20"/>
        <w:spacing w:after="0" w:line="270" w:lineRule="auto"/>
        <w:rPr>
          <w:rFonts w:ascii="Arial" w:cs="Arial" w:eastAsia="Arial" w:hAnsi="Arial"/>
          <w:sz w:val="17"/>
          <w:szCs w:val="17"/>
          <w:color w:val="auto"/>
        </w:rPr>
      </w:pPr>
      <w:r>
        <w:rPr>
          <w:rFonts w:ascii="Arial" w:cs="Arial" w:eastAsia="Arial" w:hAnsi="Arial"/>
          <w:sz w:val="17"/>
          <w:szCs w:val="17"/>
          <w:color w:val="auto"/>
        </w:rPr>
        <w:t>Comcast shareholders may contact Comcast’s Investor Relations Department toll-free at (866) 281-2100 to obtain directions to the location of the Comcast special meeting.</w:t>
      </w:r>
    </w:p>
    <w:p>
      <w:pPr>
        <w:spacing w:after="0" w:line="191" w:lineRule="exact"/>
        <w:rPr>
          <w:sz w:val="20"/>
          <w:szCs w:val="20"/>
          <w:color w:val="auto"/>
        </w:rPr>
      </w:pPr>
    </w:p>
    <w:p>
      <w:pPr>
        <w:ind w:left="460" w:hanging="459"/>
        <w:spacing w:after="0"/>
        <w:tabs>
          <w:tab w:leader="none" w:pos="460" w:val="left"/>
        </w:tabs>
        <w:numPr>
          <w:ilvl w:val="0"/>
          <w:numId w:val="6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my vote important?</w:t>
      </w:r>
    </w:p>
    <w:p>
      <w:pPr>
        <w:spacing w:after="0" w:line="120" w:lineRule="exact"/>
        <w:rPr>
          <w:sz w:val="20"/>
          <w:szCs w:val="20"/>
          <w:color w:val="auto"/>
        </w:rPr>
      </w:pPr>
    </w:p>
    <w:p>
      <w:pPr>
        <w:ind w:left="460" w:right="180" w:hanging="459"/>
        <w:spacing w:after="0" w:line="270"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Yes, your vote is very important. The merger cannot be completed unless TWC stockholders adopt the merger agreement and Comcast shareholders approve the stock issuance.</w:t>
      </w:r>
    </w:p>
    <w:p>
      <w:pPr>
        <w:spacing w:after="0" w:line="60" w:lineRule="exact"/>
        <w:rPr>
          <w:rFonts w:ascii="Arial" w:cs="Arial" w:eastAsia="Arial" w:hAnsi="Arial"/>
          <w:sz w:val="17"/>
          <w:szCs w:val="17"/>
          <w:color w:val="auto"/>
        </w:rPr>
      </w:pPr>
    </w:p>
    <w:p>
      <w:pPr>
        <w:jc w:val="both"/>
        <w:ind w:left="460" w:right="240"/>
        <w:spacing w:after="0" w:line="254" w:lineRule="auto"/>
        <w:rPr>
          <w:rFonts w:ascii="Arial" w:cs="Arial" w:eastAsia="Arial" w:hAnsi="Arial"/>
          <w:sz w:val="17"/>
          <w:szCs w:val="17"/>
          <w:color w:val="auto"/>
        </w:rPr>
      </w:pPr>
      <w:r>
        <w:rPr>
          <w:rFonts w:ascii="Arial" w:cs="Arial" w:eastAsia="Arial" w:hAnsi="Arial"/>
          <w:sz w:val="17"/>
          <w:szCs w:val="17"/>
          <w:color w:val="auto"/>
        </w:rPr>
        <w:t>For TWC stockholders, an abstention or failure to 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 other holder of record will not be able to vote the shares on the adoption of the merger agreement, and such failure to give those instructions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adoption of the merger agreement.</w:t>
      </w:r>
    </w:p>
    <w:p>
      <w:pPr>
        <w:spacing w:after="0" w:line="75" w:lineRule="exact"/>
        <w:rPr>
          <w:rFonts w:ascii="Arial" w:cs="Arial" w:eastAsia="Arial" w:hAnsi="Arial"/>
          <w:sz w:val="17"/>
          <w:szCs w:val="17"/>
          <w:color w:val="auto"/>
        </w:rPr>
      </w:pPr>
    </w:p>
    <w:p>
      <w:pPr>
        <w:ind w:left="460" w:right="380"/>
        <w:spacing w:after="0" w:line="275" w:lineRule="auto"/>
        <w:rPr>
          <w:rFonts w:ascii="Arial" w:cs="Arial" w:eastAsia="Arial" w:hAnsi="Arial"/>
          <w:sz w:val="17"/>
          <w:szCs w:val="17"/>
          <w:color w:val="auto"/>
        </w:rPr>
      </w:pPr>
      <w:r>
        <w:rPr>
          <w:rFonts w:ascii="Arial" w:cs="Arial" w:eastAsia="Arial" w:hAnsi="Arial"/>
          <w:sz w:val="17"/>
          <w:szCs w:val="17"/>
          <w:color w:val="auto"/>
        </w:rPr>
        <w:t>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w:t>
      </w:r>
    </w:p>
    <w:p>
      <w:pPr>
        <w:spacing w:after="0" w:line="187" w:lineRule="exact"/>
        <w:rPr>
          <w:sz w:val="20"/>
          <w:szCs w:val="20"/>
          <w:color w:val="auto"/>
        </w:rPr>
      </w:pPr>
    </w:p>
    <w:p>
      <w:pPr>
        <w:ind w:left="460" w:hanging="459"/>
        <w:spacing w:after="0"/>
        <w:tabs>
          <w:tab w:leader="none" w:pos="460" w:val="left"/>
        </w:tabs>
        <w:numPr>
          <w:ilvl w:val="0"/>
          <w:numId w:val="6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Can I revoke my proxy or change my voting instructions?</w:t>
      </w:r>
    </w:p>
    <w:p>
      <w:pPr>
        <w:spacing w:after="0" w:line="120" w:lineRule="exact"/>
        <w:rPr>
          <w:sz w:val="20"/>
          <w:szCs w:val="20"/>
          <w:color w:val="auto"/>
        </w:rPr>
      </w:pPr>
    </w:p>
    <w:p>
      <w:pPr>
        <w:ind w:left="460" w:hanging="459"/>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Yes. You may revoke your proxy or change your vote at any time before your proxy is voted at the applicable special meeting.</w:t>
      </w:r>
    </w:p>
    <w:p>
      <w:pPr>
        <w:spacing w:after="0" w:line="10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If you are a stockholder of record at the record date (the close of business on [—], 2014), you can revoke your proxy or change your vote by: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sending a signed notice stating that you revoke your proxy:</w:t>
      </w:r>
    </w:p>
    <w:p>
      <w:pPr>
        <w:spacing w:after="0" w:line="119" w:lineRule="exact"/>
        <w:rPr>
          <w:rFonts w:ascii="Arial" w:cs="Arial" w:eastAsia="Arial" w:hAnsi="Arial"/>
          <w:sz w:val="17"/>
          <w:szCs w:val="17"/>
          <w:color w:val="auto"/>
        </w:rPr>
      </w:pPr>
    </w:p>
    <w:p>
      <w:pPr>
        <w:ind w:left="1480" w:right="160" w:hanging="571"/>
        <w:spacing w:after="0" w:line="270" w:lineRule="auto"/>
        <w:tabs>
          <w:tab w:leader="none" w:pos="1480" w:val="left"/>
        </w:tabs>
        <w:numPr>
          <w:ilvl w:val="2"/>
          <w:numId w:val="66"/>
        </w:numPr>
        <w:rPr>
          <w:rFonts w:ascii="Arial" w:cs="Arial" w:eastAsia="Arial" w:hAnsi="Arial"/>
          <w:sz w:val="17"/>
          <w:szCs w:val="17"/>
          <w:color w:val="auto"/>
        </w:rPr>
      </w:pPr>
      <w:r>
        <w:rPr>
          <w:rFonts w:ascii="Arial" w:cs="Arial" w:eastAsia="Arial" w:hAnsi="Arial"/>
          <w:sz w:val="17"/>
          <w:szCs w:val="17"/>
          <w:color w:val="auto"/>
        </w:rPr>
        <w:t>if you are a TWC stockholder, to the General Counsel of TWC, at TWC’s offices at 60 Columbus Circle, New York, New York 10023, Attention: General Counsel;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39"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right="300" w:hanging="571"/>
        <w:spacing w:after="0" w:line="270" w:lineRule="auto"/>
        <w:tabs>
          <w:tab w:leader="none" w:pos="1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you are a Comcast shareholder, to the Secretary of Comcast, at Comcast’s offices at One Comcast Center, Philadelphia, Pennsylvania 19103-2838, Attention: Secretary;</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each case, that bears a date later than the date of the proxy you want to revoke and is received prior to the applicable special meeting;</w:t>
      </w:r>
    </w:p>
    <w:p>
      <w:pPr>
        <w:spacing w:after="0" w:line="120" w:lineRule="exact"/>
        <w:rPr>
          <w:sz w:val="20"/>
          <w:szCs w:val="20"/>
          <w:color w:val="auto"/>
        </w:rPr>
      </w:pPr>
    </w:p>
    <w:p>
      <w:pPr>
        <w:ind w:left="900" w:right="100" w:hanging="445"/>
        <w:spacing w:after="0" w:line="270"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submitting a valid, later-dated proxy via the Internet or by telephone before 11:59 PM (Eastern Time) on [—], 2014, or by mail that is received prior to the applicable special meeting; or</w:t>
      </w:r>
    </w:p>
    <w:p>
      <w:pPr>
        <w:spacing w:after="0" w:line="77" w:lineRule="exact"/>
        <w:rPr>
          <w:rFonts w:ascii="Arial" w:cs="Arial" w:eastAsia="Arial" w:hAnsi="Arial"/>
          <w:sz w:val="17"/>
          <w:szCs w:val="17"/>
          <w:color w:val="auto"/>
        </w:rPr>
      </w:pPr>
    </w:p>
    <w:p>
      <w:pPr>
        <w:ind w:left="900" w:hanging="445"/>
        <w:spacing w:after="0" w:line="25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attending the applicable special meeting (or, if the applicable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76" w:lineRule="exact"/>
        <w:rPr>
          <w:sz w:val="20"/>
          <w:szCs w:val="20"/>
          <w:color w:val="auto"/>
        </w:rPr>
      </w:pPr>
    </w:p>
    <w:p>
      <w:pPr>
        <w:ind w:left="460" w:right="60"/>
        <w:spacing w:after="0" w:line="338" w:lineRule="auto"/>
        <w:rPr>
          <w:sz w:val="20"/>
          <w:szCs w:val="20"/>
          <w:color w:val="auto"/>
        </w:rPr>
      </w:pPr>
      <w:r>
        <w:rPr>
          <w:rFonts w:ascii="Arial" w:cs="Arial" w:eastAsia="Arial" w:hAnsi="Arial"/>
          <w:sz w:val="15"/>
          <w:szCs w:val="15"/>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145" w:lineRule="exact"/>
        <w:rPr>
          <w:sz w:val="20"/>
          <w:szCs w:val="20"/>
          <w:color w:val="auto"/>
        </w:rPr>
      </w:pPr>
    </w:p>
    <w:p>
      <w:pPr>
        <w:ind w:left="460" w:hanging="459"/>
        <w:spacing w:after="0"/>
        <w:tabs>
          <w:tab w:leader="none" w:pos="460" w:val="left"/>
        </w:tabs>
        <w:numPr>
          <w:ilvl w:val="0"/>
          <w:numId w:val="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I sell my TWC shares after the record date but before the TWC special meeting?</w:t>
      </w:r>
    </w:p>
    <w:p>
      <w:pPr>
        <w:spacing w:after="0" w:line="120" w:lineRule="exact"/>
        <w:rPr>
          <w:sz w:val="20"/>
          <w:szCs w:val="20"/>
          <w:color w:val="auto"/>
        </w:rPr>
      </w:pPr>
    </w:p>
    <w:p>
      <w:pPr>
        <w:ind w:left="460" w:hanging="459"/>
        <w:spacing w:after="0" w:line="299"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record date for the TWC special meeting (the close of business on [—],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175" w:lineRule="exact"/>
        <w:rPr>
          <w:sz w:val="20"/>
          <w:szCs w:val="20"/>
          <w:color w:val="auto"/>
        </w:rPr>
      </w:pPr>
    </w:p>
    <w:p>
      <w:pPr>
        <w:ind w:left="460" w:hanging="459"/>
        <w:spacing w:after="0"/>
        <w:tabs>
          <w:tab w:leader="none" w:pos="460" w:val="left"/>
        </w:tabs>
        <w:numPr>
          <w:ilvl w:val="0"/>
          <w:numId w:val="7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I sell my Comcast shares after the record date but before the Comcast special meeting?</w:t>
      </w:r>
    </w:p>
    <w:p>
      <w:pPr>
        <w:spacing w:after="0" w:line="120" w:lineRule="exact"/>
        <w:rPr>
          <w:sz w:val="20"/>
          <w:szCs w:val="20"/>
          <w:color w:val="auto"/>
        </w:rPr>
      </w:pPr>
    </w:p>
    <w:p>
      <w:pPr>
        <w:jc w:val="both"/>
        <w:ind w:left="460" w:right="180" w:hanging="459"/>
        <w:spacing w:after="0" w:line="28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record date for the Comcast special meeting (the close of business on [—],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184" w:lineRule="exact"/>
        <w:rPr>
          <w:sz w:val="20"/>
          <w:szCs w:val="20"/>
          <w:color w:val="auto"/>
        </w:rPr>
      </w:pPr>
    </w:p>
    <w:p>
      <w:pPr>
        <w:ind w:left="460" w:hanging="459"/>
        <w:spacing w:after="0"/>
        <w:tabs>
          <w:tab w:leader="none" w:pos="460" w:val="left"/>
        </w:tabs>
        <w:numPr>
          <w:ilvl w:val="0"/>
          <w:numId w:val="7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do if I receive more than one set of voting materials?</w:t>
      </w:r>
    </w:p>
    <w:p>
      <w:pPr>
        <w:spacing w:after="0" w:line="120" w:lineRule="exact"/>
        <w:rPr>
          <w:sz w:val="20"/>
          <w:szCs w:val="20"/>
          <w:color w:val="auto"/>
        </w:rPr>
      </w:pPr>
    </w:p>
    <w:p>
      <w:pPr>
        <w:ind w:left="460" w:right="20" w:hanging="459"/>
        <w:spacing w:after="0" w:line="27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93" w:lineRule="exact"/>
        <w:rPr>
          <w:sz w:val="20"/>
          <w:szCs w:val="20"/>
          <w:color w:val="auto"/>
        </w:rPr>
      </w:pPr>
    </w:p>
    <w:p>
      <w:pPr>
        <w:ind w:left="460" w:hanging="459"/>
        <w:spacing w:after="0"/>
        <w:tabs>
          <w:tab w:leader="none" w:pos="460" w:val="left"/>
        </w:tabs>
        <w:numPr>
          <w:ilvl w:val="0"/>
          <w:numId w:val="7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completion of the merger subject to any conditions?</w:t>
      </w:r>
    </w:p>
    <w:p>
      <w:pPr>
        <w:spacing w:after="0" w:line="120" w:lineRule="exact"/>
        <w:rPr>
          <w:sz w:val="20"/>
          <w:szCs w:val="20"/>
          <w:color w:val="auto"/>
        </w:rPr>
      </w:pPr>
    </w:p>
    <w:p>
      <w:pPr>
        <w:ind w:left="460" w:hanging="459"/>
        <w:spacing w:after="0" w:line="283" w:lineRule="auto"/>
        <w:tabs>
          <w:tab w:leader="none" w:pos="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Yes. Comcast and TWC are not required to complete the merger unless a number of conditions are satisfied (or, to the extent permitted by applicable law, waived). These conditions include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w:t>
      </w:r>
    </w:p>
    <w:p>
      <w:pPr>
        <w:spacing w:after="0" w:line="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(x) no LFA consent is required or (y) if LFA consent is required, such consent shall have been obtained,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39"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00"/>
        <w:spacing w:after="0" w:line="255" w:lineRule="auto"/>
        <w:rPr>
          <w:sz w:val="20"/>
          <w:szCs w:val="20"/>
          <w:color w:val="auto"/>
        </w:rPr>
      </w:pPr>
      <w:r>
        <w:rPr>
          <w:rFonts w:ascii="Arial" w:cs="Arial" w:eastAsia="Arial" w:hAnsi="Arial"/>
          <w:sz w:val="17"/>
          <w:szCs w:val="17"/>
          <w:color w:val="auto"/>
        </w:rPr>
        <w:t>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 of this joint proxy statement/prospectus.</w:t>
      </w:r>
    </w:p>
    <w:p>
      <w:pPr>
        <w:spacing w:after="0" w:line="203" w:lineRule="exact"/>
        <w:rPr>
          <w:sz w:val="20"/>
          <w:szCs w:val="20"/>
          <w:color w:val="auto"/>
        </w:rPr>
      </w:pPr>
    </w:p>
    <w:p>
      <w:pPr>
        <w:ind w:left="460" w:hanging="459"/>
        <w:spacing w:after="0"/>
        <w:tabs>
          <w:tab w:leader="none" w:pos="460" w:val="left"/>
        </w:tabs>
        <w:numPr>
          <w:ilvl w:val="0"/>
          <w:numId w:val="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do you expect to complete the merger?</w:t>
      </w:r>
    </w:p>
    <w:p>
      <w:pPr>
        <w:spacing w:after="0" w:line="120" w:lineRule="exact"/>
        <w:rPr>
          <w:sz w:val="20"/>
          <w:szCs w:val="20"/>
          <w:color w:val="auto"/>
        </w:rPr>
      </w:pPr>
    </w:p>
    <w:p>
      <w:pPr>
        <w:ind w:left="460" w:hanging="459"/>
        <w:spacing w:after="0" w:line="258"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 of the date of this joint proxy statement/prospectus, TWC and Comcast expect to complete the merger by the end of 2014, subject to satisfaction (or, to the extent permitted by applicable law, waiver) of the conditions to the parties’ obligations to complete the merger. However, no assurance can be given as to when, or if, the merger will be completed.</w:t>
      </w:r>
    </w:p>
    <w:p>
      <w:pPr>
        <w:spacing w:after="0" w:line="202" w:lineRule="exact"/>
        <w:rPr>
          <w:sz w:val="20"/>
          <w:szCs w:val="20"/>
          <w:color w:val="auto"/>
        </w:rPr>
      </w:pPr>
    </w:p>
    <w:p>
      <w:pPr>
        <w:ind w:left="460" w:hanging="459"/>
        <w:spacing w:after="0"/>
        <w:tabs>
          <w:tab w:leader="none" w:pos="460" w:val="left"/>
        </w:tabs>
        <w:numPr>
          <w:ilvl w:val="0"/>
          <w:numId w:val="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the transaction expected to be taxable to TWC stockholders?</w:t>
      </w:r>
    </w:p>
    <w:p>
      <w:pPr>
        <w:spacing w:after="0" w:line="120" w:lineRule="exact"/>
        <w:rPr>
          <w:sz w:val="20"/>
          <w:szCs w:val="20"/>
          <w:color w:val="auto"/>
        </w:rPr>
      </w:pPr>
    </w:p>
    <w:p>
      <w:pPr>
        <w:ind w:left="460" w:right="120" w:hanging="459"/>
        <w:spacing w:after="0" w:line="276"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 of this joint proxy statement/prospectus.</w:t>
      </w:r>
    </w:p>
    <w:p>
      <w:pPr>
        <w:spacing w:after="0" w:line="188" w:lineRule="exact"/>
        <w:rPr>
          <w:sz w:val="20"/>
          <w:szCs w:val="20"/>
          <w:color w:val="auto"/>
        </w:rPr>
      </w:pPr>
    </w:p>
    <w:p>
      <w:pPr>
        <w:ind w:left="460" w:hanging="459"/>
        <w:spacing w:after="0"/>
        <w:tabs>
          <w:tab w:leader="none" w:pos="460" w:val="left"/>
        </w:tabs>
        <w:numPr>
          <w:ilvl w:val="0"/>
          <w:numId w:val="8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need to do now?</w:t>
      </w:r>
    </w:p>
    <w:p>
      <w:pPr>
        <w:spacing w:after="0" w:line="120" w:lineRule="exact"/>
        <w:rPr>
          <w:sz w:val="20"/>
          <w:szCs w:val="20"/>
          <w:color w:val="auto"/>
        </w:rPr>
      </w:pPr>
    </w:p>
    <w:p>
      <w:pPr>
        <w:ind w:left="460" w:right="280" w:hanging="459"/>
        <w:spacing w:after="0" w:line="270"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signing, dating, marking and returning the enclosed proxy card in the accompanying postage-paid return envelope;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submitting your proxy via the Internet or by telephone by following the instructions included on your proxy card;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attending the applicable special meeting and voting by ballot in person.</w:t>
      </w:r>
    </w:p>
    <w:p>
      <w:pPr>
        <w:spacing w:after="0" w:line="10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41" w:lineRule="exact"/>
        <w:rPr>
          <w:sz w:val="20"/>
          <w:szCs w:val="20"/>
          <w:color w:val="auto"/>
        </w:rPr>
      </w:pPr>
    </w:p>
    <w:p>
      <w:pPr>
        <w:ind w:left="460" w:right="80"/>
        <w:spacing w:after="0" w:line="28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 of this joint proxy statement/prospectus and “—How will my shares be represented at the Comcast special meeting, and what will happen if I return my proxy card without indicating how to vote?” beginning on page [—] of this joint proxy statement/prospectus.</w:t>
      </w:r>
    </w:p>
    <w:p>
      <w:pPr>
        <w:spacing w:after="0" w:line="184" w:lineRule="exact"/>
        <w:rPr>
          <w:sz w:val="20"/>
          <w:szCs w:val="20"/>
          <w:color w:val="auto"/>
        </w:rPr>
      </w:pPr>
    </w:p>
    <w:p>
      <w:pPr>
        <w:ind w:left="460" w:hanging="459"/>
        <w:spacing w:after="0"/>
        <w:tabs>
          <w:tab w:leader="none" w:pos="460"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Should I send in my TWC stock certificates now?</w:t>
      </w:r>
    </w:p>
    <w:p>
      <w:pPr>
        <w:spacing w:after="0" w:line="120" w:lineRule="exact"/>
        <w:rPr>
          <w:sz w:val="20"/>
          <w:szCs w:val="20"/>
          <w:color w:val="auto"/>
        </w:rPr>
      </w:pPr>
    </w:p>
    <w:p>
      <w:pPr>
        <w:ind w:left="460" w:right="120" w:hanging="459"/>
        <w:spacing w:after="0" w:line="255"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Agreement—Procedures for Surrendering TWC Stock Certificates” beginning on page [—] of this joint proxy statement/prospectus.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39"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00" w:hanging="459"/>
        <w:spacing w:after="0" w:line="270" w:lineRule="auto"/>
        <w:tabs>
          <w:tab w:leader="none" w:pos="460" w:val="left"/>
        </w:tabs>
        <w:numPr>
          <w:ilvl w:val="0"/>
          <w:numId w:val="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a current employee and holder of options issued by TWC to purchase shares of TWC common stock, or a holder of TWC restricted stock units, what will I receive in the merger?</w:t>
      </w:r>
    </w:p>
    <w:p>
      <w:pPr>
        <w:spacing w:after="0" w:line="77" w:lineRule="exact"/>
        <w:rPr>
          <w:sz w:val="20"/>
          <w:szCs w:val="20"/>
          <w:color w:val="auto"/>
        </w:rPr>
      </w:pPr>
    </w:p>
    <w:p>
      <w:pPr>
        <w:ind w:left="460" w:hanging="459"/>
        <w:spacing w:after="0" w:line="290"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54" w:lineRule="exact"/>
        <w:rPr>
          <w:rFonts w:ascii="Arial" w:cs="Arial" w:eastAsia="Arial" w:hAnsi="Arial"/>
          <w:sz w:val="15"/>
          <w:szCs w:val="15"/>
          <w:color w:val="auto"/>
        </w:rPr>
      </w:pPr>
    </w:p>
    <w:p>
      <w:pPr>
        <w:ind w:left="460" w:right="20"/>
        <w:spacing w:after="0" w:line="253" w:lineRule="auto"/>
        <w:rPr>
          <w:rFonts w:ascii="Arial" w:cs="Arial" w:eastAsia="Arial" w:hAnsi="Arial"/>
          <w:sz w:val="15"/>
          <w:szCs w:val="15"/>
          <w:color w:val="auto"/>
        </w:rPr>
      </w:pPr>
      <w:r>
        <w:rPr>
          <w:rFonts w:ascii="Arial" w:cs="Arial" w:eastAsia="Arial" w:hAnsi="Arial"/>
          <w:sz w:val="17"/>
          <w:szCs w:val="17"/>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7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See “The Merger Agreement—Treatment of TWC Equity Awards” beginning on page [—] of this joint proxy statement/prospectus.</w:t>
      </w:r>
    </w:p>
    <w:p>
      <w:pPr>
        <w:spacing w:after="0" w:line="233" w:lineRule="exact"/>
        <w:rPr>
          <w:sz w:val="20"/>
          <w:szCs w:val="20"/>
          <w:color w:val="auto"/>
        </w:rPr>
      </w:pPr>
    </w:p>
    <w:p>
      <w:pPr>
        <w:ind w:left="460" w:right="240" w:hanging="459"/>
        <w:spacing w:after="0" w:line="270" w:lineRule="auto"/>
        <w:tabs>
          <w:tab w:leader="none" w:pos="460" w:val="left"/>
        </w:tabs>
        <w:numPr>
          <w:ilvl w:val="0"/>
          <w:numId w:val="8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7" w:lineRule="exact"/>
        <w:rPr>
          <w:sz w:val="20"/>
          <w:szCs w:val="20"/>
          <w:color w:val="auto"/>
        </w:rPr>
      </w:pPr>
    </w:p>
    <w:p>
      <w:pPr>
        <w:ind w:left="460" w:right="100" w:hanging="459"/>
        <w:spacing w:after="0" w:line="250"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86" w:lineRule="exact"/>
        <w:rPr>
          <w:rFonts w:ascii="Arial" w:cs="Arial" w:eastAsia="Arial" w:hAnsi="Arial"/>
          <w:sz w:val="17"/>
          <w:szCs w:val="17"/>
          <w:color w:val="auto"/>
        </w:rPr>
      </w:pPr>
    </w:p>
    <w:p>
      <w:pPr>
        <w:ind w:left="460" w:right="60"/>
        <w:spacing w:after="0" w:line="253" w:lineRule="auto"/>
        <w:rPr>
          <w:rFonts w:ascii="Arial" w:cs="Arial" w:eastAsia="Arial" w:hAnsi="Arial"/>
          <w:sz w:val="17"/>
          <w:szCs w:val="17"/>
          <w:color w:val="auto"/>
        </w:rPr>
      </w:pPr>
      <w:r>
        <w:rPr>
          <w:rFonts w:ascii="Arial" w:cs="Arial" w:eastAsia="Arial" w:hAnsi="Arial"/>
          <w:sz w:val="17"/>
          <w:szCs w:val="17"/>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7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See “The Merger Agreement—Treatment of TWC Equity Awards” beginning on page [—] of this joint proxy statement/prospectus.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39"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8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am a TWC stockholder, whom should I call with questions?</w:t>
      </w:r>
    </w:p>
    <w:p>
      <w:pPr>
        <w:spacing w:after="0" w:line="120" w:lineRule="exact"/>
        <w:rPr>
          <w:sz w:val="20"/>
          <w:szCs w:val="20"/>
          <w:color w:val="auto"/>
        </w:rPr>
      </w:pPr>
    </w:p>
    <w:p>
      <w:pPr>
        <w:ind w:left="460" w:hanging="459"/>
        <w:spacing w:after="0" w:line="270"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you have any questions about the merger or the TWC special meeting, or desire additional copies of this joint proxy statement/prospectus, proxy cards or voting instruction forms, you should contact:</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proxy@mackenziepartners.com</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or</w:t>
      </w:r>
    </w:p>
    <w:p>
      <w:pPr>
        <w:spacing w:after="0" w:line="107"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ir@twcable.com</w:t>
      </w:r>
    </w:p>
    <w:p>
      <w:pPr>
        <w:spacing w:after="0" w:line="221" w:lineRule="exact"/>
        <w:rPr>
          <w:sz w:val="20"/>
          <w:szCs w:val="20"/>
          <w:color w:val="auto"/>
        </w:rPr>
      </w:pPr>
    </w:p>
    <w:p>
      <w:pPr>
        <w:ind w:left="460" w:hanging="459"/>
        <w:spacing w:after="0"/>
        <w:tabs>
          <w:tab w:leader="none" w:pos="460" w:val="left"/>
        </w:tabs>
        <w:numPr>
          <w:ilvl w:val="0"/>
          <w:numId w:val="9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am a Comcast shareholder, whom should I call with questions?</w:t>
      </w:r>
    </w:p>
    <w:p>
      <w:pPr>
        <w:spacing w:after="0" w:line="120" w:lineRule="exact"/>
        <w:rPr>
          <w:sz w:val="20"/>
          <w:szCs w:val="20"/>
          <w:color w:val="auto"/>
        </w:rPr>
      </w:pPr>
    </w:p>
    <w:p>
      <w:pPr>
        <w:ind w:left="460" w:right="260" w:hanging="459"/>
        <w:spacing w:after="0" w:line="270"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you have any questions about the merger or the Comcast special meeting, or desire additional copies of this joint proxy statement/prospectus, proxy cards or voting instruction forms, you should contact:</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 Free: (800) 488-8035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comcast@dfking.com</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(866) 281-2100</w:t>
      </w:r>
    </w:p>
    <w:p>
      <w:pPr>
        <w:spacing w:after="0" w:line="221" w:lineRule="exact"/>
        <w:rPr>
          <w:sz w:val="20"/>
          <w:szCs w:val="20"/>
          <w:color w:val="auto"/>
        </w:rPr>
      </w:pPr>
    </w:p>
    <w:p>
      <w:pPr>
        <w:ind w:left="460" w:hanging="459"/>
        <w:spacing w:after="0"/>
        <w:tabs>
          <w:tab w:leader="none" w:pos="460" w:val="left"/>
        </w:tabs>
        <w:numPr>
          <w:ilvl w:val="0"/>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Where can I find more information about TWC and Comcast?</w:t>
      </w:r>
    </w:p>
    <w:p>
      <w:pPr>
        <w:spacing w:after="0" w:line="120" w:lineRule="exact"/>
        <w:rPr>
          <w:sz w:val="20"/>
          <w:szCs w:val="20"/>
          <w:color w:val="auto"/>
        </w:rPr>
      </w:pPr>
    </w:p>
    <w:p>
      <w:pPr>
        <w:ind w:left="460" w:right="600" w:hanging="459"/>
        <w:spacing w:after="0" w:line="270"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You can find more information about TWC and Comcast from the various sources described under the heading “Where You Can Find More Information” beginning on page [—] of this joint proxy statement/prospectus.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439" w:right="2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650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085" cy="56508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w:t>
      </w:r>
    </w:p>
    <w:p>
      <w:pPr>
        <w:spacing w:after="0" w:line="212" w:lineRule="exact"/>
        <w:rPr>
          <w:sz w:val="20"/>
          <w:szCs w:val="20"/>
          <w:color w:val="auto"/>
        </w:rPr>
      </w:pPr>
    </w:p>
    <w:p>
      <w:pPr>
        <w:ind w:left="180" w:right="100" w:firstLine="443"/>
        <w:spacing w:after="0" w:line="286" w:lineRule="auto"/>
        <w:rPr>
          <w:sz w:val="20"/>
          <w:szCs w:val="20"/>
          <w:color w:val="auto"/>
        </w:rPr>
      </w:pPr>
      <w:r>
        <w:rPr>
          <w:rFonts w:ascii="Arial" w:cs="Arial" w:eastAsia="Arial" w:hAnsi="Arial"/>
          <w:sz w:val="15"/>
          <w:szCs w:val="15"/>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w:t>
      </w:r>
    </w:p>
    <w:p>
      <w:pPr>
        <w:spacing w:after="0" w:line="1" w:lineRule="exact"/>
        <w:rPr>
          <w:sz w:val="20"/>
          <w:szCs w:val="20"/>
          <w:color w:val="auto"/>
        </w:rPr>
      </w:pPr>
    </w:p>
    <w:p>
      <w:pPr>
        <w:ind w:left="180" w:right="660"/>
        <w:spacing w:after="0" w:line="255" w:lineRule="auto"/>
        <w:rPr>
          <w:sz w:val="20"/>
          <w:szCs w:val="20"/>
          <w:color w:val="auto"/>
        </w:rPr>
      </w:pPr>
      <w:r>
        <w:rPr>
          <w:rFonts w:ascii="Arial" w:cs="Arial" w:eastAsia="Arial" w:hAnsi="Arial"/>
          <w:sz w:val="17"/>
          <w:szCs w:val="17"/>
          <w:color w:val="auto"/>
        </w:rPr>
        <w:t>[—] of this joint proxy statement/prospectus. Each item in this summary refers to the page of this joint proxy statement/prospectus on which that subject is discussed in more detail.</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Companies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Comcast Corporation</w:t>
      </w:r>
    </w:p>
    <w:p>
      <w:pPr>
        <w:spacing w:after="0" w:line="107" w:lineRule="exact"/>
        <w:rPr>
          <w:sz w:val="20"/>
          <w:szCs w:val="20"/>
          <w:color w:val="auto"/>
        </w:rPr>
      </w:pPr>
    </w:p>
    <w:p>
      <w:pPr>
        <w:ind w:left="180" w:firstLine="443"/>
        <w:spacing w:after="0" w:line="270"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78" w:lineRule="exact"/>
        <w:rPr>
          <w:sz w:val="20"/>
          <w:szCs w:val="20"/>
          <w:color w:val="auto"/>
        </w:rPr>
      </w:pPr>
    </w:p>
    <w:p>
      <w:pPr>
        <w:ind w:left="1060" w:right="200" w:hanging="430"/>
        <w:spacing w:after="0" w:line="307" w:lineRule="auto"/>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 voice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residential customers under the XFINITY brand and also provides similar services to businesses and sells advertising.</w:t>
      </w:r>
    </w:p>
    <w:p>
      <w:pPr>
        <w:spacing w:after="0" w:line="46" w:lineRule="exact"/>
        <w:rPr>
          <w:rFonts w:ascii="Arial" w:cs="Arial" w:eastAsia="Arial" w:hAnsi="Arial"/>
          <w:sz w:val="16"/>
          <w:szCs w:val="16"/>
          <w:color w:val="auto"/>
        </w:rPr>
      </w:pPr>
    </w:p>
    <w:p>
      <w:pPr>
        <w:ind w:left="1060" w:right="40" w:hanging="430"/>
        <w:spacing w:after="0" w:line="275"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Consists primarily of Comcast’s national cable networks, its regional sports and news networks, its international cable networks,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cable television production operations.</w:t>
      </w:r>
    </w:p>
    <w:p>
      <w:pPr>
        <w:spacing w:after="0" w:line="69" w:lineRule="exact"/>
        <w:rPr>
          <w:rFonts w:ascii="Arial" w:cs="Arial" w:eastAsia="Arial" w:hAnsi="Arial"/>
          <w:sz w:val="17"/>
          <w:szCs w:val="17"/>
          <w:color w:val="auto"/>
        </w:rPr>
      </w:pPr>
    </w:p>
    <w:p>
      <w:pPr>
        <w:ind w:left="1060" w:right="620" w:hanging="430"/>
        <w:spacing w:after="0" w:line="275"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Broadcast Television</w:t>
      </w:r>
      <w:r>
        <w:rPr>
          <w:rFonts w:ascii="Arial" w:cs="Arial" w:eastAsia="Arial" w:hAnsi="Arial"/>
          <w:sz w:val="17"/>
          <w:szCs w:val="17"/>
          <w:color w:val="auto"/>
        </w:rPr>
        <w:t>: Consists primarily of the NBC and Telemundo broadcast networks, Comcast’s 10 NBC and 17 Telemundo owned local</w:t>
      </w:r>
      <w:r>
        <w:rPr>
          <w:rFonts w:ascii="Arial" w:cs="Arial" w:eastAsia="Arial" w:hAnsi="Arial"/>
          <w:sz w:val="17"/>
          <w:szCs w:val="17"/>
          <w:b w:val="1"/>
          <w:bCs w:val="1"/>
          <w:color w:val="auto"/>
        </w:rPr>
        <w:t xml:space="preserve"> </w:t>
      </w:r>
      <w:r>
        <w:rPr>
          <w:rFonts w:ascii="Arial" w:cs="Arial" w:eastAsia="Arial" w:hAnsi="Arial"/>
          <w:sz w:val="17"/>
          <w:szCs w:val="17"/>
          <w:color w:val="auto"/>
        </w:rPr>
        <w:t>broadcast television stations, and Comcast’s broadcast television production operations.</w:t>
      </w:r>
    </w:p>
    <w:p>
      <w:pPr>
        <w:spacing w:after="0" w:line="69" w:lineRule="exact"/>
        <w:rPr>
          <w:rFonts w:ascii="Arial" w:cs="Arial" w:eastAsia="Arial" w:hAnsi="Arial"/>
          <w:sz w:val="17"/>
          <w:szCs w:val="17"/>
          <w:color w:val="auto"/>
        </w:rPr>
      </w:pPr>
    </w:p>
    <w:p>
      <w:pPr>
        <w:ind w:left="1060" w:right="280" w:hanging="430"/>
        <w:spacing w:after="0" w:line="275"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Filmed Entertainment</w:t>
      </w:r>
      <w:r>
        <w:rPr>
          <w:rFonts w:ascii="Arial" w:cs="Arial" w:eastAsia="Arial" w:hAnsi="Arial"/>
          <w:sz w:val="17"/>
          <w:szCs w:val="17"/>
          <w:color w:val="auto"/>
        </w:rPr>
        <w:t>: Consists primarily of the studio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w:t>
      </w:r>
    </w:p>
    <w:p>
      <w:pPr>
        <w:spacing w:after="0" w:line="69" w:lineRule="exact"/>
        <w:rPr>
          <w:rFonts w:ascii="Arial" w:cs="Arial" w:eastAsia="Arial" w:hAnsi="Arial"/>
          <w:sz w:val="17"/>
          <w:szCs w:val="17"/>
          <w:color w:val="auto"/>
        </w:rPr>
      </w:pPr>
    </w:p>
    <w:p>
      <w:pPr>
        <w:ind w:left="1060" w:hanging="430"/>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Theme Parks</w:t>
      </w:r>
      <w:r>
        <w:rPr>
          <w:rFonts w:ascii="Arial" w:cs="Arial" w:eastAsia="Arial" w:hAnsi="Arial"/>
          <w:sz w:val="17"/>
          <w:szCs w:val="17"/>
          <w:color w:val="auto"/>
        </w:rPr>
        <w:t>: Consists primarily of Comcast’s Universal theme parks in Orlando and Hollywood.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08" w:lineRule="exact"/>
        <w:rPr>
          <w:sz w:val="20"/>
          <w:szCs w:val="20"/>
          <w:color w:val="auto"/>
        </w:rPr>
      </w:pPr>
    </w:p>
    <w:p>
      <w:pPr>
        <w:ind w:left="180" w:right="80" w:firstLine="443"/>
        <w:spacing w:after="0" w:line="270" w:lineRule="auto"/>
        <w:rPr>
          <w:sz w:val="20"/>
          <w:szCs w:val="20"/>
          <w:color w:val="auto"/>
        </w:rPr>
      </w:pPr>
      <w:r>
        <w:rPr>
          <w:rFonts w:ascii="Arial" w:cs="Arial" w:eastAsia="Arial" w:hAnsi="Arial"/>
          <w:sz w:val="17"/>
          <w:szCs w:val="17"/>
          <w:color w:val="auto"/>
        </w:rPr>
        <w:t>In 2013, Comcast’s Cable Communications segment generated 65% of Comcast’s consolidated revenue and 80% of its operating income before depreciation and amortization.</w:t>
      </w:r>
    </w:p>
    <w:p>
      <w:pPr>
        <w:spacing w:after="0" w:line="166" w:lineRule="exact"/>
        <w:rPr>
          <w:sz w:val="20"/>
          <w:szCs w:val="20"/>
          <w:color w:val="auto"/>
        </w:rPr>
      </w:pPr>
    </w:p>
    <w:p>
      <w:pPr>
        <w:ind w:left="180" w:right="840" w:firstLine="443"/>
        <w:spacing w:after="0" w:line="270" w:lineRule="auto"/>
        <w:rPr>
          <w:sz w:val="20"/>
          <w:szCs w:val="20"/>
          <w:color w:val="auto"/>
        </w:rPr>
      </w:pPr>
      <w:r>
        <w:rPr>
          <w:rFonts w:ascii="Arial" w:cs="Arial" w:eastAsia="Arial" w:hAnsi="Arial"/>
          <w:sz w:val="17"/>
          <w:szCs w:val="17"/>
          <w:color w:val="auto"/>
        </w:rPr>
        <w:t>Comcast’s other business interests primarily include Comcast-Spectacor, which owns the Philadelphia Flyers and the Wells Fargo Center arena in Philadelphia and operates arena management-related businesses.</w:t>
      </w:r>
    </w:p>
    <w:p>
      <w:pPr>
        <w:spacing w:after="0" w:line="166" w:lineRule="exact"/>
        <w:rPr>
          <w:sz w:val="20"/>
          <w:szCs w:val="20"/>
          <w:color w:val="auto"/>
        </w:rPr>
      </w:pPr>
    </w:p>
    <w:p>
      <w:pPr>
        <w:ind w:left="180" w:right="120" w:firstLine="443"/>
        <w:spacing w:after="0" w:line="255" w:lineRule="auto"/>
        <w:rPr>
          <w:sz w:val="20"/>
          <w:szCs w:val="20"/>
          <w:color w:val="auto"/>
        </w:rPr>
      </w:pPr>
      <w:r>
        <w:rPr>
          <w:rFonts w:ascii="Arial" w:cs="Arial" w:eastAsia="Arial" w:hAnsi="Arial"/>
          <w:sz w:val="17"/>
          <w:szCs w:val="17"/>
          <w:color w:val="auto"/>
        </w:rPr>
        <w:t>The principal trading market for shares of Comcast Class A common stock (NASDAQ: CMCSA) and shares of Comcast Class A Special common stock (NASDAQ: CMCSK) is NASDAQ. There is no established public 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60"/>
          </w:cols>
          <w:pgMar w:left="240" w:top="439" w:right="3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180" w:firstLine="443"/>
        <w:spacing w:after="0" w:line="258"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Time Warner Cable Inc.</w:t>
      </w:r>
    </w:p>
    <w:p>
      <w:pPr>
        <w:spacing w:after="0" w:line="107" w:lineRule="exact"/>
        <w:rPr>
          <w:sz w:val="20"/>
          <w:szCs w:val="20"/>
          <w:color w:val="auto"/>
        </w:rPr>
      </w:pPr>
    </w:p>
    <w:p>
      <w:pPr>
        <w:ind w:left="180" w:right="40" w:firstLine="443"/>
        <w:spacing w:after="0" w:line="251"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December 31, 2013, TWC served approximately 14.4 million residential customers and 624,000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3" w:lineRule="exact"/>
        <w:rPr>
          <w:sz w:val="20"/>
          <w:szCs w:val="20"/>
          <w:color w:val="auto"/>
        </w:rPr>
      </w:pPr>
    </w:p>
    <w:p>
      <w:pPr>
        <w:ind w:left="180" w:right="120" w:firstLine="443"/>
        <w:spacing w:after="0" w:line="282" w:lineRule="auto"/>
        <w:rPr>
          <w:sz w:val="20"/>
          <w:szCs w:val="20"/>
          <w:color w:val="auto"/>
        </w:rPr>
      </w:pPr>
      <w:r>
        <w:rPr>
          <w:rFonts w:ascii="Arial" w:cs="Arial" w:eastAsia="Arial" w:hAnsi="Arial"/>
          <w:sz w:val="16"/>
          <w:szCs w:val="16"/>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59"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Tango Acquisition Sub, Inc.</w:t>
      </w:r>
    </w:p>
    <w:p>
      <w:pPr>
        <w:spacing w:after="0" w:line="107" w:lineRule="exact"/>
        <w:rPr>
          <w:sz w:val="20"/>
          <w:szCs w:val="20"/>
          <w:color w:val="auto"/>
        </w:rPr>
      </w:pPr>
    </w:p>
    <w:p>
      <w:pPr>
        <w:ind w:left="180" w:firstLine="443"/>
        <w:spacing w:after="0" w:line="258" w:lineRule="auto"/>
        <w:rPr>
          <w:sz w:val="20"/>
          <w:szCs w:val="20"/>
          <w:color w:val="auto"/>
        </w:rPr>
      </w:pPr>
      <w:r>
        <w:rPr>
          <w:rFonts w:ascii="Arial" w:cs="Arial" w:eastAsia="Arial" w:hAnsi="Arial"/>
          <w:sz w:val="17"/>
          <w:szCs w:val="17"/>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77" w:lineRule="exact"/>
        <w:rPr>
          <w:sz w:val="20"/>
          <w:szCs w:val="20"/>
          <w:color w:val="auto"/>
        </w:rPr>
      </w:pPr>
    </w:p>
    <w:p>
      <w:pPr>
        <w:ind w:left="180" w:right="460" w:firstLine="443"/>
        <w:spacing w:after="0" w:line="270" w:lineRule="auto"/>
        <w:rPr>
          <w:sz w:val="20"/>
          <w:szCs w:val="20"/>
          <w:color w:val="auto"/>
        </w:rPr>
      </w:pPr>
      <w:r>
        <w:rPr>
          <w:rFonts w:ascii="Arial" w:cs="Arial" w:eastAsia="Arial" w:hAnsi="Arial"/>
          <w:sz w:val="17"/>
          <w:szCs w:val="17"/>
          <w:color w:val="auto"/>
        </w:rPr>
        <w:t>The principal executive offices of Merger Sub are located at One Comcast Center, Philadelphia, Pennsylvania 19103-2838; and its telephone number is (215) 286-1700.</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left="180" w:right="20" w:firstLine="443"/>
        <w:spacing w:after="0" w:line="276"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9" w:lineRule="exact"/>
        <w:rPr>
          <w:sz w:val="20"/>
          <w:szCs w:val="20"/>
          <w:color w:val="auto"/>
        </w:rPr>
      </w:pPr>
    </w:p>
    <w:p>
      <w:pPr>
        <w:jc w:val="both"/>
        <w:ind w:left="180" w:right="20" w:firstLine="443"/>
        <w:spacing w:after="0" w:line="275" w:lineRule="auto"/>
        <w:rPr>
          <w:sz w:val="20"/>
          <w:szCs w:val="20"/>
          <w:color w:val="auto"/>
        </w:rPr>
      </w:pPr>
      <w:r>
        <w:rPr>
          <w:rFonts w:ascii="Arial" w:cs="Arial" w:eastAsia="Arial" w:hAnsi="Arial"/>
          <w:sz w:val="17"/>
          <w:szCs w:val="17"/>
          <w:color w:val="auto"/>
        </w:rPr>
        <w:t xml:space="preserve">A copy of the merger agreement is attached as Annex A to this joint proxy statement/prospectus. </w:t>
      </w:r>
      <w:r>
        <w:rPr>
          <w:rFonts w:ascii="Arial" w:cs="Arial" w:eastAsia="Arial" w:hAnsi="Arial"/>
          <w:sz w:val="17"/>
          <w:szCs w:val="17"/>
          <w:b w:val="1"/>
          <w:bCs w:val="1"/>
          <w:color w:val="auto"/>
        </w:rPr>
        <w:t>You should read the merger agreement carefully because</w:t>
      </w:r>
      <w:r>
        <w:rPr>
          <w:rFonts w:ascii="Arial" w:cs="Arial" w:eastAsia="Arial" w:hAnsi="Arial"/>
          <w:sz w:val="17"/>
          <w:szCs w:val="17"/>
          <w:color w:val="auto"/>
        </w:rPr>
        <w:t xml:space="preserve"> </w:t>
      </w:r>
      <w:r>
        <w:rPr>
          <w:rFonts w:ascii="Arial" w:cs="Arial" w:eastAsia="Arial" w:hAnsi="Arial"/>
          <w:sz w:val="17"/>
          <w:szCs w:val="17"/>
          <w:b w:val="1"/>
          <w:bCs w:val="1"/>
          <w:color w:val="auto"/>
        </w:rPr>
        <w:t>it is the legal document that governs the merger</w:t>
      </w:r>
      <w:r>
        <w:rPr>
          <w:rFonts w:ascii="Arial" w:cs="Arial" w:eastAsia="Arial" w:hAnsi="Arial"/>
          <w:sz w:val="17"/>
          <w:szCs w:val="17"/>
          <w:color w:val="auto"/>
        </w:rPr>
        <w:t>.</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60"/>
          </w:cols>
          <w:pgMar w:left="240" w:top="439" w:right="3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562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085" cy="55626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Special Meeting of Stockholders of TWC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TWC special meeting will be held on [—], 2014, at [—], located at [—], at [—], local time. At the TWC special meeting, TWC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asked to consider and vote on the following proposals:</w:t>
      </w:r>
    </w:p>
    <w:p>
      <w:pPr>
        <w:spacing w:after="0" w:line="77" w:lineRule="exact"/>
        <w:rPr>
          <w:sz w:val="20"/>
          <w:szCs w:val="20"/>
          <w:color w:val="auto"/>
        </w:rPr>
      </w:pPr>
    </w:p>
    <w:p>
      <w:pPr>
        <w:ind w:left="1060" w:right="140" w:hanging="430"/>
        <w:spacing w:after="0" w:line="270"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1060" w:right="180" w:hanging="430"/>
        <w:spacing w:after="0" w:line="270"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w:t>
      </w:r>
    </w:p>
    <w:p>
      <w:pPr>
        <w:spacing w:after="0" w:line="166"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TWC board of directors has fixed the close of business on [—], 2014, as the record date for determination of the stockholders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0" w:lineRule="exact"/>
        <w:rPr>
          <w:sz w:val="20"/>
          <w:szCs w:val="20"/>
          <w:color w:val="auto"/>
        </w:rPr>
      </w:pPr>
    </w:p>
    <w:p>
      <w:pPr>
        <w:ind w:left="180" w:right="20" w:firstLine="443"/>
        <w:spacing w:after="0" w:line="292" w:lineRule="auto"/>
        <w:rPr>
          <w:sz w:val="20"/>
          <w:szCs w:val="20"/>
          <w:color w:val="auto"/>
        </w:rPr>
      </w:pPr>
      <w:r>
        <w:rPr>
          <w:rFonts w:ascii="Arial" w:cs="Arial" w:eastAsia="Arial" w:hAnsi="Arial"/>
          <w:sz w:val="15"/>
          <w:szCs w:val="15"/>
          <w:b w:val="1"/>
          <w:bCs w:val="1"/>
          <w:i w:val="1"/>
          <w:iCs w:val="1"/>
          <w:color w:val="auto"/>
        </w:rPr>
        <w:t>Quorum</w:t>
      </w:r>
      <w:r>
        <w:rPr>
          <w:rFonts w:ascii="Arial" w:cs="Arial" w:eastAsia="Arial" w:hAnsi="Arial"/>
          <w:sz w:val="15"/>
          <w:szCs w:val="15"/>
          <w:color w:val="auto"/>
        </w:rPr>
        <w:t>. The presence at the TWC special meeting, in person or by proxy, of the holders of a majority of the votes entitled to be cast for each proposal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53" w:lineRule="exact"/>
        <w:rPr>
          <w:sz w:val="20"/>
          <w:szCs w:val="20"/>
          <w:color w:val="auto"/>
        </w:rPr>
      </w:pPr>
    </w:p>
    <w:p>
      <w:pPr>
        <w:ind w:left="180" w:right="40" w:firstLine="443"/>
        <w:spacing w:after="0" w:line="270" w:lineRule="auto"/>
        <w:rPr>
          <w:sz w:val="20"/>
          <w:szCs w:val="20"/>
          <w:color w:val="auto"/>
        </w:rPr>
      </w:pPr>
      <w:r>
        <w:rPr>
          <w:rFonts w:ascii="Arial" w:cs="Arial" w:eastAsia="Arial" w:hAnsi="Arial"/>
          <w:sz w:val="17"/>
          <w:szCs w:val="17"/>
          <w:b w:val="1"/>
          <w:bCs w:val="1"/>
          <w:i w:val="1"/>
          <w:iCs w:val="1"/>
          <w:color w:val="auto"/>
        </w:rPr>
        <w:t>Adjournment</w:t>
      </w:r>
      <w:r>
        <w:rPr>
          <w:rFonts w:ascii="Arial" w:cs="Arial" w:eastAsia="Arial" w:hAnsi="Arial"/>
          <w:sz w:val="17"/>
          <w:szCs w:val="17"/>
          <w:color w:val="auto"/>
        </w:rPr>
        <w:t>. In accordance with TWC’s by-laws, the TWC special meeting may be adjourned by the Chairman of the meeting. If the TWC special meeting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adjourned, stockholders who have already submitted their proxies will be able to revoke them at any time prior to their use.</w:t>
      </w:r>
    </w:p>
    <w:p>
      <w:pPr>
        <w:spacing w:after="0" w:line="166"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 entitled to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 voting, the failure of a TWC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81"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8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b w:val="1"/>
          <w:bCs w:val="1"/>
          <w:i w:val="1"/>
          <w:iCs w:val="1"/>
          <w:color w:val="auto"/>
        </w:rPr>
        <w:t>Stock Ownership of and Voting by TWC Directors and Executive Officers</w:t>
      </w:r>
      <w:r>
        <w:rPr>
          <w:rFonts w:ascii="Arial" w:cs="Arial" w:eastAsia="Arial" w:hAnsi="Arial"/>
          <w:sz w:val="17"/>
          <w:szCs w:val="17"/>
          <w:color w:val="auto"/>
        </w:rPr>
        <w:t>. At the record date for the TWC special meeting (the close of business on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TWC’s directors and executive officers and their affiliates</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240" w:top="439" w:right="4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41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085" cy="52419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spacing w:after="0" w:line="270" w:lineRule="auto"/>
        <w:rPr>
          <w:sz w:val="20"/>
          <w:szCs w:val="20"/>
          <w:color w:val="auto"/>
        </w:rPr>
      </w:pPr>
      <w:r>
        <w:rPr>
          <w:rFonts w:ascii="Arial" w:cs="Arial" w:eastAsia="Arial" w:hAnsi="Arial"/>
          <w:sz w:val="17"/>
          <w:szCs w:val="17"/>
          <w:color w:val="auto"/>
        </w:rPr>
        <w:t>beneficially owned and had the right to vote [—] shares of TWC common stock at the TWC special meeting, which represents approximately [—]% of the shares of TWC common stock entitled to vote at the TWC special meeting.</w:t>
      </w:r>
    </w:p>
    <w:p>
      <w:pPr>
        <w:spacing w:after="0" w:line="162" w:lineRule="exact"/>
        <w:rPr>
          <w:sz w:val="20"/>
          <w:szCs w:val="20"/>
          <w:color w:val="auto"/>
        </w:rPr>
      </w:pPr>
    </w:p>
    <w:p>
      <w:pPr>
        <w:ind w:left="180" w:right="540" w:firstLine="443"/>
        <w:spacing w:after="0" w:line="275"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Special Meeting of Shareholders of Comcast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40" w:firstLine="443"/>
        <w:spacing w:after="0" w:line="270" w:lineRule="auto"/>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Comcast special meeting will be held on [—], 2014, at [—], located at [—], at [—], local time. At the Comcast special meeting, Comcast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will be asked to consider and vote on the following proposals:</w:t>
      </w:r>
    </w:p>
    <w:p>
      <w:pPr>
        <w:spacing w:after="0" w:line="77" w:lineRule="exact"/>
        <w:rPr>
          <w:sz w:val="20"/>
          <w:szCs w:val="20"/>
          <w:color w:val="auto"/>
        </w:rPr>
      </w:pPr>
    </w:p>
    <w:p>
      <w:pPr>
        <w:ind w:left="1060" w:hanging="430"/>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1060" w:right="380" w:hanging="430"/>
        <w:spacing w:after="0" w:line="270"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ind w:left="180" w:firstLine="443"/>
        <w:spacing w:after="0" w:line="249" w:lineRule="auto"/>
        <w:rPr>
          <w:sz w:val="20"/>
          <w:szCs w:val="20"/>
          <w:color w:val="auto"/>
        </w:rPr>
      </w:pP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Comcast board of directors has fixed the close of business on [—], 2014, as the record date for determination of the shareholders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 2014, there were [—]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190" w:lineRule="exact"/>
        <w:rPr>
          <w:sz w:val="20"/>
          <w:szCs w:val="20"/>
          <w:color w:val="auto"/>
        </w:rPr>
      </w:pPr>
    </w:p>
    <w:p>
      <w:pPr>
        <w:ind w:left="180" w:right="80" w:firstLine="443"/>
        <w:spacing w:after="0" w:line="288" w:lineRule="auto"/>
        <w:rPr>
          <w:sz w:val="20"/>
          <w:szCs w:val="20"/>
          <w:color w:val="auto"/>
        </w:rPr>
      </w:pPr>
      <w:r>
        <w:rPr>
          <w:rFonts w:ascii="Arial" w:cs="Arial" w:eastAsia="Arial" w:hAnsi="Arial"/>
          <w:sz w:val="15"/>
          <w:szCs w:val="15"/>
          <w:b w:val="1"/>
          <w:bCs w:val="1"/>
          <w:i w:val="1"/>
          <w:iCs w:val="1"/>
          <w:color w:val="auto"/>
        </w:rPr>
        <w:t>Quorum</w:t>
      </w:r>
      <w:r>
        <w:rPr>
          <w:rFonts w:ascii="Arial" w:cs="Arial" w:eastAsia="Arial" w:hAnsi="Arial"/>
          <w:sz w:val="15"/>
          <w:szCs w:val="15"/>
          <w:color w:val="auto"/>
        </w:rPr>
        <w:t>. The presence at the Comcast special meeting, in person or by proxy, of the holders of a majority of votes entitled to be cast for each proposal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date (the close of business on [—],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60" w:lineRule="exact"/>
        <w:rPr>
          <w:sz w:val="20"/>
          <w:szCs w:val="20"/>
          <w:color w:val="auto"/>
        </w:rPr>
      </w:pPr>
    </w:p>
    <w:p>
      <w:pPr>
        <w:ind w:left="180" w:right="440" w:firstLine="443"/>
        <w:spacing w:after="0" w:line="258"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approve the stock issuance, the affirmative vote of a majority of the votes cast at the Comcast special meeting by Comcast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shareholders and Comcast Class B shareholders, voting together as a single class, is required. </w:t>
      </w:r>
      <w:r>
        <w:rPr>
          <w:rFonts w:ascii="Arial" w:cs="Arial" w:eastAsia="Arial" w:hAnsi="Arial"/>
          <w:sz w:val="17"/>
          <w:szCs w:val="17"/>
          <w:b w:val="1"/>
          <w:bCs w:val="1"/>
          <w:color w:val="auto"/>
        </w:rPr>
        <w:t>Comcast cannot complete the merger unless its shareholders</w:t>
      </w:r>
      <w:r>
        <w:rPr>
          <w:rFonts w:ascii="Arial" w:cs="Arial" w:eastAsia="Arial" w:hAnsi="Arial"/>
          <w:sz w:val="17"/>
          <w:szCs w:val="17"/>
          <w:color w:val="auto"/>
        </w:rPr>
        <w:t xml:space="preserve"> </w:t>
      </w:r>
      <w:r>
        <w:rPr>
          <w:rFonts w:ascii="Arial" w:cs="Arial" w:eastAsia="Arial" w:hAnsi="Arial"/>
          <w:sz w:val="17"/>
          <w:szCs w:val="17"/>
          <w:b w:val="1"/>
          <w:bCs w:val="1"/>
          <w:color w:val="auto"/>
        </w:rPr>
        <w:t>approve the stock</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60"/>
          </w:cols>
          <w:pgMar w:left="240" w:top="439" w:right="3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right="60"/>
        <w:spacing w:after="0" w:line="256" w:lineRule="auto"/>
        <w:rPr>
          <w:sz w:val="20"/>
          <w:szCs w:val="20"/>
          <w:color w:val="auto"/>
        </w:rPr>
      </w:pPr>
      <w:r>
        <w:rPr>
          <w:rFonts w:ascii="Arial" w:cs="Arial" w:eastAsia="Arial" w:hAnsi="Arial"/>
          <w:sz w:val="17"/>
          <w:szCs w:val="17"/>
          <w:b w:val="1"/>
          <w:bCs w:val="1"/>
          <w:color w:val="auto"/>
        </w:rPr>
        <w:t xml:space="preserve">issuance. </w:t>
      </w:r>
      <w:r>
        <w:rPr>
          <w:rFonts w:ascii="Arial" w:cs="Arial" w:eastAsia="Arial" w:hAnsi="Arial"/>
          <w:sz w:val="17"/>
          <w:szCs w:val="17"/>
          <w:color w:val="auto"/>
        </w:rPr>
        <w:t>An abstention is not considered a vote cast. Accordingly, assuming a quorum is present, a Comcast shareholder’s abstention from voting, the failure of a</w:t>
      </w:r>
      <w:r>
        <w:rPr>
          <w:rFonts w:ascii="Arial" w:cs="Arial" w:eastAsia="Arial" w:hAnsi="Arial"/>
          <w:sz w:val="17"/>
          <w:szCs w:val="17"/>
          <w:b w:val="1"/>
          <w:bCs w:val="1"/>
          <w:color w:val="auto"/>
        </w:rPr>
        <w:t xml:space="preserve"> </w:t>
      </w:r>
      <w:r>
        <w:rPr>
          <w:rFonts w:ascii="Arial" w:cs="Arial" w:eastAsia="Arial" w:hAnsi="Arial"/>
          <w:sz w:val="17"/>
          <w:szCs w:val="17"/>
          <w:color w:val="auto"/>
        </w:rPr>
        <w:t>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79"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77" w:lineRule="exact"/>
        <w:rPr>
          <w:sz w:val="20"/>
          <w:szCs w:val="20"/>
          <w:color w:val="auto"/>
        </w:rPr>
      </w:pPr>
    </w:p>
    <w:p>
      <w:pPr>
        <w:ind w:left="180" w:right="100" w:firstLine="443"/>
        <w:spacing w:after="0" w:line="270" w:lineRule="auto"/>
        <w:rPr>
          <w:sz w:val="20"/>
          <w:szCs w:val="20"/>
          <w:color w:val="auto"/>
        </w:rPr>
      </w:pPr>
      <w:r>
        <w:rPr>
          <w:rFonts w:ascii="Arial" w:cs="Arial" w:eastAsia="Arial" w:hAnsi="Arial"/>
          <w:sz w:val="16"/>
          <w:szCs w:val="16"/>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71" w:lineRule="exact"/>
        <w:rPr>
          <w:sz w:val="20"/>
          <w:szCs w:val="20"/>
          <w:color w:val="auto"/>
        </w:rPr>
      </w:pPr>
    </w:p>
    <w:p>
      <w:pPr>
        <w:ind w:left="180" w:firstLine="443"/>
        <w:spacing w:after="0" w:line="272" w:lineRule="auto"/>
        <w:rPr>
          <w:sz w:val="20"/>
          <w:szCs w:val="20"/>
          <w:color w:val="auto"/>
        </w:rPr>
      </w:pPr>
      <w:r>
        <w:rPr>
          <w:rFonts w:ascii="Arial" w:cs="Arial" w:eastAsia="Arial" w:hAnsi="Arial"/>
          <w:sz w:val="16"/>
          <w:szCs w:val="16"/>
          <w:b w:val="1"/>
          <w:bCs w:val="1"/>
          <w:i w:val="1"/>
          <w:iCs w:val="1"/>
          <w:color w:val="auto"/>
        </w:rPr>
        <w:t xml:space="preserve">Stock Ownership of and Voting by Comcast Directors and Executive Officers. </w:t>
      </w:r>
      <w:r>
        <w:rPr>
          <w:rFonts w:ascii="Arial" w:cs="Arial" w:eastAsia="Arial" w:hAnsi="Arial"/>
          <w:sz w:val="16"/>
          <w:szCs w:val="16"/>
          <w:color w:val="auto"/>
        </w:rPr>
        <w:t>At the record date for the Comcast special meeting (the close of business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2014), Comcast’s directors and executive officers and their affiliates beneficially owned and had the right to vote [—] shares of Comcast Class A common stock at the Comcast special meeting, which represents approximately [—]%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68" w:lineRule="exact"/>
        <w:rPr>
          <w:sz w:val="20"/>
          <w:szCs w:val="20"/>
          <w:color w:val="auto"/>
        </w:rPr>
      </w:pPr>
    </w:p>
    <w:p>
      <w:pPr>
        <w:ind w:left="180" w:right="120" w:firstLine="443"/>
        <w:spacing w:after="0" w:line="272"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Voting Agreement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40" w:firstLine="443"/>
        <w:spacing w:after="0" w:line="258" w:lineRule="auto"/>
        <w:rPr>
          <w:sz w:val="20"/>
          <w:szCs w:val="20"/>
          <w:color w:val="auto"/>
        </w:rPr>
      </w:pPr>
      <w:r>
        <w:rPr>
          <w:rFonts w:ascii="Arial" w:cs="Arial" w:eastAsia="Arial" w:hAnsi="Arial"/>
          <w:sz w:val="17"/>
          <w:szCs w:val="17"/>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77" w:lineRule="exact"/>
        <w:rPr>
          <w:sz w:val="20"/>
          <w:szCs w:val="20"/>
          <w:color w:val="auto"/>
        </w:rPr>
      </w:pPr>
    </w:p>
    <w:p>
      <w:pPr>
        <w:ind w:left="180" w:right="440" w:firstLine="443"/>
        <w:spacing w:after="0" w:line="258" w:lineRule="auto"/>
        <w:rPr>
          <w:sz w:val="20"/>
          <w:szCs w:val="20"/>
          <w:color w:val="auto"/>
        </w:rPr>
      </w:pPr>
      <w:r>
        <w:rPr>
          <w:rFonts w:ascii="Arial" w:cs="Arial" w:eastAsia="Arial" w:hAnsi="Arial"/>
          <w:sz w:val="17"/>
          <w:szCs w:val="17"/>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77" w:lineRule="exact"/>
        <w:rPr>
          <w:sz w:val="20"/>
          <w:szCs w:val="20"/>
          <w:color w:val="auto"/>
        </w:rPr>
      </w:pPr>
    </w:p>
    <w:p>
      <w:pPr>
        <w:ind w:left="180" w:right="140" w:firstLine="443"/>
        <w:spacing w:after="0" w:line="270" w:lineRule="auto"/>
        <w:rPr>
          <w:sz w:val="20"/>
          <w:szCs w:val="20"/>
          <w:color w:val="auto"/>
        </w:rPr>
      </w:pPr>
      <w:r>
        <w:rPr>
          <w:rFonts w:ascii="Arial" w:cs="Arial" w:eastAsia="Arial" w:hAnsi="Arial"/>
          <w:sz w:val="17"/>
          <w:szCs w:val="17"/>
          <w:color w:val="auto"/>
        </w:rPr>
        <w:t>In addition, the Comcast shareholders who are parties to the voting agreement have agreed to vote all of their shares of Comcast Class A common stock and Comcast Class B common stock (i) in favor of the stock</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60"/>
          </w:cols>
          <w:pgMar w:left="240" w:top="439" w:right="3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spacing w:after="0" w:line="284" w:lineRule="auto"/>
        <w:rPr>
          <w:sz w:val="20"/>
          <w:szCs w:val="20"/>
          <w:color w:val="auto"/>
        </w:rPr>
      </w:pPr>
      <w:r>
        <w:rPr>
          <w:rFonts w:ascii="Arial" w:cs="Arial" w:eastAsia="Arial" w:hAnsi="Arial"/>
          <w:sz w:val="15"/>
          <w:szCs w:val="15"/>
          <w:color w:val="auto"/>
        </w:rPr>
        <w:t>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 merger. The voting agreement imposes certain restrictions on these Comcast shareholders’ right to transfer shares of Comcast Class B common stock, as described under “The Voting Agreement,” beginning on page [—] of this joint proxy statement/prospectus. The voting agreement will terminate upon the earliest to occur of:</w:t>
      </w:r>
    </w:p>
    <w:p>
      <w:pPr>
        <w:spacing w:after="0" w:line="3" w:lineRule="exact"/>
        <w:rPr>
          <w:sz w:val="20"/>
          <w:szCs w:val="20"/>
          <w:color w:val="auto"/>
        </w:rPr>
      </w:pPr>
    </w:p>
    <w:p>
      <w:pPr>
        <w:ind w:left="180" w:firstLine="9"/>
        <w:spacing w:after="0" w:line="267" w:lineRule="auto"/>
        <w:tabs>
          <w:tab w:leader="none" w:pos="38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72"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5"/>
          <w:szCs w:val="15"/>
          <w:color w:val="auto"/>
        </w:rPr>
        <w:t>As of February 12, 2014, the Comcast shareholders who are parties to the voting agreement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 which together represent approximately [33.35]% of the combined voting power of Comcast Class A common stock and Comcast Class B common stock. Based on [—] outstanding shares of Comcast Class A common stock and 9,444,375 outstanding shares of Comcast Class B common stock on the record date for the Comcast special meeting, and after taking into account the expected votes of the directors and executive officers of Comcast and the Comcast shareholders who are parties to the voting agreement, approval of the proposal for the stock issuance will require the affirmative vote of the holders of an additional</w:t>
      </w:r>
    </w:p>
    <w:p>
      <w:pPr>
        <w:spacing w:after="0" w:line="4" w:lineRule="exact"/>
        <w:rPr>
          <w:sz w:val="20"/>
          <w:szCs w:val="20"/>
          <w:color w:val="auto"/>
        </w:rPr>
      </w:pPr>
    </w:p>
    <w:p>
      <w:pPr>
        <w:jc w:val="both"/>
        <w:ind w:left="180" w:right="60"/>
        <w:spacing w:after="0" w:line="321" w:lineRule="auto"/>
        <w:rPr>
          <w:sz w:val="20"/>
          <w:szCs w:val="20"/>
          <w:color w:val="auto"/>
        </w:rPr>
      </w:pPr>
      <w:r>
        <w:rPr>
          <w:rFonts w:ascii="Arial" w:cs="Arial" w:eastAsia="Arial" w:hAnsi="Arial"/>
          <w:sz w:val="15"/>
          <w:szCs w:val="15"/>
          <w:color w:val="auto"/>
        </w:rPr>
        <w:t>[—] outstanding shares of Comcast Class A common stock at the Comcast special meeting (representing approximately [—]% of the outstanding shares of Comcast Class A common stock that are not owned by the directors and executive officers of Comcast or the Comcast shareholders who are parties to the voting agreement).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copy of the voting agreement is attached as Annex B to this joint proxy statement/prospectus.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What TWC Stockholders Will Receive in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60" w:firstLine="443"/>
        <w:spacing w:after="0" w:line="30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42" w:lineRule="exact"/>
        <w:rPr>
          <w:sz w:val="20"/>
          <w:szCs w:val="20"/>
          <w:color w:val="auto"/>
        </w:rPr>
      </w:pPr>
    </w:p>
    <w:p>
      <w:pPr>
        <w:ind w:left="180" w:right="40" w:firstLine="443"/>
        <w:spacing w:after="0" w:line="253" w:lineRule="auto"/>
        <w:rPr>
          <w:sz w:val="20"/>
          <w:szCs w:val="20"/>
          <w:color w:val="auto"/>
        </w:rPr>
      </w:pPr>
      <w:r>
        <w:rPr>
          <w:rFonts w:ascii="Arial" w:cs="Arial" w:eastAsia="Arial" w:hAnsi="Arial"/>
          <w:sz w:val="17"/>
          <w:szCs w:val="17"/>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0" w:lineRule="exact"/>
        <w:rPr>
          <w:sz w:val="20"/>
          <w:szCs w:val="20"/>
          <w:color w:val="auto"/>
        </w:rPr>
      </w:pPr>
    </w:p>
    <w:p>
      <w:pPr>
        <w:jc w:val="both"/>
        <w:ind w:left="180" w:right="260" w:firstLine="443"/>
        <w:spacing w:after="0" w:line="258" w:lineRule="auto"/>
        <w:rPr>
          <w:sz w:val="20"/>
          <w:szCs w:val="20"/>
          <w:color w:val="auto"/>
        </w:rPr>
      </w:pPr>
      <w:r>
        <w:rPr>
          <w:rFonts w:ascii="Arial" w:cs="Arial" w:eastAsia="Arial" w:hAnsi="Arial"/>
          <w:sz w:val="17"/>
          <w:szCs w:val="17"/>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80"/>
          </w:cols>
          <w:pgMar w:left="240" w:top="439" w:right="3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5"/>
          <w:szCs w:val="15"/>
          <w:color w:val="auto"/>
        </w:rPr>
        <w:t xml:space="preserve">The ratio of 2.875 shares of Comcast Class A common stock for each share of TWC common stock, which is referred to in this joint proxy statement/prospectus as the exchange ratio, is fixed, which means that it will not 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5"/>
          <w:szCs w:val="15"/>
          <w:b w:val="1"/>
          <w:bCs w:val="1"/>
          <w:color w:val="auto"/>
        </w:rPr>
        <w:t>The market price of shares of</w:t>
      </w:r>
    </w:p>
    <w:p>
      <w:pPr>
        <w:spacing w:after="0" w:line="5" w:lineRule="exact"/>
        <w:rPr>
          <w:sz w:val="20"/>
          <w:szCs w:val="20"/>
          <w:color w:val="auto"/>
        </w:rPr>
      </w:pPr>
    </w:p>
    <w:p>
      <w:pPr>
        <w:ind w:left="180"/>
        <w:spacing w:after="0" w:line="249" w:lineRule="auto"/>
        <w:rPr>
          <w:sz w:val="20"/>
          <w:szCs w:val="20"/>
          <w:color w:val="auto"/>
        </w:rPr>
      </w:pPr>
      <w:r>
        <w:rPr>
          <w:rFonts w:ascii="Arial" w:cs="Arial" w:eastAsia="Arial" w:hAnsi="Arial"/>
          <w:sz w:val="17"/>
          <w:szCs w:val="17"/>
          <w:b w:val="1"/>
          <w:bCs w:val="1"/>
          <w:color w:val="auto"/>
        </w:rPr>
        <w:t>Comcast Class A 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 Dissenters’ or Appraisal Rights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Neither TWC stockholders nor Comcast shareholders have dissenters’ or appraisal rights with respect to the merger.</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Treatment of TWC Equity Awards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52" w:lineRule="auto"/>
        <w:rPr>
          <w:sz w:val="20"/>
          <w:szCs w:val="20"/>
          <w:color w:val="auto"/>
        </w:rPr>
      </w:pPr>
      <w:r>
        <w:rPr>
          <w:rFonts w:ascii="Arial" w:cs="Arial" w:eastAsia="Arial" w:hAnsi="Arial"/>
          <w:sz w:val="17"/>
          <w:szCs w:val="17"/>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81" w:lineRule="exact"/>
        <w:rPr>
          <w:sz w:val="20"/>
          <w:szCs w:val="20"/>
          <w:color w:val="auto"/>
        </w:rPr>
      </w:pPr>
    </w:p>
    <w:p>
      <w:pPr>
        <w:ind w:left="180" w:right="20" w:firstLine="443"/>
        <w:spacing w:after="0" w:line="272" w:lineRule="auto"/>
        <w:rPr>
          <w:sz w:val="20"/>
          <w:szCs w:val="20"/>
          <w:color w:val="auto"/>
        </w:rPr>
      </w:pPr>
      <w:r>
        <w:rPr>
          <w:rFonts w:ascii="Arial" w:cs="Arial" w:eastAsia="Arial" w:hAnsi="Arial"/>
          <w:sz w:val="16"/>
          <w:szCs w:val="16"/>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68" w:lineRule="exact"/>
        <w:rPr>
          <w:sz w:val="20"/>
          <w:szCs w:val="20"/>
          <w:color w:val="auto"/>
        </w:rPr>
      </w:pPr>
    </w:p>
    <w:p>
      <w:pPr>
        <w:ind w:left="180" w:right="40" w:firstLine="443"/>
        <w:spacing w:after="0" w:line="309" w:lineRule="auto"/>
        <w:rPr>
          <w:sz w:val="20"/>
          <w:szCs w:val="20"/>
          <w:color w:val="auto"/>
        </w:rPr>
      </w:pPr>
      <w:r>
        <w:rPr>
          <w:rFonts w:ascii="Arial" w:cs="Arial" w:eastAsia="Arial" w:hAnsi="Arial"/>
          <w:sz w:val="15"/>
          <w:szCs w:val="15"/>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20"/>
          </w:cols>
          <w:pgMar w:left="240" w:top="439" w:right="4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90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085" cy="52901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firstLine="443"/>
        <w:spacing w:after="0" w:line="258" w:lineRule="auto"/>
        <w:rPr>
          <w:sz w:val="20"/>
          <w:szCs w:val="20"/>
          <w:color w:val="auto"/>
        </w:rPr>
      </w:pPr>
      <w:r>
        <w:rPr>
          <w:rFonts w:ascii="Arial" w:cs="Arial" w:eastAsia="Arial" w:hAnsi="Arial"/>
          <w:sz w:val="17"/>
          <w:szCs w:val="17"/>
          <w:color w:val="auto"/>
        </w:rPr>
        <w:t>For restricted stock units, the cash amount will be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of the TWC Board of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92" w:lineRule="auto"/>
        <w:rPr>
          <w:sz w:val="20"/>
          <w:szCs w:val="20"/>
          <w:color w:val="auto"/>
        </w:rPr>
      </w:pPr>
      <w:r>
        <w:rPr>
          <w:rFonts w:ascii="Arial" w:cs="Arial" w:eastAsia="Arial" w:hAnsi="Arial"/>
          <w:sz w:val="15"/>
          <w:szCs w:val="15"/>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5"/>
          <w:szCs w:val="15"/>
          <w:b w:val="1"/>
          <w:bCs w:val="1"/>
          <w:color w:val="auto"/>
        </w:rPr>
        <w:t>The TWC board of directors unanimously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recommends that TWC stockholders vote “FOR” the adoption of the merger agreement. </w:t>
      </w:r>
      <w:r>
        <w:rPr>
          <w:rFonts w:ascii="Arial" w:cs="Arial" w:eastAsia="Arial" w:hAnsi="Arial"/>
          <w:sz w:val="15"/>
          <w:szCs w:val="15"/>
          <w:color w:val="auto"/>
        </w:rPr>
        <w:t>For the factors considered by the TWC board of directors in reaching</w:t>
      </w:r>
      <w:r>
        <w:rPr>
          <w:rFonts w:ascii="Arial" w:cs="Arial" w:eastAsia="Arial" w:hAnsi="Arial"/>
          <w:sz w:val="15"/>
          <w:szCs w:val="15"/>
          <w:b w:val="1"/>
          <w:bCs w:val="1"/>
          <w:color w:val="auto"/>
        </w:rPr>
        <w:t xml:space="preserve"> </w:t>
      </w:r>
      <w:r>
        <w:rPr>
          <w:rFonts w:ascii="Arial" w:cs="Arial" w:eastAsia="Arial" w:hAnsi="Arial"/>
          <w:sz w:val="15"/>
          <w:szCs w:val="15"/>
          <w:color w:val="auto"/>
        </w:rPr>
        <w:t>this decision,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149" w:lineRule="exact"/>
        <w:rPr>
          <w:sz w:val="20"/>
          <w:szCs w:val="20"/>
          <w:color w:val="auto"/>
        </w:rPr>
      </w:pPr>
    </w:p>
    <w:p>
      <w:pPr>
        <w:ind w:left="180" w:right="140" w:firstLine="443"/>
        <w:spacing w:after="0" w:line="30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 of this joint proxy statement/prospectus.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of the Comcast Board of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80" w:firstLine="443"/>
        <w:spacing w:after="0" w:line="269"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 shareholders vote “FOR” the stock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issuance. </w:t>
      </w:r>
      <w:r>
        <w:rPr>
          <w:rFonts w:ascii="Arial" w:cs="Arial" w:eastAsia="Arial" w:hAnsi="Arial"/>
          <w:sz w:val="16"/>
          <w:szCs w:val="16"/>
          <w:color w:val="auto"/>
        </w:rPr>
        <w:t>For the factors considered by the Comcast board of directors in reaching this decision, see “TWC Proposal I: Adoption of the Merger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Comcast Proposal I: Approval of the Stock Issuance—Comcast’s Reasons for the Merger; Recommendation of the Comcast Board of Directors” beginning on page [—] of this joint proxy statement/prospectus.</w:t>
      </w:r>
    </w:p>
    <w:p>
      <w:pPr>
        <w:spacing w:after="0" w:line="167" w:lineRule="exact"/>
        <w:rPr>
          <w:sz w:val="20"/>
          <w:szCs w:val="20"/>
          <w:color w:val="auto"/>
        </w:rPr>
      </w:pPr>
    </w:p>
    <w:p>
      <w:pPr>
        <w:jc w:val="both"/>
        <w:ind w:left="180" w:right="500" w:firstLine="443"/>
        <w:spacing w:after="0" w:line="285" w:lineRule="auto"/>
        <w:rPr>
          <w:sz w:val="20"/>
          <w:szCs w:val="20"/>
          <w:color w:val="auto"/>
        </w:rPr>
      </w:pPr>
      <w:r>
        <w:rPr>
          <w:rFonts w:ascii="Arial" w:cs="Arial" w:eastAsia="Arial" w:hAnsi="Arial"/>
          <w:sz w:val="16"/>
          <w:szCs w:val="16"/>
          <w:color w:val="auto"/>
        </w:rPr>
        <w:t>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Opinions of TWC’s Financial Advisors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Allen &amp; Company LLC</w:t>
      </w:r>
    </w:p>
    <w:p>
      <w:pPr>
        <w:spacing w:after="0" w:line="107" w:lineRule="exact"/>
        <w:rPr>
          <w:sz w:val="20"/>
          <w:szCs w:val="20"/>
          <w:color w:val="auto"/>
        </w:rPr>
      </w:pPr>
    </w:p>
    <w:p>
      <w:pPr>
        <w:ind w:left="180" w:firstLine="443"/>
        <w:spacing w:after="0" w:line="292" w:lineRule="auto"/>
        <w:rPr>
          <w:sz w:val="20"/>
          <w:szCs w:val="20"/>
          <w:color w:val="auto"/>
        </w:rPr>
      </w:pPr>
      <w:r>
        <w:rPr>
          <w:rFonts w:ascii="Arial" w:cs="Arial" w:eastAsia="Arial" w:hAnsi="Arial"/>
          <w:sz w:val="15"/>
          <w:szCs w:val="15"/>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60"/>
          </w:cols>
          <w:pgMar w:left="240" w:top="439" w:right="3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60" w:firstLine="443"/>
        <w:spacing w:after="0" w:line="288" w:lineRule="auto"/>
        <w:rPr>
          <w:sz w:val="20"/>
          <w:szCs w:val="20"/>
          <w:color w:val="auto"/>
        </w:rPr>
      </w:pPr>
      <w:r>
        <w:rPr>
          <w:rFonts w:ascii="Arial" w:cs="Arial" w:eastAsia="Arial" w:hAnsi="Arial"/>
          <w:sz w:val="15"/>
          <w:szCs w:val="15"/>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5"/>
          <w:szCs w:val="15"/>
          <w:b w:val="1"/>
          <w:bCs w:val="1"/>
          <w:color w:val="auto"/>
        </w:rPr>
        <w:t>Allen &amp; Company’s opinion was intended</w:t>
      </w:r>
      <w:r>
        <w:rPr>
          <w:rFonts w:ascii="Arial" w:cs="Arial" w:eastAsia="Arial" w:hAnsi="Arial"/>
          <w:sz w:val="15"/>
          <w:szCs w:val="15"/>
          <w:color w:val="auto"/>
        </w:rPr>
        <w:t xml:space="preserve"> </w:t>
      </w:r>
      <w:r>
        <w:rPr>
          <w:rFonts w:ascii="Arial" w:cs="Arial" w:eastAsia="Arial" w:hAnsi="Arial"/>
          <w:sz w:val="15"/>
          <w:szCs w:val="15"/>
          <w:b w:val="1"/>
          <w:bCs w:val="1"/>
          <w:color w:val="auto"/>
        </w:rPr>
        <w:t>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Citigroup Global Markets Inc.</w:t>
      </w:r>
    </w:p>
    <w:p>
      <w:pPr>
        <w:spacing w:after="0" w:line="107" w:lineRule="exact"/>
        <w:rPr>
          <w:sz w:val="20"/>
          <w:szCs w:val="20"/>
          <w:color w:val="auto"/>
        </w:rPr>
      </w:pPr>
    </w:p>
    <w:p>
      <w:pPr>
        <w:ind w:left="180" w:firstLine="443"/>
        <w:spacing w:after="0" w:line="270"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71" w:lineRule="exact"/>
        <w:rPr>
          <w:sz w:val="20"/>
          <w:szCs w:val="20"/>
          <w:color w:val="auto"/>
        </w:rPr>
      </w:pPr>
    </w:p>
    <w:p>
      <w:pPr>
        <w:ind w:left="180" w:right="20" w:firstLine="443"/>
        <w:spacing w:after="0" w:line="288" w:lineRule="auto"/>
        <w:rPr>
          <w:sz w:val="20"/>
          <w:szCs w:val="20"/>
          <w:color w:val="auto"/>
        </w:rPr>
      </w:pPr>
      <w:r>
        <w:rPr>
          <w:rFonts w:ascii="Arial" w:cs="Arial" w:eastAsia="Arial" w:hAnsi="Arial"/>
          <w:sz w:val="15"/>
          <w:szCs w:val="15"/>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5"/>
          <w:szCs w:val="15"/>
          <w:b w:val="1"/>
          <w:bCs w:val="1"/>
          <w:color w:val="auto"/>
        </w:rPr>
        <w:t>Citi’s opinion was provided for the information of the TWC</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Morgan Stanley &amp; Co. LLC</w:t>
      </w:r>
    </w:p>
    <w:p>
      <w:pPr>
        <w:spacing w:after="0" w:line="107" w:lineRule="exact"/>
        <w:rPr>
          <w:sz w:val="20"/>
          <w:szCs w:val="20"/>
          <w:color w:val="auto"/>
        </w:rPr>
      </w:pPr>
    </w:p>
    <w:p>
      <w:pPr>
        <w:ind w:left="180" w:right="80" w:firstLine="443"/>
        <w:spacing w:after="0" w:line="251"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80"/>
          </w:cols>
          <w:pgMar w:left="240" w:top="439" w:right="3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20" w:firstLine="443"/>
        <w:spacing w:after="0" w:line="286" w:lineRule="auto"/>
        <w:rPr>
          <w:sz w:val="20"/>
          <w:szCs w:val="20"/>
          <w:color w:val="auto"/>
        </w:rPr>
      </w:pPr>
      <w:r>
        <w:rPr>
          <w:rFonts w:ascii="Arial" w:cs="Arial" w:eastAsia="Arial" w:hAnsi="Arial"/>
          <w:sz w:val="15"/>
          <w:szCs w:val="15"/>
          <w:color w:val="auto"/>
        </w:rPr>
        <w:t>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spacing w:after="0" w:line="1" w:lineRule="exact"/>
        <w:rPr>
          <w:sz w:val="20"/>
          <w:szCs w:val="20"/>
          <w:color w:val="auto"/>
        </w:rPr>
      </w:pPr>
    </w:p>
    <w:p>
      <w:pPr>
        <w:ind w:left="180"/>
        <w:spacing w:after="0" w:line="267" w:lineRule="auto"/>
        <w:rPr>
          <w:sz w:val="20"/>
          <w:szCs w:val="20"/>
          <w:color w:val="auto"/>
        </w:rPr>
      </w:pPr>
      <w:r>
        <w:rPr>
          <w:rFonts w:ascii="Arial" w:cs="Arial" w:eastAsia="Arial" w:hAnsi="Arial"/>
          <w:sz w:val="16"/>
          <w:szCs w:val="16"/>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 of Financial Advisor to the TWC Independent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107" w:lineRule="exact"/>
        <w:rPr>
          <w:sz w:val="20"/>
          <w:szCs w:val="20"/>
          <w:color w:val="auto"/>
        </w:rPr>
      </w:pPr>
    </w:p>
    <w:p>
      <w:pPr>
        <w:ind w:left="180" w:firstLine="443"/>
        <w:spacing w:after="0" w:line="250"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 TWC as treasury stock or owned by Comcast prior to the effective time of the merger, which are referred to in this joint proxy statement/prospectus as excluded shares).</w:t>
      </w:r>
    </w:p>
    <w:p>
      <w:pPr>
        <w:spacing w:after="0" w:line="185" w:lineRule="exact"/>
        <w:rPr>
          <w:sz w:val="20"/>
          <w:szCs w:val="20"/>
          <w:color w:val="auto"/>
        </w:rPr>
      </w:pPr>
    </w:p>
    <w:p>
      <w:pPr>
        <w:ind w:left="180" w:right="40" w:firstLine="443"/>
        <w:spacing w:after="0" w:line="287" w:lineRule="auto"/>
        <w:rPr>
          <w:sz w:val="20"/>
          <w:szCs w:val="20"/>
          <w:color w:val="auto"/>
        </w:rPr>
      </w:pPr>
      <w:r>
        <w:rPr>
          <w:rFonts w:ascii="Arial" w:cs="Arial" w:eastAsia="Arial" w:hAnsi="Arial"/>
          <w:sz w:val="15"/>
          <w:szCs w:val="15"/>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5"/>
          <w:szCs w:val="15"/>
          <w:b w:val="1"/>
          <w:bCs w:val="1"/>
          <w:color w:val="auto"/>
        </w:rPr>
        <w:t>Centerview’s opinion was provided for the information and assistance of the TWC</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 of Comcast’s Financial Advisor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107"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7"/>
          <w:szCs w:val="17"/>
          <w:color w:val="auto"/>
        </w:rPr>
        <w:t>On February 12, 2014, at the meeting of the Comcast board of directors at which the proposed merger was approved, J.P. Morgan Securities LLC, which is referred to in this joint proxy statement/prospectus as</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60"/>
          </w:cols>
          <w:pgMar w:left="240" w:top="439" w:right="3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70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085" cy="4970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spacing w:after="0" w:line="309" w:lineRule="auto"/>
        <w:rPr>
          <w:sz w:val="20"/>
          <w:szCs w:val="20"/>
          <w:color w:val="auto"/>
        </w:rPr>
      </w:pPr>
      <w:r>
        <w:rPr>
          <w:rFonts w:ascii="Arial" w:cs="Arial" w:eastAsia="Arial" w:hAnsi="Arial"/>
          <w:sz w:val="15"/>
          <w:szCs w:val="15"/>
          <w:color w:val="auto"/>
        </w:rPr>
        <w:t>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41" w:lineRule="exact"/>
        <w:rPr>
          <w:sz w:val="20"/>
          <w:szCs w:val="20"/>
          <w:color w:val="auto"/>
        </w:rPr>
      </w:pPr>
    </w:p>
    <w:p>
      <w:pPr>
        <w:ind w:left="180" w:right="40" w:firstLine="443"/>
        <w:spacing w:after="0" w:line="288" w:lineRule="auto"/>
        <w:rPr>
          <w:sz w:val="20"/>
          <w:szCs w:val="20"/>
          <w:color w:val="auto"/>
        </w:rPr>
      </w:pPr>
      <w:r>
        <w:rPr>
          <w:rFonts w:ascii="Arial" w:cs="Arial" w:eastAsia="Arial" w:hAnsi="Arial"/>
          <w:sz w:val="15"/>
          <w:szCs w:val="15"/>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60" w:lineRule="exact"/>
        <w:rPr>
          <w:sz w:val="20"/>
          <w:szCs w:val="20"/>
          <w:color w:val="auto"/>
        </w:rPr>
      </w:pPr>
    </w:p>
    <w:p>
      <w:pPr>
        <w:ind w:left="180" w:right="320" w:firstLine="443"/>
        <w:spacing w:after="0" w:line="270" w:lineRule="auto"/>
        <w:rPr>
          <w:sz w:val="20"/>
          <w:szCs w:val="20"/>
          <w:color w:val="auto"/>
        </w:rPr>
      </w:pPr>
      <w:r>
        <w:rPr>
          <w:rFonts w:ascii="Arial" w:cs="Arial" w:eastAsia="Arial" w:hAnsi="Arial"/>
          <w:sz w:val="17"/>
          <w:szCs w:val="17"/>
          <w:color w:val="auto"/>
        </w:rPr>
        <w:t>For further information, see “TWC Proposal I: Adoption of the Merger Agreement and Comcast Proposal I: Approval of the Stock Issuance—Opinion of Comcast’s Financial Advisor” beginning on page [—] of this joint proxy statement/prospectus.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Ownership of Shares of Comcast Class A Common Stock After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7"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 2014, Comcast expects to issue approximately [—] shares of Comcast Class A common stock to TWC stockholders pursuant to the merger and reserve for issuance approximately [—] additional shares of Comcast Class A common stock in connection with the conversion, exercise or settlement of outstanding TWC options and restricted stock units.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Interests of Directors and Executive Officers of TWC in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00" w:firstLine="443"/>
        <w:spacing w:after="0" w:line="27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60"/>
          </w:cols>
          <w:pgMar w:left="240" w:top="439" w:right="3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90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085" cy="48901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interests include the following:</w:t>
      </w:r>
    </w:p>
    <w:p>
      <w:pPr>
        <w:spacing w:after="0" w:line="120" w:lineRule="exact"/>
        <w:rPr>
          <w:sz w:val="20"/>
          <w:szCs w:val="20"/>
          <w:color w:val="auto"/>
        </w:rPr>
      </w:pPr>
    </w:p>
    <w:p>
      <w:pPr>
        <w:ind w:left="1060" w:right="160" w:hanging="430"/>
        <w:spacing w:after="0" w:line="299" w:lineRule="auto"/>
        <w:tabs>
          <w:tab w:leader="none" w:pos="10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61" w:lineRule="exact"/>
        <w:rPr>
          <w:rFonts w:ascii="Arial" w:cs="Arial" w:eastAsia="Arial" w:hAnsi="Arial"/>
          <w:sz w:val="15"/>
          <w:szCs w:val="15"/>
          <w:color w:val="auto"/>
        </w:rPr>
      </w:pPr>
    </w:p>
    <w:p>
      <w:pPr>
        <w:ind w:left="1060" w:right="200" w:hanging="430"/>
        <w:spacing w:after="0" w:line="30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54" w:lineRule="exact"/>
        <w:rPr>
          <w:rFonts w:ascii="Arial" w:cs="Arial" w:eastAsia="Arial" w:hAnsi="Arial"/>
          <w:sz w:val="16"/>
          <w:szCs w:val="16"/>
          <w:color w:val="auto"/>
        </w:rPr>
      </w:pPr>
    </w:p>
    <w:p>
      <w:pPr>
        <w:ind w:left="1060" w:hanging="430"/>
        <w:spacing w:after="0" w:line="285" w:lineRule="auto"/>
        <w:tabs>
          <w:tab w:leader="none" w:pos="10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 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77" w:lineRule="exact"/>
        <w:rPr>
          <w:rFonts w:ascii="Arial" w:cs="Arial" w:eastAsia="Arial" w:hAnsi="Arial"/>
          <w:sz w:val="15"/>
          <w:szCs w:val="15"/>
          <w:color w:val="auto"/>
        </w:rPr>
      </w:pPr>
    </w:p>
    <w:p>
      <w:pPr>
        <w:ind w:left="1060" w:right="20" w:hanging="430"/>
        <w:spacing w:after="0" w:line="255"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89" w:lineRule="exact"/>
        <w:rPr>
          <w:rFonts w:ascii="Arial" w:cs="Arial" w:eastAsia="Arial" w:hAnsi="Arial"/>
          <w:sz w:val="17"/>
          <w:szCs w:val="17"/>
          <w:color w:val="auto"/>
        </w:rPr>
      </w:pPr>
    </w:p>
    <w:p>
      <w:pPr>
        <w:ind w:left="1060" w:right="80" w:hanging="430"/>
        <w:spacing w:after="0" w:line="292" w:lineRule="auto"/>
        <w:tabs>
          <w:tab w:leader="none" w:pos="10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65" w:lineRule="exact"/>
        <w:rPr>
          <w:rFonts w:ascii="Arial" w:cs="Arial" w:eastAsia="Arial" w:hAnsi="Arial"/>
          <w:sz w:val="15"/>
          <w:szCs w:val="15"/>
          <w:color w:val="auto"/>
        </w:rPr>
      </w:pPr>
    </w:p>
    <w:p>
      <w:pPr>
        <w:ind w:left="1060" w:right="220" w:hanging="430"/>
        <w:spacing w:after="0" w:line="255"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240" w:top="439" w:right="4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61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085" cy="4961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500"/>
        <w:spacing w:after="0" w:line="270" w:lineRule="auto"/>
        <w:rPr>
          <w:sz w:val="20"/>
          <w:szCs w:val="20"/>
          <w:color w:val="auto"/>
        </w:rPr>
      </w:pPr>
      <w:r>
        <w:rPr>
          <w:rFonts w:ascii="Arial" w:cs="Arial" w:eastAsia="Arial" w:hAnsi="Arial"/>
          <w:sz w:val="17"/>
          <w:szCs w:val="17"/>
          <w:color w:val="auto"/>
        </w:rPr>
        <w:t>retention equity grant and supplement to the 2014 annual bonus are not taken into account in determining whether such compensation is not less favorable than it was before the completion of the merger.</w:t>
      </w:r>
    </w:p>
    <w:p>
      <w:pPr>
        <w:spacing w:after="0" w:line="77" w:lineRule="exact"/>
        <w:rPr>
          <w:sz w:val="20"/>
          <w:szCs w:val="20"/>
          <w:color w:val="auto"/>
        </w:rPr>
      </w:pPr>
    </w:p>
    <w:p>
      <w:pPr>
        <w:ind w:left="1060" w:right="320" w:hanging="430"/>
        <w:spacing w:after="0" w:line="270"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77" w:lineRule="exact"/>
        <w:rPr>
          <w:rFonts w:ascii="Arial" w:cs="Arial" w:eastAsia="Arial" w:hAnsi="Arial"/>
          <w:sz w:val="17"/>
          <w:szCs w:val="17"/>
          <w:color w:val="auto"/>
        </w:rPr>
      </w:pPr>
    </w:p>
    <w:p>
      <w:pPr>
        <w:ind w:left="1060" w:right="260" w:hanging="430"/>
        <w:spacing w:after="0" w:line="258"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w:t>
      </w:r>
    </w:p>
    <w:p>
      <w:pPr>
        <w:spacing w:after="0" w:line="88" w:lineRule="exact"/>
        <w:rPr>
          <w:rFonts w:ascii="Arial" w:cs="Arial" w:eastAsia="Arial" w:hAnsi="Arial"/>
          <w:sz w:val="17"/>
          <w:szCs w:val="17"/>
          <w:color w:val="auto"/>
        </w:rPr>
      </w:pPr>
    </w:p>
    <w:p>
      <w:pPr>
        <w:ind w:left="1060" w:right="240" w:hanging="430"/>
        <w:spacing w:after="0" w:line="270"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Certain former directors and officers of TWC will have rights to indemnification from Comcast. See “The Merger Agreement—Indemnification and Insurance” beginning on page [—] of this joint proxy statement/prospectus for further details.</w:t>
      </w:r>
    </w:p>
    <w:p>
      <w:pPr>
        <w:spacing w:after="0" w:line="166" w:lineRule="exact"/>
        <w:rPr>
          <w:sz w:val="20"/>
          <w:szCs w:val="20"/>
          <w:color w:val="auto"/>
        </w:rPr>
      </w:pPr>
    </w:p>
    <w:p>
      <w:pPr>
        <w:ind w:left="180" w:right="80" w:firstLine="443"/>
        <w:spacing w:after="0" w:line="338" w:lineRule="auto"/>
        <w:rPr>
          <w:sz w:val="20"/>
          <w:szCs w:val="20"/>
          <w:color w:val="auto"/>
        </w:rPr>
      </w:pPr>
      <w:r>
        <w:rPr>
          <w:rFonts w:ascii="Arial" w:cs="Arial" w:eastAsia="Arial" w:hAnsi="Arial"/>
          <w:sz w:val="15"/>
          <w:szCs w:val="15"/>
          <w:color w:val="auto"/>
        </w:rPr>
        <w:t>These interests are described in further detail under “Interests of Certain Persons in the Merger—Interests of Directors and Executive Officers of TWC in the Merger” and “The Merger Agreement—Indemnification and Insurance” beginning on pages [—] and [—], respectively, of this joint proxy statement/prospectus.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Listing of Shares of Comcast Class A Common Stock and Delisting and Deregistration of TWC Common Stock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left="180" w:firstLine="443"/>
        <w:spacing w:after="0" w:line="282" w:lineRule="auto"/>
        <w:rPr>
          <w:sz w:val="20"/>
          <w:szCs w:val="20"/>
          <w:color w:val="auto"/>
        </w:rPr>
      </w:pPr>
      <w:r>
        <w:rPr>
          <w:rFonts w:ascii="Arial" w:cs="Arial" w:eastAsia="Arial" w:hAnsi="Arial"/>
          <w:sz w:val="16"/>
          <w:szCs w:val="16"/>
          <w:color w:val="auto"/>
        </w:rPr>
        <w:t>Comcast will apply for listing on NASDAQ, where shares of Comcast Class A common stock are currently traded, of the shares of Comcast Class A common stock to be issued in the merger. If the merger is completed, the shares of Comcast Class A common stock to be issued in the merger will be listed on NASDAQ, and TWC shares will no longer be listed on the New York Stock Exchange and will be deregistered under the Exchange Act.</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Completion of the Merger Is Subject to Certain Conditions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00" w:firstLine="443"/>
        <w:spacing w:after="0" w:line="338" w:lineRule="auto"/>
        <w:rPr>
          <w:sz w:val="20"/>
          <w:szCs w:val="20"/>
          <w:color w:val="auto"/>
        </w:rPr>
      </w:pPr>
      <w:r>
        <w:rPr>
          <w:rFonts w:ascii="Arial" w:cs="Arial" w:eastAsia="Arial" w:hAnsi="Arial"/>
          <w:sz w:val="15"/>
          <w:szCs w:val="15"/>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31" w:lineRule="exact"/>
        <w:rPr>
          <w:sz w:val="20"/>
          <w:szCs w:val="20"/>
          <w:color w:val="auto"/>
        </w:rPr>
      </w:pPr>
    </w:p>
    <w:p>
      <w:pPr>
        <w:ind w:left="1060" w:hanging="430"/>
        <w:spacing w:after="0"/>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adoption of the merger agreement by the affirmative vote of holders of a majority of the outstanding shares of TWC common stock entitled to vote;</w:t>
      </w:r>
    </w:p>
    <w:p>
      <w:pPr>
        <w:spacing w:after="0" w:line="142" w:lineRule="exact"/>
        <w:rPr>
          <w:rFonts w:ascii="Arial" w:cs="Arial" w:eastAsia="Arial" w:hAnsi="Arial"/>
          <w:sz w:val="15"/>
          <w:szCs w:val="15"/>
          <w:color w:val="auto"/>
        </w:rPr>
      </w:pPr>
    </w:p>
    <w:p>
      <w:pPr>
        <w:ind w:left="1060" w:right="80" w:hanging="430"/>
        <w:spacing w:after="0" w:line="255"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89" w:lineRule="exact"/>
        <w:rPr>
          <w:rFonts w:ascii="Arial" w:cs="Arial" w:eastAsia="Arial" w:hAnsi="Arial"/>
          <w:sz w:val="17"/>
          <w:szCs w:val="17"/>
          <w:color w:val="auto"/>
        </w:rPr>
      </w:pPr>
    </w:p>
    <w:p>
      <w:pPr>
        <w:ind w:left="1060" w:right="220" w:hanging="430"/>
        <w:spacing w:after="0" w:line="309" w:lineRule="auto"/>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Agreement—Reasonable Best Efforts Covenant” beginning on page [—] of this joint proxy statement/prospectus for a definition of burdensome condition));</w:t>
      </w:r>
    </w:p>
    <w:p>
      <w:pPr>
        <w:spacing w:after="0" w:line="52" w:lineRule="exact"/>
        <w:rPr>
          <w:rFonts w:ascii="Arial" w:cs="Arial" w:eastAsia="Arial" w:hAnsi="Arial"/>
          <w:sz w:val="15"/>
          <w:szCs w:val="15"/>
          <w:color w:val="auto"/>
        </w:rPr>
      </w:pPr>
    </w:p>
    <w:p>
      <w:pPr>
        <w:ind w:left="1060" w:right="120" w:hanging="430"/>
        <w:spacing w:after="0" w:line="338" w:lineRule="auto"/>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80"/>
          </w:cols>
          <w:pgMar w:left="240" w:top="439" w:right="3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61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085" cy="51619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80"/>
        <w:spacing w:after="0" w:line="295" w:lineRule="auto"/>
        <w:rPr>
          <w:sz w:val="20"/>
          <w:szCs w:val="20"/>
          <w:color w:val="auto"/>
        </w:rPr>
      </w:pPr>
      <w:r>
        <w:rPr>
          <w:rFonts w:ascii="Arial" w:cs="Arial" w:eastAsia="Arial" w:hAnsi="Arial"/>
          <w:sz w:val="15"/>
          <w:szCs w:val="15"/>
          <w:color w:val="auto"/>
        </w:rPr>
        <w:t>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 of this joint proxy statement/prospectus);</w:t>
      </w:r>
    </w:p>
    <w:p>
      <w:pPr>
        <w:spacing w:after="0" w:line="62" w:lineRule="exact"/>
        <w:rPr>
          <w:sz w:val="20"/>
          <w:szCs w:val="20"/>
          <w:color w:val="auto"/>
        </w:rPr>
      </w:pPr>
    </w:p>
    <w:p>
      <w:pPr>
        <w:ind w:left="1060" w:right="120" w:hanging="430"/>
        <w:spacing w:after="0" w:line="276"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74" w:lineRule="exact"/>
        <w:rPr>
          <w:rFonts w:ascii="Arial" w:cs="Arial" w:eastAsia="Arial" w:hAnsi="Arial"/>
          <w:sz w:val="16"/>
          <w:szCs w:val="16"/>
          <w:color w:val="auto"/>
        </w:rPr>
      </w:pPr>
    </w:p>
    <w:p>
      <w:pPr>
        <w:ind w:left="1060" w:right="100" w:hanging="430"/>
        <w:spacing w:after="0" w:line="258"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8" w:lineRule="exact"/>
        <w:rPr>
          <w:rFonts w:ascii="Arial" w:cs="Arial" w:eastAsia="Arial" w:hAnsi="Arial"/>
          <w:sz w:val="17"/>
          <w:szCs w:val="17"/>
          <w:color w:val="auto"/>
        </w:rPr>
      </w:pPr>
    </w:p>
    <w:p>
      <w:pPr>
        <w:ind w:left="1060" w:right="42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approval for the listing on NASDAQ of the shares of Comcast Class A common stock to be issued in the merger, subject only to official notice of issuance;</w:t>
      </w:r>
    </w:p>
    <w:p>
      <w:pPr>
        <w:spacing w:after="0" w:line="77" w:lineRule="exact"/>
        <w:rPr>
          <w:rFonts w:ascii="Arial" w:cs="Arial" w:eastAsia="Arial" w:hAnsi="Arial"/>
          <w:sz w:val="17"/>
          <w:szCs w:val="17"/>
          <w:color w:val="auto"/>
        </w:rPr>
      </w:pPr>
    </w:p>
    <w:p>
      <w:pPr>
        <w:ind w:left="1060" w:hanging="430"/>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131" w:lineRule="exact"/>
        <w:rPr>
          <w:rFonts w:ascii="Arial" w:cs="Arial" w:eastAsia="Arial" w:hAnsi="Arial"/>
          <w:sz w:val="16"/>
          <w:szCs w:val="16"/>
          <w:color w:val="auto"/>
        </w:rPr>
      </w:pPr>
    </w:p>
    <w:p>
      <w:pPr>
        <w:ind w:left="1060" w:hanging="430"/>
        <w:spacing w:after="0"/>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performance in all material respects by the other party of the material obligations required to be performed by it at or prior to completion of the merger;</w:t>
      </w:r>
    </w:p>
    <w:p>
      <w:pPr>
        <w:spacing w:after="0" w:line="142" w:lineRule="exact"/>
        <w:rPr>
          <w:rFonts w:ascii="Arial" w:cs="Arial" w:eastAsia="Arial" w:hAnsi="Arial"/>
          <w:sz w:val="15"/>
          <w:szCs w:val="15"/>
          <w:color w:val="auto"/>
        </w:rPr>
      </w:pPr>
    </w:p>
    <w:p>
      <w:pPr>
        <w:ind w:left="1060" w:right="14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absence of a material adverse effect on the other party (see “The Merger Agreement—Definition of ‘Material Adverse Effect’” beginning on page [—] of this joint proxy statement/prospectus for the definition of material adverse effect);</w:t>
      </w:r>
    </w:p>
    <w:p>
      <w:pPr>
        <w:spacing w:after="0" w:line="77" w:lineRule="exact"/>
        <w:rPr>
          <w:rFonts w:ascii="Arial" w:cs="Arial" w:eastAsia="Arial" w:hAnsi="Arial"/>
          <w:sz w:val="17"/>
          <w:szCs w:val="17"/>
          <w:color w:val="auto"/>
        </w:rPr>
      </w:pPr>
    </w:p>
    <w:p>
      <w:pPr>
        <w:ind w:left="1060" w:right="4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receipt of a certificate executed by an executive officer of the other party as to the satisfaction of the conditions described in the preceding three bullets with respect to such other party; and</w:t>
      </w:r>
    </w:p>
    <w:p>
      <w:pPr>
        <w:spacing w:after="0" w:line="77" w:lineRule="exact"/>
        <w:rPr>
          <w:rFonts w:ascii="Arial" w:cs="Arial" w:eastAsia="Arial" w:hAnsi="Arial"/>
          <w:sz w:val="17"/>
          <w:szCs w:val="17"/>
          <w:color w:val="auto"/>
        </w:rPr>
      </w:pPr>
    </w:p>
    <w:p>
      <w:pPr>
        <w:ind w:left="1060" w:right="12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3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May Not Be Completed Without All Required Regulatory Approvals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20" w:firstLine="443"/>
        <w:spacing w:after="0" w:line="258" w:lineRule="auto"/>
        <w:rPr>
          <w:sz w:val="20"/>
          <w:szCs w:val="20"/>
          <w:color w:val="auto"/>
        </w:rPr>
      </w:pPr>
      <w:r>
        <w:rPr>
          <w:rFonts w:ascii="Arial" w:cs="Arial" w:eastAsia="Arial" w:hAnsi="Arial"/>
          <w:sz w:val="17"/>
          <w:szCs w:val="17"/>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77" w:lineRule="exact"/>
        <w:rPr>
          <w:sz w:val="20"/>
          <w:szCs w:val="20"/>
          <w:color w:val="auto"/>
        </w:rPr>
      </w:pPr>
    </w:p>
    <w:p>
      <w:pPr>
        <w:ind w:left="180" w:right="260" w:firstLine="443"/>
        <w:spacing w:after="0" w:line="258"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60"/>
          </w:cols>
          <w:pgMar w:left="240" w:top="439" w:right="3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14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085" cy="53143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00"/>
        <w:spacing w:after="0" w:line="272" w:lineRule="auto"/>
        <w:rPr>
          <w:sz w:val="20"/>
          <w:szCs w:val="20"/>
          <w:color w:val="auto"/>
        </w:rPr>
      </w:pPr>
      <w:r>
        <w:rPr>
          <w:rFonts w:ascii="Arial" w:cs="Arial" w:eastAsia="Arial" w:hAnsi="Arial"/>
          <w:sz w:val="16"/>
          <w:szCs w:val="16"/>
          <w:color w:val="auto"/>
        </w:rPr>
        <w: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68" w:lineRule="exact"/>
        <w:rPr>
          <w:sz w:val="20"/>
          <w:szCs w:val="20"/>
          <w:color w:val="auto"/>
        </w:rPr>
      </w:pPr>
    </w:p>
    <w:p>
      <w:pPr>
        <w:ind w:left="180" w:right="60" w:firstLine="443"/>
        <w:spacing w:after="0" w:line="252"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81"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Comcast and TWC have agreed to use their respective reasonable best efforts to obtain all regulatory approvals required to complete the merger. 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 The process for obtaining the requisite regulatory approvals is ongoing.</w:t>
      </w:r>
    </w:p>
    <w:p>
      <w:pPr>
        <w:spacing w:after="0" w:line="171" w:lineRule="exact"/>
        <w:rPr>
          <w:sz w:val="20"/>
          <w:szCs w:val="20"/>
          <w:color w:val="auto"/>
        </w:rPr>
      </w:pPr>
    </w:p>
    <w:p>
      <w:pPr>
        <w:ind w:left="180" w:right="420" w:firstLine="443"/>
        <w:spacing w:after="0" w:line="270" w:lineRule="auto"/>
        <w:rPr>
          <w:sz w:val="20"/>
          <w:szCs w:val="20"/>
          <w:color w:val="auto"/>
        </w:rPr>
      </w:pPr>
      <w:r>
        <w:rPr>
          <w:rFonts w:ascii="Arial" w:cs="Arial" w:eastAsia="Arial" w:hAnsi="Arial"/>
          <w:sz w:val="17"/>
          <w:szCs w:val="17"/>
          <w:color w:val="auto"/>
        </w:rPr>
        <w:t>Comcast’s obligation to use reasonable best efforts to obtain all regulatory approvals required to complete the merger does not require Comcast to (and, without Comcast’s prior written consent, TWC is not permitted to):</w:t>
      </w:r>
    </w:p>
    <w:p>
      <w:pPr>
        <w:spacing w:after="0" w:line="77" w:lineRule="exact"/>
        <w:rPr>
          <w:sz w:val="20"/>
          <w:szCs w:val="20"/>
          <w:color w:val="auto"/>
        </w:rPr>
      </w:pPr>
    </w:p>
    <w:p>
      <w:pPr>
        <w:ind w:left="1060" w:hanging="430"/>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divest or hold separate any businesses, assets or properties of Comcast or TWC or any of their respective subsidiaries;</w:t>
      </w:r>
    </w:p>
    <w:p>
      <w:pPr>
        <w:spacing w:after="0" w:line="119" w:lineRule="exact"/>
        <w:rPr>
          <w:rFonts w:ascii="Arial" w:cs="Arial" w:eastAsia="Arial" w:hAnsi="Arial"/>
          <w:sz w:val="17"/>
          <w:szCs w:val="17"/>
          <w:color w:val="auto"/>
        </w:rPr>
      </w:pPr>
    </w:p>
    <w:p>
      <w:pPr>
        <w:ind w:left="1060" w:right="660" w:hanging="430"/>
        <w:spacing w:after="0" w:line="270"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accept any conditions or take any actions that would apply to or affect any businesses, assets or properties of Comcast or TWC or any of their respective subsidiaries; or</w:t>
      </w:r>
    </w:p>
    <w:p>
      <w:pPr>
        <w:spacing w:after="0" w:line="77" w:lineRule="exact"/>
        <w:rPr>
          <w:rFonts w:ascii="Arial" w:cs="Arial" w:eastAsia="Arial" w:hAnsi="Arial"/>
          <w:sz w:val="17"/>
          <w:szCs w:val="17"/>
          <w:color w:val="auto"/>
        </w:rPr>
      </w:pPr>
    </w:p>
    <w:p>
      <w:pPr>
        <w:ind w:left="1060" w:hanging="430"/>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the FTC or the DOJ.</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Notwithstanding the first two bullets above, (i) Comcast is prepared to divest up to approximately three million subscribers of the combined company and</w:t>
      </w:r>
    </w:p>
    <w:p>
      <w:pPr>
        <w:spacing w:after="0" w:line="41" w:lineRule="exact"/>
        <w:rPr>
          <w:sz w:val="20"/>
          <w:szCs w:val="20"/>
          <w:color w:val="auto"/>
        </w:rPr>
      </w:pPr>
    </w:p>
    <w:p>
      <w:pPr>
        <w:ind w:left="180" w:firstLine="9"/>
        <w:spacing w:after="0" w:line="266" w:lineRule="auto"/>
        <w:tabs>
          <w:tab w:leader="none" w:pos="4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 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Further, notwithstanding the third bullet above, Comcast has agreed to participate in the litigation of proceedings involving the FCC or the DOJ to</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240" w:top="439" w:right="4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97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4085" cy="50977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0"/>
        <w:spacing w:after="0" w:line="309" w:lineRule="auto"/>
        <w:rPr>
          <w:sz w:val="20"/>
          <w:szCs w:val="20"/>
          <w:color w:val="auto"/>
        </w:rPr>
      </w:pPr>
      <w:r>
        <w:rPr>
          <w:rFonts w:ascii="Arial" w:cs="Arial" w:eastAsia="Arial" w:hAnsi="Arial"/>
          <w:sz w:val="15"/>
          <w:szCs w:val="15"/>
          <w:color w:val="auto"/>
        </w:rPr>
        <w:t>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41"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Is Expected to be Completed by the End of 2014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left="180" w:right="120" w:firstLine="443"/>
        <w:spacing w:after="0" w:line="258" w:lineRule="auto"/>
        <w:rPr>
          <w:sz w:val="20"/>
          <w:szCs w:val="20"/>
          <w:color w:val="auto"/>
        </w:rPr>
      </w:pPr>
      <w:r>
        <w:rPr>
          <w:rFonts w:ascii="Arial" w:cs="Arial" w:eastAsia="Arial" w:hAnsi="Arial"/>
          <w:sz w:val="17"/>
          <w:szCs w:val="17"/>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the merger is expected to be completed by the end of 2014. However, there can be no assurance as to when, or if, the merger will occur.</w:t>
      </w:r>
    </w:p>
    <w:p>
      <w:pPr>
        <w:spacing w:after="0" w:line="177" w:lineRule="exact"/>
        <w:rPr>
          <w:sz w:val="20"/>
          <w:szCs w:val="20"/>
          <w:color w:val="auto"/>
        </w:rPr>
      </w:pPr>
    </w:p>
    <w:p>
      <w:pPr>
        <w:ind w:left="180" w:right="80" w:firstLine="443"/>
        <w:spacing w:after="0" w:line="258"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 Solicitation by TWC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0" w:firstLine="443"/>
        <w:spacing w:after="0" w:line="285" w:lineRule="auto"/>
        <w:rPr>
          <w:sz w:val="20"/>
          <w:szCs w:val="20"/>
          <w:color w:val="auto"/>
        </w:rPr>
      </w:pPr>
      <w:r>
        <w:rPr>
          <w:rFonts w:ascii="Arial" w:cs="Arial" w:eastAsia="Arial" w:hAnsi="Arial"/>
          <w:sz w:val="15"/>
          <w:szCs w:val="15"/>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 of this joint proxy statement/prospectus), (ii) 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 —No Solicitation by TWC,” beginning on page [—] of this joint proxy statement/prospectus).</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60"/>
          </w:cols>
          <w:pgMar w:left="240" w:top="439" w:right="3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57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085" cy="48577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firstLine="443"/>
        <w:spacing w:after="0" w:line="270" w:lineRule="auto"/>
        <w:rPr>
          <w:sz w:val="20"/>
          <w:szCs w:val="20"/>
          <w:color w:val="auto"/>
        </w:rPr>
      </w:pPr>
      <w:r>
        <w:rPr>
          <w:rFonts w:ascii="Arial" w:cs="Arial" w:eastAsia="Arial" w:hAnsi="Arial"/>
          <w:sz w:val="17"/>
          <w:szCs w:val="17"/>
          <w:color w:val="auto"/>
        </w:rPr>
        <w:t>Notwithstanding the foregoing, at any time prior to the adoption of the merger agreement by TWC stockholders, subject to the terms and conditions described in the merger agreement, TWC is permitted to:</w:t>
      </w:r>
    </w:p>
    <w:p>
      <w:pPr>
        <w:spacing w:after="0" w:line="77" w:lineRule="exact"/>
        <w:rPr>
          <w:sz w:val="20"/>
          <w:szCs w:val="20"/>
          <w:color w:val="auto"/>
        </w:rPr>
      </w:pPr>
    </w:p>
    <w:p>
      <w:pPr>
        <w:ind w:left="1060" w:hanging="430"/>
        <w:spacing w:after="0" w:line="282" w:lineRule="auto"/>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w:t>
      </w:r>
    </w:p>
    <w:p>
      <w:pPr>
        <w:spacing w:after="0" w:line="4"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(iii) take any action required by applicable law or that any court of competent jurisdiction orders TWC to take; and</w:t>
      </w:r>
    </w:p>
    <w:p>
      <w:pPr>
        <w:spacing w:after="0" w:line="107" w:lineRule="exact"/>
        <w:rPr>
          <w:rFonts w:ascii="Arial" w:cs="Arial" w:eastAsia="Arial" w:hAnsi="Arial"/>
          <w:sz w:val="15"/>
          <w:szCs w:val="15"/>
          <w:color w:val="auto"/>
        </w:rPr>
      </w:pPr>
    </w:p>
    <w:p>
      <w:pPr>
        <w:ind w:left="1060" w:right="20" w:hanging="430"/>
        <w:spacing w:after="0" w:line="258"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TWC board of directors may make an adverse recommendation change (i) following receipt of a superior proposal or (ii) involving or relating to an intervening event (as defined under “The Merger Agreement—No Solicitation by TWC,” beginning on page [—] of this joint proxy statement/prospectus).</w:t>
      </w:r>
    </w:p>
    <w:p>
      <w:pPr>
        <w:spacing w:after="0" w:line="177"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 (ii) 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60"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71"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60"/>
          </w:cols>
          <w:pgMar w:left="240" w:top="439" w:right="3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90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4085" cy="54902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firstLine="443"/>
        <w:spacing w:after="0" w:line="255" w:lineRule="auto"/>
        <w:rPr>
          <w:sz w:val="20"/>
          <w:szCs w:val="20"/>
          <w:color w:val="auto"/>
        </w:rPr>
      </w:pPr>
      <w:r>
        <w:rPr>
          <w:rFonts w:ascii="Arial" w:cs="Arial" w:eastAsia="Arial" w:hAnsi="Arial"/>
          <w:sz w:val="17"/>
          <w:szCs w:val="17"/>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 of this joint proxy statement/prospectus.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Termination of the Merger Agreement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30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54" w:lineRule="exact"/>
        <w:rPr>
          <w:sz w:val="20"/>
          <w:szCs w:val="20"/>
          <w:color w:val="auto"/>
        </w:rPr>
      </w:pPr>
    </w:p>
    <w:p>
      <w:pPr>
        <w:ind w:left="1060" w:hanging="430"/>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mutual written consent of Comcast and TWC;</w:t>
      </w:r>
    </w:p>
    <w:p>
      <w:pPr>
        <w:spacing w:after="0" w:line="119" w:lineRule="exact"/>
        <w:rPr>
          <w:rFonts w:ascii="Arial" w:cs="Arial" w:eastAsia="Arial" w:hAnsi="Arial"/>
          <w:sz w:val="17"/>
          <w:szCs w:val="17"/>
          <w:color w:val="auto"/>
        </w:rPr>
      </w:pPr>
    </w:p>
    <w:p>
      <w:pPr>
        <w:ind w:left="1060" w:hanging="430"/>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either Comcast or TWC, if:</w:t>
      </w:r>
    </w:p>
    <w:p>
      <w:pPr>
        <w:spacing w:after="0" w:line="119" w:lineRule="exact"/>
        <w:rPr>
          <w:rFonts w:ascii="Arial" w:cs="Arial" w:eastAsia="Arial" w:hAnsi="Arial"/>
          <w:sz w:val="17"/>
          <w:szCs w:val="17"/>
          <w:color w:val="auto"/>
        </w:rPr>
      </w:pPr>
    </w:p>
    <w:p>
      <w:pPr>
        <w:ind w:left="1620" w:right="160" w:hanging="435"/>
        <w:spacing w:after="0" w:line="270" w:lineRule="auto"/>
        <w:tabs>
          <w:tab w:leader="none" w:pos="16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82" w:lineRule="exact"/>
        <w:rPr>
          <w:rFonts w:ascii="Arial" w:cs="Arial" w:eastAsia="Arial" w:hAnsi="Arial"/>
          <w:sz w:val="16"/>
          <w:szCs w:val="16"/>
          <w:color w:val="auto"/>
        </w:rPr>
      </w:pPr>
    </w:p>
    <w:p>
      <w:pPr>
        <w:ind w:left="1620" w:right="20" w:hanging="435"/>
        <w:spacing w:after="0" w:line="276" w:lineRule="auto"/>
        <w:tabs>
          <w:tab w:leader="none" w:pos="16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74" w:lineRule="exact"/>
        <w:rPr>
          <w:rFonts w:ascii="Arial" w:cs="Arial" w:eastAsia="Arial" w:hAnsi="Arial"/>
          <w:sz w:val="16"/>
          <w:szCs w:val="16"/>
          <w:color w:val="auto"/>
        </w:rPr>
      </w:pPr>
    </w:p>
    <w:p>
      <w:pPr>
        <w:ind w:left="1620" w:right="80" w:hanging="435"/>
        <w:spacing w:after="0" w:line="270" w:lineRule="auto"/>
        <w:tabs>
          <w:tab w:leader="none" w:pos="162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TWC stockholders fail to adopt the merger agreement upon a vote taken on a proposal to adopt the merger agreement at a TWC stockholders’ meeting called for that purpose;</w:t>
      </w:r>
    </w:p>
    <w:p>
      <w:pPr>
        <w:spacing w:after="0" w:line="77" w:lineRule="exact"/>
        <w:rPr>
          <w:rFonts w:ascii="Arial" w:cs="Arial" w:eastAsia="Arial" w:hAnsi="Arial"/>
          <w:sz w:val="17"/>
          <w:szCs w:val="17"/>
          <w:color w:val="auto"/>
        </w:rPr>
      </w:pPr>
    </w:p>
    <w:p>
      <w:pPr>
        <w:ind w:left="1620" w:right="760" w:hanging="435"/>
        <w:spacing w:after="0" w:line="270" w:lineRule="auto"/>
        <w:tabs>
          <w:tab w:leader="none" w:pos="162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Comcast shareholders fail to approve the stock issuance upon a vote taken on a proposal to approve the stock issuance at a Comcast shareholders’ meeting called for that purpose; or</w:t>
      </w:r>
    </w:p>
    <w:p>
      <w:pPr>
        <w:spacing w:after="0" w:line="77" w:lineRule="exact"/>
        <w:rPr>
          <w:rFonts w:ascii="Arial" w:cs="Arial" w:eastAsia="Arial" w:hAnsi="Arial"/>
          <w:sz w:val="17"/>
          <w:szCs w:val="17"/>
          <w:color w:val="auto"/>
        </w:rPr>
      </w:pPr>
    </w:p>
    <w:p>
      <w:pPr>
        <w:ind w:left="1620" w:right="20" w:hanging="435"/>
        <w:spacing w:after="0" w:line="295" w:lineRule="auto"/>
        <w:tabs>
          <w:tab w:leader="none" w:pos="162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62" w:lineRule="exact"/>
        <w:rPr>
          <w:rFonts w:ascii="Arial" w:cs="Arial" w:eastAsia="Arial" w:hAnsi="Arial"/>
          <w:sz w:val="15"/>
          <w:szCs w:val="15"/>
          <w:color w:val="auto"/>
        </w:rPr>
      </w:pPr>
    </w:p>
    <w:p>
      <w:pPr>
        <w:ind w:left="1060" w:hanging="430"/>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Comcast, if:</w:t>
      </w:r>
    </w:p>
    <w:p>
      <w:pPr>
        <w:spacing w:after="0" w:line="119" w:lineRule="exact"/>
        <w:rPr>
          <w:rFonts w:ascii="Arial" w:cs="Arial" w:eastAsia="Arial" w:hAnsi="Arial"/>
          <w:sz w:val="17"/>
          <w:szCs w:val="17"/>
          <w:color w:val="auto"/>
        </w:rPr>
      </w:pPr>
    </w:p>
    <w:p>
      <w:pPr>
        <w:ind w:left="1620" w:right="160" w:hanging="435"/>
        <w:spacing w:after="0" w:line="253" w:lineRule="auto"/>
        <w:tabs>
          <w:tab w:leader="none" w:pos="162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240" w:top="439" w:right="4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642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4085" cy="56426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20" w:right="280" w:hanging="435"/>
        <w:spacing w:after="0" w:line="258" w:lineRule="auto"/>
        <w:tabs>
          <w:tab w:leader="none" w:pos="1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8" w:lineRule="exact"/>
        <w:rPr>
          <w:rFonts w:ascii="Arial" w:cs="Arial" w:eastAsia="Arial" w:hAnsi="Arial"/>
          <w:sz w:val="17"/>
          <w:szCs w:val="17"/>
          <w:color w:val="auto"/>
        </w:rPr>
      </w:pPr>
    </w:p>
    <w:p>
      <w:pPr>
        <w:ind w:left="1620" w:hanging="435"/>
        <w:spacing w:after="0" w:line="253" w:lineRule="auto"/>
        <w:tabs>
          <w:tab w:leader="none" w:pos="1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prior to the adoption of the merger agreement by TWC stockholders, there has been an intentional and material breach by TWC of (i) any of its obligations described under “The Merger Agreement—No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2" w:lineRule="exact"/>
        <w:rPr>
          <w:rFonts w:ascii="Arial" w:cs="Arial" w:eastAsia="Arial" w:hAnsi="Arial"/>
          <w:sz w:val="17"/>
          <w:szCs w:val="17"/>
          <w:color w:val="auto"/>
        </w:rPr>
      </w:pPr>
    </w:p>
    <w:p>
      <w:pPr>
        <w:ind w:left="1060" w:hanging="430"/>
        <w:spacing w:after="0"/>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by TWC, if:</w:t>
      </w:r>
    </w:p>
    <w:p>
      <w:pPr>
        <w:spacing w:after="0" w:line="119" w:lineRule="exact"/>
        <w:rPr>
          <w:rFonts w:ascii="Arial" w:cs="Arial" w:eastAsia="Arial" w:hAnsi="Arial"/>
          <w:sz w:val="17"/>
          <w:szCs w:val="17"/>
          <w:color w:val="auto"/>
        </w:rPr>
      </w:pPr>
    </w:p>
    <w:p>
      <w:pPr>
        <w:ind w:left="1620" w:right="500" w:hanging="435"/>
        <w:spacing w:after="0" w:line="270" w:lineRule="auto"/>
        <w:tabs>
          <w:tab w:leader="none" w:pos="1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there has been an intentional and material breach of Comcast’s obligations to call and hold a meeting of its shareholders for purposes of approving the stock issuance; or</w:t>
      </w:r>
    </w:p>
    <w:p>
      <w:pPr>
        <w:spacing w:after="0" w:line="77" w:lineRule="exact"/>
        <w:rPr>
          <w:rFonts w:ascii="Arial" w:cs="Arial" w:eastAsia="Arial" w:hAnsi="Arial"/>
          <w:sz w:val="17"/>
          <w:szCs w:val="17"/>
          <w:color w:val="auto"/>
        </w:rPr>
      </w:pPr>
    </w:p>
    <w:p>
      <w:pPr>
        <w:ind w:left="1620" w:right="400" w:hanging="435"/>
        <w:spacing w:after="0" w:line="270" w:lineRule="auto"/>
        <w:tabs>
          <w:tab w:leader="none" w:pos="1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 material breach of the voting agreement shall have occurred that is not curable or, if capable of being cured, is not cured within 30 days notice thereof.</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Specific Performance; Remedies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80" w:firstLine="443"/>
        <w:spacing w:after="0" w:line="338" w:lineRule="auto"/>
        <w:rPr>
          <w:sz w:val="20"/>
          <w:szCs w:val="20"/>
          <w:color w:val="auto"/>
        </w:rPr>
      </w:pPr>
      <w:r>
        <w:rPr>
          <w:rFonts w:ascii="Arial" w:cs="Arial" w:eastAsia="Arial" w:hAnsi="Arial"/>
          <w:sz w:val="15"/>
          <w:szCs w:val="15"/>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Material U.S. Federal Income Tax Consequences of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52"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Accounting Treatment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0" w:firstLine="443"/>
        <w:spacing w:after="0" w:line="299" w:lineRule="auto"/>
        <w:rPr>
          <w:sz w:val="20"/>
          <w:szCs w:val="20"/>
          <w:color w:val="auto"/>
        </w:rPr>
      </w:pPr>
      <w:r>
        <w:rPr>
          <w:rFonts w:ascii="Arial" w:cs="Arial" w:eastAsia="Arial" w:hAnsi="Arial"/>
          <w:sz w:val="15"/>
          <w:szCs w:val="15"/>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1 of the “Comcast and TWC Unaudited Pro Forma Condensed Combined Financial Statements” beginning on page [—] of this joint proxy statement/prospectus) over the net fair value of such assets and liabilities will be recorded as goodwill.</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Rights of TWC Stockholders Will Change as a Result of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80" w:firstLine="443"/>
        <w:spacing w:after="0" w:line="282" w:lineRule="auto"/>
        <w:rPr>
          <w:sz w:val="20"/>
          <w:szCs w:val="20"/>
          <w:color w:val="auto"/>
        </w:rPr>
      </w:pPr>
      <w:r>
        <w:rPr>
          <w:rFonts w:ascii="Arial" w:cs="Arial" w:eastAsia="Arial" w:hAnsi="Arial"/>
          <w:sz w:val="16"/>
          <w:szCs w:val="16"/>
          <w:color w:val="auto"/>
        </w:rPr>
        <w:t>TWC stockholders will have different rights once they become Comcast shareholders due to differences between the organizational documents of Comcast and TWC and differences between Pennsylvania law, where Comcast is incorporated, and Delaware law, where TWC is incorporated. These differences are described in more detail under “Comparison of Stockholder Rights” beginning on page [—] of this joint proxy statement/prospectus.</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240" w:top="439" w:right="4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1574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085" cy="15741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Litigation Relating to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color w:val="auto"/>
        </w:rPr>
        <w:t>Following the announcement of the merger, eight putative class action complaints challenging the merger have been filed on behalf of purported TWC stockholders, seven in the Supreme Court of the State of New York, County of New York and one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w:t>
      </w:r>
    </w:p>
    <w:p>
      <w:pPr>
        <w:spacing w:after="0" w:line="180" w:lineRule="exact"/>
        <w:rPr>
          <w:sz w:val="20"/>
          <w:szCs w:val="20"/>
          <w:color w:val="auto"/>
        </w:rPr>
      </w:pPr>
    </w:p>
    <w:p>
      <w:pPr>
        <w:ind w:left="180" w:firstLine="443"/>
        <w:spacing w:after="0" w:line="258" w:lineRule="auto"/>
        <w:rPr>
          <w:sz w:val="20"/>
          <w:szCs w:val="20"/>
          <w:color w:val="auto"/>
        </w:rPr>
      </w:pPr>
      <w:r>
        <w:rPr>
          <w:rFonts w:ascii="Arial" w:cs="Arial" w:eastAsia="Arial" w:hAnsi="Arial"/>
          <w:sz w:val="17"/>
          <w:szCs w:val="17"/>
          <w:color w:val="auto"/>
        </w:rPr>
        <w:t>The defendants believe that the claims asserted against them in the lawsuits are without merit and intend to defend the litigation vigorously. The litigation is described in more detail under “TWC Proposal I: Adoption of the Merger Agreement and Comcast Proposal I: Approval of the Stock Issuance—Litigation Relating to the Merger” beginning on page [—] of this joint proxy statement/prospectus.</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20"/>
          </w:cols>
          <w:pgMar w:left="240" w:top="439" w:right="4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86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4085" cy="49860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SELECTED HISTORICAL CONSOLIDATED FINANCIAL DATA OF COMCAST</w:t>
      </w:r>
    </w:p>
    <w:p>
      <w:pPr>
        <w:spacing w:after="0" w:line="212" w:lineRule="exact"/>
        <w:rPr>
          <w:sz w:val="20"/>
          <w:szCs w:val="20"/>
          <w:color w:val="auto"/>
        </w:rPr>
      </w:pPr>
    </w:p>
    <w:p>
      <w:pPr>
        <w:ind w:left="180" w:right="60" w:firstLine="443"/>
        <w:spacing w:after="0" w:line="292" w:lineRule="auto"/>
        <w:rPr>
          <w:sz w:val="20"/>
          <w:szCs w:val="20"/>
          <w:color w:val="auto"/>
        </w:rPr>
      </w:pPr>
      <w:r>
        <w:rPr>
          <w:rFonts w:ascii="Arial" w:cs="Arial" w:eastAsia="Arial" w:hAnsi="Arial"/>
          <w:sz w:val="15"/>
          <w:szCs w:val="15"/>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6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3"/>
                <w:szCs w:val="13"/>
                <w:b w:val="1"/>
                <w:bCs w:val="1"/>
                <w:color w:val="auto"/>
                <w:w w:val="92"/>
              </w:rPr>
              <w:t>Year ended December 31,</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6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7"/>
              <w:spacing w:after="0" w:line="131" w:lineRule="exact"/>
              <w:rPr>
                <w:sz w:val="20"/>
                <w:szCs w:val="20"/>
                <w:color w:val="auto"/>
              </w:rPr>
            </w:pPr>
            <w:r>
              <w:rPr>
                <w:rFonts w:ascii="Arial" w:cs="Arial" w:eastAsia="Arial" w:hAnsi="Arial"/>
                <w:sz w:val="13"/>
                <w:szCs w:val="13"/>
                <w:b w:val="1"/>
                <w:bCs w:val="1"/>
                <w:color w:val="auto"/>
              </w:rPr>
              <w:t>2013</w:t>
            </w: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9"/>
              <w:spacing w:after="0" w:line="131"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417"/>
              <w:spacing w:after="0" w:line="131" w:lineRule="exact"/>
              <w:rPr>
                <w:sz w:val="20"/>
                <w:szCs w:val="20"/>
                <w:color w:val="auto"/>
              </w:rPr>
            </w:pPr>
            <w:r>
              <w:rPr>
                <w:rFonts w:ascii="Arial" w:cs="Arial" w:eastAsia="Arial" w:hAnsi="Arial"/>
                <w:sz w:val="13"/>
                <w:szCs w:val="13"/>
                <w:b w:val="1"/>
                <w:bCs w:val="1"/>
                <w:color w:val="auto"/>
                <w:w w:val="93"/>
              </w:rPr>
              <w:t>2011(2)</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7"/>
              <w:spacing w:after="0" w:line="131" w:lineRule="exact"/>
              <w:rPr>
                <w:sz w:val="20"/>
                <w:szCs w:val="20"/>
                <w:color w:val="auto"/>
              </w:rPr>
            </w:pPr>
            <w:r>
              <w:rPr>
                <w:rFonts w:ascii="Arial" w:cs="Arial" w:eastAsia="Arial" w:hAnsi="Arial"/>
                <w:sz w:val="13"/>
                <w:szCs w:val="13"/>
                <w:b w:val="1"/>
                <w:bCs w:val="1"/>
                <w:color w:val="auto"/>
              </w:rPr>
              <w:t>2010</w:t>
            </w: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7"/>
              <w:spacing w:after="0" w:line="131"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r>
      <w:tr>
        <w:trPr>
          <w:trHeight w:val="131"/>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00" w:type="dxa"/>
            <w:vAlign w:val="bottom"/>
            <w:gridSpan w:val="5"/>
          </w:tcPr>
          <w:p>
            <w:pPr>
              <w:jc w:val="center"/>
              <w:ind w:right="257"/>
              <w:spacing w:after="0" w:line="131" w:lineRule="exact"/>
              <w:rPr>
                <w:sz w:val="20"/>
                <w:szCs w:val="20"/>
                <w:color w:val="auto"/>
              </w:rPr>
            </w:pPr>
            <w:r>
              <w:rPr>
                <w:rFonts w:ascii="Arial" w:cs="Arial" w:eastAsia="Arial" w:hAnsi="Arial"/>
                <w:sz w:val="13"/>
                <w:szCs w:val="13"/>
                <w:b w:val="1"/>
                <w:bCs w:val="1"/>
                <w:color w:val="auto"/>
                <w:w w:val="93"/>
              </w:rPr>
              <w:t>(in millions, except per share data)</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1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7"/>
              <w:spacing w:after="0"/>
              <w:rPr>
                <w:sz w:val="20"/>
                <w:szCs w:val="20"/>
                <w:color w:val="auto"/>
              </w:rPr>
            </w:pPr>
            <w:r>
              <w:rPr>
                <w:rFonts w:ascii="Arial" w:cs="Arial" w:eastAsia="Arial" w:hAnsi="Arial"/>
                <w:sz w:val="17"/>
                <w:szCs w:val="17"/>
                <w:color w:val="auto"/>
              </w:rPr>
              <w:t>64,657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9"/>
              <w:spacing w:after="0"/>
              <w:rPr>
                <w:sz w:val="20"/>
                <w:szCs w:val="20"/>
                <w:color w:val="auto"/>
              </w:rPr>
            </w:pPr>
            <w:r>
              <w:rPr>
                <w:rFonts w:ascii="Arial" w:cs="Arial" w:eastAsia="Arial" w:hAnsi="Arial"/>
                <w:sz w:val="17"/>
                <w:szCs w:val="17"/>
                <w:color w:val="auto"/>
              </w:rPr>
              <w:t>62,570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17"/>
              <w:spacing w:after="0"/>
              <w:rPr>
                <w:sz w:val="20"/>
                <w:szCs w:val="20"/>
                <w:color w:val="auto"/>
              </w:rPr>
            </w:pPr>
            <w:r>
              <w:rPr>
                <w:rFonts w:ascii="Arial" w:cs="Arial" w:eastAsia="Arial" w:hAnsi="Arial"/>
                <w:sz w:val="17"/>
                <w:szCs w:val="17"/>
                <w:color w:val="auto"/>
              </w:rPr>
              <w:t>55,842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57"/>
              <w:spacing w:after="0"/>
              <w:rPr>
                <w:sz w:val="20"/>
                <w:szCs w:val="20"/>
                <w:color w:val="auto"/>
              </w:rPr>
            </w:pPr>
            <w:r>
              <w:rPr>
                <w:rFonts w:ascii="Arial" w:cs="Arial" w:eastAsia="Arial" w:hAnsi="Arial"/>
                <w:sz w:val="17"/>
                <w:szCs w:val="17"/>
                <w:color w:val="auto"/>
                <w:w w:val="99"/>
              </w:rPr>
              <w:t>37,937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35,756</w:t>
            </w: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13,563</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12,179</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10,721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7,980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7,214</w:t>
            </w:r>
          </w:p>
        </w:tc>
      </w:tr>
      <w:tr>
        <w:trPr>
          <w:trHeight w:val="202"/>
        </w:trPr>
        <w:tc>
          <w:tcPr>
            <w:tcW w:w="6100" w:type="dxa"/>
            <w:vAlign w:val="bottom"/>
          </w:tcPr>
          <w:p>
            <w:pPr>
              <w:spacing w:after="0"/>
              <w:rPr>
                <w:sz w:val="20"/>
                <w:szCs w:val="20"/>
                <w:color w:val="auto"/>
              </w:rPr>
            </w:pPr>
            <w:r>
              <w:rPr>
                <w:rFonts w:ascii="Arial" w:cs="Arial" w:eastAsia="Arial" w:hAnsi="Arial"/>
                <w:sz w:val="17"/>
                <w:szCs w:val="17"/>
                <w:color w:val="auto"/>
              </w:rPr>
              <w:t>Net income attributable to Comcast(1)</w:t>
            </w:r>
          </w:p>
        </w:tc>
        <w:tc>
          <w:tcPr>
            <w:tcW w:w="100" w:type="dxa"/>
            <w:vAlign w:val="bottom"/>
          </w:tcPr>
          <w:p>
            <w:pPr>
              <w:spacing w:after="0"/>
              <w:rPr>
                <w:sz w:val="17"/>
                <w:szCs w:val="17"/>
                <w:color w:val="auto"/>
              </w:rPr>
            </w:pPr>
          </w:p>
        </w:tc>
        <w:tc>
          <w:tcPr>
            <w:tcW w:w="780" w:type="dxa"/>
            <w:vAlign w:val="bottom"/>
          </w:tcPr>
          <w:p>
            <w:pPr>
              <w:jc w:val="right"/>
              <w:ind w:right="137"/>
              <w:spacing w:after="0"/>
              <w:rPr>
                <w:sz w:val="20"/>
                <w:szCs w:val="20"/>
                <w:color w:val="auto"/>
              </w:rPr>
            </w:pPr>
            <w:r>
              <w:rPr>
                <w:rFonts w:ascii="Arial" w:cs="Arial" w:eastAsia="Arial" w:hAnsi="Arial"/>
                <w:sz w:val="17"/>
                <w:szCs w:val="17"/>
                <w:color w:val="auto"/>
              </w:rPr>
              <w:t>6,816</w:t>
            </w:r>
          </w:p>
        </w:tc>
        <w:tc>
          <w:tcPr>
            <w:tcW w:w="28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7"/>
                <w:szCs w:val="17"/>
                <w:color w:val="auto"/>
              </w:rPr>
              <w:t>6,203</w:t>
            </w:r>
          </w:p>
        </w:tc>
        <w:tc>
          <w:tcPr>
            <w:tcW w:w="280" w:type="dxa"/>
            <w:vAlign w:val="bottom"/>
          </w:tcPr>
          <w:p>
            <w:pPr>
              <w:spacing w:after="0"/>
              <w:rPr>
                <w:sz w:val="17"/>
                <w:szCs w:val="17"/>
                <w:color w:val="auto"/>
              </w:rPr>
            </w:pPr>
          </w:p>
        </w:tc>
        <w:tc>
          <w:tcPr>
            <w:tcW w:w="960" w:type="dxa"/>
            <w:vAlign w:val="bottom"/>
          </w:tcPr>
          <w:p>
            <w:pPr>
              <w:jc w:val="right"/>
              <w:ind w:right="317"/>
              <w:spacing w:after="0"/>
              <w:rPr>
                <w:sz w:val="20"/>
                <w:szCs w:val="20"/>
                <w:color w:val="auto"/>
              </w:rPr>
            </w:pPr>
            <w:r>
              <w:rPr>
                <w:rFonts w:ascii="Arial" w:cs="Arial" w:eastAsia="Arial" w:hAnsi="Arial"/>
                <w:sz w:val="17"/>
                <w:szCs w:val="17"/>
                <w:color w:val="auto"/>
              </w:rPr>
              <w:t>4,160</w:t>
            </w:r>
          </w:p>
        </w:tc>
        <w:tc>
          <w:tcPr>
            <w:tcW w:w="100" w:type="dxa"/>
            <w:vAlign w:val="bottom"/>
          </w:tcPr>
          <w:p>
            <w:pPr>
              <w:spacing w:after="0"/>
              <w:rPr>
                <w:sz w:val="17"/>
                <w:szCs w:val="17"/>
                <w:color w:val="auto"/>
              </w:rPr>
            </w:pPr>
          </w:p>
        </w:tc>
        <w:tc>
          <w:tcPr>
            <w:tcW w:w="780" w:type="dxa"/>
            <w:vAlign w:val="bottom"/>
          </w:tcPr>
          <w:p>
            <w:pPr>
              <w:jc w:val="right"/>
              <w:ind w:right="157"/>
              <w:spacing w:after="0"/>
              <w:rPr>
                <w:sz w:val="20"/>
                <w:szCs w:val="20"/>
                <w:color w:val="auto"/>
              </w:rPr>
            </w:pPr>
            <w:r>
              <w:rPr>
                <w:rFonts w:ascii="Arial" w:cs="Arial" w:eastAsia="Arial" w:hAnsi="Arial"/>
                <w:sz w:val="17"/>
                <w:szCs w:val="17"/>
                <w:color w:val="auto"/>
              </w:rPr>
              <w:t>3,635</w:t>
            </w:r>
          </w:p>
        </w:tc>
        <w:tc>
          <w:tcPr>
            <w:tcW w:w="2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3,638</w:t>
            </w: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common share attributable to Comcast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2.60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2.32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1.29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w:t>
            </w:r>
          </w:p>
        </w:tc>
      </w:tr>
      <w:tr>
        <w:trPr>
          <w:trHeight w:val="202"/>
        </w:trPr>
        <w:tc>
          <w:tcPr>
            <w:tcW w:w="6100" w:type="dxa"/>
            <w:vAlign w:val="bottom"/>
          </w:tcPr>
          <w:p>
            <w:pPr>
              <w:spacing w:after="0"/>
              <w:rPr>
                <w:sz w:val="20"/>
                <w:szCs w:val="20"/>
                <w:color w:val="auto"/>
              </w:rPr>
            </w:pPr>
            <w:r>
              <w:rPr>
                <w:rFonts w:ascii="Arial" w:cs="Arial" w:eastAsia="Arial" w:hAnsi="Arial"/>
                <w:sz w:val="17"/>
                <w:szCs w:val="17"/>
                <w:color w:val="auto"/>
              </w:rPr>
              <w:t>Diluted earnings per common share attributable to Comcast shareholders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7"/>
              <w:spacing w:after="0"/>
              <w:rPr>
                <w:sz w:val="20"/>
                <w:szCs w:val="20"/>
                <w:color w:val="auto"/>
              </w:rPr>
            </w:pPr>
            <w:r>
              <w:rPr>
                <w:rFonts w:ascii="Arial" w:cs="Arial" w:eastAsia="Arial" w:hAnsi="Arial"/>
                <w:sz w:val="17"/>
                <w:szCs w:val="17"/>
                <w:color w:val="auto"/>
              </w:rPr>
              <w:t>2.56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9"/>
              <w:spacing w:after="0"/>
              <w:rPr>
                <w:sz w:val="20"/>
                <w:szCs w:val="20"/>
                <w:color w:val="auto"/>
              </w:rPr>
            </w:pPr>
            <w:r>
              <w:rPr>
                <w:rFonts w:ascii="Arial" w:cs="Arial" w:eastAsia="Arial" w:hAnsi="Arial"/>
                <w:sz w:val="17"/>
                <w:szCs w:val="17"/>
                <w:color w:val="auto"/>
              </w:rPr>
              <w:t>2.28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17"/>
              <w:spacing w:after="0"/>
              <w:rPr>
                <w:sz w:val="20"/>
                <w:szCs w:val="20"/>
                <w:color w:val="auto"/>
              </w:rPr>
            </w:pPr>
            <w:r>
              <w:rPr>
                <w:rFonts w:ascii="Arial" w:cs="Arial" w:eastAsia="Arial" w:hAnsi="Arial"/>
                <w:sz w:val="17"/>
                <w:szCs w:val="17"/>
                <w:color w:val="auto"/>
              </w:rPr>
              <w:t>1.50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57"/>
              <w:spacing w:after="0"/>
              <w:rPr>
                <w:sz w:val="20"/>
                <w:szCs w:val="20"/>
                <w:color w:val="auto"/>
              </w:rPr>
            </w:pPr>
            <w:r>
              <w:rPr>
                <w:rFonts w:ascii="Arial" w:cs="Arial" w:eastAsia="Arial" w:hAnsi="Arial"/>
                <w:sz w:val="17"/>
                <w:szCs w:val="17"/>
                <w:color w:val="auto"/>
              </w:rPr>
              <w:t>1.29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1.26</w:t>
            </w: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0.78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0.65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0.378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0.297</w:t>
            </w:r>
          </w:p>
        </w:tc>
      </w:tr>
      <w:tr>
        <w:trPr>
          <w:trHeight w:val="202"/>
        </w:trPr>
        <w:tc>
          <w:tcPr>
            <w:tcW w:w="6100" w:type="dxa"/>
            <w:vAlign w:val="bottom"/>
          </w:tcPr>
          <w:p>
            <w:pPr>
              <w:spacing w:after="0"/>
              <w:rPr>
                <w:sz w:val="20"/>
                <w:szCs w:val="20"/>
                <w:color w:val="auto"/>
              </w:rPr>
            </w:pPr>
            <w:r>
              <w:rPr>
                <w:rFonts w:ascii="Arial" w:cs="Arial" w:eastAsia="Arial" w:hAnsi="Arial"/>
                <w:sz w:val="17"/>
                <w:szCs w:val="17"/>
                <w:b w:val="1"/>
                <w:bCs w:val="1"/>
                <w:color w:val="auto"/>
              </w:rPr>
              <w:t>Balance Sheet Data (at year end)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7"/>
              </w:rPr>
              <w:t>158,813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87"/>
              </w:rPr>
              <w:t>164,971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w w:val="87"/>
              </w:rPr>
              <w:t>157,818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118,534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112,733</w:t>
            </w:r>
          </w:p>
        </w:tc>
      </w:tr>
      <w:tr>
        <w:trPr>
          <w:trHeight w:val="202"/>
        </w:trPr>
        <w:tc>
          <w:tcPr>
            <w:tcW w:w="6100" w:type="dxa"/>
            <w:vAlign w:val="bottom"/>
          </w:tcPr>
          <w:p>
            <w:pPr>
              <w:spacing w:after="0"/>
              <w:rPr>
                <w:sz w:val="20"/>
                <w:szCs w:val="20"/>
                <w:color w:val="auto"/>
              </w:rPr>
            </w:pPr>
            <w:r>
              <w:rPr>
                <w:rFonts w:ascii="Arial" w:cs="Arial" w:eastAsia="Arial" w:hAnsi="Arial"/>
                <w:sz w:val="17"/>
                <w:szCs w:val="17"/>
                <w:color w:val="auto"/>
              </w:rPr>
              <w:t>Total debt, including current portion</w:t>
            </w:r>
          </w:p>
        </w:tc>
        <w:tc>
          <w:tcPr>
            <w:tcW w:w="100" w:type="dxa"/>
            <w:vAlign w:val="bottom"/>
          </w:tcPr>
          <w:p>
            <w:pPr>
              <w:spacing w:after="0"/>
              <w:rPr>
                <w:sz w:val="17"/>
                <w:szCs w:val="17"/>
                <w:color w:val="auto"/>
              </w:rPr>
            </w:pPr>
          </w:p>
        </w:tc>
        <w:tc>
          <w:tcPr>
            <w:tcW w:w="780" w:type="dxa"/>
            <w:vAlign w:val="bottom"/>
          </w:tcPr>
          <w:p>
            <w:pPr>
              <w:jc w:val="right"/>
              <w:ind w:right="137"/>
              <w:spacing w:after="0"/>
              <w:rPr>
                <w:sz w:val="20"/>
                <w:szCs w:val="20"/>
                <w:color w:val="auto"/>
              </w:rPr>
            </w:pPr>
            <w:r>
              <w:rPr>
                <w:rFonts w:ascii="Arial" w:cs="Arial" w:eastAsia="Arial" w:hAnsi="Arial"/>
                <w:sz w:val="17"/>
                <w:szCs w:val="17"/>
                <w:color w:val="auto"/>
              </w:rPr>
              <w:t>47,847</w:t>
            </w:r>
          </w:p>
        </w:tc>
        <w:tc>
          <w:tcPr>
            <w:tcW w:w="28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7"/>
                <w:szCs w:val="17"/>
                <w:color w:val="auto"/>
              </w:rPr>
              <w:t>40,458</w:t>
            </w:r>
          </w:p>
        </w:tc>
        <w:tc>
          <w:tcPr>
            <w:tcW w:w="280" w:type="dxa"/>
            <w:vAlign w:val="bottom"/>
          </w:tcPr>
          <w:p>
            <w:pPr>
              <w:spacing w:after="0"/>
              <w:rPr>
                <w:sz w:val="17"/>
                <w:szCs w:val="17"/>
                <w:color w:val="auto"/>
              </w:rPr>
            </w:pPr>
          </w:p>
        </w:tc>
        <w:tc>
          <w:tcPr>
            <w:tcW w:w="960" w:type="dxa"/>
            <w:vAlign w:val="bottom"/>
          </w:tcPr>
          <w:p>
            <w:pPr>
              <w:jc w:val="right"/>
              <w:ind w:right="317"/>
              <w:spacing w:after="0"/>
              <w:rPr>
                <w:sz w:val="20"/>
                <w:szCs w:val="20"/>
                <w:color w:val="auto"/>
              </w:rPr>
            </w:pPr>
            <w:r>
              <w:rPr>
                <w:rFonts w:ascii="Arial" w:cs="Arial" w:eastAsia="Arial" w:hAnsi="Arial"/>
                <w:sz w:val="17"/>
                <w:szCs w:val="17"/>
                <w:color w:val="auto"/>
              </w:rPr>
              <w:t>39,309</w:t>
            </w:r>
          </w:p>
        </w:tc>
        <w:tc>
          <w:tcPr>
            <w:tcW w:w="100" w:type="dxa"/>
            <w:vAlign w:val="bottom"/>
          </w:tcPr>
          <w:p>
            <w:pPr>
              <w:spacing w:after="0"/>
              <w:rPr>
                <w:sz w:val="17"/>
                <w:szCs w:val="17"/>
                <w:color w:val="auto"/>
              </w:rPr>
            </w:pPr>
          </w:p>
        </w:tc>
        <w:tc>
          <w:tcPr>
            <w:tcW w:w="780" w:type="dxa"/>
            <w:vAlign w:val="bottom"/>
          </w:tcPr>
          <w:p>
            <w:pPr>
              <w:jc w:val="right"/>
              <w:ind w:right="157"/>
              <w:spacing w:after="0"/>
              <w:rPr>
                <w:sz w:val="20"/>
                <w:szCs w:val="20"/>
                <w:color w:val="auto"/>
              </w:rPr>
            </w:pPr>
            <w:r>
              <w:rPr>
                <w:rFonts w:ascii="Arial" w:cs="Arial" w:eastAsia="Arial" w:hAnsi="Arial"/>
                <w:sz w:val="17"/>
                <w:szCs w:val="17"/>
                <w:color w:val="auto"/>
                <w:w w:val="99"/>
              </w:rPr>
              <w:t>31,415</w:t>
            </w:r>
          </w:p>
        </w:tc>
        <w:tc>
          <w:tcPr>
            <w:tcW w:w="2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29,096</w:t>
            </w: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Comcast shareholders’ equity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50,694</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49,356</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47,274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99"/>
              </w:rPr>
              <w:t>44,354</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42,721</w:t>
            </w:r>
          </w:p>
        </w:tc>
      </w:tr>
      <w:tr>
        <w:trPr>
          <w:trHeight w:val="202"/>
        </w:trPr>
        <w:tc>
          <w:tcPr>
            <w:tcW w:w="6100" w:type="dxa"/>
            <w:vAlign w:val="bottom"/>
          </w:tcPr>
          <w:p>
            <w:pPr>
              <w:spacing w:after="0"/>
              <w:rPr>
                <w:sz w:val="20"/>
                <w:szCs w:val="20"/>
                <w:color w:val="auto"/>
              </w:rPr>
            </w:pPr>
            <w:r>
              <w:rPr>
                <w:rFonts w:ascii="Arial" w:cs="Arial" w:eastAsia="Arial" w:hAnsi="Arial"/>
                <w:sz w:val="17"/>
                <w:szCs w:val="17"/>
                <w:b w:val="1"/>
                <w:bCs w:val="1"/>
                <w:color w:val="auto"/>
              </w:rPr>
              <w:t>Statement of Cash Flows Data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100" w:type="dxa"/>
            <w:vAlign w:val="bottom"/>
          </w:tcPr>
          <w:p>
            <w:pPr>
              <w:ind w:left="34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7"/>
              <w:spacing w:after="0"/>
              <w:rPr>
                <w:sz w:val="20"/>
                <w:szCs w:val="20"/>
                <w:color w:val="auto"/>
              </w:rPr>
            </w:pPr>
            <w:r>
              <w:rPr>
                <w:rFonts w:ascii="Arial" w:cs="Arial" w:eastAsia="Arial" w:hAnsi="Arial"/>
                <w:sz w:val="17"/>
                <w:szCs w:val="17"/>
                <w:color w:val="auto"/>
              </w:rPr>
              <w:t>14,160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9"/>
              <w:spacing w:after="0"/>
              <w:rPr>
                <w:sz w:val="20"/>
                <w:szCs w:val="20"/>
                <w:color w:val="auto"/>
              </w:rPr>
            </w:pPr>
            <w:r>
              <w:rPr>
                <w:rFonts w:ascii="Arial" w:cs="Arial" w:eastAsia="Arial" w:hAnsi="Arial"/>
                <w:sz w:val="17"/>
                <w:szCs w:val="17"/>
                <w:color w:val="auto"/>
              </w:rPr>
              <w:t>14,854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17"/>
              <w:spacing w:after="0"/>
              <w:rPr>
                <w:sz w:val="20"/>
                <w:szCs w:val="20"/>
                <w:color w:val="auto"/>
              </w:rPr>
            </w:pPr>
            <w:r>
              <w:rPr>
                <w:rFonts w:ascii="Arial" w:cs="Arial" w:eastAsia="Arial" w:hAnsi="Arial"/>
                <w:sz w:val="17"/>
                <w:szCs w:val="17"/>
                <w:color w:val="auto"/>
              </w:rPr>
              <w:t>14,345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57"/>
              <w:spacing w:after="0"/>
              <w:rPr>
                <w:sz w:val="20"/>
                <w:szCs w:val="20"/>
                <w:color w:val="auto"/>
              </w:rPr>
            </w:pPr>
            <w:r>
              <w:rPr>
                <w:rFonts w:ascii="Arial" w:cs="Arial" w:eastAsia="Arial" w:hAnsi="Arial"/>
                <w:sz w:val="17"/>
                <w:szCs w:val="17"/>
                <w:color w:val="auto"/>
                <w:w w:val="99"/>
              </w:rPr>
              <w:t>11,179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10,281</w:t>
            </w:r>
          </w:p>
        </w:tc>
      </w:tr>
      <w:tr>
        <w:trPr>
          <w:trHeight w:val="202"/>
        </w:trPr>
        <w:tc>
          <w:tcPr>
            <w:tcW w:w="6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(9,514)</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(1,486)</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w w:val="91"/>
              </w:rPr>
              <w:t>(12,508)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(5,711)</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(5,897)</w:t>
            </w:r>
          </w:p>
        </w:tc>
      </w:tr>
      <w:tr>
        <w:trPr>
          <w:trHeight w:val="214"/>
        </w:trPr>
        <w:tc>
          <w:tcPr>
            <w:tcW w:w="6100" w:type="dxa"/>
            <w:vAlign w:val="bottom"/>
          </w:tcPr>
          <w:p>
            <w:pPr>
              <w:ind w:left="34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Arial" w:cs="Arial" w:eastAsia="Arial" w:hAnsi="Arial"/>
                <w:sz w:val="17"/>
                <w:szCs w:val="17"/>
                <w:color w:val="auto"/>
                <w:w w:val="91"/>
              </w:rPr>
              <w:t>(13,879)</w:t>
            </w:r>
          </w:p>
        </w:tc>
        <w:tc>
          <w:tcPr>
            <w:tcW w:w="28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7"/>
                <w:szCs w:val="17"/>
                <w:color w:val="auto"/>
              </w:rPr>
              <w:t>(4,037)</w:t>
            </w:r>
          </w:p>
        </w:tc>
        <w:tc>
          <w:tcPr>
            <w:tcW w:w="280" w:type="dxa"/>
            <w:vAlign w:val="bottom"/>
          </w:tcPr>
          <w:p>
            <w:pPr>
              <w:spacing w:after="0"/>
              <w:rPr>
                <w:sz w:val="18"/>
                <w:szCs w:val="18"/>
                <w:color w:val="auto"/>
              </w:rPr>
            </w:pPr>
          </w:p>
        </w:tc>
        <w:tc>
          <w:tcPr>
            <w:tcW w:w="960" w:type="dxa"/>
            <w:vAlign w:val="bottom"/>
          </w:tcPr>
          <w:p>
            <w:pPr>
              <w:jc w:val="right"/>
              <w:ind w:right="277"/>
              <w:spacing w:after="0"/>
              <w:rPr>
                <w:sz w:val="20"/>
                <w:szCs w:val="20"/>
                <w:color w:val="auto"/>
              </w:rPr>
            </w:pPr>
            <w:r>
              <w:rPr>
                <w:rFonts w:ascii="Arial" w:cs="Arial" w:eastAsia="Arial" w:hAnsi="Arial"/>
                <w:sz w:val="17"/>
                <w:szCs w:val="17"/>
                <w:color w:val="auto"/>
              </w:rPr>
              <w:t>(6,201)</w:t>
            </w:r>
          </w:p>
        </w:tc>
        <w:tc>
          <w:tcPr>
            <w:tcW w:w="10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Arial" w:cs="Arial" w:eastAsia="Arial" w:hAnsi="Arial"/>
                <w:sz w:val="17"/>
                <w:szCs w:val="17"/>
                <w:color w:val="auto"/>
              </w:rPr>
              <w:t>(155)</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(4,908)</w:t>
            </w:r>
          </w:p>
        </w:tc>
      </w:tr>
    </w:tbl>
    <w:p>
      <w:pPr>
        <w:spacing w:after="0" w:line="152" w:lineRule="exact"/>
        <w:rPr>
          <w:sz w:val="20"/>
          <w:szCs w:val="20"/>
          <w:color w:val="auto"/>
        </w:rPr>
      </w:pPr>
    </w:p>
    <w:p>
      <w:pPr>
        <w:ind w:left="640" w:right="60" w:hanging="451"/>
        <w:spacing w:after="0" w:line="283" w:lineRule="auto"/>
        <w:tabs>
          <w:tab w:leader="none" w:pos="6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For 2013, 2012 and 2011, see Management’s Discussion and Analysis of Financial Condition and Results of Operations included in the Comcast 2013 10-K for a discussion of the effects of items impacting net income attributable to Comcast. In 2013, 2012 and 2011, net income attributable to Comcast is stated after deducting net income attributable to noncontrolling interests of $319 million, $1.7 billion and $1 billion, respectively. The reduction in net income attributable to noncontrolling interests in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2" w:lineRule="exact"/>
        <w:rPr>
          <w:rFonts w:ascii="Arial" w:cs="Arial" w:eastAsia="Arial" w:hAnsi="Arial"/>
          <w:sz w:val="15"/>
          <w:szCs w:val="15"/>
          <w:color w:val="auto"/>
        </w:rPr>
      </w:pPr>
    </w:p>
    <w:p>
      <w:pPr>
        <w:ind w:left="640" w:right="20" w:hanging="451"/>
        <w:spacing w:after="0" w:line="274"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60"/>
          </w:cols>
          <w:pgMar w:left="240" w:top="439" w:right="3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217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4085" cy="42170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SELECTED HISTORICAL CONSOLIDATED FINANCIAL DATA OF TWC</w:t>
      </w:r>
    </w:p>
    <w:p>
      <w:pPr>
        <w:spacing w:after="0" w:line="212" w:lineRule="exact"/>
        <w:rPr>
          <w:sz w:val="20"/>
          <w:szCs w:val="20"/>
          <w:color w:val="auto"/>
        </w:rPr>
      </w:pPr>
    </w:p>
    <w:p>
      <w:pPr>
        <w:ind w:left="180" w:right="60" w:firstLine="443"/>
        <w:spacing w:after="0" w:line="270"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and related notes contained in its Annual Report on Form 10-K for the year ended December 31, 2013, which is referred to in this joint proxy statement/prospectus as the TWC 2013 10-K, and which is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3"/>
                <w:szCs w:val="13"/>
                <w:b w:val="1"/>
                <w:bCs w:val="1"/>
                <w:color w:val="auto"/>
                <w:w w:val="92"/>
              </w:rPr>
              <w:t>Year ended December 31,</w:t>
            </w: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6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7"/>
              <w:spacing w:after="0" w:line="131" w:lineRule="exact"/>
              <w:rPr>
                <w:sz w:val="20"/>
                <w:szCs w:val="20"/>
                <w:color w:val="auto"/>
              </w:rPr>
            </w:pPr>
            <w:r>
              <w:rPr>
                <w:rFonts w:ascii="Arial" w:cs="Arial" w:eastAsia="Arial" w:hAnsi="Arial"/>
                <w:sz w:val="13"/>
                <w:szCs w:val="13"/>
                <w:b w:val="1"/>
                <w:bCs w:val="1"/>
                <w:color w:val="auto"/>
              </w:rPr>
              <w:t>2013</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9"/>
              <w:spacing w:after="0" w:line="131"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7"/>
              <w:spacing w:after="0" w:line="131" w:lineRule="exact"/>
              <w:rPr>
                <w:sz w:val="20"/>
                <w:szCs w:val="20"/>
                <w:color w:val="auto"/>
              </w:rPr>
            </w:pPr>
            <w:r>
              <w:rPr>
                <w:rFonts w:ascii="Arial" w:cs="Arial" w:eastAsia="Arial" w:hAnsi="Arial"/>
                <w:sz w:val="13"/>
                <w:szCs w:val="13"/>
                <w:b w:val="1"/>
                <w:bCs w:val="1"/>
                <w:color w:val="auto"/>
                <w:w w:val="89"/>
              </w:rPr>
              <w:t>2011</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97"/>
              <w:spacing w:after="0" w:line="131" w:lineRule="exact"/>
              <w:rPr>
                <w:sz w:val="20"/>
                <w:szCs w:val="20"/>
                <w:color w:val="auto"/>
              </w:rPr>
            </w:pPr>
            <w:r>
              <w:rPr>
                <w:rFonts w:ascii="Arial" w:cs="Arial" w:eastAsia="Arial" w:hAnsi="Arial"/>
                <w:sz w:val="13"/>
                <w:szCs w:val="13"/>
                <w:b w:val="1"/>
                <w:bCs w:val="1"/>
                <w:color w:val="auto"/>
              </w:rPr>
              <w:t>2010</w:t>
            </w: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1"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r>
      <w:tr>
        <w:trPr>
          <w:trHeight w:val="131"/>
        </w:trPr>
        <w:tc>
          <w:tcPr>
            <w:tcW w:w="6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60" w:type="dxa"/>
            <w:vAlign w:val="bottom"/>
            <w:gridSpan w:val="5"/>
          </w:tcPr>
          <w:p>
            <w:pPr>
              <w:jc w:val="center"/>
              <w:ind w:right="237"/>
              <w:spacing w:after="0" w:line="131" w:lineRule="exact"/>
              <w:rPr>
                <w:sz w:val="20"/>
                <w:szCs w:val="20"/>
                <w:color w:val="auto"/>
              </w:rPr>
            </w:pPr>
            <w:r>
              <w:rPr>
                <w:rFonts w:ascii="Arial" w:cs="Arial" w:eastAsia="Arial" w:hAnsi="Arial"/>
                <w:sz w:val="13"/>
                <w:szCs w:val="13"/>
                <w:b w:val="1"/>
                <w:bCs w:val="1"/>
                <w:color w:val="auto"/>
                <w:w w:val="92"/>
              </w:rPr>
              <w:t>(in millions, except per share data)</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52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57"/>
              <w:spacing w:after="0"/>
              <w:rPr>
                <w:sz w:val="20"/>
                <w:szCs w:val="20"/>
                <w:color w:val="auto"/>
              </w:rPr>
            </w:pPr>
            <w:r>
              <w:rPr>
                <w:rFonts w:ascii="Arial" w:cs="Arial" w:eastAsia="Arial" w:hAnsi="Arial"/>
                <w:sz w:val="17"/>
                <w:szCs w:val="17"/>
                <w:color w:val="auto"/>
                <w:w w:val="84"/>
              </w:rPr>
              <w:t>22,120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9"/>
              <w:spacing w:after="0"/>
              <w:rPr>
                <w:sz w:val="20"/>
                <w:szCs w:val="20"/>
                <w:color w:val="auto"/>
              </w:rPr>
            </w:pPr>
            <w:r>
              <w:rPr>
                <w:rFonts w:ascii="Arial" w:cs="Arial" w:eastAsia="Arial" w:hAnsi="Arial"/>
                <w:sz w:val="17"/>
                <w:szCs w:val="17"/>
                <w:color w:val="auto"/>
                <w:w w:val="88"/>
              </w:rPr>
              <w:t>21,386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7"/>
              <w:spacing w:after="0"/>
              <w:rPr>
                <w:sz w:val="20"/>
                <w:szCs w:val="20"/>
                <w:color w:val="auto"/>
              </w:rPr>
            </w:pPr>
            <w:r>
              <w:rPr>
                <w:rFonts w:ascii="Arial" w:cs="Arial" w:eastAsia="Arial" w:hAnsi="Arial"/>
                <w:sz w:val="17"/>
                <w:szCs w:val="17"/>
                <w:color w:val="auto"/>
                <w:w w:val="84"/>
              </w:rPr>
              <w:t>19,675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7"/>
              <w:spacing w:after="0"/>
              <w:rPr>
                <w:sz w:val="20"/>
                <w:szCs w:val="20"/>
                <w:color w:val="auto"/>
              </w:rPr>
            </w:pPr>
            <w:r>
              <w:rPr>
                <w:rFonts w:ascii="Arial" w:cs="Arial" w:eastAsia="Arial" w:hAnsi="Arial"/>
                <w:sz w:val="17"/>
                <w:szCs w:val="17"/>
                <w:color w:val="auto"/>
                <w:w w:val="88"/>
              </w:rPr>
              <w:t>18,868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17,868</w:t>
            </w: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4,580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4,445</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4,069</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3,689</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3,317</w:t>
            </w:r>
          </w:p>
        </w:tc>
      </w:tr>
      <w:tr>
        <w:trPr>
          <w:trHeight w:val="202"/>
        </w:trPr>
        <w:tc>
          <w:tcPr>
            <w:tcW w:w="6520" w:type="dxa"/>
            <w:vAlign w:val="bottom"/>
          </w:tcPr>
          <w:p>
            <w:pPr>
              <w:spacing w:after="0"/>
              <w:rPr>
                <w:sz w:val="20"/>
                <w:szCs w:val="20"/>
                <w:color w:val="auto"/>
              </w:rPr>
            </w:pPr>
            <w:r>
              <w:rPr>
                <w:rFonts w:ascii="Arial" w:cs="Arial" w:eastAsia="Arial" w:hAnsi="Arial"/>
                <w:sz w:val="17"/>
                <w:szCs w:val="17"/>
                <w:color w:val="auto"/>
              </w:rPr>
              <w:t>Net income attributable to TWC shareholders</w:t>
            </w:r>
          </w:p>
        </w:tc>
        <w:tc>
          <w:tcPr>
            <w:tcW w:w="100" w:type="dxa"/>
            <w:vAlign w:val="bottom"/>
          </w:tcPr>
          <w:p>
            <w:pPr>
              <w:spacing w:after="0"/>
              <w:rPr>
                <w:sz w:val="17"/>
                <w:szCs w:val="17"/>
                <w:color w:val="auto"/>
              </w:rPr>
            </w:pPr>
          </w:p>
        </w:tc>
        <w:tc>
          <w:tcPr>
            <w:tcW w:w="700" w:type="dxa"/>
            <w:vAlign w:val="bottom"/>
          </w:tcPr>
          <w:p>
            <w:pPr>
              <w:jc w:val="right"/>
              <w:ind w:right="157"/>
              <w:spacing w:after="0"/>
              <w:rPr>
                <w:sz w:val="20"/>
                <w:szCs w:val="20"/>
                <w:color w:val="auto"/>
              </w:rPr>
            </w:pPr>
            <w:r>
              <w:rPr>
                <w:rFonts w:ascii="Arial" w:cs="Arial" w:eastAsia="Arial" w:hAnsi="Arial"/>
                <w:sz w:val="17"/>
                <w:szCs w:val="17"/>
                <w:color w:val="auto"/>
              </w:rPr>
              <w:t>1,954</w:t>
            </w:r>
          </w:p>
        </w:tc>
        <w:tc>
          <w:tcPr>
            <w:tcW w:w="260" w:type="dxa"/>
            <w:vAlign w:val="bottom"/>
          </w:tcPr>
          <w:p>
            <w:pPr>
              <w:spacing w:after="0"/>
              <w:rPr>
                <w:sz w:val="17"/>
                <w:szCs w:val="17"/>
                <w:color w:val="auto"/>
              </w:rPr>
            </w:pPr>
          </w:p>
        </w:tc>
        <w:tc>
          <w:tcPr>
            <w:tcW w:w="700" w:type="dxa"/>
            <w:vAlign w:val="bottom"/>
          </w:tcPr>
          <w:p>
            <w:pPr>
              <w:jc w:val="right"/>
              <w:ind w:right="139"/>
              <w:spacing w:after="0"/>
              <w:rPr>
                <w:sz w:val="20"/>
                <w:szCs w:val="20"/>
                <w:color w:val="auto"/>
              </w:rPr>
            </w:pPr>
            <w:r>
              <w:rPr>
                <w:rFonts w:ascii="Arial" w:cs="Arial" w:eastAsia="Arial" w:hAnsi="Arial"/>
                <w:sz w:val="17"/>
                <w:szCs w:val="17"/>
                <w:color w:val="auto"/>
              </w:rPr>
              <w:t>2,155</w:t>
            </w:r>
          </w:p>
        </w:tc>
        <w:tc>
          <w:tcPr>
            <w:tcW w:w="280" w:type="dxa"/>
            <w:vAlign w:val="bottom"/>
          </w:tcPr>
          <w:p>
            <w:pPr>
              <w:spacing w:after="0"/>
              <w:rPr>
                <w:sz w:val="17"/>
                <w:szCs w:val="17"/>
                <w:color w:val="auto"/>
              </w:rPr>
            </w:pPr>
          </w:p>
        </w:tc>
        <w:tc>
          <w:tcPr>
            <w:tcW w:w="700" w:type="dxa"/>
            <w:vAlign w:val="bottom"/>
          </w:tcPr>
          <w:p>
            <w:pPr>
              <w:jc w:val="right"/>
              <w:ind w:right="157"/>
              <w:spacing w:after="0"/>
              <w:rPr>
                <w:sz w:val="20"/>
                <w:szCs w:val="20"/>
                <w:color w:val="auto"/>
              </w:rPr>
            </w:pPr>
            <w:r>
              <w:rPr>
                <w:rFonts w:ascii="Arial" w:cs="Arial" w:eastAsia="Arial" w:hAnsi="Arial"/>
                <w:sz w:val="17"/>
                <w:szCs w:val="17"/>
                <w:color w:val="auto"/>
              </w:rPr>
              <w:t>1,665</w:t>
            </w:r>
          </w:p>
        </w:tc>
        <w:tc>
          <w:tcPr>
            <w:tcW w:w="260" w:type="dxa"/>
            <w:vAlign w:val="bottom"/>
          </w:tcPr>
          <w:p>
            <w:pPr>
              <w:spacing w:after="0"/>
              <w:rPr>
                <w:sz w:val="17"/>
                <w:szCs w:val="17"/>
                <w:color w:val="auto"/>
              </w:rPr>
            </w:pPr>
          </w:p>
        </w:tc>
        <w:tc>
          <w:tcPr>
            <w:tcW w:w="720" w:type="dxa"/>
            <w:vAlign w:val="bottom"/>
          </w:tcPr>
          <w:p>
            <w:pPr>
              <w:jc w:val="right"/>
              <w:ind w:right="157"/>
              <w:spacing w:after="0"/>
              <w:rPr>
                <w:sz w:val="20"/>
                <w:szCs w:val="20"/>
                <w:color w:val="auto"/>
              </w:rPr>
            </w:pPr>
            <w:r>
              <w:rPr>
                <w:rFonts w:ascii="Arial" w:cs="Arial" w:eastAsia="Arial" w:hAnsi="Arial"/>
                <w:sz w:val="17"/>
                <w:szCs w:val="17"/>
                <w:color w:val="auto"/>
              </w:rPr>
              <w:t>1,308</w:t>
            </w:r>
          </w:p>
        </w:tc>
        <w:tc>
          <w:tcPr>
            <w:tcW w:w="26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1,070</w:t>
            </w: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per common share attributable to TWC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6.76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6.97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5.02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3.67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w:t>
            </w:r>
          </w:p>
        </w:tc>
      </w:tr>
      <w:tr>
        <w:trPr>
          <w:trHeight w:val="202"/>
        </w:trPr>
        <w:tc>
          <w:tcPr>
            <w:tcW w:w="6520" w:type="dxa"/>
            <w:vAlign w:val="bottom"/>
          </w:tcPr>
          <w:p>
            <w:pPr>
              <w:spacing w:after="0"/>
              <w:rPr>
                <w:sz w:val="20"/>
                <w:szCs w:val="20"/>
                <w:color w:val="auto"/>
              </w:rPr>
            </w:pPr>
            <w:r>
              <w:rPr>
                <w:rFonts w:ascii="Arial" w:cs="Arial" w:eastAsia="Arial" w:hAnsi="Arial"/>
                <w:sz w:val="17"/>
                <w:szCs w:val="17"/>
                <w:color w:val="auto"/>
              </w:rPr>
              <w:t>Diluted net income per common share attributable to TWC common shareholders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57"/>
              <w:spacing w:after="0"/>
              <w:rPr>
                <w:sz w:val="20"/>
                <w:szCs w:val="20"/>
                <w:color w:val="auto"/>
              </w:rPr>
            </w:pPr>
            <w:r>
              <w:rPr>
                <w:rFonts w:ascii="Arial" w:cs="Arial" w:eastAsia="Arial" w:hAnsi="Arial"/>
                <w:sz w:val="17"/>
                <w:szCs w:val="17"/>
                <w:color w:val="auto"/>
              </w:rPr>
              <w:t>6.70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9"/>
              <w:spacing w:after="0"/>
              <w:rPr>
                <w:sz w:val="20"/>
                <w:szCs w:val="20"/>
                <w:color w:val="auto"/>
              </w:rPr>
            </w:pPr>
            <w:r>
              <w:rPr>
                <w:rFonts w:ascii="Arial" w:cs="Arial" w:eastAsia="Arial" w:hAnsi="Arial"/>
                <w:sz w:val="17"/>
                <w:szCs w:val="17"/>
                <w:color w:val="auto"/>
              </w:rPr>
              <w:t>6.90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7"/>
              <w:spacing w:after="0"/>
              <w:rPr>
                <w:sz w:val="20"/>
                <w:szCs w:val="20"/>
                <w:color w:val="auto"/>
              </w:rPr>
            </w:pPr>
            <w:r>
              <w:rPr>
                <w:rFonts w:ascii="Arial" w:cs="Arial" w:eastAsia="Arial" w:hAnsi="Arial"/>
                <w:sz w:val="17"/>
                <w:szCs w:val="17"/>
                <w:color w:val="auto"/>
              </w:rPr>
              <w:t>4.97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7"/>
              <w:spacing w:after="0"/>
              <w:rPr>
                <w:sz w:val="20"/>
                <w:szCs w:val="20"/>
                <w:color w:val="auto"/>
              </w:rPr>
            </w:pPr>
            <w:r>
              <w:rPr>
                <w:rFonts w:ascii="Arial" w:cs="Arial" w:eastAsia="Arial" w:hAnsi="Arial"/>
                <w:sz w:val="17"/>
                <w:szCs w:val="17"/>
                <w:color w:val="auto"/>
              </w:rPr>
              <w:t>3.64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3.05</w:t>
            </w: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2.60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2.24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1.92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1.60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02"/>
        </w:trPr>
        <w:tc>
          <w:tcPr>
            <w:tcW w:w="6520" w:type="dxa"/>
            <w:vAlign w:val="bottom"/>
          </w:tcPr>
          <w:p>
            <w:pPr>
              <w:spacing w:after="0"/>
              <w:rPr>
                <w:sz w:val="20"/>
                <w:szCs w:val="20"/>
                <w:color w:val="auto"/>
              </w:rPr>
            </w:pPr>
            <w:r>
              <w:rPr>
                <w:rFonts w:ascii="Arial" w:cs="Arial" w:eastAsia="Arial" w:hAnsi="Arial"/>
                <w:sz w:val="17"/>
                <w:szCs w:val="17"/>
                <w:b w:val="1"/>
                <w:bCs w:val="1"/>
                <w:color w:val="auto"/>
              </w:rPr>
              <w:t>Balance Sheet Data (at year end)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48,273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88"/>
              </w:rPr>
              <w:t>49,809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48,276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8"/>
              </w:rPr>
              <w:t>45,822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43,694</w:t>
            </w:r>
          </w:p>
        </w:tc>
      </w:tr>
      <w:tr>
        <w:trPr>
          <w:trHeight w:val="202"/>
        </w:trPr>
        <w:tc>
          <w:tcPr>
            <w:tcW w:w="6520" w:type="dxa"/>
            <w:vAlign w:val="bottom"/>
          </w:tcPr>
          <w:p>
            <w:pPr>
              <w:spacing w:after="0"/>
              <w:rPr>
                <w:sz w:val="20"/>
                <w:szCs w:val="20"/>
                <w:color w:val="auto"/>
              </w:rPr>
            </w:pPr>
            <w:r>
              <w:rPr>
                <w:rFonts w:ascii="Arial" w:cs="Arial" w:eastAsia="Arial" w:hAnsi="Arial"/>
                <w:sz w:val="17"/>
                <w:szCs w:val="17"/>
                <w:color w:val="auto"/>
              </w:rPr>
              <w:t>Total debt, including current portion(2)</w:t>
            </w:r>
          </w:p>
        </w:tc>
        <w:tc>
          <w:tcPr>
            <w:tcW w:w="100" w:type="dxa"/>
            <w:vAlign w:val="bottom"/>
          </w:tcPr>
          <w:p>
            <w:pPr>
              <w:spacing w:after="0"/>
              <w:rPr>
                <w:sz w:val="17"/>
                <w:szCs w:val="17"/>
                <w:color w:val="auto"/>
              </w:rPr>
            </w:pPr>
          </w:p>
        </w:tc>
        <w:tc>
          <w:tcPr>
            <w:tcW w:w="700" w:type="dxa"/>
            <w:vAlign w:val="bottom"/>
          </w:tcPr>
          <w:p>
            <w:pPr>
              <w:jc w:val="right"/>
              <w:ind w:right="157"/>
              <w:spacing w:after="0"/>
              <w:rPr>
                <w:sz w:val="20"/>
                <w:szCs w:val="20"/>
                <w:color w:val="auto"/>
              </w:rPr>
            </w:pPr>
            <w:r>
              <w:rPr>
                <w:rFonts w:ascii="Arial" w:cs="Arial" w:eastAsia="Arial" w:hAnsi="Arial"/>
                <w:sz w:val="17"/>
                <w:szCs w:val="17"/>
                <w:color w:val="auto"/>
                <w:w w:val="84"/>
              </w:rPr>
              <w:t>25,052</w:t>
            </w:r>
          </w:p>
        </w:tc>
        <w:tc>
          <w:tcPr>
            <w:tcW w:w="260" w:type="dxa"/>
            <w:vAlign w:val="bottom"/>
          </w:tcPr>
          <w:p>
            <w:pPr>
              <w:spacing w:after="0"/>
              <w:rPr>
                <w:sz w:val="17"/>
                <w:szCs w:val="17"/>
                <w:color w:val="auto"/>
              </w:rPr>
            </w:pPr>
          </w:p>
        </w:tc>
        <w:tc>
          <w:tcPr>
            <w:tcW w:w="700" w:type="dxa"/>
            <w:vAlign w:val="bottom"/>
          </w:tcPr>
          <w:p>
            <w:pPr>
              <w:jc w:val="right"/>
              <w:ind w:right="139"/>
              <w:spacing w:after="0"/>
              <w:rPr>
                <w:sz w:val="20"/>
                <w:szCs w:val="20"/>
                <w:color w:val="auto"/>
              </w:rPr>
            </w:pPr>
            <w:r>
              <w:rPr>
                <w:rFonts w:ascii="Arial" w:cs="Arial" w:eastAsia="Arial" w:hAnsi="Arial"/>
                <w:sz w:val="17"/>
                <w:szCs w:val="17"/>
                <w:color w:val="auto"/>
                <w:w w:val="88"/>
              </w:rPr>
              <w:t>26,689</w:t>
            </w:r>
          </w:p>
        </w:tc>
        <w:tc>
          <w:tcPr>
            <w:tcW w:w="280" w:type="dxa"/>
            <w:vAlign w:val="bottom"/>
          </w:tcPr>
          <w:p>
            <w:pPr>
              <w:spacing w:after="0"/>
              <w:rPr>
                <w:sz w:val="17"/>
                <w:szCs w:val="17"/>
                <w:color w:val="auto"/>
              </w:rPr>
            </w:pPr>
          </w:p>
        </w:tc>
        <w:tc>
          <w:tcPr>
            <w:tcW w:w="700" w:type="dxa"/>
            <w:vAlign w:val="bottom"/>
          </w:tcPr>
          <w:p>
            <w:pPr>
              <w:jc w:val="right"/>
              <w:ind w:right="157"/>
              <w:spacing w:after="0"/>
              <w:rPr>
                <w:sz w:val="20"/>
                <w:szCs w:val="20"/>
                <w:color w:val="auto"/>
              </w:rPr>
            </w:pPr>
            <w:r>
              <w:rPr>
                <w:rFonts w:ascii="Arial" w:cs="Arial" w:eastAsia="Arial" w:hAnsi="Arial"/>
                <w:sz w:val="17"/>
                <w:szCs w:val="17"/>
                <w:color w:val="auto"/>
                <w:w w:val="84"/>
              </w:rPr>
              <w:t>26,442</w:t>
            </w:r>
          </w:p>
        </w:tc>
        <w:tc>
          <w:tcPr>
            <w:tcW w:w="260" w:type="dxa"/>
            <w:vAlign w:val="bottom"/>
          </w:tcPr>
          <w:p>
            <w:pPr>
              <w:spacing w:after="0"/>
              <w:rPr>
                <w:sz w:val="17"/>
                <w:szCs w:val="17"/>
                <w:color w:val="auto"/>
              </w:rPr>
            </w:pPr>
          </w:p>
        </w:tc>
        <w:tc>
          <w:tcPr>
            <w:tcW w:w="720" w:type="dxa"/>
            <w:vAlign w:val="bottom"/>
          </w:tcPr>
          <w:p>
            <w:pPr>
              <w:jc w:val="right"/>
              <w:ind w:right="157"/>
              <w:spacing w:after="0"/>
              <w:rPr>
                <w:sz w:val="20"/>
                <w:szCs w:val="20"/>
                <w:color w:val="auto"/>
              </w:rPr>
            </w:pPr>
            <w:r>
              <w:rPr>
                <w:rFonts w:ascii="Arial" w:cs="Arial" w:eastAsia="Arial" w:hAnsi="Arial"/>
                <w:sz w:val="17"/>
                <w:szCs w:val="17"/>
                <w:color w:val="auto"/>
                <w:w w:val="88"/>
              </w:rPr>
              <w:t>23,121</w:t>
            </w:r>
          </w:p>
        </w:tc>
        <w:tc>
          <w:tcPr>
            <w:tcW w:w="26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22,331</w:t>
            </w: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Mandatorily redeemable preferred equity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300</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300</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w:t>
            </w:r>
          </w:p>
        </w:tc>
      </w:tr>
      <w:tr>
        <w:trPr>
          <w:trHeight w:val="202"/>
        </w:trPr>
        <w:tc>
          <w:tcPr>
            <w:tcW w:w="6520" w:type="dxa"/>
            <w:vAlign w:val="bottom"/>
          </w:tcPr>
          <w:p>
            <w:pPr>
              <w:spacing w:after="0"/>
              <w:rPr>
                <w:sz w:val="20"/>
                <w:szCs w:val="20"/>
                <w:color w:val="auto"/>
              </w:rPr>
            </w:pPr>
            <w:r>
              <w:rPr>
                <w:rFonts w:ascii="Arial" w:cs="Arial" w:eastAsia="Arial" w:hAnsi="Arial"/>
                <w:sz w:val="17"/>
                <w:szCs w:val="17"/>
                <w:b w:val="1"/>
                <w:bCs w:val="1"/>
                <w:color w:val="auto"/>
              </w:rPr>
              <w:t>Statement of Cash Flows Data</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by):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520" w:type="dxa"/>
            <w:vAlign w:val="bottom"/>
          </w:tcPr>
          <w:p>
            <w:pPr>
              <w:ind w:left="34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57"/>
              <w:spacing w:after="0"/>
              <w:rPr>
                <w:sz w:val="20"/>
                <w:szCs w:val="20"/>
                <w:color w:val="auto"/>
              </w:rPr>
            </w:pPr>
            <w:r>
              <w:rPr>
                <w:rFonts w:ascii="Arial" w:cs="Arial" w:eastAsia="Arial" w:hAnsi="Arial"/>
                <w:sz w:val="17"/>
                <w:szCs w:val="17"/>
                <w:color w:val="auto"/>
              </w:rPr>
              <w:t>5,753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9"/>
              <w:spacing w:after="0"/>
              <w:rPr>
                <w:sz w:val="20"/>
                <w:szCs w:val="20"/>
                <w:color w:val="auto"/>
              </w:rPr>
            </w:pPr>
            <w:r>
              <w:rPr>
                <w:rFonts w:ascii="Arial" w:cs="Arial" w:eastAsia="Arial" w:hAnsi="Arial"/>
                <w:sz w:val="17"/>
                <w:szCs w:val="17"/>
                <w:color w:val="auto"/>
              </w:rPr>
              <w:t>5,525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7"/>
              <w:spacing w:after="0"/>
              <w:rPr>
                <w:sz w:val="20"/>
                <w:szCs w:val="20"/>
                <w:color w:val="auto"/>
              </w:rPr>
            </w:pPr>
            <w:r>
              <w:rPr>
                <w:rFonts w:ascii="Arial" w:cs="Arial" w:eastAsia="Arial" w:hAnsi="Arial"/>
                <w:sz w:val="17"/>
                <w:szCs w:val="17"/>
                <w:color w:val="auto"/>
              </w:rPr>
              <w:t>5,688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7"/>
              <w:spacing w:after="0"/>
              <w:rPr>
                <w:sz w:val="20"/>
                <w:szCs w:val="20"/>
                <w:color w:val="auto"/>
              </w:rPr>
            </w:pPr>
            <w:r>
              <w:rPr>
                <w:rFonts w:ascii="Arial" w:cs="Arial" w:eastAsia="Arial" w:hAnsi="Arial"/>
                <w:sz w:val="17"/>
                <w:szCs w:val="17"/>
                <w:color w:val="auto"/>
              </w:rPr>
              <w:t>5,218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5,179</w:t>
            </w:r>
          </w:p>
        </w:tc>
      </w:tr>
      <w:tr>
        <w:trPr>
          <w:trHeight w:val="202"/>
        </w:trPr>
        <w:tc>
          <w:tcPr>
            <w:tcW w:w="6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2"/>
              </w:rPr>
              <w:t>(3,476)</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92"/>
              </w:rPr>
              <w:t>(3,345)</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2"/>
              </w:rPr>
              <w:t>(3,530)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6"/>
              </w:rPr>
              <w:t>(2,872)</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(3,307)</w:t>
            </w:r>
          </w:p>
        </w:tc>
      </w:tr>
      <w:tr>
        <w:trPr>
          <w:trHeight w:val="214"/>
        </w:trPr>
        <w:tc>
          <w:tcPr>
            <w:tcW w:w="6520" w:type="dxa"/>
            <w:vAlign w:val="bottom"/>
          </w:tcPr>
          <w:p>
            <w:pPr>
              <w:ind w:left="34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8"/>
                <w:szCs w:val="18"/>
                <w:color w:val="auto"/>
              </w:rPr>
            </w:pPr>
          </w:p>
        </w:tc>
        <w:tc>
          <w:tcPr>
            <w:tcW w:w="700" w:type="dxa"/>
            <w:vAlign w:val="bottom"/>
          </w:tcPr>
          <w:p>
            <w:pPr>
              <w:jc w:val="right"/>
              <w:ind w:right="97"/>
              <w:spacing w:after="0"/>
              <w:rPr>
                <w:sz w:val="20"/>
                <w:szCs w:val="20"/>
                <w:color w:val="auto"/>
              </w:rPr>
            </w:pPr>
            <w:r>
              <w:rPr>
                <w:rFonts w:ascii="Arial" w:cs="Arial" w:eastAsia="Arial" w:hAnsi="Arial"/>
                <w:sz w:val="17"/>
                <w:szCs w:val="17"/>
                <w:color w:val="auto"/>
                <w:w w:val="92"/>
              </w:rPr>
              <w:t>(5,056)</w:t>
            </w:r>
          </w:p>
        </w:tc>
        <w:tc>
          <w:tcPr>
            <w:tcW w:w="26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7"/>
                <w:szCs w:val="17"/>
                <w:color w:val="auto"/>
                <w:w w:val="92"/>
              </w:rPr>
              <w:t>(4,053)</w:t>
            </w:r>
          </w:p>
        </w:tc>
        <w:tc>
          <w:tcPr>
            <w:tcW w:w="280" w:type="dxa"/>
            <w:vAlign w:val="bottom"/>
          </w:tcPr>
          <w:p>
            <w:pPr>
              <w:spacing w:after="0"/>
              <w:rPr>
                <w:sz w:val="18"/>
                <w:szCs w:val="18"/>
                <w:color w:val="auto"/>
              </w:rPr>
            </w:pPr>
          </w:p>
        </w:tc>
        <w:tc>
          <w:tcPr>
            <w:tcW w:w="700" w:type="dxa"/>
            <w:vAlign w:val="bottom"/>
          </w:tcPr>
          <w:p>
            <w:pPr>
              <w:jc w:val="right"/>
              <w:ind w:right="97"/>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18"/>
                <w:szCs w:val="18"/>
                <w:color w:val="auto"/>
              </w:rPr>
            </w:pPr>
          </w:p>
        </w:tc>
        <w:tc>
          <w:tcPr>
            <w:tcW w:w="720" w:type="dxa"/>
            <w:vAlign w:val="bottom"/>
          </w:tcPr>
          <w:p>
            <w:pPr>
              <w:jc w:val="right"/>
              <w:ind w:right="97"/>
              <w:spacing w:after="0"/>
              <w:rPr>
                <w:sz w:val="20"/>
                <w:szCs w:val="20"/>
                <w:color w:val="auto"/>
              </w:rPr>
            </w:pPr>
            <w:r>
              <w:rPr>
                <w:rFonts w:ascii="Arial" w:cs="Arial" w:eastAsia="Arial" w:hAnsi="Arial"/>
                <w:sz w:val="17"/>
                <w:szCs w:val="17"/>
                <w:color w:val="auto"/>
              </w:rPr>
              <w:t>(347)</w:t>
            </w:r>
          </w:p>
        </w:tc>
        <w:tc>
          <w:tcPr>
            <w:tcW w:w="2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(6,273)</w:t>
            </w:r>
          </w:p>
        </w:tc>
      </w:tr>
    </w:tbl>
    <w:p>
      <w:pPr>
        <w:spacing w:after="0" w:line="152" w:lineRule="exact"/>
        <w:rPr>
          <w:sz w:val="20"/>
          <w:szCs w:val="20"/>
          <w:color w:val="auto"/>
        </w:rPr>
      </w:pPr>
    </w:p>
    <w:p>
      <w:pPr>
        <w:ind w:left="640" w:right="280" w:hanging="451"/>
        <w:spacing w:after="0" w:line="289" w:lineRule="auto"/>
        <w:tabs>
          <w:tab w:leader="none" w:pos="6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Operating Income includes merger-related and restructuring costs of $119 million in 2013, $115 million in 2012, $70 million in 2011, $52 million in 2010 and $81 million in 2009. Operating Income in 2011 includes a $60 million impairment charge on wireless assets that will no longer be utilized.</w:t>
      </w:r>
    </w:p>
    <w:p>
      <w:pPr>
        <w:ind w:left="640" w:hanging="451"/>
        <w:spacing w:after="0"/>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Total debt includes $1.767 billion, $1.518 billion and $2.122 billion of debt due within one year as of December 31, 2013, 2012 and 2011, respectively.</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60"/>
          </w:cols>
          <w:pgMar w:left="240" w:top="439" w:right="3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COMPARATIVE HISTORICAL AND UNAUDITED PRO FORMA PER SHARE DATA</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selected historical and unaudited pro forma combined per share information for Comcast and TWC.</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Historical Per Share Information of Comcast and TWC</w:t>
      </w:r>
    </w:p>
    <w:p>
      <w:pPr>
        <w:spacing w:after="0" w:line="111" w:lineRule="exact"/>
        <w:rPr>
          <w:sz w:val="20"/>
          <w:szCs w:val="20"/>
          <w:color w:val="auto"/>
        </w:rPr>
      </w:pPr>
    </w:p>
    <w:p>
      <w:pPr>
        <w:ind w:left="180" w:right="260" w:firstLine="443"/>
        <w:spacing w:after="0" w:line="270" w:lineRule="auto"/>
        <w:rPr>
          <w:sz w:val="20"/>
          <w:szCs w:val="20"/>
          <w:color w:val="auto"/>
        </w:rPr>
      </w:pPr>
      <w:r>
        <w:rPr>
          <w:rFonts w:ascii="Arial" w:cs="Arial" w:eastAsia="Arial" w:hAnsi="Arial"/>
          <w:sz w:val="17"/>
          <w:szCs w:val="17"/>
          <w:color w:val="auto"/>
        </w:rPr>
        <w:t>The historical per share information of each of Comcast and TWC below is derived from the audited consolidated financial statements of each of Comcast and TWC as of, and for the year ended, December 31, 2013.</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Combined per Comcast Common Share Data</w:t>
      </w:r>
    </w:p>
    <w:p>
      <w:pPr>
        <w:spacing w:after="0" w:line="111" w:lineRule="exact"/>
        <w:rPr>
          <w:sz w:val="20"/>
          <w:szCs w:val="20"/>
          <w:color w:val="auto"/>
        </w:rPr>
      </w:pPr>
    </w:p>
    <w:p>
      <w:pPr>
        <w:ind w:left="180" w:right="40" w:firstLine="443"/>
        <w:spacing w:after="0" w:line="255" w:lineRule="auto"/>
        <w:rPr>
          <w:sz w:val="20"/>
          <w:szCs w:val="20"/>
          <w:color w:val="auto"/>
        </w:rPr>
      </w:pPr>
      <w:r>
        <w:rPr>
          <w:rFonts w:ascii="Arial" w:cs="Arial" w:eastAsia="Arial" w:hAnsi="Arial"/>
          <w:sz w:val="17"/>
          <w:szCs w:val="17"/>
          <w:color w:val="auto"/>
        </w:rPr>
        <w:t>The unaudited pro forma combined per Comcast common share data set forth below gives effect to the merger under the acquisition method of accounting, as if the merger had been effective on January 1, 2013, the first day of Comcast’s fiscal year ended December 31, 2013, in the case of net income, and at December 31, 2013, in the case of book value per share data, and assuming that each outstanding share of TWC common stock had been converted into Comcast common shares based on the exchange ratio.</w:t>
      </w:r>
    </w:p>
    <w:p>
      <w:pPr>
        <w:spacing w:after="0" w:line="178" w:lineRule="exact"/>
        <w:rPr>
          <w:sz w:val="20"/>
          <w:szCs w:val="20"/>
          <w:color w:val="auto"/>
        </w:rPr>
      </w:pPr>
    </w:p>
    <w:p>
      <w:pPr>
        <w:ind w:left="180" w:right="280" w:firstLine="443"/>
        <w:spacing w:after="0" w:line="270" w:lineRule="auto"/>
        <w:rPr>
          <w:sz w:val="20"/>
          <w:szCs w:val="20"/>
          <w:color w:val="auto"/>
        </w:rPr>
      </w:pPr>
      <w:r>
        <w:rPr>
          <w:rFonts w:ascii="Arial" w:cs="Arial" w:eastAsia="Arial" w:hAnsi="Arial"/>
          <w:sz w:val="17"/>
          <w:szCs w:val="17"/>
          <w:color w:val="auto"/>
        </w:rPr>
        <w:t>The unaudited pro forma combined per Comcast common share data is derived from the audited consolidated financial statements of each of Comcast and TWC as of, and for the year ended, December 31, 2013.</w:t>
      </w:r>
    </w:p>
    <w:p>
      <w:pPr>
        <w:spacing w:after="0" w:line="166" w:lineRule="exact"/>
        <w:rPr>
          <w:sz w:val="20"/>
          <w:szCs w:val="20"/>
          <w:color w:val="auto"/>
        </w:rPr>
      </w:pPr>
    </w:p>
    <w:p>
      <w:pPr>
        <w:ind w:left="180" w:firstLine="443"/>
        <w:spacing w:after="0" w:line="290" w:lineRule="auto"/>
        <w:rPr>
          <w:sz w:val="20"/>
          <w:szCs w:val="20"/>
          <w:color w:val="auto"/>
        </w:rPr>
      </w:pPr>
      <w:r>
        <w:rPr>
          <w:rFonts w:ascii="Arial" w:cs="Arial" w:eastAsia="Arial" w:hAnsi="Arial"/>
          <w:sz w:val="15"/>
          <w:szCs w:val="15"/>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55" w:lineRule="exact"/>
        <w:rPr>
          <w:sz w:val="20"/>
          <w:szCs w:val="20"/>
          <w:color w:val="auto"/>
        </w:rPr>
      </w:pPr>
    </w:p>
    <w:p>
      <w:pPr>
        <w:ind w:left="180" w:right="220" w:firstLine="443"/>
        <w:spacing w:after="0" w:line="338" w:lineRule="auto"/>
        <w:rPr>
          <w:sz w:val="20"/>
          <w:szCs w:val="20"/>
          <w:color w:val="auto"/>
        </w:rPr>
      </w:pPr>
      <w:r>
        <w:rPr>
          <w:rFonts w:ascii="Arial" w:cs="Arial" w:eastAsia="Arial" w:hAnsi="Arial"/>
          <w:sz w:val="15"/>
          <w:szCs w:val="15"/>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merger.</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Combined per TWC Equivalent Share Data</w:t>
      </w:r>
    </w:p>
    <w:p>
      <w:pPr>
        <w:spacing w:after="0" w:line="111" w:lineRule="exact"/>
        <w:rPr>
          <w:sz w:val="20"/>
          <w:szCs w:val="20"/>
          <w:color w:val="auto"/>
        </w:rPr>
      </w:pPr>
    </w:p>
    <w:p>
      <w:pPr>
        <w:ind w:left="180" w:right="140" w:firstLine="443"/>
        <w:spacing w:after="0" w:line="338" w:lineRule="auto"/>
        <w:rPr>
          <w:sz w:val="20"/>
          <w:szCs w:val="20"/>
          <w:color w:val="auto"/>
        </w:rPr>
      </w:pPr>
      <w:r>
        <w:rPr>
          <w:rFonts w:ascii="Arial" w:cs="Arial" w:eastAsia="Arial" w:hAnsi="Arial"/>
          <w:sz w:val="15"/>
          <w:szCs w:val="15"/>
          <w:color w:val="auto"/>
        </w:rPr>
        <w:t>The unaudited pro forma combined per TWC equivalent share data set forth below shows the effect of the merger from the perspective of an owner of TWC common stock. The information was calculated by multiplying the unaudited pro forma combined per Comcast common share amounts by the exchange ratio.</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Generally</w:t>
      </w:r>
    </w:p>
    <w:p>
      <w:pPr>
        <w:spacing w:after="0" w:line="111"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You should read the below information in conjunction with the selected historical consolidated financial information included elsewhere in this joint proxy statement/prospectus and the historical consolidated financial statements of Comcast and TWC and related notes that have been filed with the SEC, certain of which are incorporated by reference into this joint proxy statement/prospectus. See “Selected Historical Consolidated</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80"/>
          </w:cols>
          <w:pgMar w:left="240" w:top="439" w:right="3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73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4085" cy="467360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Financial Data of Comcast,” “Selected Historical Consolidated Financial Data of TWC” and “Where You Can Find More Information” beginning on pages [—],</w:t>
      </w:r>
    </w:p>
    <w:p>
      <w:pPr>
        <w:spacing w:after="0" w:line="41" w:lineRule="exact"/>
        <w:rPr>
          <w:sz w:val="20"/>
          <w:szCs w:val="20"/>
          <w:color w:val="auto"/>
        </w:rPr>
      </w:pPr>
    </w:p>
    <w:p>
      <w:pPr>
        <w:ind w:left="180" w:right="240"/>
        <w:spacing w:after="0" w:line="270" w:lineRule="auto"/>
        <w:rPr>
          <w:sz w:val="20"/>
          <w:szCs w:val="20"/>
          <w:color w:val="auto"/>
        </w:rPr>
      </w:pPr>
      <w:r>
        <w:rPr>
          <w:rFonts w:ascii="Arial" w:cs="Arial" w:eastAsia="Arial" w:hAnsi="Arial"/>
          <w:sz w:val="16"/>
          <w:szCs w:val="16"/>
          <w:color w:val="auto"/>
        </w:rPr>
        <w:t>[—] and [—], respectively, of this joint proxy statement/prospectus. The unaudited pro forma combined per Comcast common share data and the unaudited pro forma combined per TWC equivalent share data is derived from, and should be read in conjunction with, the Comcast and TWC unaudited pro forma condensed combined financial statements and related notes included in this joint proxy statement/prospectus. See “Comcast and TWC Unaudited Pro Forma Condensed Combined Financial Statements” beginning on page [—] of this joint proxy statement/prospectus.</w:t>
      </w:r>
    </w:p>
    <w:p>
      <w:pPr>
        <w:spacing w:after="0" w:line="176"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As of/For the</w:t>
            </w:r>
          </w:p>
        </w:tc>
      </w:tr>
      <w:tr>
        <w:trPr>
          <w:trHeight w:val="139"/>
        </w:trPr>
        <w:tc>
          <w:tcPr>
            <w:tcW w:w="6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Year Ended</w:t>
            </w:r>
          </w:p>
        </w:tc>
      </w:tr>
      <w:tr>
        <w:trPr>
          <w:trHeight w:val="139"/>
        </w:trPr>
        <w:tc>
          <w:tcPr>
            <w:tcW w:w="6060" w:type="dxa"/>
            <w:vAlign w:val="bottom"/>
          </w:tcPr>
          <w:p>
            <w:pPr>
              <w:spacing w:after="0"/>
              <w:rPr>
                <w:sz w:val="12"/>
                <w:szCs w:val="12"/>
                <w:color w:val="auto"/>
              </w:rPr>
            </w:pPr>
          </w:p>
        </w:tc>
        <w:tc>
          <w:tcPr>
            <w:tcW w:w="2360" w:type="dxa"/>
            <w:vAlign w:val="bottom"/>
            <w:gridSpan w:val="4"/>
          </w:tcPr>
          <w:p>
            <w:pPr>
              <w:ind w:left="1480"/>
              <w:spacing w:after="0" w:line="139" w:lineRule="exact"/>
              <w:rPr>
                <w:sz w:val="20"/>
                <w:szCs w:val="20"/>
                <w:color w:val="auto"/>
              </w:rPr>
            </w:pPr>
            <w:r>
              <w:rPr>
                <w:rFonts w:ascii="Arial" w:cs="Arial" w:eastAsia="Arial" w:hAnsi="Arial"/>
                <w:sz w:val="13"/>
                <w:szCs w:val="13"/>
                <w:b w:val="1"/>
                <w:bCs w:val="1"/>
                <w:color w:val="auto"/>
              </w:rPr>
              <w:t>December 31,</w:t>
            </w:r>
          </w:p>
        </w:tc>
      </w:tr>
      <w:tr>
        <w:trPr>
          <w:trHeight w:val="159"/>
        </w:trPr>
        <w:tc>
          <w:tcPr>
            <w:tcW w:w="606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3"/>
                <w:szCs w:val="13"/>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Comcast Historical per Common Share Data:</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Net income—basic</w:t>
            </w:r>
          </w:p>
        </w:tc>
        <w:tc>
          <w:tcPr>
            <w:tcW w:w="1660" w:type="dxa"/>
            <w:vAlign w:val="bottom"/>
            <w:gridSpan w:val="2"/>
          </w:tcPr>
          <w:p>
            <w:pPr>
              <w:ind w:left="14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income—diluted</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Cash dividends paid</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0.7475</w:t>
            </w: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Book value(1)</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TWC Historical per Common Share Data:</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income—basic</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Net income—diluted</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6.70</w:t>
            </w: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Book value(1)</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24.98</w:t>
            </w: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Unaudited Pro Forma Combined per Comcast Common Share Data:</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Net income—basic</w:t>
            </w:r>
          </w:p>
        </w:tc>
        <w:tc>
          <w:tcPr>
            <w:tcW w:w="1660" w:type="dxa"/>
            <w:vAlign w:val="bottom"/>
            <w:gridSpan w:val="2"/>
          </w:tcPr>
          <w:p>
            <w:pPr>
              <w:ind w:left="14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income—diluted</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Cash dividends paid(2)</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N/A</w:t>
            </w: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Book value(1)</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26.92</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Unaudited Pro Forma Combined per TWC Equivalent Share Data:</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income—basic(3)</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80" w:type="dxa"/>
            <w:vAlign w:val="bottom"/>
            <w:shd w:val="clear" w:color="auto" w:fill="CCEEFF"/>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Net income—diluted(3)</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6.99</w:t>
            </w:r>
          </w:p>
        </w:tc>
        <w:tc>
          <w:tcPr>
            <w:tcW w:w="8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paid(2)</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N/A</w:t>
            </w:r>
          </w:p>
        </w:tc>
      </w:tr>
      <w:tr>
        <w:trPr>
          <w:trHeight w:val="214"/>
        </w:trPr>
        <w:tc>
          <w:tcPr>
            <w:tcW w:w="6060" w:type="dxa"/>
            <w:vAlign w:val="bottom"/>
          </w:tcPr>
          <w:p>
            <w:pPr>
              <w:spacing w:after="0"/>
              <w:rPr>
                <w:sz w:val="20"/>
                <w:szCs w:val="20"/>
                <w:color w:val="auto"/>
              </w:rPr>
            </w:pPr>
            <w:r>
              <w:rPr>
                <w:rFonts w:ascii="Arial" w:cs="Arial" w:eastAsia="Arial" w:hAnsi="Arial"/>
                <w:sz w:val="17"/>
                <w:szCs w:val="17"/>
                <w:color w:val="auto"/>
              </w:rPr>
              <w:t>Book value(1)(3)</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77.40</w:t>
            </w:r>
          </w:p>
        </w:tc>
        <w:tc>
          <w:tcPr>
            <w:tcW w:w="80" w:type="dxa"/>
            <w:vAlign w:val="bottom"/>
          </w:tcPr>
          <w:p>
            <w:pPr>
              <w:spacing w:after="0"/>
              <w:rPr>
                <w:sz w:val="18"/>
                <w:szCs w:val="18"/>
                <w:color w:val="auto"/>
              </w:rPr>
            </w:pPr>
          </w:p>
        </w:tc>
      </w:tr>
    </w:tbl>
    <w:p>
      <w:pPr>
        <w:spacing w:after="0" w:line="152" w:lineRule="exact"/>
        <w:rPr>
          <w:sz w:val="20"/>
          <w:szCs w:val="20"/>
          <w:color w:val="auto"/>
        </w:rPr>
      </w:pPr>
    </w:p>
    <w:p>
      <w:pPr>
        <w:ind w:left="640" w:hanging="451"/>
        <w:spacing w:after="0"/>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Amount is calculated by dividing shareholders’ equity by common shares or shares of common stock, as applicable, outstanding.</w:t>
      </w:r>
    </w:p>
    <w:p>
      <w:pPr>
        <w:spacing w:after="0" w:line="18" w:lineRule="exact"/>
        <w:rPr>
          <w:rFonts w:ascii="Arial" w:cs="Arial" w:eastAsia="Arial" w:hAnsi="Arial"/>
          <w:sz w:val="17"/>
          <w:szCs w:val="17"/>
          <w:color w:val="auto"/>
        </w:rPr>
      </w:pPr>
    </w:p>
    <w:p>
      <w:pPr>
        <w:ind w:left="640" w:hanging="451"/>
        <w:spacing w:after="0" w:line="247"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 forma combined dividends per share is not presented as the dividend policy for the combined entity will be determined by the Comcast board of directors following completion of the merger.</w:t>
      </w:r>
    </w:p>
    <w:p>
      <w:pPr>
        <w:spacing w:after="0" w:line="1" w:lineRule="exact"/>
        <w:rPr>
          <w:rFonts w:ascii="Arial" w:cs="Arial" w:eastAsia="Arial" w:hAnsi="Arial"/>
          <w:sz w:val="17"/>
          <w:szCs w:val="17"/>
          <w:color w:val="auto"/>
        </w:rPr>
      </w:pPr>
    </w:p>
    <w:p>
      <w:pPr>
        <w:ind w:left="640" w:right="100" w:hanging="451"/>
        <w:spacing w:after="0" w:line="255"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Amounts calculated by multiplying unaudited pro forma combined per share amounts by the exchange ratio in the merger (2.875 shares of Comcast Class A common stock for each share of TWC common stock).</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20"/>
          </w:cols>
          <w:pgMar w:left="240" w:top="439" w:right="4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866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4085" cy="58667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COMPARATIVE PER SHARE MARKET PRICE AND DIVIDEND INFORMATION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Market Prices</w:t>
      </w:r>
    </w:p>
    <w:p>
      <w:pPr>
        <w:spacing w:after="0" w:line="111" w:lineRule="exact"/>
        <w:rPr>
          <w:sz w:val="20"/>
          <w:szCs w:val="20"/>
          <w:color w:val="auto"/>
        </w:rPr>
      </w:pPr>
    </w:p>
    <w:p>
      <w:pPr>
        <w:ind w:left="180" w:right="60" w:firstLine="443"/>
        <w:spacing w:after="0" w:line="272" w:lineRule="auto"/>
        <w:rPr>
          <w:sz w:val="20"/>
          <w:szCs w:val="20"/>
          <w:color w:val="auto"/>
        </w:rPr>
      </w:pPr>
      <w:r>
        <w:rPr>
          <w:rFonts w:ascii="Arial" w:cs="Arial" w:eastAsia="Arial" w:hAnsi="Arial"/>
          <w:sz w:val="16"/>
          <w:szCs w:val="16"/>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5620" w:type="dxa"/>
            <w:vAlign w:val="bottom"/>
          </w:tcPr>
          <w:p>
            <w:pPr>
              <w:spacing w:after="0"/>
              <w:rPr>
                <w:sz w:val="13"/>
                <w:szCs w:val="13"/>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Comcast Class A</w:t>
            </w: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Arial" w:cs="Arial" w:eastAsia="Arial" w:hAnsi="Arial"/>
                <w:sz w:val="13"/>
                <w:szCs w:val="13"/>
                <w:b w:val="1"/>
                <w:bCs w:val="1"/>
                <w:color w:val="auto"/>
              </w:rPr>
              <w:t>Comcast Class A Special</w:t>
            </w:r>
          </w:p>
        </w:tc>
        <w:tc>
          <w:tcPr>
            <w:tcW w:w="1620" w:type="dxa"/>
            <w:vAlign w:val="bottom"/>
            <w:gridSpan w:val="4"/>
          </w:tcPr>
          <w:p>
            <w:pPr>
              <w:ind w:left="160"/>
              <w:spacing w:after="0"/>
              <w:rPr>
                <w:sz w:val="20"/>
                <w:szCs w:val="20"/>
                <w:color w:val="auto"/>
              </w:rPr>
            </w:pPr>
            <w:r>
              <w:rPr>
                <w:rFonts w:ascii="Arial" w:cs="Arial" w:eastAsia="Arial" w:hAnsi="Arial"/>
                <w:sz w:val="13"/>
                <w:szCs w:val="13"/>
                <w:b w:val="1"/>
                <w:bCs w:val="1"/>
                <w:color w:val="auto"/>
              </w:rPr>
              <w:t>TWC Common Stock</w:t>
            </w:r>
          </w:p>
        </w:tc>
      </w:tr>
      <w:tr>
        <w:trPr>
          <w:trHeight w:val="131"/>
        </w:trPr>
        <w:tc>
          <w:tcPr>
            <w:tcW w:w="5620" w:type="dxa"/>
            <w:vAlign w:val="bottom"/>
          </w:tcPr>
          <w:p>
            <w:pPr>
              <w:spacing w:after="0"/>
              <w:rPr>
                <w:sz w:val="11"/>
                <w:szCs w:val="11"/>
                <w:color w:val="auto"/>
              </w:rPr>
            </w:pPr>
          </w:p>
        </w:tc>
        <w:tc>
          <w:tcPr>
            <w:tcW w:w="90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High</w:t>
            </w:r>
          </w:p>
        </w:tc>
        <w:tc>
          <w:tcPr>
            <w:tcW w:w="460" w:type="dxa"/>
            <w:vAlign w:val="bottom"/>
            <w:tcBorders>
              <w:top w:val="single" w:sz="8" w:color="auto"/>
            </w:tcBorders>
          </w:tcPr>
          <w:p>
            <w:pPr>
              <w:jc w:val="right"/>
              <w:ind w:right="19"/>
              <w:spacing w:after="0" w:line="131" w:lineRule="exact"/>
              <w:rPr>
                <w:sz w:val="20"/>
                <w:szCs w:val="20"/>
                <w:color w:val="auto"/>
              </w:rPr>
            </w:pPr>
            <w:r>
              <w:rPr>
                <w:rFonts w:ascii="Arial" w:cs="Arial" w:eastAsia="Arial" w:hAnsi="Arial"/>
                <w:sz w:val="13"/>
                <w:szCs w:val="13"/>
                <w:b w:val="1"/>
                <w:bCs w:val="1"/>
                <w:color w:val="auto"/>
              </w:rPr>
              <w:t>Low</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80"/>
              <w:spacing w:after="0" w:line="131" w:lineRule="exact"/>
              <w:rPr>
                <w:sz w:val="20"/>
                <w:szCs w:val="20"/>
                <w:color w:val="auto"/>
              </w:rPr>
            </w:pPr>
            <w:r>
              <w:rPr>
                <w:rFonts w:ascii="Arial" w:cs="Arial" w:eastAsia="Arial" w:hAnsi="Arial"/>
                <w:sz w:val="13"/>
                <w:szCs w:val="13"/>
                <w:b w:val="1"/>
                <w:bCs w:val="1"/>
                <w:color w:val="auto"/>
              </w:rPr>
              <w:t>High</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8"/>
              <w:spacing w:after="0" w:line="131" w:lineRule="exact"/>
              <w:rPr>
                <w:sz w:val="20"/>
                <w:szCs w:val="20"/>
                <w:color w:val="auto"/>
              </w:rPr>
            </w:pPr>
            <w:r>
              <w:rPr>
                <w:rFonts w:ascii="Arial" w:cs="Arial" w:eastAsia="Arial" w:hAnsi="Arial"/>
                <w:sz w:val="13"/>
                <w:szCs w:val="13"/>
                <w:b w:val="1"/>
                <w:bCs w:val="1"/>
                <w:color w:val="auto"/>
              </w:rPr>
              <w:t>Low</w:t>
            </w:r>
          </w:p>
        </w:tc>
        <w:tc>
          <w:tcPr>
            <w:tcW w:w="40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40"/>
              <w:spacing w:after="0" w:line="131" w:lineRule="exact"/>
              <w:rPr>
                <w:sz w:val="20"/>
                <w:szCs w:val="20"/>
                <w:color w:val="auto"/>
              </w:rPr>
            </w:pPr>
            <w:r>
              <w:rPr>
                <w:rFonts w:ascii="Arial" w:cs="Arial" w:eastAsia="Arial" w:hAnsi="Arial"/>
                <w:sz w:val="13"/>
                <w:szCs w:val="13"/>
                <w:b w:val="1"/>
                <w:bCs w:val="1"/>
                <w:color w:val="auto"/>
              </w:rPr>
              <w:t>High</w:t>
            </w:r>
          </w:p>
        </w:tc>
        <w:tc>
          <w:tcPr>
            <w:tcW w:w="560" w:type="dxa"/>
            <w:vAlign w:val="bottom"/>
            <w:tcBorders>
              <w:top w:val="single" w:sz="8" w:color="auto"/>
            </w:tcBorders>
          </w:tcPr>
          <w:p>
            <w:pPr>
              <w:jc w:val="right"/>
              <w:ind w:right="79"/>
              <w:spacing w:after="0" w:line="131" w:lineRule="exact"/>
              <w:rPr>
                <w:sz w:val="20"/>
                <w:szCs w:val="20"/>
                <w:color w:val="auto"/>
              </w:rPr>
            </w:pPr>
            <w:r>
              <w:rPr>
                <w:rFonts w:ascii="Arial" w:cs="Arial" w:eastAsia="Arial" w:hAnsi="Arial"/>
                <w:sz w:val="13"/>
                <w:szCs w:val="13"/>
                <w:b w:val="1"/>
                <w:bCs w:val="1"/>
                <w:color w:val="auto"/>
              </w:rPr>
              <w:t>Low</w:t>
            </w:r>
          </w:p>
        </w:tc>
        <w:tc>
          <w:tcPr>
            <w:tcW w:w="80" w:type="dxa"/>
            <w:vAlign w:val="bottom"/>
          </w:tcPr>
          <w:p>
            <w:pPr>
              <w:spacing w:after="0"/>
              <w:rPr>
                <w:sz w:val="11"/>
                <w:szCs w:val="11"/>
                <w:color w:val="auto"/>
              </w:rPr>
            </w:pPr>
          </w:p>
        </w:tc>
      </w:tr>
      <w:tr>
        <w:trPr>
          <w:trHeight w:val="182"/>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2012</w:t>
            </w: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$30.41</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$24.28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23.97</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$81.75</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$63.93</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Second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31.99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28.09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31.48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27.80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83.64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73.52</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Third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36.90</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31.04</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35.83</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30.60</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96.57</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81.07</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Fourth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38.22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36.91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34.00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100.50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89.06</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2013</w:t>
            </w: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$42.01</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$37.21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35.84</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$102.00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$84.57</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Second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43.74</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38.75</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41.88</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37.35</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113.06</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89.81</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Third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46.33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40.26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46.00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38.55</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120.93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106.01</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Fourth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52.09</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44.09</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49.94</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42.62</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139.85</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108.88</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5620" w:type="dxa"/>
            <w:vAlign w:val="bottom"/>
          </w:tcPr>
          <w:p>
            <w:pPr>
              <w:spacing w:after="0"/>
              <w:rPr>
                <w:sz w:val="20"/>
                <w:szCs w:val="20"/>
                <w:color w:val="auto"/>
              </w:rPr>
            </w:pPr>
            <w:r>
              <w:rPr>
                <w:rFonts w:ascii="Arial" w:cs="Arial" w:eastAsia="Arial" w:hAnsi="Arial"/>
                <w:sz w:val="17"/>
                <w:szCs w:val="17"/>
                <w:color w:val="auto"/>
              </w:rPr>
              <w:t>First Calendar Quarter (through [—], 2014)</w:t>
            </w:r>
          </w:p>
        </w:tc>
        <w:tc>
          <w:tcPr>
            <w:tcW w:w="480" w:type="dxa"/>
            <w:vAlign w:val="bottom"/>
          </w:tcPr>
          <w:p>
            <w:pPr>
              <w:jc w:val="right"/>
              <w:ind w:right="299"/>
              <w:spacing w:after="0"/>
              <w:rPr>
                <w:sz w:val="20"/>
                <w:szCs w:val="20"/>
                <w:color w:val="auto"/>
              </w:rPr>
            </w:pPr>
            <w:r>
              <w:rPr>
                <w:rFonts w:ascii="Arial" w:cs="Arial" w:eastAsia="Arial" w:hAnsi="Arial"/>
                <w:sz w:val="17"/>
                <w:szCs w:val="17"/>
                <w:color w:val="auto"/>
                <w:w w:val="84"/>
              </w:rPr>
              <w:t>$</w:t>
            </w:r>
          </w:p>
        </w:tc>
        <w:tc>
          <w:tcPr>
            <w:tcW w:w="42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420" w:type="dxa"/>
            <w:vAlign w:val="bottom"/>
          </w:tcPr>
          <w:p>
            <w:pPr>
              <w:spacing w:after="0"/>
              <w:rPr>
                <w:sz w:val="18"/>
                <w:szCs w:val="18"/>
                <w:color w:val="auto"/>
              </w:rPr>
            </w:pPr>
          </w:p>
        </w:tc>
        <w:tc>
          <w:tcPr>
            <w:tcW w:w="560" w:type="dxa"/>
            <w:vAlign w:val="bottom"/>
          </w:tcPr>
          <w:p>
            <w:pPr>
              <w:jc w:val="right"/>
              <w:ind w:right="39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r>
    </w:tbl>
    <w:p>
      <w:pPr>
        <w:spacing w:after="0" w:line="177" w:lineRule="exact"/>
        <w:rPr>
          <w:sz w:val="20"/>
          <w:szCs w:val="20"/>
          <w:color w:val="auto"/>
        </w:rPr>
      </w:pPr>
    </w:p>
    <w:p>
      <w:pPr>
        <w:ind w:left="180" w:right="240" w:firstLine="443"/>
        <w:spacing w:after="0" w:line="253"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center"/>
              <w:ind w:right="960"/>
              <w:spacing w:after="0"/>
              <w:rPr>
                <w:sz w:val="20"/>
                <w:szCs w:val="20"/>
                <w:color w:val="auto"/>
              </w:rPr>
            </w:pPr>
            <w:r>
              <w:rPr>
                <w:rFonts w:ascii="Arial" w:cs="Arial" w:eastAsia="Arial" w:hAnsi="Arial"/>
                <w:sz w:val="13"/>
                <w:szCs w:val="13"/>
                <w:b w:val="1"/>
                <w:bCs w:val="1"/>
                <w:color w:val="auto"/>
                <w:w w:val="90"/>
              </w:rPr>
              <w:t>Comcast</w:t>
            </w:r>
          </w:p>
        </w:tc>
        <w:tc>
          <w:tcPr>
            <w:tcW w:w="14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Comcast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Implied Per</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TWC Common</w:t>
            </w:r>
          </w:p>
        </w:tc>
        <w:tc>
          <w:tcPr>
            <w:tcW w:w="9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w w:val="99"/>
              </w:rPr>
              <w:t>Share Value of</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940"/>
              <w:spacing w:after="0" w:line="139" w:lineRule="exact"/>
              <w:rPr>
                <w:sz w:val="20"/>
                <w:szCs w:val="20"/>
                <w:color w:val="auto"/>
              </w:rPr>
            </w:pPr>
            <w:r>
              <w:rPr>
                <w:rFonts w:ascii="Arial" w:cs="Arial" w:eastAsia="Arial" w:hAnsi="Arial"/>
                <w:sz w:val="13"/>
                <w:szCs w:val="13"/>
                <w:b w:val="1"/>
                <w:bCs w:val="1"/>
                <w:color w:val="auto"/>
                <w:w w:val="92"/>
              </w:rPr>
              <w:t>Class A</w:t>
            </w:r>
          </w:p>
        </w:tc>
        <w:tc>
          <w:tcPr>
            <w:tcW w:w="168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Class A Special</w:t>
            </w:r>
          </w:p>
        </w:tc>
        <w:tc>
          <w:tcPr>
            <w:tcW w:w="17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rPr>
              <w:t>Merger</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Common Stock</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b w:val="1"/>
                <w:bCs w:val="1"/>
                <w:color w:val="auto"/>
              </w:rPr>
              <w:t>Stock</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Consideration</w:t>
            </w:r>
          </w:p>
        </w:tc>
        <w:tc>
          <w:tcPr>
            <w:tcW w:w="0" w:type="dxa"/>
            <w:vAlign w:val="bottom"/>
          </w:tcPr>
          <w:p>
            <w:pPr>
              <w:spacing w:after="0"/>
              <w:rPr>
                <w:sz w:val="1"/>
                <w:szCs w:val="1"/>
                <w:color w:val="auto"/>
              </w:rPr>
            </w:pPr>
          </w:p>
        </w:tc>
      </w:tr>
      <w:tr>
        <w:trPr>
          <w:trHeight w:val="194"/>
        </w:trPr>
        <w:tc>
          <w:tcPr>
            <w:tcW w:w="4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February 12, 2014</w:t>
            </w: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55.24</w:t>
            </w: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52.95</w:t>
            </w:r>
          </w:p>
        </w:tc>
        <w:tc>
          <w:tcPr>
            <w:tcW w:w="7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135.31</w:t>
            </w: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158.82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7"/>
                <w:szCs w:val="17"/>
                <w:color w:val="auto"/>
              </w:rPr>
              <w:t>[—], 2014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firstLine="443"/>
        <w:spacing w:after="0" w:line="268" w:lineRule="auto"/>
        <w:rPr>
          <w:sz w:val="20"/>
          <w:szCs w:val="20"/>
          <w:color w:val="auto"/>
        </w:rPr>
      </w:pPr>
      <w:r>
        <w:rPr>
          <w:rFonts w:ascii="Arial" w:cs="Arial" w:eastAsia="Arial" w:hAnsi="Arial"/>
          <w:sz w:val="16"/>
          <w:szCs w:val="16"/>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thereafter. No assurance can be given concerning the market prices of Comcast Class A common stock and Comcast Class A Special common stock and TWC common stock before completion of the merger or Comcast Class A common stock or Comcast Class A Special common stock after completion of the merger. The exchange ratio is fixed in 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60"/>
          </w:cols>
          <w:pgMar w:left="240" w:top="439" w:right="3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3624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4085" cy="36245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Dividends</w:t>
      </w:r>
    </w:p>
    <w:p>
      <w:pPr>
        <w:spacing w:after="0" w:line="111" w:lineRule="exact"/>
        <w:rPr>
          <w:sz w:val="20"/>
          <w:szCs w:val="20"/>
          <w:color w:val="auto"/>
        </w:rPr>
      </w:pPr>
    </w:p>
    <w:p>
      <w:pPr>
        <w:ind w:left="180" w:right="120" w:firstLine="443"/>
        <w:spacing w:after="0" w:line="252" w:lineRule="auto"/>
        <w:rPr>
          <w:sz w:val="20"/>
          <w:szCs w:val="20"/>
          <w:color w:val="auto"/>
        </w:rPr>
      </w:pPr>
      <w:r>
        <w:rPr>
          <w:rFonts w:ascii="Arial" w:cs="Arial" w:eastAsia="Arial" w:hAnsi="Arial"/>
          <w:sz w:val="17"/>
          <w:szCs w:val="17"/>
          <w:color w:val="auto"/>
        </w:rPr>
        <w:t>Comcast currently pays a quarterly dividend on Comcast common shares and last paid a quarterly dividend on January 23, 2014, of $0.195 per share. In addition, on January 28, 2014, Comcast declared a quarterly dividend of $0.225 per share, which will be paid on April 23, 2014 to Comcast shareholders of record at the close of business on April 2,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81" w:lineRule="exact"/>
        <w:rPr>
          <w:sz w:val="20"/>
          <w:szCs w:val="20"/>
          <w:color w:val="auto"/>
        </w:rPr>
      </w:pPr>
    </w:p>
    <w:p>
      <w:pPr>
        <w:ind w:left="180" w:right="100" w:firstLine="443"/>
        <w:spacing w:after="0" w:line="276" w:lineRule="auto"/>
        <w:rPr>
          <w:sz w:val="20"/>
          <w:szCs w:val="20"/>
          <w:color w:val="auto"/>
        </w:rPr>
      </w:pPr>
      <w:r>
        <w:rPr>
          <w:rFonts w:ascii="Arial" w:cs="Arial" w:eastAsia="Arial" w:hAnsi="Arial"/>
          <w:sz w:val="16"/>
          <w:szCs w:val="16"/>
          <w:color w:val="auto"/>
        </w:rPr>
        <w:t>TWC currently pays a quarterly dividend on TWC common stock, and last paid a quarterly dividend on March 17, 2014, of $0.75 per share.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63" w:lineRule="exact"/>
        <w:rPr>
          <w:sz w:val="20"/>
          <w:szCs w:val="20"/>
          <w:color w:val="auto"/>
        </w:rPr>
      </w:pPr>
    </w:p>
    <w:p>
      <w:pPr>
        <w:ind w:left="180" w:right="140" w:firstLine="443"/>
        <w:spacing w:after="0" w:line="309" w:lineRule="auto"/>
        <w:rPr>
          <w:sz w:val="20"/>
          <w:szCs w:val="20"/>
          <w:color w:val="auto"/>
        </w:rPr>
      </w:pPr>
      <w:r>
        <w:rPr>
          <w:rFonts w:ascii="Arial" w:cs="Arial" w:eastAsia="Arial" w:hAnsi="Arial"/>
          <w:sz w:val="15"/>
          <w:szCs w:val="15"/>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41" w:lineRule="exact"/>
        <w:rPr>
          <w:sz w:val="20"/>
          <w:szCs w:val="20"/>
          <w:color w:val="auto"/>
        </w:rPr>
      </w:pPr>
    </w:p>
    <w:p>
      <w:pPr>
        <w:ind w:left="180" w:firstLine="443"/>
        <w:spacing w:after="0" w:line="268"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60"/>
          </w:cols>
          <w:pgMar w:left="240" w:top="439" w:right="3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COMCAST AND TWC UNAUDITED</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 FORMA CONDENSED COMBINED FINANCIAL STATEMENTS</w:t>
      </w:r>
    </w:p>
    <w:p>
      <w:pPr>
        <w:spacing w:after="0" w:line="196" w:lineRule="exact"/>
        <w:rPr>
          <w:sz w:val="20"/>
          <w:szCs w:val="20"/>
          <w:color w:val="auto"/>
        </w:rPr>
      </w:pPr>
    </w:p>
    <w:p>
      <w:pPr>
        <w:ind w:left="180" w:firstLine="443"/>
        <w:spacing w:after="0" w:line="295" w:lineRule="auto"/>
        <w:rPr>
          <w:sz w:val="20"/>
          <w:szCs w:val="20"/>
          <w:color w:val="auto"/>
        </w:rPr>
      </w:pPr>
      <w:r>
        <w:rPr>
          <w:rFonts w:ascii="Arial" w:cs="Arial" w:eastAsia="Arial" w:hAnsi="Arial"/>
          <w:sz w:val="15"/>
          <w:szCs w:val="15"/>
          <w:color w:val="auto"/>
        </w:rPr>
        <w:t>The following Comcast and TWC unaudited pro forma condensed combined financial statements, which are referred to in this joint proxy statement/prospectus as the unaudited pro forma financial information, gives effect to the proposed merger in which TWC will become a 100% owned subsidiary of Comcast. The Unaudited Pro Forma Condensed Combined Balance Sheet is presented as if the merger had closed on December 31, 2013. The Unaudited Pro Forma Condensed Combined Statement of Income is presented as if the merger had closed on January 1, 2013. The unaudited pro forma financial information is based on the historical consolidated financial statements of Comcast and TWC, and the assumptions and adjustments set forth in the accompanying explanatory notes.</w:t>
      </w:r>
    </w:p>
    <w:p>
      <w:pPr>
        <w:spacing w:after="0" w:line="151" w:lineRule="exact"/>
        <w:rPr>
          <w:sz w:val="20"/>
          <w:szCs w:val="20"/>
          <w:color w:val="auto"/>
        </w:rPr>
      </w:pPr>
    </w:p>
    <w:p>
      <w:pPr>
        <w:ind w:left="180" w:firstLine="443"/>
        <w:spacing w:after="0" w:line="285" w:lineRule="auto"/>
        <w:rPr>
          <w:sz w:val="20"/>
          <w:szCs w:val="20"/>
          <w:color w:val="auto"/>
        </w:rPr>
      </w:pPr>
      <w:r>
        <w:rPr>
          <w:rFonts w:ascii="Arial" w:cs="Arial" w:eastAsia="Arial" w:hAnsi="Arial"/>
          <w:sz w:val="15"/>
          <w:szCs w:val="15"/>
          <w:color w:val="auto"/>
        </w:rPr>
        <w:t>The unaudited pro forma financial information was prepared using the acquisition method of accounting with Comcast treated as the accounting acquirer and, therefore, the historical basis of Comcast’s assets and liabilities was not affected by the merger. The unaudited pro forma financial information has been developed from and should be read in conjunction with the Comcast and TWC audited consolidated financial statements and related notes contained in the Comcast 2013 10-K and the TWC 2013 10-K, which are incorporated by reference into this joint proxy statement/prospectus. For purposes of developing the Unaudited Pro Forma Condensed Combined Balance Sheet as of December 31, 2013, TWC’s assets, including identifiable intangible assets, and liabilities have been recorded at their estimated fair values and the excess purchase price has been assigned to goodwill. The fair values assigned in this unaudited pro forma financial information are preliminary and represent Comcast management’s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unaudited pro forma financial information.</w:t>
      </w:r>
    </w:p>
    <w:p>
      <w:pPr>
        <w:spacing w:after="0" w:line="165" w:lineRule="exact"/>
        <w:rPr>
          <w:sz w:val="20"/>
          <w:szCs w:val="20"/>
          <w:color w:val="auto"/>
        </w:rPr>
      </w:pPr>
    </w:p>
    <w:p>
      <w:pPr>
        <w:ind w:left="180" w:right="60" w:firstLine="443"/>
        <w:spacing w:after="0" w:line="255" w:lineRule="auto"/>
        <w:rPr>
          <w:sz w:val="20"/>
          <w:szCs w:val="20"/>
          <w:color w:val="auto"/>
        </w:rPr>
      </w:pPr>
      <w:r>
        <w:rPr>
          <w:rFonts w:ascii="Arial" w:cs="Arial" w:eastAsia="Arial" w:hAnsi="Arial"/>
          <w:sz w:val="17"/>
          <w:szCs w:val="17"/>
          <w:color w:val="auto"/>
        </w:rPr>
        <w:t>Comcast announced that it is prepared to divest systems serving up to approximately three million customers in order to address potential concerns of regulators. There is no commitment or probable transaction related to these potential divestitures, no specific systems have been identified and the manner in which any potential divestitures might be effected has not been determined. As such, the unaudited pro forma financial information does not include adjustments to give effect to any potential divestitures.</w:t>
      </w:r>
    </w:p>
    <w:p>
      <w:pPr>
        <w:spacing w:after="0" w:line="178" w:lineRule="exact"/>
        <w:rPr>
          <w:sz w:val="20"/>
          <w:szCs w:val="20"/>
          <w:color w:val="auto"/>
        </w:rPr>
      </w:pPr>
    </w:p>
    <w:p>
      <w:pPr>
        <w:ind w:left="180" w:right="140" w:firstLine="443"/>
        <w:spacing w:after="0" w:line="258" w:lineRule="auto"/>
        <w:rPr>
          <w:sz w:val="20"/>
          <w:szCs w:val="20"/>
          <w:color w:val="auto"/>
        </w:rPr>
      </w:pPr>
      <w:r>
        <w:rPr>
          <w:rFonts w:ascii="Arial" w:cs="Arial" w:eastAsia="Arial" w:hAnsi="Arial"/>
          <w:sz w:val="17"/>
          <w:szCs w:val="17"/>
          <w:color w:val="auto"/>
        </w:rPr>
        <w:t>Comcast intends to review the synergies of the combined business, which may result in a plan to realign or reorganize certain of TWC’s existing operations. The costs of implementing such a plan, if it was to occur, and any resulting future cost savings have not been reflected in the accompanying unaudited pro forma financial information.</w:t>
      </w:r>
    </w:p>
    <w:p>
      <w:pPr>
        <w:spacing w:after="0" w:line="177" w:lineRule="exact"/>
        <w:rPr>
          <w:sz w:val="20"/>
          <w:szCs w:val="20"/>
          <w:color w:val="auto"/>
        </w:rPr>
      </w:pPr>
    </w:p>
    <w:p>
      <w:pPr>
        <w:ind w:left="180" w:right="100" w:firstLine="443"/>
        <w:spacing w:after="0" w:line="295" w:lineRule="auto"/>
        <w:rPr>
          <w:sz w:val="20"/>
          <w:szCs w:val="20"/>
          <w:color w:val="auto"/>
        </w:rPr>
      </w:pPr>
      <w:r>
        <w:rPr>
          <w:rFonts w:ascii="Arial" w:cs="Arial" w:eastAsia="Arial" w:hAnsi="Arial"/>
          <w:sz w:val="15"/>
          <w:szCs w:val="15"/>
          <w:color w:val="auto"/>
        </w:rPr>
        <w:t>Upon closing of the merger, TWC stockholders will receive 2.875 shares of Comcast Class A common stock in exchange for each share of TWC common stock. For purposes of this unaudited pro forma financial information, giving effect to the exchange ratio described above, the estimated aggregate consideration to complete the merger would have been $41.3 billion based upon a per share price of $50.64, the closing price of shares of Comcast Class A common stock on March 14, 2014, and 278.3 million shares of TWC common stock outstanding as of March 14, 2014. ASC 805, “Business Combinations,” requires that the consideration transferred be measured at the date the merger is completed at the then-current market price. This requirement</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60"/>
          </w:cols>
          <w:pgMar w:left="240" w:top="439" w:right="3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9975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4085" cy="9975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line="292" w:lineRule="auto"/>
        <w:rPr>
          <w:sz w:val="20"/>
          <w:szCs w:val="20"/>
          <w:color w:val="auto"/>
        </w:rPr>
      </w:pPr>
      <w:r>
        <w:rPr>
          <w:rFonts w:ascii="Arial" w:cs="Arial" w:eastAsia="Arial" w:hAnsi="Arial"/>
          <w:sz w:val="15"/>
          <w:szCs w:val="15"/>
          <w:color w:val="auto"/>
        </w:rPr>
        <w:t>will likely result in a total consideration that is different from the amount assumed in these unaudited pro forma condensed combined financial statements. Based on the 278.3 million shares of TWC common stock outstanding as of March 14, 2014 and the fixed exchange ratio described above, each dollar increase (decrease) in the per share price of the Comcast Class A common stock will result in a $800 million increase (decrease) in the total consideration for the transaction, substantially all of which Comcast expects would be recorded as an increase (decrease) in the amount of goodwill recorded in the transaction. The outstanding number of shares of TWC common stock will change prior to the closing of the merger due to transactions in the ordinary course, including the vesting of outstanding TWC equity awards. These changes are not expected to have a material effect on this unaudited pro forma financial information.</w:t>
      </w: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240" w:top="439" w:right="4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946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4085" cy="59467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As of December 31, 2013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9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0"/>
              </w:rPr>
              <w:t>Comcast</w:t>
            </w: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Time Warner</w:t>
            </w:r>
          </w:p>
        </w:tc>
        <w:tc>
          <w:tcPr>
            <w:tcW w:w="116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Notes</w:t>
            </w:r>
          </w:p>
        </w:tc>
        <w:tc>
          <w:tcPr>
            <w:tcW w:w="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9"/>
        </w:trPr>
        <w:tc>
          <w:tcPr>
            <w:tcW w:w="5940" w:type="dxa"/>
            <w:vAlign w:val="bottom"/>
            <w:vMerge w:val="continue"/>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10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4"/>
              </w:rPr>
              <w:t>Cable Inc.</w:t>
            </w: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92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1,718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525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2,243</w:t>
            </w:r>
          </w:p>
        </w:tc>
        <w:tc>
          <w:tcPr>
            <w:tcW w:w="0" w:type="dxa"/>
            <w:vAlign w:val="bottom"/>
          </w:tcPr>
          <w:p>
            <w:pPr>
              <w:spacing w:after="0"/>
              <w:rPr>
                <w:sz w:val="1"/>
                <w:szCs w:val="1"/>
                <w:color w:val="auto"/>
              </w:rPr>
            </w:pPr>
          </w:p>
        </w:tc>
      </w:tr>
      <w:tr>
        <w:trPr>
          <w:trHeight w:val="202"/>
        </w:trPr>
        <w:tc>
          <w:tcPr>
            <w:tcW w:w="5940" w:type="dxa"/>
            <w:vAlign w:val="bottom"/>
          </w:tcPr>
          <w:p>
            <w:pPr>
              <w:ind w:left="340"/>
              <w:spacing w:after="0"/>
              <w:rPr>
                <w:sz w:val="20"/>
                <w:szCs w:val="20"/>
                <w:color w:val="auto"/>
              </w:rPr>
            </w:pPr>
            <w:r>
              <w:rPr>
                <w:rFonts w:ascii="Arial" w:cs="Arial" w:eastAsia="Arial" w:hAnsi="Arial"/>
                <w:sz w:val="17"/>
                <w:szCs w:val="17"/>
                <w:color w:val="auto"/>
              </w:rPr>
              <w:t>Investments</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3,573</w:t>
            </w:r>
          </w:p>
        </w:tc>
        <w:tc>
          <w:tcPr>
            <w:tcW w:w="10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3,573</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Receivables, net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6,376</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954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(79)</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7,251</w:t>
            </w:r>
          </w:p>
        </w:tc>
        <w:tc>
          <w:tcPr>
            <w:tcW w:w="0" w:type="dxa"/>
            <w:vAlign w:val="bottom"/>
          </w:tcPr>
          <w:p>
            <w:pPr>
              <w:spacing w:after="0"/>
              <w:rPr>
                <w:sz w:val="1"/>
                <w:szCs w:val="1"/>
                <w:color w:val="auto"/>
              </w:rPr>
            </w:pPr>
          </w:p>
        </w:tc>
      </w:tr>
      <w:tr>
        <w:trPr>
          <w:trHeight w:val="202"/>
        </w:trPr>
        <w:tc>
          <w:tcPr>
            <w:tcW w:w="5940" w:type="dxa"/>
            <w:vAlign w:val="bottom"/>
          </w:tcPr>
          <w:p>
            <w:pPr>
              <w:ind w:left="340"/>
              <w:spacing w:after="0"/>
              <w:rPr>
                <w:sz w:val="20"/>
                <w:szCs w:val="20"/>
                <w:color w:val="auto"/>
              </w:rPr>
            </w:pPr>
            <w:r>
              <w:rPr>
                <w:rFonts w:ascii="Arial" w:cs="Arial" w:eastAsia="Arial" w:hAnsi="Arial"/>
                <w:sz w:val="17"/>
                <w:szCs w:val="17"/>
                <w:color w:val="auto"/>
              </w:rPr>
              <w:t>Programming rights</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928</w:t>
            </w:r>
          </w:p>
        </w:tc>
        <w:tc>
          <w:tcPr>
            <w:tcW w:w="10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(334)</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940" w:type="dxa"/>
            <w:vAlign w:val="bottom"/>
          </w:tcPr>
          <w:p>
            <w:pPr>
              <w:ind w:left="34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1,480</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331</w:t>
            </w:r>
          </w:p>
        </w:tc>
        <w:tc>
          <w:tcPr>
            <w:tcW w:w="1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323</w:t>
            </w:r>
          </w:p>
        </w:tc>
        <w:tc>
          <w:tcPr>
            <w:tcW w:w="920" w:type="dxa"/>
            <w:vAlign w:val="bottom"/>
            <w:gridSpan w:val="2"/>
          </w:tcPr>
          <w:p>
            <w:pPr>
              <w:spacing w:after="0"/>
              <w:rPr>
                <w:sz w:val="20"/>
                <w:szCs w:val="20"/>
                <w:color w:val="auto"/>
              </w:rPr>
            </w:pPr>
            <w:r>
              <w:rPr>
                <w:rFonts w:ascii="Arial" w:cs="Arial" w:eastAsia="Arial" w:hAnsi="Arial"/>
                <w:sz w:val="17"/>
                <w:szCs w:val="17"/>
                <w:color w:val="auto"/>
              </w:rPr>
              <w:t>2a, 2g</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2,134</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14,075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2,144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(90)</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16,129</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Film and television costs</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4,994</w:t>
            </w:r>
          </w:p>
        </w:tc>
        <w:tc>
          <w:tcPr>
            <w:tcW w:w="10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4,994</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3,770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2b</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3,822</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29,840</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15,056</w:t>
            </w:r>
          </w:p>
        </w:tc>
        <w:tc>
          <w:tcPr>
            <w:tcW w:w="18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(801)</w:t>
            </w:r>
          </w:p>
        </w:tc>
        <w:tc>
          <w:tcPr>
            <w:tcW w:w="920" w:type="dxa"/>
            <w:vAlign w:val="bottom"/>
            <w:gridSpan w:val="2"/>
          </w:tcPr>
          <w:p>
            <w:pPr>
              <w:spacing w:after="0"/>
              <w:rPr>
                <w:sz w:val="20"/>
                <w:szCs w:val="20"/>
                <w:color w:val="auto"/>
              </w:rPr>
            </w:pPr>
            <w:r>
              <w:rPr>
                <w:rFonts w:ascii="Arial" w:cs="Arial" w:eastAsia="Arial" w:hAnsi="Arial"/>
                <w:sz w:val="17"/>
                <w:szCs w:val="17"/>
                <w:color w:val="auto"/>
              </w:rPr>
              <w:t>2a, 2c</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44,095</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Franchise rights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59,364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26,012</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14,688</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100,064</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27,098</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3,196</w:t>
            </w:r>
          </w:p>
        </w:tc>
        <w:tc>
          <w:tcPr>
            <w:tcW w:w="1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17,969</w:t>
            </w:r>
          </w:p>
        </w:tc>
        <w:tc>
          <w:tcPr>
            <w:tcW w:w="920" w:type="dxa"/>
            <w:vAlign w:val="bottom"/>
            <w:gridSpan w:val="2"/>
          </w:tcPr>
          <w:p>
            <w:pPr>
              <w:spacing w:after="0"/>
              <w:rPr>
                <w:sz w:val="20"/>
                <w:szCs w:val="20"/>
                <w:color w:val="auto"/>
              </w:rPr>
            </w:pPr>
            <w:r>
              <w:rPr>
                <w:rFonts w:ascii="Arial" w:cs="Arial" w:eastAsia="Arial" w:hAnsi="Arial"/>
                <w:sz w:val="17"/>
                <w:szCs w:val="17"/>
                <w:color w:val="auto"/>
              </w:rPr>
              <w:t>2e</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48,263</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17,329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552</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8,870</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 2d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26,751</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Other noncurrent assets, net</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2,343</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1,257</w:t>
            </w:r>
          </w:p>
        </w:tc>
        <w:tc>
          <w:tcPr>
            <w:tcW w:w="18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(103)</w:t>
            </w:r>
          </w:p>
        </w:tc>
        <w:tc>
          <w:tcPr>
            <w:tcW w:w="920" w:type="dxa"/>
            <w:vAlign w:val="bottom"/>
            <w:gridSpan w:val="2"/>
          </w:tcPr>
          <w:p>
            <w:pPr>
              <w:spacing w:after="0"/>
              <w:rPr>
                <w:sz w:val="20"/>
                <w:szCs w:val="20"/>
                <w:color w:val="auto"/>
              </w:rPr>
            </w:pPr>
            <w:r>
              <w:rPr>
                <w:rFonts w:ascii="Arial" w:cs="Arial" w:eastAsia="Arial" w:hAnsi="Arial"/>
                <w:sz w:val="17"/>
                <w:szCs w:val="17"/>
                <w:color w:val="auto"/>
              </w:rPr>
              <w:t>2g</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3,497</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7"/>
              </w:rPr>
              <w:t>158,813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48,273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40,529</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247,615</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Accounts payable and accrued expenses related to trade creditors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5,528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565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790</w:t>
            </w:r>
          </w:p>
        </w:tc>
        <w:tc>
          <w:tcPr>
            <w:tcW w:w="920" w:type="dxa"/>
            <w:vAlign w:val="bottom"/>
            <w:gridSpan w:val="2"/>
          </w:tcPr>
          <w:p>
            <w:pPr>
              <w:spacing w:after="0"/>
              <w:rPr>
                <w:sz w:val="20"/>
                <w:szCs w:val="20"/>
                <w:color w:val="auto"/>
              </w:rPr>
            </w:pPr>
            <w:r>
              <w:rPr>
                <w:rFonts w:ascii="Arial" w:cs="Arial" w:eastAsia="Arial" w:hAnsi="Arial"/>
                <w:sz w:val="17"/>
                <w:szCs w:val="17"/>
                <w:color w:val="auto"/>
              </w:rPr>
              <w:t>2a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6,883</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Accrued participations and residuals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1,239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898</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188</w:t>
            </w:r>
          </w:p>
        </w:tc>
        <w:tc>
          <w:tcPr>
            <w:tcW w:w="18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(164)</w:t>
            </w:r>
          </w:p>
        </w:tc>
        <w:tc>
          <w:tcPr>
            <w:tcW w:w="920" w:type="dxa"/>
            <w:vAlign w:val="bottom"/>
            <w:gridSpan w:val="2"/>
          </w:tcPr>
          <w:p>
            <w:pPr>
              <w:spacing w:after="0"/>
              <w:rPr>
                <w:sz w:val="20"/>
                <w:szCs w:val="20"/>
                <w:color w:val="auto"/>
              </w:rPr>
            </w:pPr>
            <w:r>
              <w:rPr>
                <w:rFonts w:ascii="Arial" w:cs="Arial" w:eastAsia="Arial" w:hAnsi="Arial"/>
                <w:sz w:val="17"/>
                <w:szCs w:val="17"/>
                <w:color w:val="auto"/>
              </w:rPr>
              <w:t>2a</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Accrued programming expense</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869</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(869)</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7,967</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1,837</w:t>
            </w:r>
          </w:p>
        </w:tc>
        <w:tc>
          <w:tcPr>
            <w:tcW w:w="1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364</w:t>
            </w:r>
          </w:p>
        </w:tc>
        <w:tc>
          <w:tcPr>
            <w:tcW w:w="920" w:type="dxa"/>
            <w:vAlign w:val="bottom"/>
            <w:gridSpan w:val="2"/>
          </w:tcPr>
          <w:p>
            <w:pPr>
              <w:spacing w:after="0"/>
              <w:rPr>
                <w:sz w:val="20"/>
                <w:szCs w:val="20"/>
                <w:color w:val="auto"/>
              </w:rPr>
            </w:pPr>
            <w:r>
              <w:rPr>
                <w:rFonts w:ascii="Arial" w:cs="Arial" w:eastAsia="Arial" w:hAnsi="Arial"/>
                <w:sz w:val="17"/>
                <w:szCs w:val="17"/>
                <w:color w:val="auto"/>
              </w:rPr>
              <w:t>2a, 2f, 2l</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10,168</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3,280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1,767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5,043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18,912</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5,226</w:t>
            </w:r>
          </w:p>
        </w:tc>
        <w:tc>
          <w:tcPr>
            <w:tcW w:w="1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117</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24,255</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44,567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23,285</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3,467</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71,319</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31,935</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12,098</w:t>
            </w:r>
          </w:p>
        </w:tc>
        <w:tc>
          <w:tcPr>
            <w:tcW w:w="1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2,892</w:t>
            </w:r>
          </w:p>
        </w:tc>
        <w:tc>
          <w:tcPr>
            <w:tcW w:w="920" w:type="dxa"/>
            <w:vAlign w:val="bottom"/>
            <w:gridSpan w:val="2"/>
          </w:tcPr>
          <w:p>
            <w:pPr>
              <w:spacing w:after="0"/>
              <w:rPr>
                <w:sz w:val="20"/>
                <w:szCs w:val="20"/>
                <w:color w:val="auto"/>
              </w:rPr>
            </w:pPr>
            <w:r>
              <w:rPr>
                <w:rFonts w:ascii="Arial" w:cs="Arial" w:eastAsia="Arial" w:hAnsi="Arial"/>
                <w:sz w:val="17"/>
                <w:szCs w:val="17"/>
                <w:color w:val="auto"/>
              </w:rPr>
              <w:t>2h</w:t>
            </w: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46,925</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11,384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717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12,101</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w w:val="98"/>
              </w:rPr>
              <w:t>Redeemable noncontrolling interests and redeemable subsidiary preferred stock</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957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Equity:</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Comcast Corporation total shareholders’ equity</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50,694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41,000</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2f, 2i</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91,694</w:t>
            </w:r>
          </w:p>
        </w:tc>
        <w:tc>
          <w:tcPr>
            <w:tcW w:w="0" w:type="dxa"/>
            <w:vAlign w:val="bottom"/>
          </w:tcPr>
          <w:p>
            <w:pPr>
              <w:spacing w:after="0"/>
              <w:rPr>
                <w:sz w:val="1"/>
                <w:szCs w:val="1"/>
                <w:color w:val="auto"/>
              </w:rPr>
            </w:pPr>
          </w:p>
        </w:tc>
      </w:tr>
      <w:tr>
        <w:trPr>
          <w:trHeight w:val="202"/>
        </w:trPr>
        <w:tc>
          <w:tcPr>
            <w:tcW w:w="5940" w:type="dxa"/>
            <w:vAlign w:val="bottom"/>
          </w:tcPr>
          <w:p>
            <w:pPr>
              <w:ind w:left="340"/>
              <w:spacing w:after="0"/>
              <w:rPr>
                <w:sz w:val="20"/>
                <w:szCs w:val="20"/>
                <w:color w:val="auto"/>
              </w:rPr>
            </w:pPr>
            <w:r>
              <w:rPr>
                <w:rFonts w:ascii="Arial" w:cs="Arial" w:eastAsia="Arial" w:hAnsi="Arial"/>
                <w:sz w:val="17"/>
                <w:szCs w:val="17"/>
                <w:color w:val="auto"/>
              </w:rPr>
              <w:t>Time Warner Cable Inc. total stockholders’ equity</w:t>
            </w:r>
          </w:p>
        </w:tc>
        <w:tc>
          <w:tcPr>
            <w:tcW w:w="10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6,943</w:t>
            </w:r>
          </w:p>
        </w:tc>
        <w:tc>
          <w:tcPr>
            <w:tcW w:w="18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(6,943)</w:t>
            </w:r>
          </w:p>
        </w:tc>
        <w:tc>
          <w:tcPr>
            <w:tcW w:w="920" w:type="dxa"/>
            <w:vAlign w:val="bottom"/>
            <w:gridSpan w:val="2"/>
          </w:tcPr>
          <w:p>
            <w:pPr>
              <w:spacing w:after="0"/>
              <w:rPr>
                <w:sz w:val="20"/>
                <w:szCs w:val="20"/>
                <w:color w:val="auto"/>
              </w:rPr>
            </w:pPr>
            <w:r>
              <w:rPr>
                <w:rFonts w:ascii="Arial" w:cs="Arial" w:eastAsia="Arial" w:hAnsi="Arial"/>
                <w:sz w:val="17"/>
                <w:szCs w:val="17"/>
                <w:color w:val="auto"/>
              </w:rPr>
              <w:t>2j</w:t>
            </w:r>
          </w:p>
        </w:tc>
        <w:tc>
          <w:tcPr>
            <w:tcW w:w="8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2b</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color w:val="auto"/>
              </w:rPr>
              <w:t>Total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51,058</w:t>
            </w: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6,947</w:t>
            </w:r>
          </w:p>
        </w:tc>
        <w:tc>
          <w:tcPr>
            <w:tcW w:w="1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34,053</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92,058</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7"/>
              </w:rPr>
              <w:t>158,813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48,273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40,529</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247,615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60"/>
          </w:cols>
          <w:pgMar w:left="240" w:top="439" w:right="3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90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4085" cy="509016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Year Ended December 31, 2013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7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0"/>
              </w:rPr>
              <w:t>Comcast</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Time Warner</w:t>
            </w:r>
          </w:p>
        </w:tc>
        <w:tc>
          <w:tcPr>
            <w:tcW w:w="10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Pro Forma</w:t>
            </w: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Notes</w:t>
            </w:r>
          </w:p>
        </w:tc>
        <w:tc>
          <w:tcPr>
            <w:tcW w:w="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 Forma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vMerge w:val="continue"/>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Cable Inc.</w:t>
            </w:r>
          </w:p>
        </w:tc>
        <w:tc>
          <w:tcPr>
            <w:tcW w:w="10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82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64,657</w:t>
            </w: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22,120</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(448)</w:t>
            </w: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2a</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86,329</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Costs and Expenses: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Programming and production</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19,670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4,386</w:t>
            </w:r>
          </w:p>
        </w:tc>
        <w:tc>
          <w:tcPr>
            <w:tcW w:w="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24,056</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18,584</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8,791</w:t>
            </w:r>
          </w:p>
        </w:tc>
        <w:tc>
          <w:tcPr>
            <w:tcW w:w="820" w:type="dxa"/>
            <w:vAlign w:val="bottom"/>
            <w:gridSpan w:val="2"/>
          </w:tcPr>
          <w:p>
            <w:pPr>
              <w:spacing w:after="0"/>
              <w:rPr>
                <w:sz w:val="20"/>
                <w:szCs w:val="20"/>
                <w:color w:val="auto"/>
              </w:rPr>
            </w:pPr>
            <w:r>
              <w:rPr>
                <w:rFonts w:ascii="Arial" w:cs="Arial" w:eastAsia="Arial" w:hAnsi="Arial"/>
                <w:sz w:val="17"/>
                <w:szCs w:val="17"/>
                <w:color w:val="auto"/>
              </w:rPr>
              <w:t>2a, 2k, 2l</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27,375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Advertising, marketing and promotion</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4,969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624</w:t>
            </w:r>
          </w:p>
        </w:tc>
        <w:tc>
          <w:tcPr>
            <w:tcW w:w="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5,593</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10,342</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(10,342)</w:t>
            </w:r>
          </w:p>
        </w:tc>
        <w:tc>
          <w:tcPr>
            <w:tcW w:w="820" w:type="dxa"/>
            <w:vAlign w:val="bottom"/>
            <w:gridSpan w:val="2"/>
          </w:tcPr>
          <w:p>
            <w:pPr>
              <w:spacing w:after="0"/>
              <w:rPr>
                <w:sz w:val="20"/>
                <w:szCs w:val="20"/>
                <w:color w:val="auto"/>
              </w:rPr>
            </w:pPr>
            <w:r>
              <w:rPr>
                <w:rFonts w:ascii="Arial" w:cs="Arial" w:eastAsia="Arial" w:hAnsi="Arial"/>
                <w:sz w:val="17"/>
                <w:szCs w:val="17"/>
                <w:color w:val="auto"/>
              </w:rPr>
              <w:t>2a</w:t>
            </w:r>
          </w:p>
        </w:tc>
        <w:tc>
          <w:tcPr>
            <w:tcW w:w="1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3,798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(3,798)</w:t>
            </w:r>
          </w:p>
        </w:tc>
        <w:tc>
          <w:tcPr>
            <w:tcW w:w="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6,254</w:t>
            </w: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3,155</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(270)</w:t>
            </w:r>
          </w:p>
        </w:tc>
        <w:tc>
          <w:tcPr>
            <w:tcW w:w="820" w:type="dxa"/>
            <w:vAlign w:val="bottom"/>
            <w:gridSpan w:val="2"/>
          </w:tcPr>
          <w:p>
            <w:pPr>
              <w:spacing w:after="0"/>
              <w:rPr>
                <w:sz w:val="20"/>
                <w:szCs w:val="20"/>
                <w:color w:val="auto"/>
              </w:rPr>
            </w:pPr>
            <w:r>
              <w:rPr>
                <w:rFonts w:ascii="Arial" w:cs="Arial" w:eastAsia="Arial" w:hAnsi="Arial"/>
                <w:sz w:val="17"/>
                <w:szCs w:val="17"/>
                <w:color w:val="auto"/>
              </w:rPr>
              <w:t>2a, 2c</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9,139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1,219</w:t>
            </w:r>
          </w:p>
        </w:tc>
        <w:tc>
          <w:tcPr>
            <w:tcW w:w="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 2d</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2,962</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Merger-related and restructuring costs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(119)</w:t>
            </w:r>
          </w:p>
        </w:tc>
        <w:tc>
          <w:tcPr>
            <w:tcW w:w="820" w:type="dxa"/>
            <w:vAlign w:val="bottom"/>
            <w:gridSpan w:val="2"/>
          </w:tcPr>
          <w:p>
            <w:pPr>
              <w:spacing w:after="0"/>
              <w:rPr>
                <w:sz w:val="20"/>
                <w:szCs w:val="20"/>
                <w:color w:val="auto"/>
              </w:rPr>
            </w:pPr>
            <w:r>
              <w:rPr>
                <w:rFonts w:ascii="Arial" w:cs="Arial" w:eastAsia="Arial" w:hAnsi="Arial"/>
                <w:sz w:val="17"/>
                <w:szCs w:val="17"/>
                <w:color w:val="auto"/>
              </w:rPr>
              <w:t>2a</w:t>
            </w:r>
          </w:p>
        </w:tc>
        <w:tc>
          <w:tcPr>
            <w:tcW w:w="1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51,094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17,540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491</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69,125</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13,563</w:t>
            </w: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4,580</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(939)</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17,204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(2,574)</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(1,552)</w:t>
            </w: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396</w:t>
            </w:r>
          </w:p>
        </w:tc>
        <w:tc>
          <w:tcPr>
            <w:tcW w:w="820" w:type="dxa"/>
            <w:vAlign w:val="bottom"/>
            <w:gridSpan w:val="2"/>
          </w:tcPr>
          <w:p>
            <w:pPr>
              <w:spacing w:after="0"/>
              <w:rPr>
                <w:sz w:val="20"/>
                <w:szCs w:val="20"/>
                <w:color w:val="auto"/>
              </w:rPr>
            </w:pPr>
            <w:r>
              <w:rPr>
                <w:rFonts w:ascii="Arial" w:cs="Arial" w:eastAsia="Arial" w:hAnsi="Arial"/>
                <w:sz w:val="17"/>
                <w:szCs w:val="17"/>
                <w:color w:val="auto"/>
              </w:rPr>
              <w:t>2a, 2g</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(3,730)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income (loss), net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576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579</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Equity in net income (losses) of investees, net</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20</w:t>
            </w:r>
          </w:p>
        </w:tc>
        <w:tc>
          <w:tcPr>
            <w:tcW w:w="820" w:type="dxa"/>
            <w:vAlign w:val="bottom"/>
            <w:gridSpan w:val="2"/>
          </w:tcPr>
          <w:p>
            <w:pPr>
              <w:spacing w:after="0"/>
              <w:rPr>
                <w:sz w:val="20"/>
                <w:szCs w:val="20"/>
                <w:color w:val="auto"/>
              </w:rPr>
            </w:pPr>
            <w:r>
              <w:rPr>
                <w:rFonts w:ascii="Arial" w:cs="Arial" w:eastAsia="Arial" w:hAnsi="Arial"/>
                <w:sz w:val="17"/>
                <w:szCs w:val="17"/>
                <w:color w:val="auto"/>
              </w:rPr>
              <w:t>2a, 2b</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w:t>
            </w:r>
          </w:p>
        </w:tc>
        <w:tc>
          <w:tcPr>
            <w:tcW w:w="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(372)</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(2,448)</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(1,541)</w:t>
            </w: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400</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(3,589)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11,115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3,039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(539)</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13,615</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(3,980)</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(1,085)</w:t>
            </w: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210</w:t>
            </w:r>
          </w:p>
        </w:tc>
        <w:tc>
          <w:tcPr>
            <w:tcW w:w="820" w:type="dxa"/>
            <w:vAlign w:val="bottom"/>
            <w:gridSpan w:val="2"/>
          </w:tcPr>
          <w:p>
            <w:pPr>
              <w:spacing w:after="0"/>
              <w:rPr>
                <w:sz w:val="20"/>
                <w:szCs w:val="20"/>
                <w:color w:val="auto"/>
              </w:rPr>
            </w:pPr>
            <w:r>
              <w:rPr>
                <w:rFonts w:ascii="Arial" w:cs="Arial" w:eastAsia="Arial" w:hAnsi="Arial"/>
                <w:sz w:val="17"/>
                <w:szCs w:val="17"/>
                <w:color w:val="auto"/>
              </w:rPr>
              <w:t>2h</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(4,855)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7,135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1,954</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(329)</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8,760</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Net (income) loss attributable to noncontrolling interests and redeemable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80" w:type="dxa"/>
            <w:vAlign w:val="bottom"/>
          </w:tcPr>
          <w:p>
            <w:pPr>
              <w:ind w:left="160"/>
              <w:spacing w:after="0"/>
              <w:rPr>
                <w:sz w:val="20"/>
                <w:szCs w:val="20"/>
                <w:color w:val="auto"/>
              </w:rPr>
            </w:pPr>
            <w:r>
              <w:rPr>
                <w:rFonts w:ascii="Arial" w:cs="Arial" w:eastAsia="Arial" w:hAnsi="Arial"/>
                <w:sz w:val="17"/>
                <w:szCs w:val="17"/>
                <w:color w:val="auto"/>
              </w:rPr>
              <w:t>subsidiary preferred stock</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820" w:type="dxa"/>
            <w:vAlign w:val="bottom"/>
            <w:gridSpan w:val="2"/>
          </w:tcPr>
          <w:p>
            <w:pPr>
              <w:spacing w:after="0"/>
              <w:rPr>
                <w:sz w:val="20"/>
                <w:szCs w:val="20"/>
                <w:color w:val="auto"/>
              </w:rPr>
            </w:pPr>
            <w:r>
              <w:rPr>
                <w:rFonts w:ascii="Arial" w:cs="Arial" w:eastAsia="Arial" w:hAnsi="Arial"/>
                <w:sz w:val="17"/>
                <w:szCs w:val="17"/>
                <w:color w:val="auto"/>
              </w:rPr>
              <w:t>2b</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Comcast Corporation</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1,954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8,440</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7"/>
                <w:szCs w:val="17"/>
                <w:color w:val="auto"/>
              </w:rPr>
              <w:t>Earnings per share attributable to Comcast Corporation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6.76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w:t>
            </w:r>
          </w:p>
        </w:tc>
        <w:tc>
          <w:tcPr>
            <w:tcW w:w="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2m</w:t>
            </w:r>
          </w:p>
        </w:tc>
        <w:tc>
          <w:tcPr>
            <w:tcW w:w="0" w:type="dxa"/>
            <w:vAlign w:val="bottom"/>
          </w:tcPr>
          <w:p>
            <w:pPr>
              <w:spacing w:after="0"/>
              <w:rPr>
                <w:sz w:val="1"/>
                <w:szCs w:val="1"/>
                <w:color w:val="auto"/>
              </w:rPr>
            </w:pPr>
          </w:p>
        </w:tc>
      </w:tr>
      <w:tr>
        <w:trPr>
          <w:trHeight w:val="214"/>
        </w:trPr>
        <w:tc>
          <w:tcPr>
            <w:tcW w:w="5780" w:type="dxa"/>
            <w:vAlign w:val="bottom"/>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6.70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2.43</w:t>
            </w:r>
          </w:p>
        </w:tc>
        <w:tc>
          <w:tcPr>
            <w:tcW w:w="460" w:type="dxa"/>
            <w:vAlign w:val="bottom"/>
          </w:tcPr>
          <w:p>
            <w:pPr>
              <w:ind w:left="160"/>
              <w:spacing w:after="0"/>
              <w:rPr>
                <w:sz w:val="20"/>
                <w:szCs w:val="20"/>
                <w:color w:val="auto"/>
              </w:rPr>
            </w:pPr>
            <w:r>
              <w:rPr>
                <w:rFonts w:ascii="Arial" w:cs="Arial" w:eastAsia="Arial" w:hAnsi="Arial"/>
                <w:sz w:val="17"/>
                <w:szCs w:val="17"/>
                <w:color w:val="auto"/>
              </w:rPr>
              <w:t>2m</w:t>
            </w:r>
          </w:p>
        </w:tc>
        <w:tc>
          <w:tcPr>
            <w:tcW w:w="0" w:type="dxa"/>
            <w:vAlign w:val="bottom"/>
          </w:tcPr>
          <w:p>
            <w:pPr>
              <w:spacing w:after="0"/>
              <w:rPr>
                <w:sz w:val="1"/>
                <w:szCs w:val="1"/>
                <w:color w:val="auto"/>
              </w:rPr>
            </w:pPr>
          </w:p>
        </w:tc>
      </w:tr>
      <w:tr>
        <w:trPr>
          <w:trHeight w:val="89"/>
        </w:trPr>
        <w:tc>
          <w:tcPr>
            <w:tcW w:w="5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2,625</w:t>
            </w: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288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3,425</w:t>
            </w:r>
          </w:p>
        </w:tc>
        <w:tc>
          <w:tcPr>
            <w:tcW w:w="460" w:type="dxa"/>
            <w:vAlign w:val="bottom"/>
          </w:tcPr>
          <w:p>
            <w:pPr>
              <w:ind w:left="160"/>
              <w:spacing w:after="0"/>
              <w:rPr>
                <w:sz w:val="20"/>
                <w:szCs w:val="20"/>
                <w:color w:val="auto"/>
              </w:rPr>
            </w:pPr>
            <w:r>
              <w:rPr>
                <w:rFonts w:ascii="Arial" w:cs="Arial" w:eastAsia="Arial" w:hAnsi="Arial"/>
                <w:sz w:val="17"/>
                <w:szCs w:val="17"/>
                <w:color w:val="auto"/>
              </w:rPr>
              <w:t>2m</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2,665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292</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3,477</w:t>
            </w:r>
          </w:p>
        </w:tc>
        <w:tc>
          <w:tcPr>
            <w:tcW w:w="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2m</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60"/>
          </w:cols>
          <w:pgMar w:left="240" w:top="439" w:right="3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61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4085" cy="51619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1. Basis of Presentation</w:t>
      </w:r>
    </w:p>
    <w:p>
      <w:pPr>
        <w:spacing w:after="0" w:line="111" w:lineRule="exact"/>
        <w:rPr>
          <w:sz w:val="20"/>
          <w:szCs w:val="20"/>
          <w:color w:val="auto"/>
        </w:rPr>
      </w:pPr>
    </w:p>
    <w:p>
      <w:pPr>
        <w:ind w:left="180" w:right="40" w:firstLine="443"/>
        <w:spacing w:after="0" w:line="287" w:lineRule="auto"/>
        <w:rPr>
          <w:sz w:val="20"/>
          <w:szCs w:val="20"/>
          <w:color w:val="auto"/>
        </w:rPr>
      </w:pPr>
      <w:r>
        <w:rPr>
          <w:rFonts w:ascii="Arial" w:cs="Arial" w:eastAsia="Arial" w:hAnsi="Arial"/>
          <w:sz w:val="15"/>
          <w:szCs w:val="15"/>
          <w:color w:val="auto"/>
        </w:rPr>
        <w:t>On February 12, 2014, Comcast and TWC entered into the merger agreement which provides for a merger in which TWC will become a 100% owned subsidiary of Comcast. If the merger is completed, TWC stockholders will have the right to receive, in exchange for each share of TWC common stock owned immediately prior to the merger, 2.875 shares of Comcast Class A common stock. Upon completion of the merger, TWC stock options and other equity awards will generally convert into stock options and equity awards with respect to Comcast Class A common stock, after giving effect to the exchange ratio. The exchange ratio is fixed and will not be adjusted for changes in the market value of shares of Comcast Class A common stock or TWC common stock. Because the exchange ratio was fixed at the time the merger agreement was executed and because the market value of Comcast Class A common stock and TWC common stock will continue to fluctuate, TWC stockholders cannot be sure of the value of the shares of Comcast Class A common stock they will receive relative to the value of their shares of TWC common stock and will likely result in a per share equity component different from the $50.64 closing price of Comcast Class A common stock on March 14, 2014 that is assumed for purposes of this unaudited pro forma financial information, and that difference may be material.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w:t>
      </w:r>
    </w:p>
    <w:p>
      <w:pPr>
        <w:spacing w:after="0" w:line="208" w:lineRule="exact"/>
        <w:rPr>
          <w:sz w:val="20"/>
          <w:szCs w:val="20"/>
          <w:color w:val="auto"/>
        </w:rPr>
      </w:pPr>
    </w:p>
    <w:p>
      <w:pPr>
        <w:ind w:left="180" w:right="40" w:firstLine="443"/>
        <w:spacing w:after="0" w:line="292" w:lineRule="auto"/>
        <w:rPr>
          <w:sz w:val="20"/>
          <w:szCs w:val="20"/>
          <w:color w:val="auto"/>
        </w:rPr>
      </w:pPr>
      <w:r>
        <w:rPr>
          <w:rFonts w:ascii="Arial" w:cs="Arial" w:eastAsia="Arial" w:hAnsi="Arial"/>
          <w:sz w:val="15"/>
          <w:szCs w:val="15"/>
          <w:color w:val="auto"/>
        </w:rPr>
        <w:t>The accompanying unaudited pro forma financial information is intended to reflect the impact of the merger on Comcast’s consolidated financial statements and presents the pro forma consolidated financial position and results of operations of Comcast based on the historical financial statements of Comcast and TWC after giving effect to the merger and pro forma adjustments as described in these notes. Pro forma adjustments are included only to the extent they are (i) directly attributable to the merger, (ii) factually supportable and (iii) with respect to the statement of income, expected to have a continuing impact on the combined results. The accompanying unaudited pro forma financial information is presented for illustrative purposes only and does not reflect the costs of any integration activities or benefits that may result from realization of future cost savings due to operating efficiencies or synergies expected to result from the merger.</w:t>
      </w:r>
    </w:p>
    <w:p>
      <w:pPr>
        <w:spacing w:after="0" w:line="153" w:lineRule="exact"/>
        <w:rPr>
          <w:sz w:val="20"/>
          <w:szCs w:val="20"/>
          <w:color w:val="auto"/>
        </w:rPr>
      </w:pPr>
    </w:p>
    <w:p>
      <w:pPr>
        <w:ind w:left="180" w:right="40" w:firstLine="443"/>
        <w:spacing w:after="0" w:line="270" w:lineRule="auto"/>
        <w:rPr>
          <w:sz w:val="20"/>
          <w:szCs w:val="20"/>
          <w:color w:val="auto"/>
        </w:rPr>
      </w:pPr>
      <w:r>
        <w:rPr>
          <w:rFonts w:ascii="Arial" w:cs="Arial" w:eastAsia="Arial" w:hAnsi="Arial"/>
          <w:sz w:val="17"/>
          <w:szCs w:val="17"/>
          <w:color w:val="auto"/>
        </w:rPr>
        <w:t>The Unaudited Pro Forma Condensed Combined Balance Sheet gives effect to the merger as if it had occurred on December 31, 2013, and the Unaudited Pro Forma Condensed Combined Statement of Income gives effect to the merger as if it had occurred on January 1, 2013.</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Fair Value Adjustments</w:t>
      </w:r>
    </w:p>
    <w:p>
      <w:pPr>
        <w:spacing w:after="0" w:line="107" w:lineRule="exact"/>
        <w:rPr>
          <w:sz w:val="20"/>
          <w:szCs w:val="20"/>
          <w:color w:val="auto"/>
        </w:rPr>
      </w:pPr>
    </w:p>
    <w:p>
      <w:pPr>
        <w:ind w:left="180" w:right="200" w:firstLine="443"/>
        <w:spacing w:after="0" w:line="270" w:lineRule="auto"/>
        <w:rPr>
          <w:sz w:val="20"/>
          <w:szCs w:val="20"/>
          <w:color w:val="auto"/>
        </w:rPr>
      </w:pPr>
      <w:r>
        <w:rPr>
          <w:rFonts w:ascii="Arial" w:cs="Arial" w:eastAsia="Arial" w:hAnsi="Arial"/>
          <w:sz w:val="16"/>
          <w:szCs w:val="16"/>
          <w:color w:val="auto"/>
        </w:rPr>
        <w:t>The unaudited pro forma financial information reflects the preliminary assessment of fair values and lives assigned to the assets acquired and liabilities assumed. Fair value estimates were determined based on preliminary discussions between Comcast and TWC management,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deferred tax liabilities.</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Purchase Price</w:t>
      </w:r>
    </w:p>
    <w:p>
      <w:pPr>
        <w:spacing w:after="0" w:line="107" w:lineRule="exact"/>
        <w:rPr>
          <w:sz w:val="20"/>
          <w:szCs w:val="20"/>
          <w:color w:val="auto"/>
        </w:rPr>
      </w:pPr>
    </w:p>
    <w:p>
      <w:pPr>
        <w:ind w:left="180" w:firstLine="443"/>
        <w:spacing w:after="0" w:line="338" w:lineRule="auto"/>
        <w:rPr>
          <w:sz w:val="20"/>
          <w:szCs w:val="20"/>
          <w:color w:val="auto"/>
        </w:rPr>
      </w:pPr>
      <w:r>
        <w:rPr>
          <w:rFonts w:ascii="Arial" w:cs="Arial" w:eastAsia="Arial" w:hAnsi="Arial"/>
          <w:sz w:val="15"/>
          <w:szCs w:val="15"/>
          <w:color w:val="auto"/>
        </w:rPr>
        <w:t>The Unaudited Pro Forma Condensed Combined Balance Sheet has been adjusted to reflect the estimated fair values of the identifiable assets acquired and liabilities assumed and the excess of the consideration over these fair values is recorded to goodwill. The fair value of the consideration, or the purchase price, in the</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60"/>
          </w:cols>
          <w:pgMar w:left="240" w:top="439" w:right="3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147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4085" cy="61474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spacing w:after="0" w:line="267" w:lineRule="auto"/>
        <w:rPr>
          <w:sz w:val="20"/>
          <w:szCs w:val="20"/>
          <w:color w:val="auto"/>
        </w:rPr>
      </w:pPr>
      <w:r>
        <w:rPr>
          <w:rFonts w:ascii="Arial" w:cs="Arial" w:eastAsia="Arial" w:hAnsi="Arial"/>
          <w:sz w:val="16"/>
          <w:szCs w:val="16"/>
          <w:color w:val="auto"/>
        </w:rPr>
        <w:t>unaudited pro forma financial information is approximately $41.3 billion. This amount was derived based on the outstanding shares of TWC common stock at March 14, 2014, the exchange ratio and a price per share of Comcast Class A common stock of $50.64, which represents the closing price on March 14, 2014. The actual number of shares of Comcast Class A common stock issued to TWC stockholders upon closing of the merger will be based on the actual number of shares of TWC common stock outstanding when the merger closes, and the valuation of those shares will be based on the trading price of Comcast Class A common stock at that time. TWC equity awards outstanding at the time of the closing of the merger will be assumed by Comcast. TWC equity awards held by current employees will be converted into equity awards with respect to Comcast Class A common stock, after giving effect to the 2.875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equity awards held by non-employees, whether or not vested, will be considered part of the purchase price. Accordingly, the purchase price includes estimated fair values for employee and non-employee TWC equity awards of $574 million and $177 million, respectively.</w:t>
      </w:r>
    </w:p>
    <w:p>
      <w:pPr>
        <w:spacing w:after="0" w:line="170"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color w:val="auto"/>
        </w:rPr>
        <w:t>The table below presents the preliminary purchase price as if the merger had closed on December 31, 2013, along with a preliminary allocation of purchase price to the assets acquired and liabilities assumed: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Purchase Price</w:t>
      </w:r>
    </w:p>
    <w:p>
      <w:pPr>
        <w:spacing w:after="0" w:line="10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990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Arial" w:cs="Arial" w:eastAsia="Arial" w:hAnsi="Arial"/>
                <w:sz w:val="13"/>
                <w:szCs w:val="13"/>
                <w:b w:val="1"/>
                <w:bCs w:val="1"/>
                <w:color w:val="auto"/>
                <w:w w:val="97"/>
              </w:rPr>
              <w:t>(in millions, except</w:t>
            </w:r>
          </w:p>
        </w:tc>
      </w:tr>
      <w:tr>
        <w:trPr>
          <w:trHeight w:val="172"/>
        </w:trPr>
        <w:tc>
          <w:tcPr>
            <w:tcW w:w="9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per share data)</w:t>
            </w:r>
          </w:p>
        </w:tc>
      </w:tr>
      <w:tr>
        <w:trPr>
          <w:trHeight w:val="202"/>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Outstanding shares of TWC common stock as of March 14, 2014</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278.3</w:t>
            </w:r>
          </w:p>
        </w:tc>
        <w:tc>
          <w:tcPr>
            <w:tcW w:w="60" w:type="dxa"/>
            <w:vAlign w:val="bottom"/>
            <w:shd w:val="clear" w:color="auto" w:fill="CCEEFF"/>
          </w:tcPr>
          <w:p>
            <w:pPr>
              <w:spacing w:after="0"/>
              <w:rPr>
                <w:sz w:val="17"/>
                <w:szCs w:val="17"/>
                <w:color w:val="auto"/>
              </w:rPr>
            </w:pPr>
          </w:p>
        </w:tc>
      </w:tr>
      <w:tr>
        <w:trPr>
          <w:trHeight w:val="207"/>
        </w:trPr>
        <w:tc>
          <w:tcPr>
            <w:tcW w:w="9900" w:type="dxa"/>
            <w:vAlign w:val="bottom"/>
          </w:tcPr>
          <w:p>
            <w:pPr>
              <w:spacing w:after="0"/>
              <w:rPr>
                <w:sz w:val="20"/>
                <w:szCs w:val="20"/>
                <w:color w:val="auto"/>
              </w:rPr>
            </w:pPr>
            <w:r>
              <w:rPr>
                <w:rFonts w:ascii="Arial" w:cs="Arial" w:eastAsia="Arial" w:hAnsi="Arial"/>
                <w:sz w:val="17"/>
                <w:szCs w:val="17"/>
                <w:color w:val="auto"/>
              </w:rPr>
              <w:t>Share exchange ratio</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Shares of Comcast Class A common stock to be issued</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800.1</w:t>
            </w:r>
          </w:p>
        </w:tc>
        <w:tc>
          <w:tcPr>
            <w:tcW w:w="60" w:type="dxa"/>
            <w:vAlign w:val="bottom"/>
            <w:shd w:val="clear" w:color="auto" w:fill="CCEEFF"/>
          </w:tcPr>
          <w:p>
            <w:pPr>
              <w:spacing w:after="0"/>
              <w:rPr>
                <w:sz w:val="17"/>
                <w:szCs w:val="17"/>
                <w:color w:val="auto"/>
              </w:rPr>
            </w:pPr>
          </w:p>
        </w:tc>
      </w:tr>
      <w:tr>
        <w:trPr>
          <w:trHeight w:val="202"/>
        </w:trPr>
        <w:tc>
          <w:tcPr>
            <w:tcW w:w="9900" w:type="dxa"/>
            <w:vAlign w:val="bottom"/>
          </w:tcPr>
          <w:p>
            <w:pPr>
              <w:spacing w:after="0"/>
              <w:rPr>
                <w:sz w:val="20"/>
                <w:szCs w:val="20"/>
                <w:color w:val="auto"/>
              </w:rPr>
            </w:pPr>
            <w:r>
              <w:rPr>
                <w:rFonts w:ascii="Arial" w:cs="Arial" w:eastAsia="Arial" w:hAnsi="Arial"/>
                <w:sz w:val="17"/>
                <w:szCs w:val="17"/>
                <w:color w:val="auto"/>
              </w:rPr>
              <w:t>Price per share as of March 14, 2014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50.64</w:t>
            </w:r>
          </w:p>
        </w:tc>
        <w:tc>
          <w:tcPr>
            <w:tcW w:w="60" w:type="dxa"/>
            <w:vAlign w:val="bottom"/>
          </w:tcPr>
          <w:p>
            <w:pPr>
              <w:spacing w:after="0"/>
              <w:rPr>
                <w:sz w:val="17"/>
                <w:szCs w:val="17"/>
                <w:color w:val="auto"/>
              </w:rPr>
            </w:pPr>
          </w:p>
        </w:tc>
      </w:tr>
      <w:tr>
        <w:trPr>
          <w:trHeight w:val="202"/>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Comcast Class A common stock issued</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40,518</w:t>
            </w:r>
          </w:p>
        </w:tc>
        <w:tc>
          <w:tcPr>
            <w:tcW w:w="60" w:type="dxa"/>
            <w:vAlign w:val="bottom"/>
            <w:shd w:val="clear" w:color="auto" w:fill="CCEEFF"/>
          </w:tcPr>
          <w:p>
            <w:pPr>
              <w:spacing w:after="0"/>
              <w:rPr>
                <w:sz w:val="17"/>
                <w:szCs w:val="17"/>
                <w:color w:val="auto"/>
              </w:rPr>
            </w:pPr>
          </w:p>
        </w:tc>
      </w:tr>
      <w:tr>
        <w:trPr>
          <w:trHeight w:val="202"/>
        </w:trPr>
        <w:tc>
          <w:tcPr>
            <w:tcW w:w="9900" w:type="dxa"/>
            <w:vAlign w:val="bottom"/>
          </w:tcPr>
          <w:p>
            <w:pPr>
              <w:spacing w:after="0"/>
              <w:rPr>
                <w:sz w:val="20"/>
                <w:szCs w:val="20"/>
                <w:color w:val="auto"/>
              </w:rPr>
            </w:pPr>
            <w:r>
              <w:rPr>
                <w:rFonts w:ascii="Arial" w:cs="Arial" w:eastAsia="Arial" w:hAnsi="Arial"/>
                <w:sz w:val="17"/>
                <w:szCs w:val="17"/>
                <w:color w:val="auto"/>
              </w:rPr>
              <w:t>Fair value of Comcast equity awards issued in exchange for vested TWC equity awards</w:t>
            </w:r>
          </w:p>
        </w:tc>
        <w:tc>
          <w:tcPr>
            <w:tcW w:w="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574</w:t>
            </w:r>
          </w:p>
        </w:tc>
        <w:tc>
          <w:tcPr>
            <w:tcW w:w="60" w:type="dxa"/>
            <w:vAlign w:val="bottom"/>
          </w:tcPr>
          <w:p>
            <w:pPr>
              <w:spacing w:after="0"/>
              <w:rPr>
                <w:sz w:val="17"/>
                <w:szCs w:val="17"/>
                <w:color w:val="auto"/>
              </w:rPr>
            </w:pPr>
          </w:p>
        </w:tc>
      </w:tr>
      <w:tr>
        <w:trPr>
          <w:trHeight w:val="202"/>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Cash paid for TWC non-employee equity awards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177</w:t>
            </w:r>
          </w:p>
        </w:tc>
        <w:tc>
          <w:tcPr>
            <w:tcW w:w="60" w:type="dxa"/>
            <w:vAlign w:val="bottom"/>
            <w:shd w:val="clear" w:color="auto" w:fill="CCEEFF"/>
          </w:tcPr>
          <w:p>
            <w:pPr>
              <w:spacing w:after="0"/>
              <w:rPr>
                <w:sz w:val="17"/>
                <w:szCs w:val="17"/>
                <w:color w:val="auto"/>
              </w:rPr>
            </w:pPr>
          </w:p>
        </w:tc>
      </w:tr>
      <w:tr>
        <w:trPr>
          <w:trHeight w:val="207"/>
        </w:trPr>
        <w:tc>
          <w:tcPr>
            <w:tcW w:w="99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41,269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Allocation of Purchase Price</w:t>
      </w:r>
    </w:p>
    <w:p>
      <w:pPr>
        <w:spacing w:after="0" w:line="229" w:lineRule="exact"/>
        <w:rPr>
          <w:sz w:val="20"/>
          <w:szCs w:val="20"/>
          <w:color w:val="auto"/>
        </w:rPr>
      </w:pPr>
    </w:p>
    <w:tbl>
      <w:tblPr>
        <w:tblLayout w:type="fixed"/>
        <w:tblInd w:w="196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2760" w:type="dxa"/>
            <w:vAlign w:val="bottom"/>
            <w:gridSpan w:val="4"/>
          </w:tcPr>
          <w:p>
            <w:pPr>
              <w:ind w:left="1960"/>
              <w:spacing w:after="0"/>
              <w:rPr>
                <w:sz w:val="20"/>
                <w:szCs w:val="20"/>
                <w:color w:val="auto"/>
              </w:rPr>
            </w:pPr>
            <w:r>
              <w:rPr>
                <w:rFonts w:ascii="Arial" w:cs="Arial" w:eastAsia="Arial" w:hAnsi="Arial"/>
                <w:sz w:val="13"/>
                <w:szCs w:val="13"/>
                <w:b w:val="1"/>
                <w:bCs w:val="1"/>
                <w:color w:val="auto"/>
              </w:rPr>
              <w:t>(in millions)</w:t>
            </w: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7"/>
                <w:szCs w:val="17"/>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7"/>
                <w:szCs w:val="17"/>
                <w:color w:val="auto"/>
              </w:rPr>
              <w:t>Receivables and other current assets</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7"/>
                <w:szCs w:val="17"/>
                <w:color w:val="auto"/>
              </w:rPr>
            </w:pP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14,255</w:t>
            </w:r>
          </w:p>
        </w:tc>
        <w:tc>
          <w:tcPr>
            <w:tcW w:w="100" w:type="dxa"/>
            <w:vAlign w:val="bottom"/>
            <w:shd w:val="clear" w:color="auto" w:fill="CCEEFF"/>
          </w:tcPr>
          <w:p>
            <w:pPr>
              <w:spacing w:after="0"/>
              <w:rPr>
                <w:sz w:val="17"/>
                <w:szCs w:val="17"/>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7"/>
                <w:szCs w:val="17"/>
                <w:color w:val="auto"/>
              </w:rPr>
              <w:t>Franchise rights</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40,700</w:t>
            </w:r>
          </w:p>
        </w:tc>
        <w:tc>
          <w:tcPr>
            <w:tcW w:w="100" w:type="dxa"/>
            <w:vAlign w:val="bottom"/>
          </w:tcPr>
          <w:p>
            <w:pPr>
              <w:spacing w:after="0"/>
              <w:rPr>
                <w:sz w:val="17"/>
                <w:szCs w:val="17"/>
                <w:color w:val="auto"/>
              </w:rPr>
            </w:pP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21,165</w:t>
            </w:r>
          </w:p>
        </w:tc>
        <w:tc>
          <w:tcPr>
            <w:tcW w:w="100" w:type="dxa"/>
            <w:vAlign w:val="bottom"/>
            <w:shd w:val="clear" w:color="auto" w:fill="CCEEFF"/>
          </w:tcPr>
          <w:p>
            <w:pPr>
              <w:spacing w:after="0"/>
              <w:rPr>
                <w:sz w:val="17"/>
                <w:szCs w:val="17"/>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7"/>
                <w:szCs w:val="17"/>
                <w:color w:val="auto"/>
              </w:rPr>
              <w:t>Other identifiable intangible assets</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9,422</w:t>
            </w:r>
          </w:p>
        </w:tc>
        <w:tc>
          <w:tcPr>
            <w:tcW w:w="100" w:type="dxa"/>
            <w:vAlign w:val="bottom"/>
          </w:tcPr>
          <w:p>
            <w:pPr>
              <w:spacing w:after="0"/>
              <w:rPr>
                <w:sz w:val="17"/>
                <w:szCs w:val="17"/>
                <w:color w:val="auto"/>
              </w:rPr>
            </w:pP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100" w:type="dxa"/>
            <w:vAlign w:val="bottom"/>
            <w:shd w:val="clear" w:color="auto" w:fill="CCEEFF"/>
          </w:tcPr>
          <w:p>
            <w:pPr>
              <w:spacing w:after="0"/>
              <w:rPr>
                <w:sz w:val="17"/>
                <w:szCs w:val="17"/>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(28,515)</w:t>
            </w: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(14,990)</w:t>
            </w:r>
          </w:p>
        </w:tc>
      </w:tr>
      <w:tr>
        <w:trPr>
          <w:trHeight w:val="207"/>
        </w:trPr>
        <w:tc>
          <w:tcPr>
            <w:tcW w:w="4780" w:type="dxa"/>
            <w:vAlign w:val="bottom"/>
          </w:tcPr>
          <w:p>
            <w:pPr>
              <w:spacing w:after="0"/>
              <w:rPr>
                <w:sz w:val="20"/>
                <w:szCs w:val="20"/>
                <w:color w:val="auto"/>
              </w:rPr>
            </w:pPr>
            <w:r>
              <w:rPr>
                <w:rFonts w:ascii="Arial" w:cs="Arial" w:eastAsia="Arial" w:hAnsi="Arial"/>
                <w:sz w:val="17"/>
                <w:szCs w:val="17"/>
                <w:color w:val="auto"/>
              </w:rPr>
              <w:t>Other liabilities assumed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(4,028)</w:t>
            </w:r>
          </w:p>
        </w:tc>
      </w:tr>
      <w:tr>
        <w:trPr>
          <w:trHeight w:val="202"/>
        </w:trPr>
        <w:tc>
          <w:tcPr>
            <w:tcW w:w="47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41,269</w:t>
            </w:r>
          </w:p>
        </w:tc>
        <w:tc>
          <w:tcPr>
            <w:tcW w:w="100" w:type="dxa"/>
            <w:vAlign w:val="bottom"/>
            <w:shd w:val="clear" w:color="auto" w:fill="CCEEFF"/>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20" w:firstLine="443"/>
        <w:spacing w:after="0" w:line="258" w:lineRule="auto"/>
        <w:rPr>
          <w:sz w:val="20"/>
          <w:szCs w:val="20"/>
          <w:color w:val="auto"/>
        </w:rPr>
      </w:pPr>
      <w:r>
        <w:rPr>
          <w:rFonts w:ascii="Arial" w:cs="Arial" w:eastAsia="Arial" w:hAnsi="Arial"/>
          <w:sz w:val="17"/>
          <w:szCs w:val="17"/>
          <w:color w:val="auto"/>
        </w:rPr>
        <w:t>Upon completion of the fair value assessment following the merger, Comcast anticipates the ultimate fair values of the net assets acquired will differ from the preliminary assessment outlined above. Generally, changes to the initial estimates of the fair value of the assets and liabilities will be recorded as adjustments to those assets and liabilities and residual amounts will be allocated to goodwill.</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60"/>
          </w:cols>
          <w:pgMar w:left="240" w:top="439" w:right="3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546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4085" cy="55467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Transaction-related Adjustments</w:t>
      </w:r>
    </w:p>
    <w:p>
      <w:pPr>
        <w:spacing w:after="0" w:line="107" w:lineRule="exact"/>
        <w:rPr>
          <w:sz w:val="20"/>
          <w:szCs w:val="20"/>
          <w:color w:val="auto"/>
        </w:rPr>
      </w:pPr>
    </w:p>
    <w:p>
      <w:pPr>
        <w:ind w:left="180" w:right="420" w:firstLine="443"/>
        <w:spacing w:after="0" w:line="270" w:lineRule="auto"/>
        <w:rPr>
          <w:sz w:val="20"/>
          <w:szCs w:val="20"/>
          <w:color w:val="auto"/>
        </w:rPr>
      </w:pPr>
      <w:r>
        <w:rPr>
          <w:rFonts w:ascii="Arial" w:cs="Arial" w:eastAsia="Arial" w:hAnsi="Arial"/>
          <w:sz w:val="17"/>
          <w:szCs w:val="17"/>
          <w:color w:val="auto"/>
        </w:rPr>
        <w:t>The unaudited pro forma financial information reflects certain reclassifications of TWC balance sheet and statement of income categories to conform to Comcast’s presentation.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and TWC.</w:t>
      </w:r>
    </w:p>
    <w:p>
      <w:pPr>
        <w:spacing w:after="0" w:line="208" w:lineRule="exact"/>
        <w:rPr>
          <w:sz w:val="20"/>
          <w:szCs w:val="20"/>
          <w:color w:val="auto"/>
        </w:rPr>
      </w:pPr>
    </w:p>
    <w:p>
      <w:pPr>
        <w:ind w:left="180" w:right="240" w:firstLine="443"/>
        <w:spacing w:after="0" w:line="270" w:lineRule="auto"/>
        <w:rPr>
          <w:sz w:val="20"/>
          <w:szCs w:val="20"/>
          <w:color w:val="auto"/>
        </w:rPr>
      </w:pPr>
      <w:r>
        <w:rPr>
          <w:rFonts w:ascii="Arial" w:cs="Arial" w:eastAsia="Arial" w:hAnsi="Arial"/>
          <w:sz w:val="17"/>
          <w:szCs w:val="17"/>
          <w:color w:val="auto"/>
        </w:rPr>
        <w:t>The unaudited pro forma financial information does not reflect any adjustments to conform TWC’s accounting policies to those adopted by Comcast as no such adjustments were identified that would have a material effect on the unaudited pro forma financial information.</w:t>
      </w:r>
    </w:p>
    <w:p>
      <w:pPr>
        <w:spacing w:after="0" w:line="166" w:lineRule="exact"/>
        <w:rPr>
          <w:sz w:val="20"/>
          <w:szCs w:val="20"/>
          <w:color w:val="auto"/>
        </w:rPr>
      </w:pPr>
    </w:p>
    <w:p>
      <w:pPr>
        <w:ind w:left="180" w:right="40" w:firstLine="443"/>
        <w:spacing w:after="0" w:line="255"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pro forma adjustments.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Items Not Adjusted in the Unaudited Pro Forma Financial Information</w:t>
      </w:r>
    </w:p>
    <w:p>
      <w:pPr>
        <w:spacing w:after="0" w:line="107" w:lineRule="exact"/>
        <w:rPr>
          <w:sz w:val="20"/>
          <w:szCs w:val="20"/>
          <w:color w:val="auto"/>
        </w:rPr>
      </w:pPr>
    </w:p>
    <w:p>
      <w:pPr>
        <w:jc w:val="both"/>
        <w:ind w:left="180" w:firstLine="443"/>
        <w:spacing w:after="0" w:line="258" w:lineRule="auto"/>
        <w:rPr>
          <w:sz w:val="20"/>
          <w:szCs w:val="20"/>
          <w:color w:val="auto"/>
        </w:rPr>
      </w:pPr>
      <w:r>
        <w:rPr>
          <w:rFonts w:ascii="Arial" w:cs="Arial" w:eastAsia="Arial" w:hAnsi="Arial"/>
          <w:sz w:val="17"/>
          <w:szCs w:val="17"/>
          <w:color w:val="auto"/>
        </w:rPr>
        <w:t>The unaudited pro forma financial information does not include any adjustment for liabilities or related costs that may result from integration activities, since management is in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77" w:lineRule="exact"/>
        <w:rPr>
          <w:sz w:val="20"/>
          <w:szCs w:val="20"/>
          <w:color w:val="auto"/>
        </w:rPr>
      </w:pPr>
    </w:p>
    <w:p>
      <w:pPr>
        <w:ind w:left="180" w:right="340" w:firstLine="443"/>
        <w:spacing w:after="0" w:line="258" w:lineRule="auto"/>
        <w:rPr>
          <w:sz w:val="20"/>
          <w:szCs w:val="20"/>
          <w:color w:val="auto"/>
        </w:rPr>
      </w:pPr>
      <w:r>
        <w:rPr>
          <w:rFonts w:ascii="Arial" w:cs="Arial" w:eastAsia="Arial" w:hAnsi="Arial"/>
          <w:sz w:val="17"/>
          <w:szCs w:val="17"/>
          <w:color w:val="auto"/>
        </w:rPr>
        <w:t>Comcast and TWC anticipate that the merger will result in significant annual operating synergies that would be unachievable without completing the transaction. No assurance can be made that Comcast will be able to achieve these synergies and any such synergies have not been reflected in the unaudited pro forma financial information.</w:t>
      </w:r>
    </w:p>
    <w:p>
      <w:pPr>
        <w:spacing w:after="0" w:line="177" w:lineRule="exact"/>
        <w:rPr>
          <w:sz w:val="20"/>
          <w:szCs w:val="20"/>
          <w:color w:val="auto"/>
        </w:rPr>
      </w:pPr>
    </w:p>
    <w:p>
      <w:pPr>
        <w:ind w:left="180" w:firstLine="443"/>
        <w:spacing w:after="0" w:line="258" w:lineRule="auto"/>
        <w:rPr>
          <w:sz w:val="20"/>
          <w:szCs w:val="20"/>
          <w:color w:val="auto"/>
        </w:rPr>
      </w:pPr>
      <w:r>
        <w:rPr>
          <w:rFonts w:ascii="Arial" w:cs="Arial" w:eastAsia="Arial" w:hAnsi="Arial"/>
          <w:sz w:val="17"/>
          <w:szCs w:val="17"/>
          <w:color w:val="auto"/>
        </w:rPr>
        <w:t>The Unaudited Pro Forma Condensed Combined Statement of Income does not include any material nonrecurring charges that might arise as a result of the merger, including supplemental bonuses. The Unaudited Pro Forma Condensed Combined Balance Sheet only includes adjustments for transaction-related costs that are factually supportable.</w:t>
      </w:r>
    </w:p>
    <w:p>
      <w:pPr>
        <w:spacing w:after="0" w:line="177" w:lineRule="exact"/>
        <w:rPr>
          <w:sz w:val="20"/>
          <w:szCs w:val="20"/>
          <w:color w:val="auto"/>
        </w:rPr>
      </w:pPr>
    </w:p>
    <w:p>
      <w:pPr>
        <w:ind w:left="180" w:right="60" w:firstLine="443"/>
        <w:spacing w:after="0" w:line="255" w:lineRule="auto"/>
        <w:rPr>
          <w:sz w:val="20"/>
          <w:szCs w:val="20"/>
          <w:color w:val="auto"/>
        </w:rPr>
      </w:pPr>
      <w:r>
        <w:rPr>
          <w:rFonts w:ascii="Arial" w:cs="Arial" w:eastAsia="Arial" w:hAnsi="Arial"/>
          <w:sz w:val="17"/>
          <w:szCs w:val="17"/>
          <w:color w:val="auto"/>
        </w:rPr>
        <w:t>Comcast announced that it is prepared to divest systems serving up to approximately three million customers in order to address potential concerns of regulators. There is no commitment or probable transaction related to these potential divestitures, no specific systems have been identified and the manner in which any potential divestitures might be effected has not been determined. As such, the unaudited pro forma financial information does not include adjustments to give effect to any potential divestitures.</w:t>
      </w:r>
    </w:p>
    <w:p>
      <w:pPr>
        <w:spacing w:after="0" w:line="178" w:lineRule="exact"/>
        <w:rPr>
          <w:sz w:val="20"/>
          <w:szCs w:val="20"/>
          <w:color w:val="auto"/>
        </w:rPr>
      </w:pPr>
    </w:p>
    <w:p>
      <w:pPr>
        <w:ind w:left="180" w:right="80" w:firstLine="443"/>
        <w:spacing w:after="0" w:line="272" w:lineRule="auto"/>
        <w:rPr>
          <w:sz w:val="20"/>
          <w:szCs w:val="20"/>
          <w:color w:val="auto"/>
        </w:rPr>
      </w:pPr>
      <w:r>
        <w:rPr>
          <w:rFonts w:ascii="Arial" w:cs="Arial" w:eastAsia="Arial" w:hAnsi="Arial"/>
          <w:sz w:val="16"/>
          <w:szCs w:val="16"/>
          <w:color w:val="auto"/>
        </w:rPr>
        <w:t>Comcast and TWC each have investments in certain entities which are accounted for under the equity method of accounting. As a result of the merger, these entities may be required to be consolidated as a result of the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68" w:lineRule="exact"/>
        <w:rPr>
          <w:sz w:val="20"/>
          <w:szCs w:val="20"/>
          <w:color w:val="auto"/>
        </w:rPr>
      </w:pPr>
    </w:p>
    <w:p>
      <w:pPr>
        <w:ind w:left="180" w:right="320" w:firstLine="443"/>
        <w:spacing w:after="0" w:line="270" w:lineRule="auto"/>
        <w:rPr>
          <w:sz w:val="20"/>
          <w:szCs w:val="20"/>
          <w:color w:val="auto"/>
        </w:rPr>
      </w:pPr>
      <w:r>
        <w:rPr>
          <w:rFonts w:ascii="Arial" w:cs="Arial" w:eastAsia="Arial" w:hAnsi="Arial"/>
          <w:sz w:val="17"/>
          <w:szCs w:val="17"/>
          <w:color w:val="auto"/>
        </w:rPr>
        <w:t>The merger may result in a change in Comcast’s tax rate used to determine deferred income taxes due to changes in apportionment factors related to state income taxes. Any changes in Comcast’s deferred taxes as a</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60"/>
          </w:cols>
          <w:pgMar w:left="240" w:top="439" w:right="3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77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4085" cy="497776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520"/>
        <w:spacing w:after="0" w:line="270" w:lineRule="auto"/>
        <w:rPr>
          <w:sz w:val="20"/>
          <w:szCs w:val="20"/>
          <w:color w:val="auto"/>
        </w:rPr>
      </w:pPr>
      <w:r>
        <w:rPr>
          <w:rFonts w:ascii="Arial" w:cs="Arial" w:eastAsia="Arial" w:hAnsi="Arial"/>
          <w:sz w:val="17"/>
          <w:szCs w:val="17"/>
          <w:color w:val="auto"/>
        </w:rPr>
        <w:t>result of the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2. Transaction-related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the following adjustments:</w:t>
      </w:r>
    </w:p>
    <w:p>
      <w:pPr>
        <w:spacing w:after="0" w:line="120" w:lineRule="exact"/>
        <w:rPr>
          <w:sz w:val="20"/>
          <w:szCs w:val="20"/>
          <w:color w:val="auto"/>
        </w:rPr>
      </w:pPr>
    </w:p>
    <w:p>
      <w:pPr>
        <w:ind w:left="1080" w:right="20" w:hanging="450"/>
        <w:spacing w:after="0" w:line="290"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i w:val="1"/>
          <w:iCs w:val="1"/>
          <w:color w:val="auto"/>
        </w:rPr>
        <w:t>Conforming reclassifications and adjustments</w:t>
      </w:r>
      <w:r>
        <w:rPr>
          <w:rFonts w:ascii="Arial" w:cs="Arial" w:eastAsia="Arial" w:hAnsi="Arial"/>
          <w:sz w:val="15"/>
          <w:szCs w:val="15"/>
          <w:color w:val="auto"/>
        </w:rPr>
        <w:t>. Certain reclassifications have been made to amounts in the TWC balance sheet and statement of income</w:t>
      </w:r>
      <w:r>
        <w:rPr>
          <w:rFonts w:ascii="Arial" w:cs="Arial" w:eastAsia="Arial" w:hAnsi="Arial"/>
          <w:sz w:val="15"/>
          <w:szCs w:val="15"/>
          <w:i w:val="1"/>
          <w:iCs w:val="1"/>
          <w:color w:val="auto"/>
        </w:rPr>
        <w:t xml:space="preserve"> </w:t>
      </w:r>
      <w:r>
        <w:rPr>
          <w:rFonts w:ascii="Arial" w:cs="Arial" w:eastAsia="Arial" w:hAnsi="Arial"/>
          <w:sz w:val="15"/>
          <w:szCs w:val="15"/>
          <w:color w:val="auto"/>
        </w:rPr>
        <w:t>to conform to 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and presenting components of TWC’s cost of revenue, selling, general and administrative expenses and merger-related and restructuring costs within the relevant Comcast costs and expenses captions. In addition, adjustments have been made to eliminate balances and activity, principally related to programming and advertising, between Comcast and TWC for purposes of the combined pro forma presentation.</w:t>
      </w:r>
    </w:p>
    <w:p>
      <w:pPr>
        <w:spacing w:after="0" w:line="67" w:lineRule="exact"/>
        <w:rPr>
          <w:rFonts w:ascii="Arial" w:cs="Arial" w:eastAsia="Arial" w:hAnsi="Arial"/>
          <w:sz w:val="15"/>
          <w:szCs w:val="15"/>
          <w:color w:val="auto"/>
        </w:rPr>
      </w:pPr>
    </w:p>
    <w:p>
      <w:pPr>
        <w:jc w:val="both"/>
        <w:ind w:left="1080" w:right="180" w:hanging="450"/>
        <w:spacing w:after="0" w:line="258"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Investments and noncontrolling interests</w:t>
      </w:r>
      <w:r>
        <w:rPr>
          <w:rFonts w:ascii="Arial" w:cs="Arial" w:eastAsia="Arial" w:hAnsi="Arial"/>
          <w:sz w:val="17"/>
          <w:szCs w:val="17"/>
          <w:color w:val="auto"/>
        </w:rPr>
        <w:t>. Adjustment to eliminate a TWC investment accounted for under the equity method with the noncontrolling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balance recorded at Comcast. The entity is a consolidated subsidiary of Comcast and, therefore, Comcast accounts for the TWC interest as a noncontrolling interest.</w:t>
      </w:r>
    </w:p>
    <w:p>
      <w:pPr>
        <w:spacing w:after="0" w:line="88" w:lineRule="exact"/>
        <w:rPr>
          <w:rFonts w:ascii="Arial" w:cs="Arial" w:eastAsia="Arial" w:hAnsi="Arial"/>
          <w:sz w:val="17"/>
          <w:szCs w:val="17"/>
          <w:color w:val="auto"/>
        </w:rPr>
      </w:pPr>
    </w:p>
    <w:p>
      <w:pPr>
        <w:ind w:left="1080" w:right="180" w:hanging="450"/>
        <w:spacing w:after="0" w:line="258"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Property and equipment</w:t>
      </w:r>
      <w:r>
        <w:rPr>
          <w:rFonts w:ascii="Arial" w:cs="Arial" w:eastAsia="Arial" w:hAnsi="Arial"/>
          <w:sz w:val="17"/>
          <w:szCs w:val="17"/>
          <w:color w:val="auto"/>
        </w:rPr>
        <w:t>. TWC’s property and equipment is reflected at book value. No adjustment has been made because it was preliminarily</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that the recorded book value in the TWC balance sheet approximates the fair value. As such, there is no adjustment to depreciation expense resulting from a pro forma fair value adjustment.</w:t>
      </w:r>
    </w:p>
    <w:p>
      <w:pPr>
        <w:spacing w:after="0" w:line="88" w:lineRule="exact"/>
        <w:rPr>
          <w:rFonts w:ascii="Arial" w:cs="Arial" w:eastAsia="Arial" w:hAnsi="Arial"/>
          <w:sz w:val="17"/>
          <w:szCs w:val="17"/>
          <w:color w:val="auto"/>
        </w:rPr>
      </w:pPr>
    </w:p>
    <w:p>
      <w:pPr>
        <w:ind w:left="1080" w:hanging="450"/>
        <w:spacing w:after="0" w:line="269"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 Adjustments to reflect the fair values of TWC’s identifiable intangible assets. The primary assets include cable franchise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relationships. Cable franchise rights will not be amortized and will be subject to an annual impairment review. The amortization adjustment for the customer relationships asset is based on a preliminary assumption of amortization on a straight-line basis. This assumption is subject to further analysis and may change to a more accelerated recognition pattern, which would result in a change to the incremental amortization adjustment included in the unaudited pro forma financial information. No adjustment has been made to software or the related amortization expense because it was preliminarily assumed that the recorded book value in the TWC balance sheet approximates the fair value. The following table presents information about the identifiable intangible assets: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Intangible Asset</w:t>
            </w:r>
          </w:p>
        </w:tc>
        <w:tc>
          <w:tcPr>
            <w:tcW w:w="94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w w:val="93"/>
              </w:rPr>
              <w:t>Fair Value</w:t>
            </w: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Adjustment</w:t>
            </w:r>
          </w:p>
        </w:tc>
        <w:tc>
          <w:tcPr>
            <w:tcW w:w="1620" w:type="dxa"/>
            <w:vAlign w:val="bottom"/>
            <w:vMerge w:val="restart"/>
          </w:tcPr>
          <w:p>
            <w:pPr>
              <w:jc w:val="right"/>
              <w:ind w:right="283"/>
              <w:spacing w:after="0"/>
              <w:rPr>
                <w:sz w:val="20"/>
                <w:szCs w:val="20"/>
                <w:color w:val="auto"/>
              </w:rPr>
            </w:pPr>
            <w:r>
              <w:rPr>
                <w:rFonts w:ascii="Arial" w:cs="Arial" w:eastAsia="Arial" w:hAnsi="Arial"/>
                <w:sz w:val="13"/>
                <w:szCs w:val="13"/>
                <w:b w:val="1"/>
                <w:bCs w:val="1"/>
                <w:color w:val="auto"/>
              </w:rPr>
              <w:t>Useful Life</w:t>
            </w:r>
          </w:p>
        </w:tc>
        <w:tc>
          <w:tcPr>
            <w:tcW w:w="1180" w:type="dxa"/>
            <w:vAlign w:val="bottom"/>
            <w:gridSpan w:val="3"/>
          </w:tcPr>
          <w:p>
            <w:pPr>
              <w:ind w:left="360"/>
              <w:spacing w:after="0"/>
              <w:rPr>
                <w:sz w:val="20"/>
                <w:szCs w:val="20"/>
                <w:color w:val="auto"/>
              </w:rPr>
            </w:pPr>
            <w:r>
              <w:rPr>
                <w:rFonts w:ascii="Arial" w:cs="Arial" w:eastAsia="Arial" w:hAnsi="Arial"/>
                <w:sz w:val="13"/>
                <w:szCs w:val="13"/>
                <w:b w:val="1"/>
                <w:bCs w:val="1"/>
                <w:color w:val="auto"/>
              </w:rPr>
              <w:t>Incremental</w:t>
            </w:r>
          </w:p>
        </w:tc>
        <w:tc>
          <w:tcPr>
            <w:tcW w:w="0" w:type="dxa"/>
            <w:vAlign w:val="bottom"/>
          </w:tcPr>
          <w:p>
            <w:pPr>
              <w:spacing w:after="0"/>
              <w:rPr>
                <w:sz w:val="1"/>
                <w:szCs w:val="1"/>
                <w:color w:val="auto"/>
              </w:rPr>
            </w:pPr>
          </w:p>
        </w:tc>
      </w:tr>
      <w:tr>
        <w:trPr>
          <w:trHeight w:val="159"/>
        </w:trPr>
        <w:tc>
          <w:tcPr>
            <w:tcW w:w="54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180" w:type="dxa"/>
            <w:vAlign w:val="bottom"/>
            <w:gridSpan w:val="3"/>
          </w:tcPr>
          <w:p>
            <w:pPr>
              <w:ind w:left="320"/>
              <w:spacing w:after="0"/>
              <w:rPr>
                <w:sz w:val="20"/>
                <w:szCs w:val="20"/>
                <w:color w:val="auto"/>
              </w:rPr>
            </w:pPr>
            <w:r>
              <w:rPr>
                <w:rFonts w:ascii="Arial" w:cs="Arial" w:eastAsia="Arial" w:hAnsi="Arial"/>
                <w:sz w:val="13"/>
                <w:szCs w:val="13"/>
                <w:b w:val="1"/>
                <w:bCs w:val="1"/>
                <w:color w:val="auto"/>
              </w:rPr>
              <w:t>Amortization</w:t>
            </w:r>
          </w:p>
        </w:tc>
        <w:tc>
          <w:tcPr>
            <w:tcW w:w="0" w:type="dxa"/>
            <w:vAlign w:val="bottom"/>
          </w:tcPr>
          <w:p>
            <w:pPr>
              <w:spacing w:after="0"/>
              <w:rPr>
                <w:sz w:val="1"/>
                <w:szCs w:val="1"/>
                <w:color w:val="auto"/>
              </w:rPr>
            </w:pPr>
          </w:p>
        </w:tc>
      </w:tr>
      <w:tr>
        <w:trPr>
          <w:trHeight w:val="131"/>
        </w:trPr>
        <w:tc>
          <w:tcPr>
            <w:tcW w:w="920" w:type="dxa"/>
            <w:vAlign w:val="bottom"/>
            <w:tcBorders>
              <w:top w:val="single" w:sz="8" w:color="auto"/>
            </w:tcBorders>
          </w:tcPr>
          <w:p>
            <w:pPr>
              <w:spacing w:after="0"/>
              <w:rPr>
                <w:sz w:val="11"/>
                <w:szCs w:val="11"/>
                <w:color w:val="auto"/>
              </w:rPr>
            </w:pPr>
          </w:p>
        </w:tc>
        <w:tc>
          <w:tcPr>
            <w:tcW w:w="44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ind w:right="823"/>
              <w:spacing w:after="0" w:line="131" w:lineRule="exact"/>
              <w:rPr>
                <w:sz w:val="20"/>
                <w:szCs w:val="20"/>
                <w:color w:val="auto"/>
              </w:rPr>
            </w:pPr>
            <w:r>
              <w:rPr>
                <w:rFonts w:ascii="Arial" w:cs="Arial" w:eastAsia="Arial" w:hAnsi="Arial"/>
                <w:sz w:val="13"/>
                <w:szCs w:val="13"/>
                <w:b w:val="1"/>
                <w:bCs w:val="1"/>
                <w:color w:val="auto"/>
                <w:w w:val="95"/>
              </w:rPr>
              <w:t>(in millions)</w:t>
            </w:r>
          </w:p>
        </w:tc>
        <w:tc>
          <w:tcPr>
            <w:tcW w:w="6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Cable franchise rights</w:t>
            </w:r>
          </w:p>
        </w:tc>
        <w:tc>
          <w:tcPr>
            <w:tcW w:w="94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w w:val="90"/>
              </w:rPr>
              <w:t>$ 40,700</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14,688</w:t>
            </w:r>
          </w:p>
        </w:tc>
        <w:tc>
          <w:tcPr>
            <w:tcW w:w="1620" w:type="dxa"/>
            <w:vAlign w:val="bottom"/>
            <w:shd w:val="clear" w:color="auto" w:fill="CCEEFF"/>
          </w:tcPr>
          <w:p>
            <w:pPr>
              <w:jc w:val="right"/>
              <w:ind w:right="243"/>
              <w:spacing w:after="0"/>
              <w:rPr>
                <w:sz w:val="20"/>
                <w:szCs w:val="20"/>
                <w:color w:val="auto"/>
              </w:rPr>
            </w:pPr>
            <w:r>
              <w:rPr>
                <w:rFonts w:ascii="Arial" w:cs="Arial" w:eastAsia="Arial" w:hAnsi="Arial"/>
                <w:sz w:val="17"/>
                <w:szCs w:val="17"/>
                <w:color w:val="auto"/>
              </w:rPr>
              <w:t>Indefinite</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rPr>
                <w:sz w:val="20"/>
                <w:szCs w:val="20"/>
                <w:color w:val="auto"/>
              </w:rPr>
            </w:pPr>
            <w:r>
              <w:rPr>
                <w:rFonts w:ascii="Arial" w:cs="Arial" w:eastAsia="Arial" w:hAnsi="Arial"/>
                <w:sz w:val="17"/>
                <w:szCs w:val="17"/>
                <w:color w:val="auto"/>
              </w:rPr>
              <w:t>Customer relationships and other</w:t>
            </w:r>
          </w:p>
        </w:tc>
        <w:tc>
          <w:tcPr>
            <w:tcW w:w="940" w:type="dxa"/>
            <w:vAlign w:val="bottom"/>
          </w:tcPr>
          <w:p>
            <w:pPr>
              <w:jc w:val="right"/>
              <w:ind w:right="240"/>
              <w:spacing w:after="0"/>
              <w:rPr>
                <w:sz w:val="20"/>
                <w:szCs w:val="20"/>
                <w:color w:val="auto"/>
              </w:rPr>
            </w:pPr>
            <w:r>
              <w:rPr>
                <w:rFonts w:ascii="Arial" w:cs="Arial" w:eastAsia="Arial" w:hAnsi="Arial"/>
                <w:sz w:val="17"/>
                <w:szCs w:val="17"/>
                <w:color w:val="auto"/>
              </w:rPr>
              <w:t>8,621</w:t>
            </w:r>
          </w:p>
        </w:tc>
        <w:tc>
          <w:tcPr>
            <w:tcW w:w="1040" w:type="dxa"/>
            <w:vAlign w:val="bottom"/>
          </w:tcPr>
          <w:p>
            <w:pPr>
              <w:jc w:val="right"/>
              <w:spacing w:after="0"/>
              <w:rPr>
                <w:sz w:val="20"/>
                <w:szCs w:val="20"/>
                <w:color w:val="auto"/>
              </w:rPr>
            </w:pPr>
            <w:r>
              <w:rPr>
                <w:rFonts w:ascii="Arial" w:cs="Arial" w:eastAsia="Arial" w:hAnsi="Arial"/>
                <w:sz w:val="17"/>
                <w:szCs w:val="17"/>
                <w:color w:val="auto"/>
              </w:rPr>
              <w:t>8,069</w:t>
            </w:r>
          </w:p>
        </w:tc>
        <w:tc>
          <w:tcPr>
            <w:tcW w:w="1620" w:type="dxa"/>
            <w:vAlign w:val="bottom"/>
          </w:tcPr>
          <w:p>
            <w:pPr>
              <w:jc w:val="right"/>
              <w:ind w:right="243"/>
              <w:spacing w:after="0"/>
              <w:rPr>
                <w:sz w:val="20"/>
                <w:szCs w:val="20"/>
                <w:color w:val="auto"/>
              </w:rPr>
            </w:pPr>
            <w:r>
              <w:rPr>
                <w:rFonts w:ascii="Arial" w:cs="Arial" w:eastAsia="Arial" w:hAnsi="Arial"/>
                <w:sz w:val="17"/>
                <w:szCs w:val="17"/>
                <w:color w:val="auto"/>
              </w:rPr>
              <w:t>8 years</w:t>
            </w:r>
          </w:p>
        </w:tc>
        <w:tc>
          <w:tcPr>
            <w:tcW w:w="620" w:type="dxa"/>
            <w:vAlign w:val="bottom"/>
          </w:tcPr>
          <w:p>
            <w:pPr>
              <w:ind w:left="32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Software</w:t>
            </w:r>
          </w:p>
        </w:tc>
        <w:tc>
          <w:tcPr>
            <w:tcW w:w="94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801</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243"/>
              <w:spacing w:after="0"/>
              <w:rPr>
                <w:sz w:val="20"/>
                <w:szCs w:val="20"/>
                <w:color w:val="auto"/>
              </w:rPr>
            </w:pPr>
            <w:r>
              <w:rPr>
                <w:rFonts w:ascii="Arial" w:cs="Arial" w:eastAsia="Arial" w:hAnsi="Arial"/>
                <w:sz w:val="17"/>
                <w:szCs w:val="17"/>
                <w:color w:val="auto"/>
              </w:rPr>
              <w:t>3-5 years</w:t>
            </w:r>
          </w:p>
        </w:tc>
        <w:tc>
          <w:tcPr>
            <w:tcW w:w="6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080" w:right="100" w:hanging="450"/>
        <w:spacing w:after="0" w:line="270"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Adjustments to record goodwill resulting from the merger. Goodwill is not amortized but rather is assessed for impairment at least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frequently whenever events or circumstances indicate that goodwill might be impaired.</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60"/>
          </w:cols>
          <w:pgMar w:left="240" w:top="439" w:right="3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3608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4085" cy="36087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260" w:hanging="450"/>
        <w:spacing w:after="0" w:line="338" w:lineRule="auto"/>
        <w:tabs>
          <w:tab w:leader="none" w:pos="1080"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Transaction-related costs</w:t>
      </w:r>
      <w:r>
        <w:rPr>
          <w:rFonts w:ascii="Arial" w:cs="Arial" w:eastAsia="Arial" w:hAnsi="Arial"/>
          <w:sz w:val="15"/>
          <w:szCs w:val="15"/>
          <w:color w:val="auto"/>
        </w:rPr>
        <w:t>. Adjustment to record liabilities of $92 million, net of related tax benefits, for advisory fees related to the merger with a</w:t>
      </w:r>
      <w:r>
        <w:rPr>
          <w:rFonts w:ascii="Arial" w:cs="Arial" w:eastAsia="Arial" w:hAnsi="Arial"/>
          <w:sz w:val="15"/>
          <w:szCs w:val="15"/>
          <w:i w:val="1"/>
          <w:iCs w:val="1"/>
          <w:color w:val="auto"/>
        </w:rPr>
        <w:t xml:space="preserve"> </w:t>
      </w:r>
      <w:r>
        <w:rPr>
          <w:rFonts w:ascii="Arial" w:cs="Arial" w:eastAsia="Arial" w:hAnsi="Arial"/>
          <w:sz w:val="15"/>
          <w:szCs w:val="15"/>
          <w:color w:val="auto"/>
        </w:rPr>
        <w:t>corresponding adjustment to Comcast shareholders’ equity. Amount does not include estimates for fees that are not factually supportable.</w:t>
      </w:r>
    </w:p>
    <w:p>
      <w:pPr>
        <w:spacing w:after="0" w:line="31" w:lineRule="exact"/>
        <w:rPr>
          <w:rFonts w:ascii="Arial" w:cs="Arial" w:eastAsia="Arial" w:hAnsi="Arial"/>
          <w:sz w:val="15"/>
          <w:szCs w:val="15"/>
          <w:color w:val="auto"/>
        </w:rPr>
      </w:pPr>
    </w:p>
    <w:p>
      <w:pPr>
        <w:ind w:left="1080" w:right="180" w:hanging="450"/>
        <w:spacing w:after="0" w:line="299" w:lineRule="auto"/>
        <w:tabs>
          <w:tab w:leader="none" w:pos="1080"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Long-term debt</w:t>
      </w:r>
      <w:r>
        <w:rPr>
          <w:rFonts w:ascii="Arial" w:cs="Arial" w:eastAsia="Arial" w:hAnsi="Arial"/>
          <w:sz w:val="15"/>
          <w:szCs w:val="15"/>
          <w:color w:val="auto"/>
        </w:rPr>
        <w:t>. Adjustments to record long-term debt at fair value using quoted market values as of March 14, 2014. TWC deferred debt issuance</w:t>
      </w:r>
      <w:r>
        <w:rPr>
          <w:rFonts w:ascii="Arial" w:cs="Arial" w:eastAsia="Arial" w:hAnsi="Arial"/>
          <w:sz w:val="15"/>
          <w:szCs w:val="15"/>
          <w:i w:val="1"/>
          <w:iCs w:val="1"/>
          <w:color w:val="auto"/>
        </w:rPr>
        <w:t xml:space="preserve"> </w:t>
      </w:r>
      <w:r>
        <w:rPr>
          <w:rFonts w:ascii="Arial" w:cs="Arial" w:eastAsia="Arial" w:hAnsi="Arial"/>
          <w:sz w:val="15"/>
          <w:szCs w:val="15"/>
          <w:color w:val="auto"/>
        </w:rPr>
        <w:t>costs were also eliminated. The difference between the fair value and the face amount of each borrowing is amortized as interest expense over the remaining term of the borrowing based on its maturity date, resulting in a reduction in interest expense of $386 million. Interest expense is further adjusted to reflect the elimination of $13 million of amortization related to TWC’s previously deferred debt issuance costs.</w:t>
      </w:r>
    </w:p>
    <w:p>
      <w:pPr>
        <w:spacing w:after="0" w:line="61" w:lineRule="exact"/>
        <w:rPr>
          <w:rFonts w:ascii="Arial" w:cs="Arial" w:eastAsia="Arial" w:hAnsi="Arial"/>
          <w:sz w:val="15"/>
          <w:szCs w:val="15"/>
          <w:color w:val="auto"/>
        </w:rPr>
      </w:pPr>
    </w:p>
    <w:p>
      <w:pPr>
        <w:ind w:left="1080" w:right="200" w:hanging="450"/>
        <w:spacing w:after="0" w:line="258"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Adjustment to record the deferred tax impact of acquisition accounting adjustments primarily related to intangible assets,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 rights, and long-term debt. The incremental deferred tax liabilities and the income tax expense impact of the pro forma adjustments were recorded using an estimated statutory tax rate of 39%.</w:t>
      </w:r>
    </w:p>
    <w:p>
      <w:pPr>
        <w:spacing w:after="0" w:line="88" w:lineRule="exact"/>
        <w:rPr>
          <w:rFonts w:ascii="Arial" w:cs="Arial" w:eastAsia="Arial" w:hAnsi="Arial"/>
          <w:sz w:val="17"/>
          <w:szCs w:val="17"/>
          <w:color w:val="auto"/>
        </w:rPr>
      </w:pPr>
    </w:p>
    <w:p>
      <w:pPr>
        <w:jc w:val="both"/>
        <w:ind w:left="1080" w:right="100" w:hanging="450"/>
        <w:spacing w:after="0" w:line="276"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Comcast Class A common stock issuance</w:t>
      </w:r>
      <w:r>
        <w:rPr>
          <w:rFonts w:ascii="Arial" w:cs="Arial" w:eastAsia="Arial" w:hAnsi="Arial"/>
          <w:sz w:val="16"/>
          <w:szCs w:val="16"/>
          <w:color w:val="auto"/>
        </w:rPr>
        <w:t>. An estimated 800 million shares of Comcast Class A common stock will be issued to TWC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TWC shares of common stock outstanding as of March 14, 2014, at a per share price of $50.64, which was the closing price on March 14, 2014, for a total value of $40.5 billion. Additionally, the purchase price includes vested Comcast equity awards with an estimated fair value of $574 million that will be issued to replace vested equity awards held by employees of TWC.</w:t>
      </w:r>
    </w:p>
    <w:p>
      <w:pPr>
        <w:spacing w:after="0" w:line="74" w:lineRule="exact"/>
        <w:rPr>
          <w:rFonts w:ascii="Arial" w:cs="Arial" w:eastAsia="Arial" w:hAnsi="Arial"/>
          <w:sz w:val="16"/>
          <w:szCs w:val="16"/>
          <w:color w:val="auto"/>
        </w:rPr>
      </w:pPr>
    </w:p>
    <w:p>
      <w:pPr>
        <w:ind w:left="1080" w:right="120" w:hanging="450"/>
        <w:spacing w:after="0" w:line="270"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TWC stockholders’ equity</w:t>
      </w:r>
      <w:r>
        <w:rPr>
          <w:rFonts w:ascii="Arial" w:cs="Arial" w:eastAsia="Arial" w:hAnsi="Arial"/>
          <w:sz w:val="17"/>
          <w:szCs w:val="17"/>
          <w:color w:val="auto"/>
        </w:rPr>
        <w:t>. The elimination of all TWC stockholders’ equity, including common stock, additional paid-in capital, accumulated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and accumulated deficit.</w:t>
      </w:r>
    </w:p>
    <w:p>
      <w:pPr>
        <w:spacing w:after="0" w:line="77" w:lineRule="exact"/>
        <w:rPr>
          <w:rFonts w:ascii="Arial" w:cs="Arial" w:eastAsia="Arial" w:hAnsi="Arial"/>
          <w:sz w:val="17"/>
          <w:szCs w:val="17"/>
          <w:color w:val="auto"/>
        </w:rPr>
      </w:pPr>
    </w:p>
    <w:p>
      <w:pPr>
        <w:ind w:left="1080" w:right="40" w:hanging="450"/>
        <w:spacing w:after="0" w:line="270"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Pension amortization. </w:t>
      </w:r>
      <w:r>
        <w:rPr>
          <w:rFonts w:ascii="Arial" w:cs="Arial" w:eastAsia="Arial" w:hAnsi="Arial"/>
          <w:sz w:val="17"/>
          <w:szCs w:val="17"/>
          <w:color w:val="auto"/>
        </w:rPr>
        <w:t>Adjustment to remove the net periodic benefit costs of $75 million associated with the amortization of net actuarial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prior service credits for TWC’s pension plans.</w:t>
      </w:r>
    </w:p>
    <w:p>
      <w:pPr>
        <w:spacing w:after="0" w:line="77" w:lineRule="exact"/>
        <w:rPr>
          <w:rFonts w:ascii="Arial" w:cs="Arial" w:eastAsia="Arial" w:hAnsi="Arial"/>
          <w:sz w:val="17"/>
          <w:szCs w:val="17"/>
          <w:color w:val="auto"/>
        </w:rPr>
      </w:pPr>
    </w:p>
    <w:p>
      <w:pPr>
        <w:ind w:left="1080" w:hanging="450"/>
        <w:spacing w:after="0" w:line="292" w:lineRule="auto"/>
        <w:tabs>
          <w:tab w:leader="none" w:pos="1080"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Share-based compensation</w:t>
      </w:r>
      <w:r>
        <w:rPr>
          <w:rFonts w:ascii="Arial" w:cs="Arial" w:eastAsia="Arial" w:hAnsi="Arial"/>
          <w:sz w:val="15"/>
          <w:szCs w:val="15"/>
          <w:color w:val="auto"/>
        </w:rPr>
        <w:t>. Adjustment to record incremental compensation expense of $65 million related to converted TWC equity awards because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expense, following the closing of the merger, will reflect the fair value of the awards as of the closing date. At closing, TWC employee vested equity awards will be converted into equity awards with respect to Comcast Class A common stock, after giving effect to the 2.875 exchange ratio. Accrued expenses and other current liabilities includes an adjustment of $177 million for TWC non-employee equity awards. A corresponding tax benefit of $69 million is also included in accrued expenses and other current liabilities. These awards, whether or not vested, will be canceled and the holders will be entitled to cash in an amount equal to the value of the equity awards as if they were converted on the basis described above.</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120"/>
          </w:cols>
          <w:pgMar w:left="240" w:top="439" w:right="5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2695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4085" cy="26955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hanging="450"/>
        <w:spacing w:after="0"/>
        <w:tabs>
          <w:tab w:leader="none" w:pos="1080" w:val="left"/>
        </w:tabs>
        <w:numPr>
          <w:ilvl w:val="0"/>
          <w:numId w:val="117"/>
        </w:numPr>
        <w:rPr>
          <w:rFonts w:ascii="Arial" w:cs="Arial" w:eastAsia="Arial" w:hAnsi="Arial"/>
          <w:sz w:val="15"/>
          <w:szCs w:val="15"/>
          <w:color w:val="auto"/>
        </w:rPr>
      </w:pPr>
      <w:r>
        <w:rPr>
          <w:rFonts w:ascii="Arial" w:cs="Arial" w:eastAsia="Arial" w:hAnsi="Arial"/>
          <w:sz w:val="15"/>
          <w:szCs w:val="15"/>
          <w:i w:val="1"/>
          <w:iCs w:val="1"/>
          <w:color w:val="auto"/>
        </w:rPr>
        <w:t xml:space="preserve">Earnings per share. </w:t>
      </w:r>
      <w:r>
        <w:rPr>
          <w:rFonts w:ascii="Arial" w:cs="Arial" w:eastAsia="Arial" w:hAnsi="Arial"/>
          <w:sz w:val="15"/>
          <w:szCs w:val="15"/>
          <w:color w:val="auto"/>
        </w:rPr>
        <w:t>The pro forma combined basic and diluted earnings per share for the year ended December 31, 2013 is calculated as follows:</w:t>
      </w:r>
    </w:p>
    <w:p>
      <w:pPr>
        <w:spacing w:after="0" w:line="238"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9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r>
      <w:tr>
        <w:trPr>
          <w:trHeight w:val="159"/>
        </w:trPr>
        <w:tc>
          <w:tcPr>
            <w:tcW w:w="90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December 31, 2013</w:t>
            </w:r>
          </w:p>
        </w:tc>
      </w:tr>
      <w:tr>
        <w:trPr>
          <w:trHeight w:val="111"/>
        </w:trPr>
        <w:tc>
          <w:tcPr>
            <w:tcW w:w="9000" w:type="dxa"/>
            <w:vAlign w:val="bottom"/>
          </w:tcPr>
          <w:p>
            <w:pPr>
              <w:spacing w:after="0"/>
              <w:rPr>
                <w:sz w:val="9"/>
                <w:szCs w:val="9"/>
                <w:color w:val="auto"/>
              </w:rPr>
            </w:pPr>
          </w:p>
        </w:tc>
        <w:tc>
          <w:tcPr>
            <w:tcW w:w="1100" w:type="dxa"/>
            <w:vAlign w:val="bottom"/>
            <w:tcBorders>
              <w:top w:val="single" w:sz="8" w:color="auto"/>
            </w:tcBorders>
            <w:gridSpan w:val="2"/>
          </w:tcPr>
          <w:p>
            <w:pPr>
              <w:ind w:left="20"/>
              <w:spacing w:after="0" w:line="111" w:lineRule="exact"/>
              <w:rPr>
                <w:sz w:val="20"/>
                <w:szCs w:val="20"/>
                <w:color w:val="auto"/>
              </w:rPr>
            </w:pPr>
            <w:r>
              <w:rPr>
                <w:rFonts w:ascii="Arial" w:cs="Arial" w:eastAsia="Arial" w:hAnsi="Arial"/>
                <w:sz w:val="12"/>
                <w:szCs w:val="12"/>
                <w:b w:val="1"/>
                <w:bCs w:val="1"/>
                <w:color w:val="auto"/>
                <w:w w:val="98"/>
              </w:rPr>
              <w:t>(in millions, except</w:t>
            </w:r>
          </w:p>
        </w:tc>
        <w:tc>
          <w:tcPr>
            <w:tcW w:w="80" w:type="dxa"/>
            <w:vAlign w:val="bottom"/>
          </w:tcPr>
          <w:p>
            <w:pPr>
              <w:spacing w:after="0"/>
              <w:rPr>
                <w:sz w:val="9"/>
                <w:szCs w:val="9"/>
                <w:color w:val="auto"/>
              </w:rPr>
            </w:pPr>
          </w:p>
        </w:tc>
      </w:tr>
      <w:tr>
        <w:trPr>
          <w:trHeight w:val="159"/>
        </w:trPr>
        <w:tc>
          <w:tcPr>
            <w:tcW w:w="9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per share data)</w:t>
            </w:r>
          </w:p>
        </w:tc>
      </w:tr>
      <w:tr>
        <w:trPr>
          <w:trHeight w:val="20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8,440</w:t>
            </w:r>
          </w:p>
        </w:tc>
      </w:tr>
      <w:tr>
        <w:trPr>
          <w:trHeight w:val="202"/>
        </w:trPr>
        <w:tc>
          <w:tcPr>
            <w:tcW w:w="9000" w:type="dxa"/>
            <w:vAlign w:val="bottom"/>
          </w:tcPr>
          <w:p>
            <w:pPr>
              <w:spacing w:after="0"/>
              <w:rPr>
                <w:sz w:val="20"/>
                <w:szCs w:val="20"/>
                <w:color w:val="auto"/>
              </w:rPr>
            </w:pPr>
            <w:r>
              <w:rPr>
                <w:rFonts w:ascii="Arial" w:cs="Arial" w:eastAsia="Arial" w:hAnsi="Arial"/>
                <w:sz w:val="17"/>
                <w:szCs w:val="17"/>
                <w:color w:val="auto"/>
              </w:rPr>
              <w:t>Basic weighted average Comcast shares outstanding</w:t>
            </w: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2,625</w:t>
            </w:r>
          </w:p>
        </w:tc>
      </w:tr>
      <w:tr>
        <w:trPr>
          <w:trHeight w:val="20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TWC shares converted to Comcast shares(a)</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r>
      <w:tr>
        <w:trPr>
          <w:trHeight w:val="207"/>
        </w:trPr>
        <w:tc>
          <w:tcPr>
            <w:tcW w:w="9000" w:type="dxa"/>
            <w:vAlign w:val="bottom"/>
          </w:tcPr>
          <w:p>
            <w:pPr>
              <w:spacing w:after="0"/>
              <w:rPr>
                <w:sz w:val="20"/>
                <w:szCs w:val="20"/>
                <w:color w:val="auto"/>
              </w:rPr>
            </w:pPr>
            <w:r>
              <w:rPr>
                <w:rFonts w:ascii="Arial" w:cs="Arial" w:eastAsia="Arial" w:hAnsi="Arial"/>
                <w:sz w:val="17"/>
                <w:szCs w:val="17"/>
                <w:color w:val="auto"/>
              </w:rPr>
              <w:t>Basic weighted average shares outstanding</w:t>
            </w: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3,425</w:t>
            </w:r>
          </w:p>
        </w:tc>
      </w:tr>
      <w:tr>
        <w:trPr>
          <w:trHeight w:val="20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Dilutive effect of securities: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9000" w:type="dxa"/>
            <w:vAlign w:val="bottom"/>
          </w:tcPr>
          <w:p>
            <w:pPr>
              <w:ind w:left="340"/>
              <w:spacing w:after="0"/>
              <w:rPr>
                <w:sz w:val="20"/>
                <w:szCs w:val="20"/>
                <w:color w:val="auto"/>
              </w:rPr>
            </w:pPr>
            <w:r>
              <w:rPr>
                <w:rFonts w:ascii="Arial" w:cs="Arial" w:eastAsia="Arial" w:hAnsi="Arial"/>
                <w:sz w:val="17"/>
                <w:szCs w:val="17"/>
                <w:color w:val="auto"/>
              </w:rPr>
              <w:t>Comcast equity awards</w:t>
            </w: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r>
      <w:tr>
        <w:trPr>
          <w:trHeight w:val="202"/>
        </w:trPr>
        <w:tc>
          <w:tcPr>
            <w:tcW w:w="9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TWC equity awards converted to Comcast shares(a)</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r>
      <w:tr>
        <w:trPr>
          <w:trHeight w:val="207"/>
        </w:trPr>
        <w:tc>
          <w:tcPr>
            <w:tcW w:w="9000" w:type="dxa"/>
            <w:vAlign w:val="bottom"/>
          </w:tcPr>
          <w:p>
            <w:pPr>
              <w:spacing w:after="0"/>
              <w:rPr>
                <w:sz w:val="20"/>
                <w:szCs w:val="20"/>
                <w:color w:val="auto"/>
              </w:rPr>
            </w:pPr>
            <w:r>
              <w:rPr>
                <w:rFonts w:ascii="Arial" w:cs="Arial" w:eastAsia="Arial" w:hAnsi="Arial"/>
                <w:sz w:val="17"/>
                <w:szCs w:val="17"/>
                <w:color w:val="auto"/>
              </w:rPr>
              <w:t>Diluted weighted average shares outstanding</w:t>
            </w: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3,477</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9000" w:type="dxa"/>
            <w:vAlign w:val="bottom"/>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Pro forma basic earnings per share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2.46</w:t>
            </w:r>
          </w:p>
        </w:tc>
      </w:tr>
      <w:tr>
        <w:trPr>
          <w:trHeight w:val="218"/>
        </w:trPr>
        <w:tc>
          <w:tcPr>
            <w:tcW w:w="9000" w:type="dxa"/>
            <w:vAlign w:val="bottom"/>
          </w:tcPr>
          <w:p>
            <w:pPr>
              <w:spacing w:after="0"/>
              <w:rPr>
                <w:sz w:val="20"/>
                <w:szCs w:val="20"/>
                <w:color w:val="auto"/>
              </w:rPr>
            </w:pPr>
            <w:r>
              <w:rPr>
                <w:rFonts w:ascii="Arial" w:cs="Arial" w:eastAsia="Arial" w:hAnsi="Arial"/>
                <w:sz w:val="17"/>
                <w:szCs w:val="17"/>
                <w:b w:val="1"/>
                <w:bCs w:val="1"/>
                <w:color w:val="auto"/>
              </w:rPr>
              <w:t>Pro forma diluted earnings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2.43</w:t>
            </w:r>
          </w:p>
        </w:tc>
      </w:tr>
    </w:tbl>
    <w:p>
      <w:pPr>
        <w:spacing w:after="0" w:line="148" w:lineRule="exact"/>
        <w:rPr>
          <w:sz w:val="20"/>
          <w:szCs w:val="20"/>
          <w:color w:val="auto"/>
        </w:rPr>
      </w:pPr>
    </w:p>
    <w:p>
      <w:pPr>
        <w:ind w:left="1080" w:hanging="450"/>
        <w:spacing w:after="0" w:line="28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Represents the estimated number of shares of Comcast Class A common stock to be issued to TWC stockholders based on the number of shares of TWC common stock outstanding as of March 14, 2014 and after giving effect to the exchange ratio as determined in the merger agreement. TWC basic shares outstanding and the estimated dilutive effect of TWC stock awards were 278 million and 4 million, respectively.</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60"/>
          </w:cols>
          <w:pgMar w:left="240" w:top="439" w:right="3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12" w:lineRule="exact"/>
        <w:rPr>
          <w:sz w:val="20"/>
          <w:szCs w:val="20"/>
          <w:color w:val="auto"/>
        </w:rPr>
      </w:pPr>
    </w:p>
    <w:p>
      <w:pPr>
        <w:ind w:right="160" w:firstLine="457"/>
        <w:spacing w:after="0" w:line="269" w:lineRule="auto"/>
        <w:rPr>
          <w:sz w:val="20"/>
          <w:szCs w:val="20"/>
          <w:color w:val="auto"/>
        </w:rPr>
      </w:pPr>
      <w:r>
        <w:rPr>
          <w:rFonts w:ascii="Arial" w:cs="Arial" w:eastAsia="Arial" w:hAnsi="Arial"/>
          <w:sz w:val="16"/>
          <w:szCs w:val="16"/>
          <w:i w:val="1"/>
          <w:iCs w:val="1"/>
          <w:color w:val="auto"/>
        </w:rPr>
        <w:t>In addition to the other information contained or incorporated by reference into this joint proxy statement/prospectus, including the matters addressed in “Cautionary Statement Regarding Forward-Looking Statements” beginning on page [</w:t>
      </w:r>
      <w:r>
        <w:rPr>
          <w:rFonts w:ascii="Arial" w:cs="Arial" w:eastAsia="Arial" w:hAnsi="Arial"/>
          <w:sz w:val="16"/>
          <w:szCs w:val="16"/>
          <w:color w:val="auto"/>
        </w:rPr>
        <w:t>—</w:t>
      </w:r>
      <w:r>
        <w:rPr>
          <w:rFonts w:ascii="Arial" w:cs="Arial" w:eastAsia="Arial" w:hAnsi="Arial"/>
          <w:sz w:val="16"/>
          <w:szCs w:val="16"/>
          <w:i w:val="1"/>
          <w:iCs w:val="1"/>
          <w:color w:val="auto"/>
        </w:rPr>
        <w:t>]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68" w:lineRule="exact"/>
        <w:rPr>
          <w:sz w:val="20"/>
          <w:szCs w:val="20"/>
          <w:color w:val="auto"/>
        </w:rPr>
      </w:pPr>
    </w:p>
    <w:p>
      <w:pPr>
        <w:jc w:val="both"/>
        <w:ind w:right="220"/>
        <w:spacing w:after="0" w:line="261" w:lineRule="auto"/>
        <w:rPr>
          <w:sz w:val="20"/>
          <w:szCs w:val="20"/>
          <w:color w:val="auto"/>
        </w:rPr>
      </w:pPr>
      <w:r>
        <w:rPr>
          <w:rFonts w:ascii="Arial" w:cs="Arial" w:eastAsia="Arial" w:hAnsi="Arial"/>
          <w:sz w:val="17"/>
          <w:szCs w:val="17"/>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3"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 and as low as $[—] between that date and [—], 2014. The closing price per share of Comcast Class A common stock as of February 12, 2014, the last trading date before the public announcement of the merger agreement, was $55.24, and the closing price per share has fluctuated as high as $[—] and as low as $[—] between that date and [—],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color w:val="auto"/>
        </w:rPr>
        <w:t>The market price of Comcast Class A common stock after the merger may be affected by factors different from those affecting shares of TWC common stock currently.</w:t>
      </w:r>
    </w:p>
    <w:p>
      <w:pPr>
        <w:spacing w:after="0" w:line="61"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 of this joint proxy statement/prospectus.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39"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color w:val="auto"/>
        </w:rPr>
        <w:t>After completion of the merger, Comcast may fail to realize the anticipated benefits and cost savings of the merger, which could adversely affect the value of Comcast Class A common stock.</w:t>
      </w:r>
    </w:p>
    <w:p>
      <w:pPr>
        <w:spacing w:after="0" w:line="61"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77" w:lineRule="exact"/>
        <w:rPr>
          <w:sz w:val="20"/>
          <w:szCs w:val="20"/>
          <w:color w:val="auto"/>
        </w:rPr>
      </w:pPr>
    </w:p>
    <w:p>
      <w:pPr>
        <w:ind w:left="900" w:hanging="445"/>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Comcast’s ability to successfully combine the businesses of Comcast and TWC;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whether the combined business will perform as expected.</w:t>
      </w:r>
    </w:p>
    <w:p>
      <w:pPr>
        <w:spacing w:after="0" w:line="208"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7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62" w:lineRule="exact"/>
        <w:rPr>
          <w:sz w:val="20"/>
          <w:szCs w:val="20"/>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combining certain of the companies’ operations and corporate functions;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integrating the companies’ technologies;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integrating and unifying the product offerings and services available to customers;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identifying and eliminating redundant and underperforming functions and assets;</w:t>
      </w:r>
    </w:p>
    <w:p>
      <w:pPr>
        <w:spacing w:after="0" w:line="119" w:lineRule="exact"/>
        <w:rPr>
          <w:rFonts w:ascii="Arial" w:cs="Arial" w:eastAsia="Arial" w:hAnsi="Arial"/>
          <w:sz w:val="17"/>
          <w:szCs w:val="17"/>
          <w:color w:val="auto"/>
        </w:rPr>
      </w:pPr>
    </w:p>
    <w:p>
      <w:pPr>
        <w:ind w:left="900" w:right="180" w:hanging="445"/>
        <w:spacing w:after="0" w:line="270"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harmonizing the companies’ operating practices, employee development and compensation programs, internal controls and other policies, procedures and processes;</w:t>
      </w:r>
    </w:p>
    <w:p>
      <w:pPr>
        <w:spacing w:after="0" w:line="77" w:lineRule="exact"/>
        <w:rPr>
          <w:rFonts w:ascii="Arial" w:cs="Arial" w:eastAsia="Arial" w:hAnsi="Arial"/>
          <w:sz w:val="17"/>
          <w:szCs w:val="17"/>
          <w:color w:val="auto"/>
        </w:rPr>
      </w:pPr>
    </w:p>
    <w:p>
      <w:pPr>
        <w:ind w:left="900" w:right="100" w:hanging="445"/>
        <w:spacing w:after="0" w:line="270"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maintaining existing agreements with customers, distributors, providers and vendors and avoiding delays in entering into new agreements with prospective customers, distributors, providers and vendors;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addressing possible differences in business backgrounds, corporate cultures and management philosophies;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consolidating the companies’ administrative and information technology infrastructure;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coordinating programming, distribution and marketing efforts;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managing the movement of certain positions to different locations;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coordinating geographically dispersed organizations;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effecting potential divestitures and other actions that may be required in connection with obtaining regulatory approvals.</w:t>
      </w:r>
    </w:p>
    <w:p>
      <w:pPr>
        <w:spacing w:after="0" w:line="208"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39"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and TWC may have difficulty attracting, motivating and retaining executives and other key employees in light of the merger.</w:t>
      </w:r>
    </w:p>
    <w:p>
      <w:pPr>
        <w:spacing w:after="0" w:line="111"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Uncertainty about the effect of the merger on Comcast and TWC employees may impair Comcast’s and TWC’s ability to attract, retain and motivate key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key employees of TWC are entitled to receive severance payments upon a constructive termination of employment. Certain key TWC employees potentially could terminate their employment following specified circumstances set forth in their employment agreements, including certain changes in such key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 of this joint proxy statement/prospectus for a further discussion of some of these issues. If key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11"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The obligations of Comcast and TWC to complete the merger are subject to satisfaction or waiver of a number of conditions, including, among others: (i) 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 of this joint proxy statement/prospectus for a definition of burdensome condition). For a more complete summary of the conditions that must be satisfied or waived prior to completion of the merger, see “The Merger Agreement—Conditions to Completion of the Merger” beginning on page [—]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39"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3" w:lineRule="exact"/>
        <w:rPr>
          <w:sz w:val="20"/>
          <w:szCs w:val="20"/>
          <w:color w:val="auto"/>
        </w:rPr>
      </w:pPr>
    </w:p>
    <w:p>
      <w:pPr>
        <w:ind w:right="20" w:firstLine="457"/>
        <w:spacing w:after="0" w:line="283" w:lineRule="auto"/>
        <w:rPr>
          <w:sz w:val="20"/>
          <w:szCs w:val="20"/>
          <w:color w:val="auto"/>
        </w:rPr>
      </w:pPr>
      <w:r>
        <w:rPr>
          <w:rFonts w:ascii="Arial" w:cs="Arial" w:eastAsia="Arial" w:hAnsi="Arial"/>
          <w:sz w:val="15"/>
          <w:szCs w:val="15"/>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 and [—], respectively, of this joint proxy statement/prospectus.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Comcast’s and TWC’s business relationships may be subject to disruption due to uncertainty associated with the merger.</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68"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b w:val="1"/>
          <w:bCs w:val="1"/>
          <w:color w:val="auto"/>
        </w:rPr>
        <w:t>Certain of TWC’s executive officers and directors have interests in the merger that may be different from your interests as a stockholder of TWC or as a shareholder of Comcast.</w:t>
      </w:r>
    </w:p>
    <w:p>
      <w:pPr>
        <w:spacing w:after="0" w:line="61" w:lineRule="exact"/>
        <w:rPr>
          <w:sz w:val="20"/>
          <w:szCs w:val="20"/>
          <w:color w:val="auto"/>
        </w:rPr>
      </w:pPr>
    </w:p>
    <w:p>
      <w:pPr>
        <w:ind w:right="440" w:firstLine="457"/>
        <w:spacing w:after="0" w:line="270" w:lineRule="auto"/>
        <w:rPr>
          <w:sz w:val="20"/>
          <w:szCs w:val="20"/>
          <w:color w:val="auto"/>
        </w:rPr>
      </w:pPr>
      <w:r>
        <w:rPr>
          <w:rFonts w:ascii="Arial" w:cs="Arial" w:eastAsia="Arial" w:hAnsi="Arial"/>
          <w:sz w:val="17"/>
          <w:szCs w:val="17"/>
          <w:color w:val="auto"/>
        </w:rPr>
        <w:t>When considering the recommendation of the TWC board of directors that TWC stockholders vote in favor of the adoption of the merger agreement and the recommendation of the Comcast board of directors that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39"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5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61"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 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 of this joint proxy statement/prospectus.</w:t>
      </w:r>
    </w:p>
    <w:p>
      <w:pPr>
        <w:spacing w:after="0" w:line="183"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11"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8" w:lineRule="exact"/>
        <w:rPr>
          <w:sz w:val="20"/>
          <w:szCs w:val="20"/>
          <w:color w:val="auto"/>
        </w:rPr>
      </w:pPr>
    </w:p>
    <w:p>
      <w:pPr>
        <w:ind w:left="900" w:hanging="445"/>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31" w:lineRule="exact"/>
        <w:rPr>
          <w:rFonts w:ascii="Arial" w:cs="Arial" w:eastAsia="Arial" w:hAnsi="Arial"/>
          <w:sz w:val="16"/>
          <w:szCs w:val="16"/>
          <w:color w:val="auto"/>
        </w:rPr>
      </w:pPr>
    </w:p>
    <w:p>
      <w:pPr>
        <w:ind w:left="900" w:hanging="445"/>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Comcast and TWC may experience negative reactions from their respective customers, regulators and employees;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Comcast and TWC will be required to pay certain costs relating to the merger, whether or not the merger is completed;</w:t>
      </w:r>
    </w:p>
    <w:p>
      <w:pPr>
        <w:spacing w:after="0" w:line="119" w:lineRule="exact"/>
        <w:rPr>
          <w:rFonts w:ascii="Arial" w:cs="Arial" w:eastAsia="Arial" w:hAnsi="Arial"/>
          <w:sz w:val="17"/>
          <w:szCs w:val="17"/>
          <w:color w:val="auto"/>
        </w:rPr>
      </w:pPr>
    </w:p>
    <w:p>
      <w:pPr>
        <w:ind w:left="900" w:hanging="445"/>
        <w:spacing w:after="0" w:line="338" w:lineRule="auto"/>
        <w:tabs>
          <w:tab w:leader="none" w:pos="9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39"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620"/>
        <w:spacing w:after="0" w:line="282" w:lineRule="auto"/>
        <w:rPr>
          <w:sz w:val="20"/>
          <w:szCs w:val="20"/>
          <w:color w:val="auto"/>
        </w:rPr>
      </w:pPr>
      <w:r>
        <w:rPr>
          <w:rFonts w:ascii="Arial" w:cs="Arial" w:eastAsia="Arial" w:hAnsi="Arial"/>
          <w:sz w:val="16"/>
          <w:szCs w:val="16"/>
          <w:color w:val="auto"/>
        </w:rPr>
        <w:t>TWC and Comcast from making certain acquisitions, taking certain other specified actions or otherwise pursuing business opportunities during the pendency of the merger (see “The Merger Agreement—Conduct of Business Pending the Merger” beginning on page [—] of this joint proxy statement/prospectus for a description of the restrictive covenants applicable to TWC and Comcast); and</w:t>
      </w:r>
    </w:p>
    <w:p>
      <w:pPr>
        <w:spacing w:after="0" w:line="70" w:lineRule="exact"/>
        <w:rPr>
          <w:sz w:val="20"/>
          <w:szCs w:val="20"/>
          <w:color w:val="auto"/>
        </w:rPr>
      </w:pPr>
    </w:p>
    <w:p>
      <w:pPr>
        <w:ind w:left="900" w:right="140" w:hanging="445"/>
        <w:spacing w:after="0" w:line="258"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77"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If the merger is not completed, the risks described above may materialize and they may adversely affect Comcast’s and TWC’s businesses, financial condition, financial results and stock prices.</w:t>
      </w:r>
    </w:p>
    <w:p>
      <w:pPr>
        <w:spacing w:after="0" w:line="166"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255"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b w:val="1"/>
          <w:bCs w:val="1"/>
          <w:color w:val="auto"/>
        </w:rPr>
        <w:t>The Comcast Class A common stock to be received by TWC stockholders upon completion of the merger will have different rights from shares of TWC common stock.</w:t>
      </w:r>
    </w:p>
    <w:p>
      <w:pPr>
        <w:spacing w:after="0" w:line="61"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 of this joint proxy statement/prospectus for a discussion of the different rights associated with Comcast Class A common stock.</w:t>
      </w:r>
    </w:p>
    <w:p>
      <w:pPr>
        <w:spacing w:after="0" w:line="278"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b w:val="1"/>
          <w:bCs w:val="1"/>
          <w:color w:val="auto"/>
        </w:rPr>
        <w:t>After the merger, TWC stockholders will have a significantly lower ownership and voting interest in Comcast than they currently have in TWC and will exercise less influence over management.</w:t>
      </w:r>
    </w:p>
    <w:p>
      <w:pPr>
        <w:spacing w:after="0" w:line="61"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68"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Lawsuits have been filed and other lawsuits may be filed against TWC and Comcast challenging the merger. An adverse ruling in any such lawsuit may prevent the merger from being completed.</w:t>
      </w:r>
    </w:p>
    <w:p>
      <w:pPr>
        <w:spacing w:after="0" w:line="61"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 xml:space="preserve">Following the announcement of the merger, eight putative class action complaints challenging the merger have been filed on behalf of purported TWC stockholders, seven in the Supreme Court of the State of New York, County of New York and one in the Court of Chancery of the State of Delaware. These complaints are captioned: </w:t>
      </w:r>
      <w:r>
        <w:rPr>
          <w:rFonts w:ascii="Arial" w:cs="Arial" w:eastAsia="Arial" w:hAnsi="Arial"/>
          <w:sz w:val="17"/>
          <w:szCs w:val="17"/>
          <w:i w:val="1"/>
          <w:iCs w:val="1"/>
          <w:color w:val="auto"/>
        </w:rPr>
        <w:t>Barrett</w:t>
      </w:r>
      <w:r>
        <w:rPr>
          <w:rFonts w:ascii="Arial" w:cs="Arial" w:eastAsia="Arial" w:hAnsi="Arial"/>
          <w:sz w:val="17"/>
          <w:szCs w:val="17"/>
          <w:color w:val="auto"/>
        </w:rPr>
        <w:t xml:space="preserve"> v. </w:t>
      </w:r>
      <w:r>
        <w:rPr>
          <w:rFonts w:ascii="Arial" w:cs="Arial" w:eastAsia="Arial" w:hAnsi="Arial"/>
          <w:sz w:val="17"/>
          <w:szCs w:val="17"/>
          <w:i w:val="1"/>
          <w:iCs w:val="1"/>
          <w:color w:val="auto"/>
        </w:rPr>
        <w:t>Time Warner Cable Inc. et. al.</w:t>
      </w:r>
      <w:r>
        <w:rPr>
          <w:rFonts w:ascii="Arial" w:cs="Arial" w:eastAsia="Arial" w:hAnsi="Arial"/>
          <w:sz w:val="17"/>
          <w:szCs w:val="17"/>
          <w:color w:val="auto"/>
        </w:rPr>
        <w:t xml:space="preserve">, Index No. 650507/2014 (N.Y. Sup. Ct.); </w:t>
      </w:r>
      <w:r>
        <w:rPr>
          <w:rFonts w:ascii="Arial" w:cs="Arial" w:eastAsia="Arial" w:hAnsi="Arial"/>
          <w:sz w:val="17"/>
          <w:szCs w:val="17"/>
          <w:i w:val="1"/>
          <w:iCs w:val="1"/>
          <w:color w:val="auto"/>
        </w:rPr>
        <w:t>Karl Graulich IRA</w:t>
      </w:r>
      <w:r>
        <w:rPr>
          <w:rFonts w:ascii="Arial" w:cs="Arial" w:eastAsia="Arial" w:hAnsi="Arial"/>
          <w:sz w:val="17"/>
          <w:szCs w:val="17"/>
          <w:color w:val="auto"/>
        </w:rPr>
        <w:t xml:space="preserve"> v. </w:t>
      </w:r>
      <w:r>
        <w:rPr>
          <w:rFonts w:ascii="Arial" w:cs="Arial" w:eastAsia="Arial" w:hAnsi="Arial"/>
          <w:sz w:val="17"/>
          <w:szCs w:val="17"/>
          <w:i w:val="1"/>
          <w:iCs w:val="1"/>
          <w:color w:val="auto"/>
        </w:rPr>
        <w:t>Marcus et. al.</w:t>
      </w:r>
      <w:r>
        <w:rPr>
          <w:rFonts w:ascii="Arial" w:cs="Arial" w:eastAsia="Arial" w:hAnsi="Arial"/>
          <w:sz w:val="17"/>
          <w:szCs w:val="17"/>
          <w:color w:val="auto"/>
        </w:rPr>
        <w:t xml:space="preserve">, Index. No. 650520/2014 (N.Y. Sup. Ct.); </w:t>
      </w:r>
      <w:r>
        <w:rPr>
          <w:rFonts w:ascii="Arial" w:cs="Arial" w:eastAsia="Arial" w:hAnsi="Arial"/>
          <w:sz w:val="17"/>
          <w:szCs w:val="17"/>
          <w:i w:val="1"/>
          <w:iCs w:val="1"/>
          <w:color w:val="auto"/>
        </w:rPr>
        <w:t>Wedeking</w:t>
      </w:r>
      <w:r>
        <w:rPr>
          <w:rFonts w:ascii="Arial" w:cs="Arial" w:eastAsia="Arial" w:hAnsi="Arial"/>
          <w:sz w:val="17"/>
          <w:szCs w:val="17"/>
          <w:color w:val="auto"/>
        </w:rPr>
        <w:t xml:space="preserve"> v. </w:t>
      </w:r>
      <w:r>
        <w:rPr>
          <w:rFonts w:ascii="Arial" w:cs="Arial" w:eastAsia="Arial" w:hAnsi="Arial"/>
          <w:sz w:val="17"/>
          <w:szCs w:val="17"/>
          <w:i w:val="1"/>
          <w:iCs w:val="1"/>
          <w:color w:val="auto"/>
        </w:rPr>
        <w:t>Time Warner Cable et. al.</w:t>
      </w:r>
      <w:r>
        <w:rPr>
          <w:rFonts w:ascii="Arial" w:cs="Arial" w:eastAsia="Arial" w:hAnsi="Arial"/>
          <w:sz w:val="17"/>
          <w:szCs w:val="17"/>
          <w:color w:val="auto"/>
        </w:rPr>
        <w:t>, Index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39"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No. 650515/2014 (N.Y. Sup. Ct.); </w:t>
      </w:r>
      <w:r>
        <w:rPr>
          <w:rFonts w:ascii="Arial" w:cs="Arial" w:eastAsia="Arial" w:hAnsi="Arial"/>
          <w:sz w:val="16"/>
          <w:szCs w:val="16"/>
          <w:i w:val="1"/>
          <w:iCs w:val="1"/>
          <w:color w:val="auto"/>
        </w:rPr>
        <w:t>Lassoff</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 et. al.</w:t>
      </w:r>
      <w:r>
        <w:rPr>
          <w:rFonts w:ascii="Arial" w:cs="Arial" w:eastAsia="Arial" w:hAnsi="Arial"/>
          <w:sz w:val="16"/>
          <w:szCs w:val="16"/>
          <w:color w:val="auto"/>
        </w:rPr>
        <w:t xml:space="preserve">, Index. 650586/2014 (N.Y. Sup. Ct.); </w:t>
      </w:r>
      <w:r>
        <w:rPr>
          <w:rFonts w:ascii="Arial" w:cs="Arial" w:eastAsia="Arial" w:hAnsi="Arial"/>
          <w:sz w:val="16"/>
          <w:szCs w:val="16"/>
          <w:i w:val="1"/>
          <w:iCs w:val="1"/>
          <w:color w:val="auto"/>
        </w:rPr>
        <w:t>Thomas</w:t>
      </w:r>
      <w:r>
        <w:rPr>
          <w:rFonts w:ascii="Arial" w:cs="Arial" w:eastAsia="Arial" w:hAnsi="Arial"/>
          <w:sz w:val="16"/>
          <w:szCs w:val="16"/>
          <w:color w:val="auto"/>
        </w:rPr>
        <w:t xml:space="preserve"> v. </w:t>
      </w:r>
      <w:r>
        <w:rPr>
          <w:rFonts w:ascii="Arial" w:cs="Arial" w:eastAsia="Arial" w:hAnsi="Arial"/>
          <w:sz w:val="16"/>
          <w:szCs w:val="16"/>
          <w:i w:val="1"/>
          <w:iCs w:val="1"/>
          <w:color w:val="auto"/>
        </w:rPr>
        <w:t>Marcus, et al.</w:t>
      </w:r>
      <w:r>
        <w:rPr>
          <w:rFonts w:ascii="Arial" w:cs="Arial" w:eastAsia="Arial" w:hAnsi="Arial"/>
          <w:sz w:val="16"/>
          <w:szCs w:val="16"/>
          <w:color w:val="auto"/>
        </w:rPr>
        <w:t xml:space="preserve">, Index No. 650620/2014 (N.Y. Sup. Ct.); </w:t>
      </w:r>
      <w:r>
        <w:rPr>
          <w:rFonts w:ascii="Arial" w:cs="Arial" w:eastAsia="Arial" w:hAnsi="Arial"/>
          <w:sz w:val="16"/>
          <w:szCs w:val="16"/>
          <w:i w:val="1"/>
          <w:iCs w:val="1"/>
          <w:color w:val="auto"/>
        </w:rPr>
        <w:t>Tangarone</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w:t>
      </w:r>
      <w:r>
        <w:rPr>
          <w:rFonts w:ascii="Arial" w:cs="Arial" w:eastAsia="Arial" w:hAnsi="Arial"/>
          <w:sz w:val="16"/>
          <w:szCs w:val="16"/>
          <w:color w:val="auto"/>
        </w:rPr>
        <w:t xml:space="preserve">, Index No. 650666/2014 (N.Y. Sup. Ct.); </w:t>
      </w:r>
      <w:r>
        <w:rPr>
          <w:rFonts w:ascii="Arial" w:cs="Arial" w:eastAsia="Arial" w:hAnsi="Arial"/>
          <w:sz w:val="16"/>
          <w:szCs w:val="16"/>
          <w:i w:val="1"/>
          <w:iCs w:val="1"/>
          <w:color w:val="auto"/>
        </w:rPr>
        <w:t>Louisiana Municipal Police Employees’ Retirement System</w:t>
      </w:r>
      <w:r>
        <w:rPr>
          <w:rFonts w:ascii="Arial" w:cs="Arial" w:eastAsia="Arial" w:hAnsi="Arial"/>
          <w:sz w:val="16"/>
          <w:szCs w:val="16"/>
          <w:color w:val="auto"/>
        </w:rPr>
        <w:t xml:space="preserve"> v. </w:t>
      </w:r>
      <w:r>
        <w:rPr>
          <w:rFonts w:ascii="Arial" w:cs="Arial" w:eastAsia="Arial" w:hAnsi="Arial"/>
          <w:sz w:val="16"/>
          <w:szCs w:val="16"/>
          <w:i w:val="1"/>
          <w:iCs w:val="1"/>
          <w:color w:val="auto"/>
        </w:rPr>
        <w:t>Black</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Case No. 9410-VCN (Del. Ch.); and </w:t>
      </w:r>
      <w:r>
        <w:rPr>
          <w:rFonts w:ascii="Arial" w:cs="Arial" w:eastAsia="Arial" w:hAnsi="Arial"/>
          <w:sz w:val="16"/>
          <w:szCs w:val="16"/>
          <w:i w:val="1"/>
          <w:iCs w:val="1"/>
          <w:color w:val="auto"/>
        </w:rPr>
        <w:t>Empire State Supply Corp. v. Time Warner Cable Inc. et al.</w:t>
      </w:r>
      <w:r>
        <w:rPr>
          <w:rFonts w:ascii="Arial" w:cs="Arial" w:eastAsia="Arial" w:hAnsi="Arial"/>
          <w:sz w:val="16"/>
          <w:szCs w:val="16"/>
          <w:color w:val="auto"/>
        </w:rPr>
        <w:t>, Index No. 650708/2014 (N.Y. Sup. Ct.). These complaints name as defendants TWC, the members of the TWC board of directors, Comcast and Merger 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seek, among other relief, declaratory and injunctive relief enjoining the merger, and compensatory damages in an unspecified amount.</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See “TWC Proposal I: Adoption of the Merger Agreement and Comcast Proposal I: Approval of the Stock Issuance—Litigation Relating to the Merger” beginning on page [—] of this joint proxy statement/prospectus for more information about the lawsuits related to the merger that have been filed prior to the date of this joint proxy statement/prospectus.</w:t>
      </w:r>
    </w:p>
    <w:p>
      <w:pPr>
        <w:spacing w:after="0" w:line="17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defendants believe that the claims asserted against them in the lawsuits are without merit and intend to defend the litigation vigorously.</w:t>
      </w:r>
    </w:p>
    <w:p>
      <w:pPr>
        <w:spacing w:after="0" w:line="305"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3"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53" w:lineRule="exact"/>
        <w:rPr>
          <w:sz w:val="20"/>
          <w:szCs w:val="20"/>
          <w:color w:val="auto"/>
        </w:rPr>
      </w:pPr>
    </w:p>
    <w:p>
      <w:pPr>
        <w:ind w:right="260" w:firstLine="457"/>
        <w:spacing w:after="0" w:line="302" w:lineRule="auto"/>
        <w:rPr>
          <w:sz w:val="20"/>
          <w:szCs w:val="20"/>
          <w:color w:val="auto"/>
        </w:rPr>
      </w:pPr>
      <w:r>
        <w:rPr>
          <w:rFonts w:ascii="Arial" w:cs="Arial" w:eastAsia="Arial" w:hAnsi="Arial"/>
          <w:sz w:val="16"/>
          <w:szCs w:val="16"/>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2"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will incur significant transaction and merger-related costs in connection with the merger.</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Comcast expects to incur a number of non-recurring costs associated with the merger and combining the operations of the two companies. The substantial majority of non-recurring expenses will be comprised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39"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transaction costs related to the merger. Comcast also will incur transaction fees and costs related to formulating and implementing integration plans, including facilities and systems consolidation costs and employment-related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 efficiencies related to the integration of the businesses, should allow Comcast to offset integration-related costs over time, this net benefit may not be achieved in the near term, or at all.</w:t>
      </w:r>
    </w:p>
    <w:p>
      <w:pPr>
        <w:spacing w:after="0" w:line="277"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b w:val="1"/>
          <w:bCs w:val="1"/>
          <w:color w:val="auto"/>
        </w:rPr>
        <w:t>The merger may not be accretive, and may be dilutive, to Comcast’s earnings per share, which may negatively affect the market price of Comcast Class A common stock.</w:t>
      </w:r>
    </w:p>
    <w:p>
      <w:pPr>
        <w:spacing w:after="0" w:line="61"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and TWC Unaudited Pro Forma Condensed Combined Financial Statements—Unaudited Pro Forma Condensed Combined Statement of Income For the Year Ended December 31, 2013” beginning on page [—] of this joint proxy statement/prospectus, Comcast expects that the merger will initially be dilutive to its earnings per share, which may negatively affect the market price of shares of Comcast Class A common stock.</w:t>
      </w:r>
    </w:p>
    <w:p>
      <w:pPr>
        <w:spacing w:after="0" w:line="180"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In connection with the completion of the merger, Comcast expects to issue approximately [—] shares of Comcast Class A common stock. The issuance of these new shares of Comcast Class A common stock could have the effect of depressing the market price of shares of Comcast Class A common stock.</w:t>
      </w:r>
    </w:p>
    <w:p>
      <w:pPr>
        <w:spacing w:after="0" w:line="142"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 authorization and ultimately complete the additional share buybacks, there is no guarantee that the Comcast board of directors will authorize, or that Comcast will complete, such actions. The timing and amount of any share buyback activity following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172" w:lineRule="exact"/>
        <w:rPr>
          <w:sz w:val="20"/>
          <w:szCs w:val="20"/>
          <w:color w:val="auto"/>
        </w:rPr>
      </w:pPr>
    </w:p>
    <w:p>
      <w:pPr>
        <w:ind w:right="220" w:firstLine="457"/>
        <w:spacing w:after="0" w:line="309" w:lineRule="auto"/>
        <w:rPr>
          <w:sz w:val="20"/>
          <w:szCs w:val="20"/>
          <w:color w:val="auto"/>
        </w:rPr>
      </w:pPr>
      <w:r>
        <w:rPr>
          <w:rFonts w:ascii="Arial" w:cs="Arial" w:eastAsia="Arial" w:hAnsi="Arial"/>
          <w:sz w:val="15"/>
          <w:szCs w:val="15"/>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238"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b w:val="1"/>
          <w:bCs w:val="1"/>
          <w:color w:val="auto"/>
        </w:rPr>
        <w:t>The Comcast and TWC unaudited pro forma condensed combined financial statements included in this joint proxy statement/prospectus is preliminary and the actual financial condition and results of operations after the merger may differ materially.</w:t>
      </w:r>
    </w:p>
    <w:p>
      <w:pPr>
        <w:spacing w:after="0" w:line="61"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The Comcast and TWC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and TWC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39"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and TWC Unaudited Pro Forma Condensed Combined Financial Statements”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Comcast and TWC.</w:t>
      </w:r>
    </w:p>
    <w:p>
      <w:pPr>
        <w:spacing w:after="0" w:line="111"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 of this joint proxy statement/prospectus.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439" w:right="2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2"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 of this joint proxy statement/prospectus and in other reports that Comcast and TWC file with the SEC.</w:t>
      </w:r>
    </w:p>
    <w:p>
      <w:pPr>
        <w:spacing w:after="0" w:line="171" w:lineRule="exact"/>
        <w:rPr>
          <w:sz w:val="20"/>
          <w:szCs w:val="20"/>
          <w:color w:val="auto"/>
        </w:rPr>
      </w:pPr>
    </w:p>
    <w:p>
      <w:pPr>
        <w:ind w:right="140" w:firstLine="457"/>
        <w:spacing w:after="0" w:line="252" w:lineRule="auto"/>
        <w:rPr>
          <w:sz w:val="20"/>
          <w:szCs w:val="20"/>
          <w:color w:val="auto"/>
        </w:rPr>
      </w:pPr>
      <w:r>
        <w:rPr>
          <w:rFonts w:ascii="Arial" w:cs="Arial" w:eastAsia="Arial" w:hAnsi="Arial"/>
          <w:sz w:val="17"/>
          <w:szCs w:val="17"/>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81"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Both Comcast’s and TWC’s businesses, and any anticipated benefits of the merger to Comcast shareholders and TWC stockholders, may be affected by, among other things:</w:t>
      </w:r>
    </w:p>
    <w:p>
      <w:pPr>
        <w:spacing w:after="0" w:line="77" w:lineRule="exact"/>
        <w:rPr>
          <w:sz w:val="20"/>
          <w:szCs w:val="20"/>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timing to complete the merger;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failure to receive necessary shareholder approvals;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risk that a condition to completion of the merger may not be satisfied;</w:t>
      </w:r>
    </w:p>
    <w:p>
      <w:pPr>
        <w:spacing w:after="0" w:line="119" w:lineRule="exact"/>
        <w:rPr>
          <w:rFonts w:ascii="Arial" w:cs="Arial" w:eastAsia="Arial" w:hAnsi="Arial"/>
          <w:sz w:val="17"/>
          <w:szCs w:val="17"/>
          <w:color w:val="auto"/>
        </w:rPr>
      </w:pPr>
    </w:p>
    <w:p>
      <w:pPr>
        <w:ind w:left="900" w:right="260" w:hanging="445"/>
        <w:spacing w:after="0" w:line="270"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risk that a regulatory or other approval that may be required for the merger is delayed, is not obtained or is obtained subject to conditions that are not anticipated or that may be burdensome;</w:t>
      </w:r>
    </w:p>
    <w:p>
      <w:pPr>
        <w:spacing w:after="0" w:line="77" w:lineRule="exact"/>
        <w:rPr>
          <w:rFonts w:ascii="Arial" w:cs="Arial" w:eastAsia="Arial" w:hAnsi="Arial"/>
          <w:sz w:val="17"/>
          <w:szCs w:val="17"/>
          <w:color w:val="auto"/>
        </w:rPr>
      </w:pPr>
    </w:p>
    <w:p>
      <w:pPr>
        <w:ind w:left="900" w:right="480" w:hanging="445"/>
        <w:spacing w:after="0" w:line="270"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anticipated benefits of the merger to Comcast and Comcast’s ability to achieve the synergies and value creation projected to be realized following completion of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Comcast’s ability to promptly and effectively integrate TWC’s businesses;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changes in Comcast’s plans to make certain potential divestitures in connection with the merger and complete potential share repurchases;</w:t>
      </w:r>
    </w:p>
    <w:p>
      <w:pPr>
        <w:spacing w:after="0" w:line="119" w:lineRule="exact"/>
        <w:rPr>
          <w:rFonts w:ascii="Arial" w:cs="Arial" w:eastAsia="Arial" w:hAnsi="Arial"/>
          <w:sz w:val="17"/>
          <w:szCs w:val="17"/>
          <w:color w:val="auto"/>
        </w:rPr>
      </w:pPr>
    </w:p>
    <w:p>
      <w:pPr>
        <w:ind w:left="900" w:right="120" w:hanging="445"/>
        <w:spacing w:after="0" w:line="270"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diversion of management and workforce time on merger-related issues, including activities of labor unions and the integration of TWC employees into Comcast;</w:t>
      </w:r>
    </w:p>
    <w:p>
      <w:pPr>
        <w:spacing w:after="0" w:line="77" w:lineRule="exact"/>
        <w:rPr>
          <w:rFonts w:ascii="Arial" w:cs="Arial" w:eastAsia="Arial" w:hAnsi="Arial"/>
          <w:sz w:val="17"/>
          <w:szCs w:val="17"/>
          <w:color w:val="auto"/>
        </w:rPr>
      </w:pPr>
    </w:p>
    <w:p>
      <w:pPr>
        <w:ind w:left="900" w:right="100" w:hanging="445"/>
        <w:spacing w:after="0" w:line="270"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changes in Comcast’s or TWC’s businesses, future cash requirements, capital requirements, results of operations, revenues, financial condition and/or cash flows;</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changes in acquisition-related transaction costs, the amount of fees paid to financial advisors and the potential payments to TWC’s named executive officers in connection with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operating costs and business disruption that may be greater than expected;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ability to retain and hire key personnel and maintain relationships with providers or other business partners pending completion of the merger; and</w:t>
      </w:r>
    </w:p>
    <w:p>
      <w:pPr>
        <w:spacing w:after="0" w:line="142" w:lineRule="exact"/>
        <w:rPr>
          <w:rFonts w:ascii="Arial" w:cs="Arial" w:eastAsia="Arial" w:hAnsi="Arial"/>
          <w:sz w:val="15"/>
          <w:szCs w:val="15"/>
          <w:color w:val="auto"/>
        </w:rPr>
      </w:pPr>
    </w:p>
    <w:p>
      <w:pPr>
        <w:ind w:left="900" w:hanging="44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effects of competition.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39"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COMPANIES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111"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88" w:lineRule="exact"/>
        <w:rPr>
          <w:sz w:val="20"/>
          <w:szCs w:val="20"/>
          <w:color w:val="auto"/>
        </w:rPr>
      </w:pPr>
    </w:p>
    <w:p>
      <w:pPr>
        <w:ind w:left="900" w:right="480" w:hanging="445"/>
        <w:spacing w:after="0" w:line="307"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 voice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residential customers under the XFINITY brand and also provides similar services to businesses and sells advertising.</w:t>
      </w:r>
    </w:p>
    <w:p>
      <w:pPr>
        <w:spacing w:after="0" w:line="46" w:lineRule="exact"/>
        <w:rPr>
          <w:rFonts w:ascii="Arial" w:cs="Arial" w:eastAsia="Arial" w:hAnsi="Arial"/>
          <w:sz w:val="16"/>
          <w:szCs w:val="16"/>
          <w:color w:val="auto"/>
        </w:rPr>
      </w:pPr>
    </w:p>
    <w:p>
      <w:pPr>
        <w:ind w:left="900" w:right="120" w:hanging="445"/>
        <w:spacing w:after="0" w:line="275"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Consists primarily of Comcast’s national cable networks, its regional sports and news networks, its international cable networks,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cable television production operations.</w:t>
      </w:r>
    </w:p>
    <w:p>
      <w:pPr>
        <w:spacing w:after="0" w:line="69" w:lineRule="exact"/>
        <w:rPr>
          <w:rFonts w:ascii="Arial" w:cs="Arial" w:eastAsia="Arial" w:hAnsi="Arial"/>
          <w:sz w:val="17"/>
          <w:szCs w:val="17"/>
          <w:color w:val="auto"/>
        </w:rPr>
      </w:pPr>
    </w:p>
    <w:p>
      <w:pPr>
        <w:ind w:left="900" w:right="220" w:hanging="445"/>
        <w:spacing w:after="0" w:line="275"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Broadcast Television</w:t>
      </w:r>
      <w:r>
        <w:rPr>
          <w:rFonts w:ascii="Arial" w:cs="Arial" w:eastAsia="Arial" w:hAnsi="Arial"/>
          <w:sz w:val="17"/>
          <w:szCs w:val="17"/>
          <w:color w:val="auto"/>
        </w:rPr>
        <w:t>: Consists primarily of the NBC and Telemundo broadcast networks, Comcast’s 10 NBC and 17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and Comcast’s broadcast television production operations.</w:t>
      </w:r>
    </w:p>
    <w:p>
      <w:pPr>
        <w:spacing w:after="0" w:line="69" w:lineRule="exact"/>
        <w:rPr>
          <w:rFonts w:ascii="Arial" w:cs="Arial" w:eastAsia="Arial" w:hAnsi="Arial"/>
          <w:sz w:val="17"/>
          <w:szCs w:val="17"/>
          <w:color w:val="auto"/>
        </w:rPr>
      </w:pPr>
    </w:p>
    <w:p>
      <w:pPr>
        <w:ind w:left="900" w:right="560" w:hanging="445"/>
        <w:spacing w:after="0" w:line="275"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Filmed Entertainment</w:t>
      </w:r>
      <w:r>
        <w:rPr>
          <w:rFonts w:ascii="Arial" w:cs="Arial" w:eastAsia="Arial" w:hAnsi="Arial"/>
          <w:sz w:val="17"/>
          <w:szCs w:val="17"/>
          <w:color w:val="auto"/>
        </w:rPr>
        <w:t>: Consists primarily of the studio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w:t>
      </w:r>
    </w:p>
    <w:p>
      <w:pPr>
        <w:spacing w:after="0" w:line="69" w:lineRule="exact"/>
        <w:rPr>
          <w:rFonts w:ascii="Arial" w:cs="Arial" w:eastAsia="Arial" w:hAnsi="Arial"/>
          <w:sz w:val="17"/>
          <w:szCs w:val="17"/>
          <w:color w:val="auto"/>
        </w:rPr>
      </w:pPr>
    </w:p>
    <w:p>
      <w:pPr>
        <w:ind w:left="900" w:hanging="445"/>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Theme Parks</w:t>
      </w:r>
      <w:r>
        <w:rPr>
          <w:rFonts w:ascii="Arial" w:cs="Arial" w:eastAsia="Arial" w:hAnsi="Arial"/>
          <w:sz w:val="17"/>
          <w:szCs w:val="17"/>
          <w:color w:val="auto"/>
        </w:rPr>
        <w:t>: Consists primarily of Comcast’s Universal theme parks in Orlando and Hollywood.</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0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In 2013, Comcast’s Cable Communications segment generated 65% of Comcast’s consolidated revenue and 80% of its operating income before depreciation and amortization.</w:t>
      </w:r>
    </w:p>
    <w:p>
      <w:pPr>
        <w:spacing w:after="0" w:line="16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Comcast’s other business interests primarily include Comcast-Spectacor, which owns the Philadelphia Flyers and the Wells Fargo Center arena in Philadelphia and operates arena management-related businesses.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Warner Cable Inc.</w:t>
      </w:r>
    </w:p>
    <w:p>
      <w:pPr>
        <w:spacing w:after="0" w:line="111"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December 31, 2013, TWC served approximately 14.4 million residential customers and 624,000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53"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Time Warner Cable Inc. was incorporated as a Delaware corporation on March 21, 2003, and TWC and its predecessors have been in the cable business for over 40 years in various legal forms.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39" w:right="2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MEETING OF SHAREHOLDERS OF COMCAST</w:t>
      </w:r>
    </w:p>
    <w:p>
      <w:pPr>
        <w:spacing w:after="0" w:line="20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Location</w:t>
      </w:r>
    </w:p>
    <w:p>
      <w:pPr>
        <w:spacing w:after="0" w:line="11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 2014, at [—] located at [—], at [—] AM, local time, and any adjournments or postponements of the Comcast special meeting.</w:t>
      </w:r>
    </w:p>
    <w:p>
      <w:pPr>
        <w:spacing w:after="0" w:line="177" w:lineRule="exact"/>
        <w:rPr>
          <w:sz w:val="20"/>
          <w:szCs w:val="20"/>
          <w:color w:val="auto"/>
        </w:rPr>
      </w:pPr>
    </w:p>
    <w:p>
      <w:pPr>
        <w:ind w:firstLine="457"/>
        <w:spacing w:after="0" w:line="302" w:lineRule="auto"/>
        <w:rPr>
          <w:sz w:val="20"/>
          <w:szCs w:val="20"/>
          <w:color w:val="auto"/>
        </w:rPr>
      </w:pPr>
      <w:r>
        <w:rPr>
          <w:rFonts w:ascii="Arial" w:cs="Arial" w:eastAsia="Arial" w:hAnsi="Arial"/>
          <w:sz w:val="16"/>
          <w:szCs w:val="16"/>
          <w:color w:val="auto"/>
        </w:rPr>
        <w:t>Only shareholders or their proxy holders may attend the Comcast special meeting. If you hold shares in your name at the record date (the close of business on [—], 2014), please be prepared to provide proper identification, such as a driver’s license, to gain admission to the Comcast special meeting.</w:t>
      </w:r>
    </w:p>
    <w:p>
      <w:pPr>
        <w:spacing w:after="0" w:line="142"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If you are a beneficial owner of Comcast common shares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Comcast special meeting, Comcast shareholders will be asked to consider and vote on the following proposals:</w:t>
      </w:r>
    </w:p>
    <w:p>
      <w:pPr>
        <w:spacing w:after="0" w:line="120" w:lineRule="exact"/>
        <w:rPr>
          <w:sz w:val="20"/>
          <w:szCs w:val="20"/>
          <w:color w:val="auto"/>
        </w:rPr>
      </w:pPr>
    </w:p>
    <w:p>
      <w:pPr>
        <w:ind w:left="900" w:hanging="445"/>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900" w:right="300" w:hanging="445"/>
        <w:spacing w:after="0" w:line="270"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special meeting.</w:t>
      </w:r>
    </w:p>
    <w:p>
      <w:pPr>
        <w:spacing w:after="0" w:line="166"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Comcast Board of Directors</w:t>
      </w:r>
    </w:p>
    <w:p>
      <w:pPr>
        <w:spacing w:after="0" w:line="11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39"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meeting if necessary to solicit additional proxies if there are not sufficient votes to approve the stock issuance at the time of the Comcast special meeting. See “TWC Proposal I: Adoption of the Merger Agreement and Comcast Proposal I: Approval of the Stock Issuance—Comcast’s Reasons for the Merger; Recommendation of the Comcast Board of Directors” beginning on page [—] of this joint proxy statement/prospectus for a more detailed discussion of the recommendation of the Comcast board of directors that Comcast shareholders approve the stock issuance.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Record Date; Outstanding Shares; Shareholders Entitled to Vote</w:t>
      </w:r>
    </w:p>
    <w:p>
      <w:pPr>
        <w:spacing w:after="0" w:line="11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The Comcast board of directors has fixed the close of business on [—],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 2014, there were [—] shares of Comcast Class A common shares outstanding and entitled to vote at the Comcast special meeting, held by approximately [—] holders of record. As of the close of business on [—],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71" w:lineRule="exact"/>
        <w:rPr>
          <w:sz w:val="20"/>
          <w:szCs w:val="20"/>
          <w:color w:val="auto"/>
        </w:rPr>
      </w:pPr>
    </w:p>
    <w:p>
      <w:pPr>
        <w:jc w:val="both"/>
        <w:ind w:right="180" w:firstLine="457"/>
        <w:spacing w:after="0" w:line="28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111" w:lineRule="exact"/>
        <w:rPr>
          <w:sz w:val="20"/>
          <w:szCs w:val="20"/>
          <w:color w:val="auto"/>
        </w:rPr>
      </w:pPr>
    </w:p>
    <w:p>
      <w:pPr>
        <w:ind w:right="240" w:firstLine="457"/>
        <w:spacing w:after="0" w:line="295" w:lineRule="auto"/>
        <w:rPr>
          <w:sz w:val="20"/>
          <w:szCs w:val="20"/>
          <w:color w:val="auto"/>
        </w:rPr>
      </w:pPr>
      <w:r>
        <w:rPr>
          <w:rFonts w:ascii="Arial" w:cs="Arial" w:eastAsia="Arial" w:hAnsi="Arial"/>
          <w:sz w:val="15"/>
          <w:szCs w:val="15"/>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 votes per share and each holder of Comcast Class B common stock is entitled to 15 votes per share. Holders of Comcast Class A Special common stock are not entitled to vote at the meeting.</w:t>
      </w:r>
    </w:p>
    <w:p>
      <w:pPr>
        <w:spacing w:after="0" w:line="151" w:lineRule="exact"/>
        <w:rPr>
          <w:sz w:val="20"/>
          <w:szCs w:val="20"/>
          <w:color w:val="auto"/>
        </w:rPr>
      </w:pPr>
    </w:p>
    <w:p>
      <w:pPr>
        <w:ind w:right="80" w:firstLine="457"/>
        <w:spacing w:after="0" w:line="338" w:lineRule="auto"/>
        <w:rPr>
          <w:sz w:val="20"/>
          <w:szCs w:val="20"/>
          <w:color w:val="auto"/>
        </w:rPr>
      </w:pPr>
      <w:r>
        <w:rPr>
          <w:rFonts w:ascii="Arial" w:cs="Arial" w:eastAsia="Arial" w:hAnsi="Arial"/>
          <w:sz w:val="15"/>
          <w:szCs w:val="15"/>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39"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impede the consummation of the merger. As of the record date, these shares represent an aggregate of approximately [0.02]% of the outstanding shares of Comcast</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Class A common stock and 100% of the outstanding shares of Comcast Class B common stock, which together represent approximately [33.35]% of the combined voting power of Comcast Class A common stock and Comcast Class B common stock for purposes of the single class vote. The voting agreement may be terminated under certain circumstances.</w:t>
      </w:r>
    </w:p>
    <w:p>
      <w:pPr>
        <w:spacing w:after="0" w:line="182"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159"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 respect to the</w:t>
      </w:r>
      <w:r>
        <w:rPr>
          <w:rFonts w:ascii="Arial" w:cs="Arial" w:eastAsia="Arial" w:hAnsi="Arial"/>
          <w:sz w:val="16"/>
          <w:szCs w:val="16"/>
          <w:color w:val="auto"/>
        </w:rPr>
        <w:t xml:space="preserve"> </w:t>
      </w:r>
      <w:r>
        <w:rPr>
          <w:rFonts w:ascii="Arial" w:cs="Arial" w:eastAsia="Arial" w:hAnsi="Arial"/>
          <w:sz w:val="16"/>
          <w:szCs w:val="16"/>
          <w:b w:val="1"/>
          <w:bCs w:val="1"/>
          <w:color w:val="auto"/>
        </w:rPr>
        <w:t>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68" w:lineRule="exact"/>
        <w:rPr>
          <w:sz w:val="20"/>
          <w:szCs w:val="20"/>
          <w:color w:val="auto"/>
        </w:rPr>
      </w:pPr>
    </w:p>
    <w:p>
      <w:pPr>
        <w:ind w:right="180" w:firstLine="457"/>
        <w:spacing w:after="0" w:line="252"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of and Voting by Comcast Directors and Executive Officers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At the record date for the Comcast special meeting (the close of business on [—], 2014), Comcast’s directors and executive officers and their affiliates beneficially owned and had the right to vote [—] shares of Comcast common stock at the Comcast special meeting, which represents approximately [—]% of the shares of Comcast common stock entitled to vote at the Comcast special meeting.</w:t>
      </w:r>
    </w:p>
    <w:p>
      <w:pPr>
        <w:spacing w:after="0" w:line="17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[0.02]% of the outstanding shares of Comcast Class A common stock and 100% of the outstanding shares of Comcast Class B common stock, which together represent approximately [33.35]% of the combined voting power of Comcast Class A common stock and Comcast Class B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Via the Internet or by Telephone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hold Comcast shares directly in your name as a shareholder of record, you may vote via the Internet at www.proxyvote.com or by telephone by calling</w:t>
      </w:r>
    </w:p>
    <w:p>
      <w:pPr>
        <w:spacing w:after="0" w:line="41" w:lineRule="exact"/>
        <w:rPr>
          <w:sz w:val="20"/>
          <w:szCs w:val="20"/>
          <w:color w:val="auto"/>
        </w:rPr>
      </w:pPr>
    </w:p>
    <w:p>
      <w:pPr>
        <w:ind w:left="5620" w:right="2340" w:hanging="5619"/>
        <w:spacing w:after="0" w:line="467" w:lineRule="auto"/>
        <w:tabs>
          <w:tab w:leader="none" w:pos="39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690-6903 toll-free. Votes submitted via the Internet or by telephone must be received by 11:59 PM (Eastern Time) on [—], 2014. 64</w:t>
      </w:r>
    </w:p>
    <w:p>
      <w:pPr>
        <w:sectPr>
          <w:pgSz w:w="11900" w:h="16838" w:orient="portrait"/>
          <w:cols w:equalWidth="0" w:num="1">
            <w:col w:w="11420"/>
          </w:cols>
          <w:pgMar w:left="240" w:top="439"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If you hold Comcast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By Mail</w:t>
      </w:r>
    </w:p>
    <w:p>
      <w:pPr>
        <w:spacing w:after="0" w:line="107"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159" w:lineRule="exact"/>
        <w:rPr>
          <w:sz w:val="20"/>
          <w:szCs w:val="20"/>
          <w:color w:val="auto"/>
        </w:rPr>
      </w:pPr>
    </w:p>
    <w:p>
      <w:pPr>
        <w:jc w:val="both"/>
        <w:ind w:right="120" w:firstLine="457"/>
        <w:spacing w:after="0" w:line="282" w:lineRule="auto"/>
        <w:rPr>
          <w:sz w:val="20"/>
          <w:szCs w:val="20"/>
          <w:color w:val="auto"/>
        </w:rPr>
      </w:pPr>
      <w:r>
        <w:rPr>
          <w:rFonts w:ascii="Arial" w:cs="Arial" w:eastAsia="Arial" w:hAnsi="Arial"/>
          <w:sz w:val="16"/>
          <w:szCs w:val="16"/>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 Person</w:t>
      </w:r>
    </w:p>
    <w:p>
      <w:pPr>
        <w:spacing w:after="0" w:line="107" w:lineRule="exact"/>
        <w:rPr>
          <w:sz w:val="20"/>
          <w:szCs w:val="20"/>
          <w:color w:val="auto"/>
        </w:rPr>
      </w:pPr>
    </w:p>
    <w:p>
      <w:pPr>
        <w:ind w:right="100" w:firstLine="457"/>
        <w:spacing w:after="0" w:line="30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42"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7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mail—will be superseded by any vote that you cast at the Comcast special meeting.</w:t>
      </w:r>
    </w:p>
    <w:p>
      <w:pPr>
        <w:spacing w:after="0" w:line="178"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80"/>
          </w:cols>
          <w:pgMar w:left="240" w:top="439" w:right="2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 not give voting instructions to the broker, bank, nominee or other holder of record, then those shares will not be present in person or represented by proxy at the special meeting. As a result, it is expected that there will not be any broker non-votes in connection with either of the proposals described in this joint proxy statement/prospectus.</w:t>
      </w:r>
    </w:p>
    <w:p>
      <w:pPr>
        <w:spacing w:after="0" w:line="17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74" w:lineRule="exact"/>
        <w:rPr>
          <w:sz w:val="20"/>
          <w:szCs w:val="20"/>
          <w:color w:val="auto"/>
        </w:rPr>
      </w:pPr>
    </w:p>
    <w:p>
      <w:pPr>
        <w:jc w:val="both"/>
        <w:ind w:right="240" w:firstLine="457"/>
        <w:spacing w:after="0" w:line="256" w:lineRule="auto"/>
        <w:rPr>
          <w:sz w:val="20"/>
          <w:szCs w:val="20"/>
          <w:color w:val="auto"/>
        </w:rPr>
      </w:pPr>
      <w:r>
        <w:rPr>
          <w:rFonts w:ascii="Arial" w:cs="Arial" w:eastAsia="Arial" w:hAnsi="Arial"/>
          <w:sz w:val="17"/>
          <w:szCs w:val="17"/>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111"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You may revoke your proxy or change your vote at any time before your shares are voted at the Comcast special meeting. If you are a shareholder of record at the record date (the close of business on [—], 2014), you can revoke your proxy or change your vote by:</w:t>
      </w:r>
    </w:p>
    <w:p>
      <w:pPr>
        <w:spacing w:after="0" w:line="77" w:lineRule="exact"/>
        <w:rPr>
          <w:sz w:val="20"/>
          <w:szCs w:val="20"/>
          <w:color w:val="auto"/>
        </w:rPr>
      </w:pPr>
    </w:p>
    <w:p>
      <w:pPr>
        <w:ind w:left="900" w:right="240" w:hanging="445"/>
        <w:spacing w:after="0" w:line="258"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submitting a valid, later-dated proxy by Internet, telephone or mail that is received prior to the Comcast special meeting; or</w:t>
      </w:r>
    </w:p>
    <w:p>
      <w:pPr>
        <w:spacing w:after="0" w:line="119" w:lineRule="exact"/>
        <w:rPr>
          <w:rFonts w:ascii="Arial" w:cs="Arial" w:eastAsia="Arial" w:hAnsi="Arial"/>
          <w:sz w:val="17"/>
          <w:szCs w:val="17"/>
          <w:color w:val="auto"/>
        </w:rPr>
      </w:pPr>
    </w:p>
    <w:p>
      <w:pPr>
        <w:ind w:left="900" w:right="120" w:hanging="445"/>
        <w:spacing w:after="0" w:line="258"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77" w:lineRule="exact"/>
        <w:rPr>
          <w:sz w:val="20"/>
          <w:szCs w:val="20"/>
          <w:color w:val="auto"/>
        </w:rPr>
      </w:pPr>
    </w:p>
    <w:p>
      <w:pPr>
        <w:ind w:right="180" w:firstLine="457"/>
        <w:spacing w:after="0" w:line="30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 Expenses of Solicitation</w:t>
      </w:r>
    </w:p>
    <w:p>
      <w:pPr>
        <w:spacing w:after="0" w:line="111"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39"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2" w:lineRule="auto"/>
        <w:rPr>
          <w:sz w:val="20"/>
          <w:szCs w:val="20"/>
          <w:color w:val="auto"/>
        </w:rPr>
      </w:pPr>
      <w:r>
        <w:rPr>
          <w:rFonts w:ascii="Arial" w:cs="Arial" w:eastAsia="Arial" w:hAnsi="Arial"/>
          <w:sz w:val="17"/>
          <w:szCs w:val="17"/>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w:t>
      </w:r>
    </w:p>
    <w:p>
      <w:pPr>
        <w:spacing w:after="0" w:line="111" w:lineRule="exact"/>
        <w:rPr>
          <w:sz w:val="20"/>
          <w:szCs w:val="20"/>
          <w:color w:val="auto"/>
        </w:rPr>
      </w:pPr>
    </w:p>
    <w:p>
      <w:pPr>
        <w:ind w:right="60" w:firstLine="457"/>
        <w:spacing w:after="0" w:line="309" w:lineRule="auto"/>
        <w:rPr>
          <w:sz w:val="20"/>
          <w:szCs w:val="20"/>
          <w:color w:val="auto"/>
        </w:rPr>
      </w:pPr>
      <w:r>
        <w:rPr>
          <w:rFonts w:ascii="Arial" w:cs="Arial" w:eastAsia="Arial" w:hAnsi="Arial"/>
          <w:sz w:val="15"/>
          <w:szCs w:val="15"/>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41" w:lineRule="exact"/>
        <w:rPr>
          <w:sz w:val="20"/>
          <w:szCs w:val="20"/>
          <w:color w:val="auto"/>
        </w:rPr>
      </w:pPr>
    </w:p>
    <w:p>
      <w:pPr>
        <w:jc w:val="both"/>
        <w:ind w:right="220" w:firstLine="457"/>
        <w:spacing w:after="0" w:line="28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w:t>
      </w:r>
    </w:p>
    <w:p>
      <w:pPr>
        <w:spacing w:after="0" w:line="111"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11" w:lineRule="exact"/>
        <w:rPr>
          <w:sz w:val="20"/>
          <w:szCs w:val="20"/>
          <w:color w:val="auto"/>
        </w:rPr>
      </w:pPr>
    </w:p>
    <w:p>
      <w:pPr>
        <w:jc w:val="both"/>
        <w:ind w:right="420" w:firstLine="457"/>
        <w:spacing w:after="0" w:line="255" w:lineRule="auto"/>
        <w:rPr>
          <w:sz w:val="20"/>
          <w:szCs w:val="20"/>
          <w:color w:val="auto"/>
        </w:rPr>
      </w:pPr>
      <w:r>
        <w:rPr>
          <w:rFonts w:ascii="Arial" w:cs="Arial" w:eastAsia="Arial" w:hAnsi="Arial"/>
          <w:sz w:val="17"/>
          <w:szCs w:val="17"/>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7"/>
          <w:szCs w:val="17"/>
          <w:b w:val="1"/>
          <w:bCs w:val="1"/>
          <w:color w:val="auto"/>
        </w:rPr>
        <w:t>If you submit your proxy via the Internet or by</w:t>
      </w:r>
      <w:r>
        <w:rPr>
          <w:rFonts w:ascii="Arial" w:cs="Arial" w:eastAsia="Arial" w:hAnsi="Arial"/>
          <w:sz w:val="17"/>
          <w:szCs w:val="17"/>
          <w:color w:val="auto"/>
        </w:rPr>
        <w:t xml:space="preserve"> </w:t>
      </w:r>
      <w:r>
        <w:rPr>
          <w:rFonts w:ascii="Arial" w:cs="Arial" w:eastAsia="Arial" w:hAnsi="Arial"/>
          <w:sz w:val="17"/>
          <w:szCs w:val="17"/>
          <w:b w:val="1"/>
          <w:bCs w:val="1"/>
          <w:color w:val="auto"/>
        </w:rPr>
        <w:t>telephone, you do not need to return the enclosed proxy card.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00"/>
          </w:cols>
          <w:pgMar w:left="240" w:top="439"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If you need assistance in completing your proxy card or have questions regarding the Comcast special meeting, please contact</w:t>
      </w:r>
      <w:r>
        <w:rPr>
          <w:rFonts w:ascii="Arial" w:cs="Arial" w:eastAsia="Arial" w:hAnsi="Arial"/>
          <w:sz w:val="14"/>
          <w:szCs w:val="14"/>
          <w:color w:val="auto"/>
        </w:rPr>
        <w:t>:</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Toll-Free: (800) 488-8035</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Email: comcast@dfking.com</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(866) 281-2100</w:t>
      </w:r>
    </w:p>
    <w:p>
      <w:pPr>
        <w:spacing w:after="0" w:line="1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219"/>
          </w:cols>
          <w:pgMar w:left="240" w:top="439" w:right="1440"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MEETING OF STOCKHOLDERS OF TWC</w:t>
      </w:r>
    </w:p>
    <w:p>
      <w:pPr>
        <w:spacing w:after="0" w:line="208" w:lineRule="exact"/>
        <w:rPr>
          <w:sz w:val="20"/>
          <w:szCs w:val="20"/>
          <w:color w:val="auto"/>
        </w:rPr>
      </w:pPr>
    </w:p>
    <w:p>
      <w:pPr>
        <w:jc w:val="both"/>
        <w:ind w:right="80" w:firstLine="457"/>
        <w:spacing w:after="0" w:line="256"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Location</w:t>
      </w:r>
    </w:p>
    <w:p>
      <w:pPr>
        <w:spacing w:after="0" w:line="111"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color w:val="auto"/>
        </w:rPr>
        <w:t>Together with this joint proxy statement/prospectus, TWC is also sending you a notice of the TWC special meeting and a form of proxy that is solicited by the TWC board of directors for use at the TWC special meeting to be held on [—], 2014, at [—] located at [—], at [—] AM, local time, and any adjournments or postponements of the TWC special meeting.</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0"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If you are a beneficial owner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TWC special meeting, TWC stockholders will be asked to consider and vote on the following proposals:</w:t>
      </w:r>
    </w:p>
    <w:p>
      <w:pPr>
        <w:spacing w:after="0" w:line="120" w:lineRule="exact"/>
        <w:rPr>
          <w:sz w:val="20"/>
          <w:szCs w:val="20"/>
          <w:color w:val="auto"/>
        </w:rPr>
      </w:pPr>
    </w:p>
    <w:p>
      <w:pPr>
        <w:ind w:left="900" w:right="20" w:hanging="445"/>
        <w:spacing w:after="0" w:line="270"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made by TWC to its named executive officers in connection with the merger.</w:t>
      </w:r>
    </w:p>
    <w:p>
      <w:pPr>
        <w:spacing w:after="0" w:line="166"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Under TWC’s by-laws, the business to be conducted at TWC’s special meeting will be limited to the purposes stated in the notice to TWC stockholders provided with this joint proxy statement/prospectus.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TWC Board of Directors</w:t>
      </w:r>
    </w:p>
    <w:p>
      <w:pPr>
        <w:spacing w:after="0" w:line="111" w:lineRule="exact"/>
        <w:rPr>
          <w:sz w:val="20"/>
          <w:szCs w:val="20"/>
          <w:color w:val="auto"/>
        </w:rPr>
      </w:pPr>
    </w:p>
    <w:p>
      <w:pPr>
        <w:ind w:right="160" w:firstLine="457"/>
        <w:spacing w:after="0" w:line="253" w:lineRule="auto"/>
        <w:rPr>
          <w:sz w:val="20"/>
          <w:szCs w:val="20"/>
          <w:color w:val="auto"/>
        </w:rPr>
      </w:pPr>
      <w:r>
        <w:rPr>
          <w:rFonts w:ascii="Arial" w:cs="Arial" w:eastAsia="Arial" w:hAnsi="Arial"/>
          <w:sz w:val="17"/>
          <w:szCs w:val="17"/>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See “TWC Proposal I: Adoption of the Merger Agreement and Comcast Proposal I: Approval of the Stock</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80"/>
          </w:cols>
          <w:pgMar w:left="240" w:top="439" w:right="2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Issuance—TWC’s Reasons for the Merger; Recommendation of the Merger by the TWC Board of Directors” beginning on page [—]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See “TWC Proposal II: Advisory Vote on Golden Parachute Compensation” beginning on page [—] of this joint proxy statement/prospectus for a more detailed discussion of the recommendation of the TWC board of directors that TWC stockholders vote for the advisory (non-binding) vote to approve the “golden parachute” compensation payments.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 Record Date; Outstanding Shares; Stockholders Entitled to Vote</w:t>
      </w:r>
    </w:p>
    <w:p>
      <w:pPr>
        <w:spacing w:after="0" w:line="11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The TWC board of directors has fixed the close of business on [—],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49"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11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The presence at the TWC special meeting, in person or by proxy, of the holders of a majority of the votes entitled to be cast for each 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107" w:lineRule="exact"/>
        <w:rPr>
          <w:sz w:val="20"/>
          <w:szCs w:val="20"/>
          <w:color w:val="auto"/>
        </w:rPr>
      </w:pPr>
    </w:p>
    <w:p>
      <w:pPr>
        <w:ind w:right="120" w:firstLine="457"/>
        <w:spacing w:after="0" w:line="296" w:lineRule="auto"/>
        <w:rPr>
          <w:sz w:val="20"/>
          <w:szCs w:val="20"/>
          <w:color w:val="auto"/>
        </w:rPr>
      </w:pPr>
      <w:r>
        <w:rPr>
          <w:rFonts w:ascii="Arial" w:cs="Arial" w:eastAsia="Arial" w:hAnsi="Arial"/>
          <w:sz w:val="15"/>
          <w:szCs w:val="15"/>
          <w:color w:val="auto"/>
        </w:rPr>
        <w:t xml:space="preserve">Adoption of the merger agreement requires the affirmative vote of holders of a majority of the outstanding shares of TWC common stock entitled to vote. </w:t>
      </w:r>
      <w:r>
        <w:rPr>
          <w:rFonts w:ascii="Arial" w:cs="Arial" w:eastAsia="Arial" w:hAnsi="Arial"/>
          <w:sz w:val="15"/>
          <w:szCs w:val="15"/>
          <w:b w:val="1"/>
          <w:bCs w:val="1"/>
          <w:color w:val="auto"/>
        </w:rPr>
        <w:t>TWC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cannot complete the merger unless its stockholders adopt the merger agreement. </w:t>
      </w:r>
      <w:r>
        <w:rPr>
          <w:rFonts w:ascii="Arial" w:cs="Arial" w:eastAsia="Arial" w:hAnsi="Arial"/>
          <w:sz w:val="15"/>
          <w:szCs w:val="15"/>
          <w:color w:val="auto"/>
        </w:rPr>
        <w:t>Because adoption requires the affirmative vote of holders of a majority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outstanding shares of TWC common stock entitled to vote, </w:t>
      </w:r>
      <w:r>
        <w:rPr>
          <w:rFonts w:ascii="Arial" w:cs="Arial" w:eastAsia="Arial" w:hAnsi="Arial"/>
          <w:sz w:val="15"/>
          <w:szCs w:val="15"/>
          <w:b w:val="1"/>
          <w:bCs w:val="1"/>
          <w:color w:val="auto"/>
        </w:rPr>
        <w:t>a TWC stockholder’s abstention from voting, the failure of a TWC stockholder who holds his or her</w:t>
      </w:r>
      <w:r>
        <w:rPr>
          <w:rFonts w:ascii="Arial" w:cs="Arial" w:eastAsia="Arial" w:hAnsi="Arial"/>
          <w:sz w:val="15"/>
          <w:szCs w:val="15"/>
          <w:color w:val="auto"/>
        </w:rPr>
        <w:t xml:space="preserve"> </w:t>
      </w:r>
      <w:r>
        <w:rPr>
          <w:rFonts w:ascii="Arial" w:cs="Arial" w:eastAsia="Arial" w:hAnsi="Arial"/>
          <w:sz w:val="15"/>
          <w:szCs w:val="15"/>
          <w:b w:val="1"/>
          <w:bCs w:val="1"/>
          <w:color w:val="auto"/>
        </w:rPr>
        <w:t>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51"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An abstention is not considered a vote cast. Accordingly, assuming a quorum is present, a TWC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39"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of and Voting by TWC Directors and Executive Officers</w:t>
      </w:r>
    </w:p>
    <w:p>
      <w:pPr>
        <w:spacing w:after="0" w:line="111"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At the record date for the TWC special meeting (the close of business on [—], 2014), TWC’s directors and executive officers and their affiliates beneficially owned and had the right to vote [—] shares of TWC common stock at the TWC special meeting, which represents approximately [—]% of the shares of TWC common stock entitled to vote at the TWC special meeting.</w:t>
      </w:r>
    </w:p>
    <w:p>
      <w:pPr>
        <w:spacing w:after="0" w:line="173" w:lineRule="exact"/>
        <w:rPr>
          <w:sz w:val="20"/>
          <w:szCs w:val="20"/>
          <w:color w:val="auto"/>
        </w:rPr>
      </w:pPr>
    </w:p>
    <w:p>
      <w:pPr>
        <w:ind w:right="80" w:firstLine="457"/>
        <w:spacing w:after="0" w:line="275"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Via the Internet or by Telephone</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15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By Mail</w:t>
      </w:r>
    </w:p>
    <w:p>
      <w:pPr>
        <w:spacing w:after="0" w:line="10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178"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 Person</w:t>
      </w:r>
    </w:p>
    <w:p>
      <w:pPr>
        <w:spacing w:after="0" w:line="10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380"/>
          </w:cols>
          <w:pgMar w:left="240" w:top="439" w:right="2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77"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mail—will be superseded by any vote that you cast at the TWC special meeting (although attendance at the TWC special meeting will not by itself revoke a proxy).</w:t>
      </w:r>
    </w:p>
    <w:p>
      <w:pPr>
        <w:spacing w:after="0" w:line="163" w:lineRule="exact"/>
        <w:rPr>
          <w:sz w:val="20"/>
          <w:szCs w:val="20"/>
          <w:color w:val="auto"/>
        </w:rPr>
      </w:pPr>
    </w:p>
    <w:p>
      <w:pPr>
        <w:ind w:right="140" w:firstLine="457"/>
        <w:spacing w:after="0" w:line="268" w:lineRule="auto"/>
        <w:rPr>
          <w:sz w:val="20"/>
          <w:szCs w:val="20"/>
          <w:color w:val="auto"/>
        </w:rPr>
      </w:pPr>
      <w:r>
        <w:rPr>
          <w:rFonts w:ascii="Arial" w:cs="Arial" w:eastAsia="Arial" w:hAnsi="Arial"/>
          <w:sz w:val="16"/>
          <w:szCs w:val="16"/>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6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56"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5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74"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39"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111"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You may revoke your proxy or change your vote at any time before your shares are voted at the TWC special meeting. If you are a stockholder of record at the record date (the close of business on [—], 2014), you can revoke your proxy or change your vote by:</w:t>
      </w:r>
    </w:p>
    <w:p>
      <w:pPr>
        <w:spacing w:after="0" w:line="77" w:lineRule="exact"/>
        <w:rPr>
          <w:sz w:val="20"/>
          <w:szCs w:val="20"/>
          <w:color w:val="auto"/>
        </w:rPr>
      </w:pPr>
    </w:p>
    <w:p>
      <w:pPr>
        <w:ind w:left="900" w:right="40" w:hanging="445"/>
        <w:spacing w:after="0" w:line="338" w:lineRule="auto"/>
        <w:tabs>
          <w:tab w:leader="none" w:pos="9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31" w:lineRule="exact"/>
        <w:rPr>
          <w:rFonts w:ascii="Arial" w:cs="Arial" w:eastAsia="Arial" w:hAnsi="Arial"/>
          <w:sz w:val="15"/>
          <w:szCs w:val="15"/>
          <w:color w:val="auto"/>
        </w:rPr>
      </w:pPr>
    </w:p>
    <w:p>
      <w:pPr>
        <w:ind w:left="900" w:hanging="445"/>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submitting a valid, later-dated proxy by Internet, telephone or mail that is received prior to the TWC special meeting; or</w:t>
      </w:r>
    </w:p>
    <w:p>
      <w:pPr>
        <w:spacing w:after="0" w:line="119" w:lineRule="exact"/>
        <w:rPr>
          <w:rFonts w:ascii="Arial" w:cs="Arial" w:eastAsia="Arial" w:hAnsi="Arial"/>
          <w:sz w:val="17"/>
          <w:szCs w:val="17"/>
          <w:color w:val="auto"/>
        </w:rPr>
      </w:pPr>
    </w:p>
    <w:p>
      <w:pPr>
        <w:jc w:val="both"/>
        <w:ind w:left="900" w:hanging="445"/>
        <w:spacing w:after="0" w:line="258"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7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 Expenses of Solicitation</w:t>
      </w:r>
    </w:p>
    <w:p>
      <w:pPr>
        <w:spacing w:after="0" w:line="111"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0"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w:t>
      </w:r>
    </w:p>
    <w:p>
      <w:pPr>
        <w:spacing w:after="0" w:line="111" w:lineRule="exact"/>
        <w:rPr>
          <w:sz w:val="20"/>
          <w:szCs w:val="20"/>
          <w:color w:val="auto"/>
        </w:rPr>
      </w:pPr>
    </w:p>
    <w:p>
      <w:pPr>
        <w:ind w:right="280" w:firstLine="457"/>
        <w:spacing w:after="0" w:line="309" w:lineRule="auto"/>
        <w:rPr>
          <w:sz w:val="20"/>
          <w:szCs w:val="20"/>
          <w:color w:val="auto"/>
        </w:rPr>
      </w:pPr>
      <w:r>
        <w:rPr>
          <w:rFonts w:ascii="Arial" w:cs="Arial" w:eastAsia="Arial" w:hAnsi="Arial"/>
          <w:sz w:val="15"/>
          <w:szCs w:val="15"/>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4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439"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w:t>
      </w:r>
    </w:p>
    <w:p>
      <w:pPr>
        <w:spacing w:after="0" w:line="111"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7"/>
          <w:szCs w:val="17"/>
          <w:b w:val="1"/>
          <w:bCs w:val="1"/>
          <w:color w:val="auto"/>
        </w:rPr>
        <w:t>If you submit your proxy via the Internet or by telephone, you do</w:t>
      </w:r>
      <w:r>
        <w:rPr>
          <w:rFonts w:ascii="Arial" w:cs="Arial" w:eastAsia="Arial" w:hAnsi="Arial"/>
          <w:sz w:val="17"/>
          <w:szCs w:val="17"/>
          <w:color w:val="auto"/>
        </w:rPr>
        <w:t xml:space="preserve"> </w:t>
      </w:r>
      <w:r>
        <w:rPr>
          <w:rFonts w:ascii="Arial" w:cs="Arial" w:eastAsia="Arial" w:hAnsi="Arial"/>
          <w:sz w:val="17"/>
          <w:szCs w:val="17"/>
          <w:b w:val="1"/>
          <w:bCs w:val="1"/>
          <w:color w:val="auto"/>
        </w:rPr>
        <w:t>not need to return the enclosed proxy card.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If you need assistance in completing your proxy card or have questions regarding the TWC special meeting, please contact: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proxy@mackenziepartners.com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ir@twcable.com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439"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TWC PROPOSAL I: ADOPTION OF THE MERGER AGREEMENT AND COMCAST PROPOSAL I: APPROVAL OF THE STOCK ISSUANCE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63"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w:t>
      </w:r>
    </w:p>
    <w:p>
      <w:pPr>
        <w:spacing w:after="0" w:line="149"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5"/>
          <w:szCs w:val="15"/>
          <w:b w:val="1"/>
          <w:bCs w:val="1"/>
          <w:color w:val="auto"/>
        </w:rPr>
        <w:t>The merger will not be completed unless TWC stockholders adopt the merger agreement and Comcast shareholders approve the stock</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issuance. </w:t>
      </w:r>
      <w:r>
        <w:rPr>
          <w:rFonts w:ascii="Arial" w:cs="Arial" w:eastAsia="Arial" w:hAnsi="Arial"/>
          <w:sz w:val="15"/>
          <w:szCs w:val="15"/>
          <w:color w:val="auto"/>
        </w:rPr>
        <w:t>A copy of the merger agreement is attached as Annex A to this joint proxy statement/prospectus. You are urged to read the merger agreement in its entirety</w:t>
      </w:r>
      <w:r>
        <w:rPr>
          <w:rFonts w:ascii="Arial" w:cs="Arial" w:eastAsia="Arial" w:hAnsi="Arial"/>
          <w:sz w:val="15"/>
          <w:szCs w:val="15"/>
          <w:b w:val="1"/>
          <w:bCs w:val="1"/>
          <w:color w:val="auto"/>
        </w:rPr>
        <w:t xml:space="preserve"> </w:t>
      </w:r>
      <w:r>
        <w:rPr>
          <w:rFonts w:ascii="Arial" w:cs="Arial" w:eastAsia="Arial" w:hAnsi="Arial"/>
          <w:sz w:val="15"/>
          <w:szCs w:val="15"/>
          <w:color w:val="auto"/>
        </w:rPr>
        <w:t>because it is the legal document that governs the merger. For additional information about the merger, see “The Merger Agreement—Structure of the Merger” and “The Merger Agreement—Merger Consideration” beginning on pages [—] and [—], respectively, of this joint proxy statement/prospectus.</w:t>
      </w:r>
    </w:p>
    <w:p>
      <w:pPr>
        <w:spacing w:after="0" w:line="15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Upon completion of the merger, each share of TWC common stock will be converted into the right to receive 2.875 shares of Comcast Class A common stock. Based on the number of shares of TWC common stock outstanding as of [—], 2014, Comcast expects to issue approximately [—]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 2014, and the number of shares of Comcast common stock (including Comcast Class A common stock, Comcast Class A Special common stock and Comcast Class B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Merger</w:t>
      </w:r>
    </w:p>
    <w:p>
      <w:pPr>
        <w:spacing w:after="0" w:line="111"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 environment facing the industries in which they operate and each company’s competitive position. In addition, from time to time, members of TWC’s and Comcast’s respective senior management teams meet with the senior 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439" w:right="2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81"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Between May 22, 2013 and July 9, 2013, at the request of Gregory Maffei, Chief Executive Officer and President of Liberty Media Corporation and Thomas Rutledge, Chief Executive Officer and President of Charter Communications, Inc.,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27%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83"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70"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78"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Also, beginning in mid-2013, senior executives of Comcast, Liberty and Charter had a number of discussions concerning a range of topics relating to their respective businesses.</w:t>
      </w:r>
    </w:p>
    <w:p>
      <w:pPr>
        <w:spacing w:after="0" w:line="166"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77"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On July 11, 2013, a meeting of the TWC board of directors was convened telephonically to consider the July 10 Charter Proposal. During the meeting, the TWC board of directors received a presentation from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39" w:right="2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representatives of Allen &amp; Company and Morgan Stanley, TWC’s financial advisors.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69" w:lineRule="exact"/>
        <w:rPr>
          <w:sz w:val="20"/>
          <w:szCs w:val="20"/>
          <w:color w:val="auto"/>
        </w:rPr>
      </w:pPr>
    </w:p>
    <w:p>
      <w:pPr>
        <w:ind w:right="740" w:firstLine="457"/>
        <w:spacing w:after="0" w:line="270" w:lineRule="auto"/>
        <w:rPr>
          <w:sz w:val="20"/>
          <w:szCs w:val="20"/>
          <w:color w:val="auto"/>
        </w:rPr>
      </w:pPr>
      <w:r>
        <w:rPr>
          <w:rFonts w:ascii="Arial" w:cs="Arial" w:eastAsia="Arial" w:hAnsi="Arial"/>
          <w:sz w:val="17"/>
          <w:szCs w:val="17"/>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66"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Following Mr. Britt’s letter to Mr. Rutledge on July 11, 2013, there were no further communications between TWC and either Charter or Liberty regarding Charter’s potential acquisition of TWC until late October 2013.</w:t>
      </w:r>
    </w:p>
    <w:p>
      <w:pPr>
        <w:spacing w:after="0" w:line="166"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On July 25, 2013, the TWC board of directors held a regularly scheduled meeting, at which, among other matters, the TWC board of directors discussed potential transaction opportunities and considered potential courses of action that Charter might pursue.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49" w:lineRule="exact"/>
        <w:rPr>
          <w:sz w:val="20"/>
          <w:szCs w:val="20"/>
          <w:color w:val="auto"/>
        </w:rPr>
      </w:pPr>
    </w:p>
    <w:p>
      <w:pPr>
        <w:ind w:right="340" w:firstLine="457"/>
        <w:spacing w:after="0" w:line="258" w:lineRule="auto"/>
        <w:rPr>
          <w:sz w:val="20"/>
          <w:szCs w:val="20"/>
          <w:color w:val="auto"/>
        </w:rPr>
      </w:pPr>
      <w:r>
        <w:rPr>
          <w:rFonts w:ascii="Arial" w:cs="Arial" w:eastAsia="Arial" w:hAnsi="Arial"/>
          <w:sz w:val="17"/>
          <w:szCs w:val="17"/>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77" w:lineRule="exact"/>
        <w:rPr>
          <w:sz w:val="20"/>
          <w:szCs w:val="20"/>
          <w:color w:val="auto"/>
        </w:rPr>
      </w:pPr>
    </w:p>
    <w:p>
      <w:pPr>
        <w:jc w:val="both"/>
        <w:ind w:right="260" w:firstLine="457"/>
        <w:spacing w:after="0" w:line="28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w:t>
      </w:r>
    </w:p>
    <w:p>
      <w:pPr>
        <w:spacing w:after="0" w:line="17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On October 23, 2013, the Comcast board of directors held a regularly scheduled meeting at which the Comcast board of directors received an update regarding developments involving TWC. The Comcast board of directors concluded that it would be appropriate for Comcast management to continue exploring potential strategic alternatives involving TWC.</w:t>
      </w:r>
    </w:p>
    <w:p>
      <w:pPr>
        <w:spacing w:after="0" w:line="177"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39"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60"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5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60"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77" w:lineRule="exact"/>
        <w:rPr>
          <w:sz w:val="20"/>
          <w:szCs w:val="20"/>
          <w:color w:val="auto"/>
        </w:rPr>
      </w:pPr>
    </w:p>
    <w:p>
      <w:pPr>
        <w:ind w:right="440" w:firstLine="457"/>
        <w:spacing w:after="0" w:line="270" w:lineRule="auto"/>
        <w:rPr>
          <w:sz w:val="20"/>
          <w:szCs w:val="20"/>
          <w:color w:val="auto"/>
        </w:rPr>
      </w:pPr>
      <w:r>
        <w:rPr>
          <w:rFonts w:ascii="Arial" w:cs="Arial" w:eastAsia="Arial" w:hAnsi="Arial"/>
          <w:sz w:val="17"/>
          <w:szCs w:val="17"/>
          <w:color w:val="auto"/>
        </w:rPr>
        <w:t>On November 25, 2013, legal representatives of each of Comcast and TWC met to discuss certain legal issues that might arise in connection with a potential merger of Comcast and TWC.</w:t>
      </w:r>
    </w:p>
    <w:p>
      <w:pPr>
        <w:spacing w:after="0" w:line="166" w:lineRule="exact"/>
        <w:rPr>
          <w:sz w:val="20"/>
          <w:szCs w:val="20"/>
          <w:color w:val="auto"/>
        </w:rPr>
      </w:pPr>
    </w:p>
    <w:p>
      <w:pPr>
        <w:ind w:right="360" w:firstLine="457"/>
        <w:spacing w:after="0" w:line="338" w:lineRule="auto"/>
        <w:rPr>
          <w:sz w:val="20"/>
          <w:szCs w:val="20"/>
          <w:color w:val="auto"/>
        </w:rPr>
      </w:pPr>
      <w:r>
        <w:rPr>
          <w:rFonts w:ascii="Arial" w:cs="Arial" w:eastAsia="Arial" w:hAnsi="Arial"/>
          <w:sz w:val="15"/>
          <w:szCs w:val="15"/>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20"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In mid-December, Mr. Rutledge contacted Mr. Marcus by telephone to inquire as to whether TWC was interested in discussing further a potential transaction with Charter. Mr. Marcus suggested that a meeting between Mr. Minson and Christopher Winfrey, Chief Financial Officer of Charter, might be useful to better understand Charter’s financing plan, synergy assumptions and tax benefit assumptions.</w:t>
      </w:r>
    </w:p>
    <w:p>
      <w:pPr>
        <w:spacing w:after="0" w:line="177" w:lineRule="exact"/>
        <w:rPr>
          <w:sz w:val="20"/>
          <w:szCs w:val="20"/>
          <w:color w:val="auto"/>
        </w:rPr>
      </w:pPr>
    </w:p>
    <w:p>
      <w:pPr>
        <w:jc w:val="both"/>
        <w:ind w:right="100" w:firstLine="457"/>
        <w:spacing w:after="0" w:line="258" w:lineRule="auto"/>
        <w:rPr>
          <w:sz w:val="20"/>
          <w:szCs w:val="20"/>
          <w:color w:val="auto"/>
        </w:rPr>
      </w:pPr>
      <w:r>
        <w:rPr>
          <w:rFonts w:ascii="Arial" w:cs="Arial" w:eastAsia="Arial" w:hAnsi="Arial"/>
          <w:sz w:val="17"/>
          <w:szCs w:val="17"/>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39"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7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83" w:lineRule="exact"/>
        <w:rPr>
          <w:sz w:val="20"/>
          <w:szCs w:val="20"/>
          <w:color w:val="auto"/>
        </w:rPr>
      </w:pPr>
    </w:p>
    <w:p>
      <w:pPr>
        <w:ind w:right="40" w:firstLine="457"/>
        <w:spacing w:after="0" w:line="30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42"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Citi and Morgan Stanley, regarding the financial terms of a transaction with Charter that TWC would consider pursuing.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symmetrical collar of 20%.</w:t>
      </w:r>
    </w:p>
    <w:p>
      <w:pPr>
        <w:spacing w:after="0" w:line="153"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 Mr. Rutledge indicated that he was disappointed to hear that TWC and Charter were so far apart on price and that he saw no value in continuing conversations about a potential transaction at that time.</w:t>
      </w:r>
    </w:p>
    <w:p>
      <w:pPr>
        <w:spacing w:after="0" w:line="149" w:lineRule="exact"/>
        <w:rPr>
          <w:sz w:val="20"/>
          <w:szCs w:val="20"/>
          <w:color w:val="auto"/>
        </w:rPr>
      </w:pPr>
    </w:p>
    <w:p>
      <w:pPr>
        <w:ind w:right="700" w:firstLine="457"/>
        <w:spacing w:after="0" w:line="302" w:lineRule="auto"/>
        <w:rPr>
          <w:sz w:val="20"/>
          <w:szCs w:val="20"/>
          <w:color w:val="auto"/>
        </w:rPr>
      </w:pPr>
      <w:r>
        <w:rPr>
          <w:rFonts w:ascii="Arial" w:cs="Arial" w:eastAsia="Arial" w:hAnsi="Arial"/>
          <w:sz w:val="16"/>
          <w:szCs w:val="16"/>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142"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During late 2013 and early 2014, representatives of Comcast and Charter began to engage in more substantive discussions regarding the possibility of Comcast participating in a potential bid by Charter to acquire TWC.</w:t>
      </w:r>
    </w:p>
    <w:p>
      <w:pPr>
        <w:spacing w:after="0" w:line="166" w:lineRule="exact"/>
        <w:rPr>
          <w:sz w:val="20"/>
          <w:szCs w:val="20"/>
          <w:color w:val="auto"/>
        </w:rPr>
      </w:pPr>
    </w:p>
    <w:p>
      <w:pPr>
        <w:ind w:right="280" w:firstLine="457"/>
        <w:spacing w:after="0" w:line="338" w:lineRule="auto"/>
        <w:rPr>
          <w:sz w:val="20"/>
          <w:szCs w:val="20"/>
          <w:color w:val="auto"/>
        </w:rPr>
      </w:pPr>
      <w:r>
        <w:rPr>
          <w:rFonts w:ascii="Arial" w:cs="Arial" w:eastAsia="Arial" w:hAnsi="Arial"/>
          <w:sz w:val="15"/>
          <w:szCs w:val="15"/>
          <w:color w:val="auto"/>
        </w:rPr>
        <w:t>On January 7, 2014, Messrs. Marcus and Rutledge both attended the 2014 Consumer Electronics Show, at which time Mr. Rutledge informed Mr. Marcus that, based on the inability of Charter and TWC to reach an agreement on price, Mr. Rutledge intended to publicly announce Charter’s offer to acquire TWC.</w:t>
      </w:r>
    </w:p>
    <w:p>
      <w:pPr>
        <w:spacing w:after="0" w:line="120" w:lineRule="exact"/>
        <w:rPr>
          <w:sz w:val="20"/>
          <w:szCs w:val="20"/>
          <w:color w:val="auto"/>
        </w:rPr>
      </w:pPr>
    </w:p>
    <w:p>
      <w:pPr>
        <w:ind w:right="580" w:firstLine="457"/>
        <w:spacing w:after="0" w:line="270" w:lineRule="auto"/>
        <w:rPr>
          <w:sz w:val="20"/>
          <w:szCs w:val="20"/>
          <w:color w:val="auto"/>
        </w:rPr>
      </w:pPr>
      <w:r>
        <w:rPr>
          <w:rFonts w:ascii="Arial" w:cs="Arial" w:eastAsia="Arial" w:hAnsi="Arial"/>
          <w:sz w:val="17"/>
          <w:szCs w:val="17"/>
          <w:color w:val="auto"/>
        </w:rPr>
        <w:t>Later that day, Mr. Marcus met with Mr. Roberts, who was also attending the 2014 Consumer Electronics Show, to discuss developments involving TWC, including Charter’s interest in acquiring TWC and Comcast’s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00"/>
          </w:cols>
          <w:pgMar w:left="240" w:top="439"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potential participation in a bid by Charter to acquire TWC. Among other things, Messrs. Marcus and Roberts discussed whether any potential alternative transactions between Comcast and TWC could be attractive to TWC stockholders, but did not reach any conclusion.</w:t>
      </w:r>
    </w:p>
    <w:p>
      <w:pPr>
        <w:spacing w:after="0" w:line="166"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66"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On January 11, 2014, Mr. Angelakis and Mr. Marcus spoke by telephone and continued to discuss developments involving TWC, including Comcast’s potential participation in a bid by Charter to acquire TWC.</w:t>
      </w:r>
    </w:p>
    <w:p>
      <w:pPr>
        <w:spacing w:after="0" w:line="166"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80" w:lineRule="exact"/>
        <w:rPr>
          <w:sz w:val="20"/>
          <w:szCs w:val="20"/>
          <w:color w:val="auto"/>
        </w:rPr>
      </w:pPr>
    </w:p>
    <w:p>
      <w:pPr>
        <w:ind w:right="160" w:firstLine="457"/>
        <w:spacing w:after="0" w:line="253" w:lineRule="auto"/>
        <w:rPr>
          <w:sz w:val="20"/>
          <w:szCs w:val="20"/>
          <w:color w:val="auto"/>
        </w:rPr>
      </w:pPr>
      <w:r>
        <w:rPr>
          <w:rFonts w:ascii="Arial" w:cs="Arial" w:eastAsia="Arial" w:hAnsi="Arial"/>
          <w:sz w:val="17"/>
          <w:szCs w:val="17"/>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0" w:lineRule="exact"/>
        <w:rPr>
          <w:sz w:val="20"/>
          <w:szCs w:val="20"/>
          <w:color w:val="auto"/>
        </w:rPr>
      </w:pPr>
    </w:p>
    <w:p>
      <w:pPr>
        <w:ind w:right="100" w:firstLine="457"/>
        <w:spacing w:after="0" w:line="253"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 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80"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 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39" w:right="2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40" w:firstLine="457"/>
        <w:spacing w:after="0" w:line="255" w:lineRule="auto"/>
        <w:rPr>
          <w:sz w:val="20"/>
          <w:szCs w:val="20"/>
          <w:color w:val="auto"/>
        </w:rPr>
      </w:pPr>
      <w:r>
        <w:rPr>
          <w:rFonts w:ascii="Arial" w:cs="Arial" w:eastAsia="Arial" w:hAnsi="Arial"/>
          <w:sz w:val="17"/>
          <w:szCs w:val="17"/>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7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the TWC independent directors had retained Skadden and Centerview as additional legal and financial advisors, respectively, to such independent directors. At the meeting, representatives of Paul, Weiss and Skadden engaged in a discussion of fiduciary duties and other legal matters. Also at the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72"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7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6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71"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On February 5, 2014, N.J. Nicholas, Jr., the lead TWC independent director, received a call from John Malone, Chairman of Liberty. Mr. Malone expressed interest in pursuing an alternative, more collaborative path toward combining TWC and Charter.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78"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Also on February 5, 2014, Messrs. Roberts and Marcus spoke by telephone on multiple occasions and continued to discuss potential terms of a transaction between Comcast and TWC, including with respect to necessary regulatory approvals. The parties also discussed other aspects of a potential transaction, including scope of due diligence, timing and TWC’s request that Comcast agree to an exclusivity arrangement.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80"/>
          </w:cols>
          <w:pgMar w:left="240" w:top="439" w:right="2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Later in the day on February 5, 2014, the TWC board of directors met telephonically to receive an update from Mr. Marcus regarding his conversations with</w:t>
      </w:r>
    </w:p>
    <w:p>
      <w:pPr>
        <w:spacing w:after="0" w:line="3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Mr. Roberts. Representatives of Paul, Weiss, Skadden, Allen &amp; Company, Centerview, Citi and Morgan Stanley attended the meeting. Mr. Marcus reviewed the details 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71"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83" w:lineRule="exact"/>
        <w:rPr>
          <w:sz w:val="20"/>
          <w:szCs w:val="20"/>
          <w:color w:val="auto"/>
        </w:rPr>
      </w:pPr>
    </w:p>
    <w:p>
      <w:pPr>
        <w:ind w:right="220" w:firstLine="457"/>
        <w:spacing w:after="0" w:line="253" w:lineRule="auto"/>
        <w:rPr>
          <w:sz w:val="20"/>
          <w:szCs w:val="20"/>
          <w:color w:val="auto"/>
        </w:rPr>
      </w:pPr>
      <w:r>
        <w:rPr>
          <w:rFonts w:ascii="Arial" w:cs="Arial" w:eastAsia="Arial" w:hAnsi="Arial"/>
          <w:sz w:val="17"/>
          <w:szCs w:val="17"/>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0"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On February 9, 2014, representatives of Comcast and TWC met in person at Davis Polk along with representatives of Davis Polk and Paul, Weiss, at which time the parties discussed key issues raised by the initial 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 notwithstanding the existence of a superior alternative acquisition proposal and a change of recommendation by the TWC board of directors; the ability of the Comcast board of directors to change its recommendation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39"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 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 of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February 10, 2014, Messrs. Marcus and Angelakis met to discuss the potential merger consideration. Mr. Angelakis initially proposed an exchange ratio of</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2.67 shares of Comcast Class A common stock per TWC share, and Mr. Marcus initially proposed an exchange ratio of 3.0 shares of Comcast Class A common stock 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TWC share. After negotiation, Messrs. Marcus and Angelakis agreed, subject to approval by the companies’ respective boards of directors, on an exchange ratio of 2.875</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shares of Comcast Class A common stock per TWC share.</w:t>
      </w:r>
    </w:p>
    <w:p>
      <w:pPr>
        <w:spacing w:after="0" w:line="196" w:lineRule="exact"/>
        <w:rPr>
          <w:sz w:val="20"/>
          <w:szCs w:val="20"/>
          <w:color w:val="auto"/>
        </w:rPr>
      </w:pPr>
    </w:p>
    <w:p>
      <w:pPr>
        <w:ind w:right="20" w:firstLine="457"/>
        <w:spacing w:after="0" w:line="284" w:lineRule="auto"/>
        <w:rPr>
          <w:sz w:val="20"/>
          <w:szCs w:val="20"/>
          <w:color w:val="auto"/>
        </w:rPr>
      </w:pPr>
      <w:r>
        <w:rPr>
          <w:rFonts w:ascii="Arial" w:cs="Arial" w:eastAsia="Arial" w:hAnsi="Arial"/>
          <w:sz w:val="15"/>
          <w:szCs w:val="15"/>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The parties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 of this joint proxy statement/prospectus). The parties also discussed certain programming arrangements between Time Warner Cable Enterprises LLC, a 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 of this joint proxy statement/prospectus).</w:t>
      </w:r>
    </w:p>
    <w:p>
      <w:pPr>
        <w:spacing w:after="0" w:line="366" w:lineRule="exact"/>
        <w:rPr>
          <w:sz w:val="20"/>
          <w:szCs w:val="20"/>
          <w:color w:val="auto"/>
        </w:rPr>
      </w:pPr>
    </w:p>
    <w:p>
      <w:pPr>
        <w:ind w:right="420" w:firstLine="457"/>
        <w:spacing w:after="0" w:line="30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0"/>
          </w:cols>
          <w:pgMar w:left="240" w:top="439" w:right="25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 directors then met separately with representatives of Skadden and Centerview to discuss the proposed transaction.</w:t>
      </w:r>
    </w:p>
    <w:p>
      <w:pPr>
        <w:spacing w:after="0" w:line="183"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78"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78" w:lineRule="exact"/>
        <w:rPr>
          <w:sz w:val="20"/>
          <w:szCs w:val="20"/>
          <w:color w:val="auto"/>
        </w:rPr>
      </w:pPr>
    </w:p>
    <w:p>
      <w:pPr>
        <w:ind w:right="460" w:firstLine="457"/>
        <w:spacing w:after="0" w:line="270" w:lineRule="auto"/>
        <w:rPr>
          <w:sz w:val="20"/>
          <w:szCs w:val="20"/>
          <w:color w:val="auto"/>
        </w:rPr>
      </w:pPr>
      <w:r>
        <w:rPr>
          <w:rFonts w:ascii="Arial" w:cs="Arial" w:eastAsia="Arial" w:hAnsi="Arial"/>
          <w:sz w:val="17"/>
          <w:szCs w:val="17"/>
          <w:color w:val="auto"/>
        </w:rPr>
        <w:t>On February 12, 2014, Davis Polk delivered a further revised draft of the merger agreement, and representatives of Davis Polk and Paul, Weiss continued to discuss outstanding issues.</w:t>
      </w:r>
    </w:p>
    <w:p>
      <w:pPr>
        <w:spacing w:after="0" w:line="166"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72"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After consideration and consultation with its advisors, including consideration of the factors described under the section “—Comcast’s Reasons for the Merger; Recommendation of the Comcast Board of Directors” beginning on page [—]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53" w:lineRule="exact"/>
        <w:rPr>
          <w:sz w:val="20"/>
          <w:szCs w:val="20"/>
          <w:color w:val="auto"/>
        </w:rPr>
      </w:pPr>
    </w:p>
    <w:p>
      <w:pPr>
        <w:jc w:val="both"/>
        <w:ind w:right="100" w:firstLine="457"/>
        <w:spacing w:after="0" w:line="282" w:lineRule="auto"/>
        <w:rPr>
          <w:sz w:val="20"/>
          <w:szCs w:val="20"/>
          <w:color w:val="auto"/>
        </w:rPr>
      </w:pPr>
      <w:r>
        <w:rPr>
          <w:rFonts w:ascii="Arial" w:cs="Arial" w:eastAsia="Arial" w:hAnsi="Arial"/>
          <w:sz w:val="16"/>
          <w:szCs w:val="16"/>
          <w:color w:val="auto"/>
        </w:rPr>
        <w:t>Later in the day on February 12, 2014, the TWC board of directors met in person at TWC’s corporate offices with TWC’s senior management, representatives of Paul, Weiss, Skadden, Allen &amp; Company, Centerview, Citi and Morgan Stanley to review the proposed transaction and the draft merger agreement. Prior to the meeting, members of the TWC board of directors received copies of materials prepared by Allen &amp; Company, Centerview, Citi,</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39"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77"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362"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 connection with the merger, as described above, which arrangements had previously been developed and approved by the compensation committee of the TWC board of directors.</w:t>
      </w:r>
    </w:p>
    <w:p>
      <w:pPr>
        <w:spacing w:after="0" w:line="187"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Following the Comcast and TWC board meetings, representatives of Comcast, TWC, Davis Polk and Paul, Weiss participated in calls to finalize any outstanding matters.</w:t>
      </w:r>
    </w:p>
    <w:p>
      <w:pPr>
        <w:spacing w:after="0" w:line="166" w:lineRule="exact"/>
        <w:rPr>
          <w:sz w:val="20"/>
          <w:szCs w:val="20"/>
          <w:color w:val="auto"/>
        </w:rPr>
      </w:pPr>
    </w:p>
    <w:p>
      <w:pPr>
        <w:ind w:right="80" w:firstLine="457"/>
        <w:spacing w:after="0" w:line="338" w:lineRule="auto"/>
        <w:rPr>
          <w:sz w:val="20"/>
          <w:szCs w:val="20"/>
          <w:color w:val="auto"/>
        </w:rPr>
      </w:pPr>
      <w:r>
        <w:rPr>
          <w:rFonts w:ascii="Arial" w:cs="Arial" w:eastAsia="Arial" w:hAnsi="Arial"/>
          <w:sz w:val="15"/>
          <w:szCs w:val="15"/>
          <w:color w:val="auto"/>
        </w:rPr>
        <w:t>Both Comcast and TWC then executed and delivered the merger agreement, dated as of February 12, 2014, and TWC, on the one hand, and Mr. Roberts and certain family trusts and investment vehicles which, together, hold all issued and outstanding shares of Comcast Class B common stock, on the other hand, executed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39"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delivered the voting agreement, dated as of February 12, 2014. Also on February 12, 2014, the parties entered 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Early in the morning on February 13, 2014, Comcast and TWC issued a joint press release announcing the transaction.</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TWC’s Reasons for the Merger; Recommendation of the Merger by the TWC Board of Directors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90" w:lineRule="exact"/>
        <w:rPr>
          <w:sz w:val="20"/>
          <w:szCs w:val="20"/>
          <w:color w:val="auto"/>
        </w:rPr>
      </w:pPr>
    </w:p>
    <w:p>
      <w:pPr>
        <w:ind w:left="900" w:hanging="332"/>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TWC;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Comcast;</w:t>
      </w:r>
    </w:p>
    <w:p>
      <w:pPr>
        <w:spacing w:after="0" w:line="119" w:lineRule="exact"/>
        <w:rPr>
          <w:rFonts w:ascii="Arial" w:cs="Arial" w:eastAsia="Arial" w:hAnsi="Arial"/>
          <w:sz w:val="17"/>
          <w:szCs w:val="17"/>
          <w:color w:val="auto"/>
        </w:rPr>
      </w:pPr>
    </w:p>
    <w:p>
      <w:pPr>
        <w:ind w:left="900" w:right="640" w:hanging="332"/>
        <w:spacing w:after="0" w:line="270"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results of TWC management’s due diligence investigation of Comcast and the reputation, business practices and experience of Comcast and its management;</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strategic commercial advantages of a combination with Comcast over TWC continuing as a stand-alone company;</w:t>
      </w:r>
    </w:p>
    <w:p>
      <w:pPr>
        <w:spacing w:after="0" w:line="119" w:lineRule="exact"/>
        <w:rPr>
          <w:rFonts w:ascii="Arial" w:cs="Arial" w:eastAsia="Arial" w:hAnsi="Arial"/>
          <w:sz w:val="17"/>
          <w:szCs w:val="17"/>
          <w:color w:val="auto"/>
        </w:rPr>
      </w:pPr>
    </w:p>
    <w:p>
      <w:pPr>
        <w:ind w:left="900" w:right="20" w:hanging="332"/>
        <w:spacing w:after="0" w:line="309" w:lineRule="auto"/>
        <w:tabs>
          <w:tab w:leader="none" w:pos="9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potential strategic alternatives available to TWC, including the possibility of remaining a stand-alone entity and executing on TWC’s operating plan or a potential sale to Charter Communications Inc., which is referred to in this joint proxy statement/prospectus as Charter, and the assessment of the TWC board of directors that no other alternatives reasonably available to TWC were likely to create greater value for TWC stockholders than the merger;</w:t>
      </w:r>
    </w:p>
    <w:p>
      <w:pPr>
        <w:spacing w:after="0" w:line="52" w:lineRule="exact"/>
        <w:rPr>
          <w:rFonts w:ascii="Arial" w:cs="Arial" w:eastAsia="Arial" w:hAnsi="Arial"/>
          <w:sz w:val="15"/>
          <w:szCs w:val="15"/>
          <w:color w:val="auto"/>
        </w:rPr>
      </w:pPr>
    </w:p>
    <w:p>
      <w:pPr>
        <w:ind w:left="900" w:right="160" w:hanging="332"/>
        <w:spacing w:after="0" w:line="28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0" w:lineRule="exact"/>
        <w:rPr>
          <w:rFonts w:ascii="Arial" w:cs="Arial" w:eastAsia="Arial" w:hAnsi="Arial"/>
          <w:sz w:val="16"/>
          <w:szCs w:val="16"/>
          <w:color w:val="auto"/>
        </w:rPr>
      </w:pPr>
    </w:p>
    <w:p>
      <w:pPr>
        <w:ind w:left="900" w:right="40" w:hanging="332"/>
        <w:spacing w:after="0" w:line="30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54" w:lineRule="exact"/>
        <w:rPr>
          <w:rFonts w:ascii="Arial" w:cs="Arial" w:eastAsia="Arial" w:hAnsi="Arial"/>
          <w:sz w:val="16"/>
          <w:szCs w:val="16"/>
          <w:color w:val="auto"/>
        </w:rPr>
      </w:pPr>
    </w:p>
    <w:p>
      <w:pPr>
        <w:ind w:left="900" w:hanging="332"/>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potential risks for TWC as a stand-alone company in a consolidating industry;</w:t>
      </w:r>
    </w:p>
    <w:p>
      <w:pPr>
        <w:spacing w:after="0" w:line="119" w:lineRule="exact"/>
        <w:rPr>
          <w:rFonts w:ascii="Arial" w:cs="Arial" w:eastAsia="Arial" w:hAnsi="Arial"/>
          <w:sz w:val="17"/>
          <w:szCs w:val="17"/>
          <w:color w:val="auto"/>
        </w:rPr>
      </w:pPr>
    </w:p>
    <w:p>
      <w:pPr>
        <w:ind w:left="900" w:right="60" w:hanging="332"/>
        <w:spacing w:after="0" w:line="299" w:lineRule="auto"/>
        <w:tabs>
          <w:tab w:leader="none" w:pos="9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61" w:lineRule="exact"/>
        <w:rPr>
          <w:rFonts w:ascii="Arial" w:cs="Arial" w:eastAsia="Arial" w:hAnsi="Arial"/>
          <w:sz w:val="15"/>
          <w:szCs w:val="15"/>
          <w:color w:val="auto"/>
        </w:rPr>
      </w:pPr>
    </w:p>
    <w:p>
      <w:pPr>
        <w:ind w:left="900" w:right="120" w:hanging="332"/>
        <w:spacing w:after="0" w:line="30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39"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80"/>
        <w:spacing w:after="0" w:line="302" w:lineRule="auto"/>
        <w:rPr>
          <w:sz w:val="20"/>
          <w:szCs w:val="20"/>
          <w:color w:val="auto"/>
        </w:rPr>
      </w:pPr>
      <w:r>
        <w:rPr>
          <w:rFonts w:ascii="Arial" w:cs="Arial" w:eastAsia="Arial" w:hAnsi="Arial"/>
          <w:sz w:val="16"/>
          <w:szCs w:val="16"/>
          <w:color w:val="auto"/>
        </w:rPr>
        <w:t>consideration to an implied nominal value of $158.82 per share of TWC common stock, as of February 12, 2014, from Comcast’s initial proposal of $150 per share, as described under “—Background of the Merger” beginning on page [—] of this joint proxy statement/prospectus;</w:t>
      </w:r>
    </w:p>
    <w:p>
      <w:pPr>
        <w:spacing w:after="0" w:line="54" w:lineRule="exact"/>
        <w:rPr>
          <w:sz w:val="20"/>
          <w:szCs w:val="20"/>
          <w:color w:val="auto"/>
        </w:rPr>
      </w:pPr>
    </w:p>
    <w:p>
      <w:pPr>
        <w:ind w:left="900" w:right="280" w:hanging="332"/>
        <w:spacing w:after="0" w:line="253"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92" w:lineRule="exact"/>
        <w:rPr>
          <w:rFonts w:ascii="Arial" w:cs="Arial" w:eastAsia="Arial" w:hAnsi="Arial"/>
          <w:sz w:val="17"/>
          <w:szCs w:val="17"/>
          <w:color w:val="auto"/>
        </w:rPr>
      </w:pPr>
    </w:p>
    <w:p>
      <w:pPr>
        <w:ind w:left="900" w:hanging="332"/>
        <w:spacing w:after="0" w:line="255"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89" w:lineRule="exact"/>
        <w:rPr>
          <w:rFonts w:ascii="Arial" w:cs="Arial" w:eastAsia="Arial" w:hAnsi="Arial"/>
          <w:sz w:val="17"/>
          <w:szCs w:val="17"/>
          <w:color w:val="auto"/>
        </w:rPr>
      </w:pPr>
    </w:p>
    <w:p>
      <w:pPr>
        <w:ind w:left="900" w:hanging="332"/>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historical trading prices of TWC common stock and Comcast Class A common stock;</w:t>
      </w:r>
    </w:p>
    <w:p>
      <w:pPr>
        <w:spacing w:after="0" w:line="119" w:lineRule="exact"/>
        <w:rPr>
          <w:rFonts w:ascii="Arial" w:cs="Arial" w:eastAsia="Arial" w:hAnsi="Arial"/>
          <w:sz w:val="17"/>
          <w:szCs w:val="17"/>
          <w:color w:val="auto"/>
        </w:rPr>
      </w:pPr>
    </w:p>
    <w:p>
      <w:pPr>
        <w:ind w:left="900" w:right="40" w:hanging="332"/>
        <w:spacing w:after="0" w:line="258"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88" w:lineRule="exact"/>
        <w:rPr>
          <w:rFonts w:ascii="Arial" w:cs="Arial" w:eastAsia="Arial" w:hAnsi="Arial"/>
          <w:sz w:val="17"/>
          <w:szCs w:val="17"/>
          <w:color w:val="auto"/>
        </w:rPr>
      </w:pPr>
    </w:p>
    <w:p>
      <w:pPr>
        <w:ind w:left="900" w:right="120" w:hanging="332"/>
        <w:spacing w:after="0" w:line="270"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opportunity for TWC stockholders to benefit from any increase in the trading price of shares of Comcast Class A common stock prior to completion of the merger based upon the fixed exchange ratio;</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fact that the merger is expected to be completed as a tax-free reorganization for the purposes of U.S. federal income tax;</w:t>
      </w:r>
    </w:p>
    <w:p>
      <w:pPr>
        <w:spacing w:after="0" w:line="119" w:lineRule="exact"/>
        <w:rPr>
          <w:rFonts w:ascii="Arial" w:cs="Arial" w:eastAsia="Arial" w:hAnsi="Arial"/>
          <w:sz w:val="17"/>
          <w:szCs w:val="17"/>
          <w:color w:val="auto"/>
        </w:rPr>
      </w:pPr>
    </w:p>
    <w:p>
      <w:pPr>
        <w:ind w:left="900" w:hanging="332"/>
        <w:spacing w:after="0" w:line="292" w:lineRule="auto"/>
        <w:tabs>
          <w:tab w:leader="none" w:pos="9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joint financial presentation of TWC’s financial advisors, Allen &amp; Company, Citi and Morgan Stanley, the separate financial presentation of Centerview, the additional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 and [—], respectively, of this joint proxy statement/prospectus;</w:t>
      </w:r>
    </w:p>
    <w:p>
      <w:pPr>
        <w:spacing w:after="0" w:line="65" w:lineRule="exact"/>
        <w:rPr>
          <w:rFonts w:ascii="Arial" w:cs="Arial" w:eastAsia="Arial" w:hAnsi="Arial"/>
          <w:sz w:val="15"/>
          <w:szCs w:val="15"/>
          <w:color w:val="auto"/>
        </w:rPr>
      </w:pPr>
    </w:p>
    <w:p>
      <w:pPr>
        <w:ind w:left="900" w:right="660" w:hanging="332"/>
        <w:spacing w:after="0" w:line="338" w:lineRule="auto"/>
        <w:tabs>
          <w:tab w:leader="none" w:pos="9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31" w:lineRule="exact"/>
        <w:rPr>
          <w:rFonts w:ascii="Arial" w:cs="Arial" w:eastAsia="Arial" w:hAnsi="Arial"/>
          <w:sz w:val="15"/>
          <w:szCs w:val="15"/>
          <w:color w:val="auto"/>
        </w:rPr>
      </w:pPr>
    </w:p>
    <w:p>
      <w:pPr>
        <w:ind w:left="900" w:right="160" w:hanging="332"/>
        <w:spacing w:after="0" w:line="258"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following commitments made by Comcast in the merger agreement with respect to obtaining the regulatory approvals required to complete the merger:</w:t>
      </w:r>
    </w:p>
    <w:p>
      <w:pPr>
        <w:spacing w:after="0" w:line="142" w:lineRule="exact"/>
        <w:rPr>
          <w:rFonts w:ascii="Arial" w:cs="Arial" w:eastAsia="Arial" w:hAnsi="Arial"/>
          <w:sz w:val="15"/>
          <w:szCs w:val="15"/>
          <w:color w:val="auto"/>
        </w:rPr>
      </w:pPr>
    </w:p>
    <w:p>
      <w:pPr>
        <w:ind w:left="1480" w:hanging="458"/>
        <w:spacing w:after="0"/>
        <w:tabs>
          <w:tab w:leader="none" w:pos="148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Comcast’s being prepared to divest up to approximately three million subscribers of the combined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39"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right="860" w:hanging="458"/>
        <w:spacing w:after="0" w:line="270" w:lineRule="auto"/>
        <w:tabs>
          <w:tab w:leader="none" w:pos="148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Comcast’s agreement to the following undertakings (with such modifications as are no more adverse in the aggregate than such agreed undertakings):</w:t>
      </w:r>
    </w:p>
    <w:p>
      <w:pPr>
        <w:spacing w:after="0" w:line="77" w:lineRule="exact"/>
        <w:rPr>
          <w:rFonts w:ascii="Arial" w:cs="Arial" w:eastAsia="Arial" w:hAnsi="Arial"/>
          <w:sz w:val="17"/>
          <w:szCs w:val="17"/>
          <w:color w:val="auto"/>
        </w:rPr>
      </w:pPr>
    </w:p>
    <w:p>
      <w:pPr>
        <w:ind w:left="1940" w:right="40" w:hanging="350"/>
        <w:spacing w:after="0" w:line="255" w:lineRule="auto"/>
        <w:tabs>
          <w:tab w:leader="none" w:pos="194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89" w:lineRule="exact"/>
        <w:rPr>
          <w:rFonts w:ascii="Arial" w:cs="Arial" w:eastAsia="Arial" w:hAnsi="Arial"/>
          <w:sz w:val="17"/>
          <w:szCs w:val="17"/>
          <w:color w:val="auto"/>
        </w:rPr>
      </w:pPr>
    </w:p>
    <w:p>
      <w:pPr>
        <w:ind w:left="1940" w:hanging="350"/>
        <w:spacing w:after="0"/>
        <w:tabs>
          <w:tab w:leader="none" w:pos="1940" w:val="left"/>
        </w:tabs>
        <w:numPr>
          <w:ilvl w:val="2"/>
          <w:numId w:val="132"/>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31" w:lineRule="exact"/>
        <w:rPr>
          <w:rFonts w:ascii="Arial" w:cs="Arial" w:eastAsia="Arial" w:hAnsi="Arial"/>
          <w:sz w:val="16"/>
          <w:szCs w:val="16"/>
          <w:color w:val="auto"/>
        </w:rPr>
      </w:pPr>
    </w:p>
    <w:p>
      <w:pPr>
        <w:ind w:left="1940" w:right="180" w:hanging="350"/>
        <w:spacing w:after="0" w:line="270" w:lineRule="auto"/>
        <w:tabs>
          <w:tab w:leader="none" w:pos="194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extending Comcast’s diversity program to the acquired TWC systems, covering diversity in employment, supplier diversity, programming diversity, and community investment diversity;</w:t>
      </w:r>
    </w:p>
    <w:p>
      <w:pPr>
        <w:spacing w:after="0" w:line="77" w:lineRule="exact"/>
        <w:rPr>
          <w:rFonts w:ascii="Arial" w:cs="Arial" w:eastAsia="Arial" w:hAnsi="Arial"/>
          <w:sz w:val="17"/>
          <w:szCs w:val="17"/>
          <w:color w:val="auto"/>
        </w:rPr>
      </w:pPr>
    </w:p>
    <w:p>
      <w:pPr>
        <w:ind w:left="1480" w:right="360" w:hanging="458"/>
        <w:spacing w:after="0" w:line="309" w:lineRule="auto"/>
        <w:tabs>
          <w:tab w:leader="none" w:pos="1480" w:val="left"/>
        </w:tabs>
        <w:numPr>
          <w:ilvl w:val="1"/>
          <w:numId w:val="132"/>
        </w:numPr>
        <w:rPr>
          <w:rFonts w:ascii="Arial" w:cs="Arial" w:eastAsia="Arial" w:hAnsi="Arial"/>
          <w:sz w:val="15"/>
          <w:szCs w:val="15"/>
          <w:color w:val="auto"/>
        </w:rPr>
      </w:pPr>
      <w:r>
        <w:rPr>
          <w:rFonts w:ascii="Arial" w:cs="Arial" w:eastAsia="Arial" w:hAnsi="Arial"/>
          <w:sz w:val="15"/>
          <w:szCs w:val="15"/>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52" w:lineRule="exact"/>
        <w:rPr>
          <w:rFonts w:ascii="Arial" w:cs="Arial" w:eastAsia="Arial" w:hAnsi="Arial"/>
          <w:sz w:val="15"/>
          <w:szCs w:val="15"/>
          <w:color w:val="auto"/>
        </w:rPr>
      </w:pPr>
    </w:p>
    <w:p>
      <w:pPr>
        <w:ind w:left="900" w:hanging="332"/>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Comcast’s agreement (subject to certain agreed exceptions) not to:</w:t>
      </w:r>
    </w:p>
    <w:p>
      <w:pPr>
        <w:spacing w:after="0" w:line="119" w:lineRule="exact"/>
        <w:rPr>
          <w:rFonts w:ascii="Arial" w:cs="Arial" w:eastAsia="Arial" w:hAnsi="Arial"/>
          <w:sz w:val="17"/>
          <w:szCs w:val="17"/>
          <w:color w:val="auto"/>
        </w:rPr>
      </w:pPr>
    </w:p>
    <w:p>
      <w:pPr>
        <w:ind w:left="1940" w:right="80" w:hanging="350"/>
        <w:spacing w:after="0" w:line="270" w:lineRule="auto"/>
        <w:tabs>
          <w:tab w:leader="none" w:pos="194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enter into agreements (written or oral) with third parties for the divestiture of in excess of 25,000 subscribers in the aggregate until May 23, 2014;</w:t>
      </w:r>
    </w:p>
    <w:p>
      <w:pPr>
        <w:spacing w:after="0" w:line="77" w:lineRule="exact"/>
        <w:rPr>
          <w:rFonts w:ascii="Arial" w:cs="Arial" w:eastAsia="Arial" w:hAnsi="Arial"/>
          <w:sz w:val="17"/>
          <w:szCs w:val="17"/>
          <w:color w:val="auto"/>
        </w:rPr>
      </w:pPr>
    </w:p>
    <w:p>
      <w:pPr>
        <w:ind w:left="1940" w:hanging="350"/>
        <w:spacing w:after="0"/>
        <w:tabs>
          <w:tab w:leader="none" w:pos="194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19" w:lineRule="exact"/>
        <w:rPr>
          <w:rFonts w:ascii="Arial" w:cs="Arial" w:eastAsia="Arial" w:hAnsi="Arial"/>
          <w:sz w:val="17"/>
          <w:szCs w:val="17"/>
          <w:color w:val="auto"/>
        </w:rPr>
      </w:pPr>
    </w:p>
    <w:p>
      <w:pPr>
        <w:ind w:left="1940" w:right="320" w:hanging="350"/>
        <w:spacing w:after="0" w:line="270" w:lineRule="auto"/>
        <w:tabs>
          <w:tab w:leader="none" w:pos="194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have a value, or involve the payment of consideration, in excess of $1 billion;</w:t>
      </w:r>
    </w:p>
    <w:p>
      <w:pPr>
        <w:spacing w:after="0" w:line="77" w:lineRule="exact"/>
        <w:rPr>
          <w:rFonts w:ascii="Arial" w:cs="Arial" w:eastAsia="Arial" w:hAnsi="Arial"/>
          <w:sz w:val="17"/>
          <w:szCs w:val="17"/>
          <w:color w:val="auto"/>
        </w:rPr>
      </w:pPr>
    </w:p>
    <w:p>
      <w:pPr>
        <w:ind w:left="1480" w:right="440" w:hanging="458"/>
        <w:spacing w:after="0" w:line="270" w:lineRule="auto"/>
        <w:tabs>
          <w:tab w:leader="none" w:pos="148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Comcast’s agreement that TWC would have rights to help develop the strategy and to participate in meetings relating to obtaining regulatory approvals required to complete the merger;</w:t>
      </w:r>
    </w:p>
    <w:p>
      <w:pPr>
        <w:spacing w:after="0" w:line="77" w:lineRule="exact"/>
        <w:rPr>
          <w:rFonts w:ascii="Arial" w:cs="Arial" w:eastAsia="Arial" w:hAnsi="Arial"/>
          <w:sz w:val="17"/>
          <w:szCs w:val="17"/>
          <w:color w:val="auto"/>
        </w:rPr>
      </w:pPr>
    </w:p>
    <w:p>
      <w:pPr>
        <w:ind w:left="900" w:right="20" w:hanging="332"/>
        <w:spacing w:after="0" w:line="338" w:lineRule="auto"/>
        <w:tabs>
          <w:tab w:leader="none" w:pos="9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31" w:lineRule="exact"/>
        <w:rPr>
          <w:rFonts w:ascii="Arial" w:cs="Arial" w:eastAsia="Arial" w:hAnsi="Arial"/>
          <w:sz w:val="15"/>
          <w:szCs w:val="15"/>
          <w:color w:val="auto"/>
        </w:rPr>
      </w:pPr>
    </w:p>
    <w:p>
      <w:pPr>
        <w:ind w:left="1480" w:right="120" w:hanging="458"/>
        <w:spacing w:after="0" w:line="299" w:lineRule="auto"/>
        <w:tabs>
          <w:tab w:leader="none" w:pos="1480"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 (ii) certain intervening events not known or reasonably foreseeable to the TWC board of directors or executive officers at or prior to the time the merger agreement was entered into;</w:t>
      </w:r>
    </w:p>
    <w:p>
      <w:pPr>
        <w:spacing w:after="0" w:line="61" w:lineRule="exact"/>
        <w:rPr>
          <w:rFonts w:ascii="Arial" w:cs="Arial" w:eastAsia="Arial" w:hAnsi="Arial"/>
          <w:sz w:val="15"/>
          <w:szCs w:val="15"/>
          <w:color w:val="auto"/>
        </w:rPr>
      </w:pPr>
    </w:p>
    <w:p>
      <w:pPr>
        <w:ind w:left="1480" w:hanging="458"/>
        <w:spacing w:after="0" w:line="302" w:lineRule="auto"/>
        <w:tabs>
          <w:tab w:leader="none" w:pos="14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54" w:lineRule="exact"/>
        <w:rPr>
          <w:rFonts w:ascii="Arial" w:cs="Arial" w:eastAsia="Arial" w:hAnsi="Arial"/>
          <w:sz w:val="16"/>
          <w:szCs w:val="16"/>
          <w:color w:val="auto"/>
        </w:rPr>
      </w:pPr>
    </w:p>
    <w:p>
      <w:pPr>
        <w:ind w:left="1480" w:hanging="458"/>
        <w:spacing w:after="0"/>
        <w:tabs>
          <w:tab w:leader="none" w:pos="148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that no termination fee is payable by TWC under the terms of the merger agreement;</w:t>
      </w:r>
    </w:p>
    <w:p>
      <w:pPr>
        <w:spacing w:after="0" w:line="119" w:lineRule="exact"/>
        <w:rPr>
          <w:rFonts w:ascii="Arial" w:cs="Arial" w:eastAsia="Arial" w:hAnsi="Arial"/>
          <w:sz w:val="17"/>
          <w:szCs w:val="17"/>
          <w:color w:val="auto"/>
        </w:rPr>
      </w:pPr>
    </w:p>
    <w:p>
      <w:pPr>
        <w:ind w:left="900" w:right="300" w:hanging="332"/>
        <w:spacing w:after="0" w:line="258"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439" w:right="2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332"/>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other terms and conditions of the merger agreement and related transaction documents, including, among other things:</w:t>
      </w:r>
    </w:p>
    <w:p>
      <w:pPr>
        <w:spacing w:after="0" w:line="119" w:lineRule="exact"/>
        <w:rPr>
          <w:rFonts w:ascii="Arial" w:cs="Arial" w:eastAsia="Arial" w:hAnsi="Arial"/>
          <w:sz w:val="17"/>
          <w:szCs w:val="17"/>
          <w:color w:val="auto"/>
        </w:rPr>
      </w:pPr>
    </w:p>
    <w:p>
      <w:pPr>
        <w:ind w:left="1480" w:right="60" w:hanging="458"/>
        <w:spacing w:after="0" w:line="338" w:lineRule="auto"/>
        <w:tabs>
          <w:tab w:leader="none" w:pos="148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31" w:lineRule="exact"/>
        <w:rPr>
          <w:rFonts w:ascii="Arial" w:cs="Arial" w:eastAsia="Arial" w:hAnsi="Arial"/>
          <w:sz w:val="15"/>
          <w:szCs w:val="15"/>
          <w:color w:val="auto"/>
        </w:rPr>
      </w:pPr>
    </w:p>
    <w:p>
      <w:pPr>
        <w:ind w:left="1480" w:right="160" w:hanging="458"/>
        <w:spacing w:after="0" w:line="299" w:lineRule="auto"/>
        <w:tabs>
          <w:tab w:leader="none" w:pos="148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the voting agreement from Comcast Class A shareholders and Comcast Class B shareholders representing as of the record date approximately [33.35]%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49"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7" w:lineRule="exact"/>
        <w:rPr>
          <w:sz w:val="20"/>
          <w:szCs w:val="20"/>
          <w:color w:val="auto"/>
        </w:rPr>
      </w:pPr>
    </w:p>
    <w:p>
      <w:pPr>
        <w:ind w:left="900" w:right="40" w:hanging="332"/>
        <w:spacing w:after="0" w:line="276"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74" w:lineRule="exact"/>
        <w:rPr>
          <w:rFonts w:ascii="Arial" w:cs="Arial" w:eastAsia="Arial" w:hAnsi="Arial"/>
          <w:sz w:val="16"/>
          <w:szCs w:val="16"/>
          <w:color w:val="auto"/>
        </w:rPr>
      </w:pPr>
    </w:p>
    <w:p>
      <w:pPr>
        <w:ind w:left="900" w:hanging="332"/>
        <w:spacing w:after="0" w:line="270"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77" w:lineRule="exact"/>
        <w:rPr>
          <w:rFonts w:ascii="Arial" w:cs="Arial" w:eastAsia="Arial" w:hAnsi="Arial"/>
          <w:sz w:val="17"/>
          <w:szCs w:val="17"/>
          <w:color w:val="auto"/>
        </w:rPr>
      </w:pPr>
    </w:p>
    <w:p>
      <w:pPr>
        <w:ind w:left="900" w:right="180" w:hanging="332"/>
        <w:spacing w:after="0" w:line="25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8" w:lineRule="exact"/>
        <w:rPr>
          <w:rFonts w:ascii="Arial" w:cs="Arial" w:eastAsia="Arial" w:hAnsi="Arial"/>
          <w:sz w:val="17"/>
          <w:szCs w:val="17"/>
          <w:color w:val="auto"/>
        </w:rPr>
      </w:pPr>
    </w:p>
    <w:p>
      <w:pPr>
        <w:ind w:left="900" w:right="500" w:hanging="332"/>
        <w:spacing w:after="0" w:line="270"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significant costs involved in connection with entering into the merger and the substantial time and effort of management required to complete the merger, which may disrupt TWC’s business operations;</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risk that synergies may not be realized or may not be captured to the extent and within the time expected;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risks and challenges inherent in the combination of two businesses of the size, scope and complexity of Comcast and TWC;</w:t>
      </w:r>
    </w:p>
    <w:p>
      <w:pPr>
        <w:spacing w:after="0" w:line="119" w:lineRule="exact"/>
        <w:rPr>
          <w:rFonts w:ascii="Arial" w:cs="Arial" w:eastAsia="Arial" w:hAnsi="Arial"/>
          <w:sz w:val="17"/>
          <w:szCs w:val="17"/>
          <w:color w:val="auto"/>
        </w:rPr>
      </w:pPr>
    </w:p>
    <w:p>
      <w:pPr>
        <w:ind w:left="900" w:right="140" w:hanging="332"/>
        <w:spacing w:after="0" w:line="25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 uncertainty regarding whether or not the merger will be completed;</w:t>
      </w:r>
    </w:p>
    <w:p>
      <w:pPr>
        <w:spacing w:after="0" w:line="88" w:lineRule="exact"/>
        <w:rPr>
          <w:rFonts w:ascii="Arial" w:cs="Arial" w:eastAsia="Arial" w:hAnsi="Arial"/>
          <w:sz w:val="17"/>
          <w:szCs w:val="17"/>
          <w:color w:val="auto"/>
        </w:rPr>
      </w:pPr>
    </w:p>
    <w:p>
      <w:pPr>
        <w:ind w:left="900" w:right="140" w:hanging="332"/>
        <w:spacing w:after="0" w:line="25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certain provisions of the merger agreement which could have the effect of discouraging third party offers for TWC, including:</w:t>
      </w:r>
    </w:p>
    <w:p>
      <w:pPr>
        <w:spacing w:after="0" w:line="119" w:lineRule="exact"/>
        <w:rPr>
          <w:rFonts w:ascii="Arial" w:cs="Arial" w:eastAsia="Arial" w:hAnsi="Arial"/>
          <w:sz w:val="17"/>
          <w:szCs w:val="17"/>
          <w:color w:val="auto"/>
        </w:rPr>
      </w:pPr>
    </w:p>
    <w:p>
      <w:pPr>
        <w:ind w:left="1480" w:hanging="458"/>
        <w:spacing w:after="0"/>
        <w:tabs>
          <w:tab w:leader="none" w:pos="14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restriction on TWC’s ability to solicit third party proposals for alternative transactions involving TWC;</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39"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right="360" w:hanging="458"/>
        <w:spacing w:after="0" w:line="270" w:lineRule="auto"/>
        <w:tabs>
          <w:tab w:leader="none" w:pos="14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inability for TWC to terminate the merger agreement in order to accept a “superior” proposal from a third party prior to TWC stockholders voting against adoption of the merger agreement; and</w:t>
      </w:r>
    </w:p>
    <w:p>
      <w:pPr>
        <w:spacing w:after="0" w:line="77" w:lineRule="exact"/>
        <w:rPr>
          <w:rFonts w:ascii="Arial" w:cs="Arial" w:eastAsia="Arial" w:hAnsi="Arial"/>
          <w:sz w:val="17"/>
          <w:szCs w:val="17"/>
          <w:color w:val="auto"/>
        </w:rPr>
      </w:pPr>
    </w:p>
    <w:p>
      <w:pPr>
        <w:ind w:left="1480" w:right="300" w:hanging="458"/>
        <w:spacing w:after="0" w:line="302" w:lineRule="auto"/>
        <w:tabs>
          <w:tab w:leader="none" w:pos="14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4" w:lineRule="exact"/>
        <w:rPr>
          <w:rFonts w:ascii="Arial" w:cs="Arial" w:eastAsia="Arial" w:hAnsi="Arial"/>
          <w:sz w:val="16"/>
          <w:szCs w:val="16"/>
          <w:color w:val="auto"/>
        </w:rPr>
      </w:pPr>
    </w:p>
    <w:p>
      <w:pPr>
        <w:ind w:left="900" w:right="80" w:hanging="332"/>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circumstances in which Comcast may terminate the merger agreement, including if the TWC board of directors changes its recommendation in favor of the merger;</w:t>
      </w:r>
    </w:p>
    <w:p>
      <w:pPr>
        <w:spacing w:after="0" w:line="77" w:lineRule="exact"/>
        <w:rPr>
          <w:rFonts w:ascii="Arial" w:cs="Arial" w:eastAsia="Arial" w:hAnsi="Arial"/>
          <w:sz w:val="17"/>
          <w:szCs w:val="17"/>
          <w:color w:val="auto"/>
        </w:rPr>
      </w:pPr>
    </w:p>
    <w:p>
      <w:pPr>
        <w:ind w:left="900" w:right="420" w:hanging="332"/>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7" w:lineRule="exact"/>
        <w:rPr>
          <w:rFonts w:ascii="Arial" w:cs="Arial" w:eastAsia="Arial" w:hAnsi="Arial"/>
          <w:sz w:val="17"/>
          <w:szCs w:val="17"/>
          <w:color w:val="auto"/>
        </w:rPr>
      </w:pPr>
    </w:p>
    <w:p>
      <w:pPr>
        <w:ind w:left="900" w:right="140" w:hanging="332"/>
        <w:spacing w:after="0" w:line="295" w:lineRule="auto"/>
        <w:tabs>
          <w:tab w:leader="none" w:pos="9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fact that, although TWC stockholders will, immediately following completion of the merger, collectively own approximately [—]% of the outstanding shares of Comcast common stock (representing approximately [—]% of the outstanding shares of Comcast Class A common stock), they will only control approximately [—]%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 of this joint proxy statement/prospectus; and</w:t>
      </w:r>
    </w:p>
    <w:p>
      <w:pPr>
        <w:spacing w:after="0" w:line="62" w:lineRule="exact"/>
        <w:rPr>
          <w:rFonts w:ascii="Arial" w:cs="Arial" w:eastAsia="Arial" w:hAnsi="Arial"/>
          <w:sz w:val="15"/>
          <w:szCs w:val="15"/>
          <w:color w:val="auto"/>
        </w:rPr>
      </w:pPr>
    </w:p>
    <w:p>
      <w:pPr>
        <w:ind w:left="900" w:right="60" w:hanging="332"/>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various other risks associated with the merger and the business of Comcast, TWC and the combined company described under “Risk Factors” beginning on page [—] of this joint proxy statement/prospectus.</w:t>
      </w:r>
    </w:p>
    <w:p>
      <w:pPr>
        <w:spacing w:after="0" w:line="166"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7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 of this joint proxy statement/prospectus.</w:t>
      </w:r>
    </w:p>
    <w:p>
      <w:pPr>
        <w:spacing w:after="0" w:line="17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6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b w:val="1"/>
          <w:bCs w:val="1"/>
          <w:color w:val="auto"/>
        </w:rPr>
        <w:t>THE TWC BOARD OF DIRECTORS UNANIMOUSLY RECOMMENDS THAT TWC STOCKHOLDERS VOTE “FOR” THE ADOPTION OF THE MERGER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39"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Comcast’s Reasons for the Merger; Recommendation of the Comcast Board of Directors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Strategic Factors Considered by the Comcast Board of Directors</w:t>
      </w:r>
      <w:r>
        <w:rPr>
          <w:rFonts w:ascii="Arial" w:cs="Arial" w:eastAsia="Arial" w:hAnsi="Arial"/>
          <w:sz w:val="17"/>
          <w:szCs w:val="17"/>
          <w:color w:val="auto"/>
        </w:rPr>
        <w:t>:</w:t>
      </w:r>
    </w:p>
    <w:p>
      <w:pPr>
        <w:spacing w:after="0" w:line="120" w:lineRule="exact"/>
        <w:rPr>
          <w:sz w:val="20"/>
          <w:szCs w:val="20"/>
          <w:color w:val="auto"/>
        </w:rPr>
      </w:pPr>
    </w:p>
    <w:p>
      <w:pPr>
        <w:ind w:left="900" w:right="180" w:hanging="332"/>
        <w:spacing w:after="0" w:line="253"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Form a Leading Technology and Innovation Company</w:t>
      </w:r>
      <w:r>
        <w:rPr>
          <w:rFonts w:ascii="Arial" w:cs="Arial" w:eastAsia="Arial" w:hAnsi="Arial"/>
          <w:sz w:val="17"/>
          <w:szCs w:val="17"/>
          <w:color w:val="auto"/>
        </w:rPr>
        <w:t>. Comcast believes that the merger will lead to the creation of a leading technology and innovation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will provide consumer benefits and sufficient scale to improve competition between Comcast and more national competitors. Comcast expects that the merger with TWC will result in the accelerated deployment of advanced technology and the development of new and innovative products and services. Additionally, Comcast expects to combine complementary advertising platforms and channels through the merger that will allow it to offer broader and more valuable packages to advertisers.</w:t>
      </w:r>
    </w:p>
    <w:p>
      <w:pPr>
        <w:spacing w:after="0" w:line="92" w:lineRule="exact"/>
        <w:rPr>
          <w:rFonts w:ascii="Arial" w:cs="Arial" w:eastAsia="Arial" w:hAnsi="Arial"/>
          <w:sz w:val="17"/>
          <w:szCs w:val="17"/>
          <w:color w:val="auto"/>
        </w:rPr>
      </w:pPr>
    </w:p>
    <w:p>
      <w:pPr>
        <w:ind w:left="900" w:right="40" w:hanging="332"/>
        <w:spacing w:after="0" w:line="255"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Customer Benefits</w:t>
      </w:r>
      <w:r>
        <w:rPr>
          <w:rFonts w:ascii="Arial" w:cs="Arial" w:eastAsia="Arial" w:hAnsi="Arial"/>
          <w:sz w:val="17"/>
          <w:szCs w:val="17"/>
          <w:color w:val="auto"/>
        </w:rPr>
        <w:t>. Comcast believes that it is a technology leader in broadband, and the acquisition of TWC will allow more customers to benefit from its</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to invest in its high-speed data services.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89" w:lineRule="exact"/>
        <w:rPr>
          <w:rFonts w:ascii="Arial" w:cs="Arial" w:eastAsia="Arial" w:hAnsi="Arial"/>
          <w:sz w:val="17"/>
          <w:szCs w:val="17"/>
          <w:color w:val="auto"/>
        </w:rPr>
      </w:pPr>
    </w:p>
    <w:p>
      <w:pPr>
        <w:ind w:left="900" w:right="140" w:hanging="332"/>
        <w:spacing w:after="0" w:line="267"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Increase Operating Efficiency</w:t>
      </w:r>
      <w:r>
        <w:rPr>
          <w:rFonts w:ascii="Arial" w:cs="Arial" w:eastAsia="Arial" w:hAnsi="Arial"/>
          <w:sz w:val="16"/>
          <w:szCs w:val="16"/>
          <w:color w:val="auto"/>
        </w:rPr>
        <w:t>. The transaction is expected to generate significant cost savings and other operating efficiencies, by leveraging Comcast’s</w:t>
      </w:r>
      <w:r>
        <w:rPr>
          <w:rFonts w:ascii="Arial" w:cs="Arial" w:eastAsia="Arial" w:hAnsi="Arial"/>
          <w:sz w:val="16"/>
          <w:szCs w:val="16"/>
          <w:i w:val="1"/>
          <w:iCs w:val="1"/>
          <w:color w:val="auto"/>
        </w:rPr>
        <w:t xml:space="preserve"> </w:t>
      </w:r>
      <w:r>
        <w:rPr>
          <w:rFonts w:ascii="Arial" w:cs="Arial" w:eastAsia="Arial" w:hAnsi="Arial"/>
          <w:sz w:val="16"/>
          <w:szCs w:val="16"/>
          <w:color w:val="auto"/>
        </w:rPr>
        <w:t>and TWC’s combined platform to create economies of scale.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 and [—], respectively, of this joint proxy statement/prospectus.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Factors Considered by the Comcast Board of Directors</w:t>
      </w:r>
      <w:r>
        <w:rPr>
          <w:rFonts w:ascii="Arial" w:cs="Arial" w:eastAsia="Arial" w:hAnsi="Arial"/>
          <w:sz w:val="17"/>
          <w:szCs w:val="17"/>
          <w:color w:val="auto"/>
        </w:rPr>
        <w:t>:</w:t>
      </w:r>
    </w:p>
    <w:p>
      <w:pPr>
        <w:spacing w:after="0" w:line="120" w:lineRule="exact"/>
        <w:rPr>
          <w:sz w:val="20"/>
          <w:szCs w:val="20"/>
          <w:color w:val="auto"/>
        </w:rPr>
      </w:pPr>
    </w:p>
    <w:p>
      <w:pPr>
        <w:ind w:left="900" w:hanging="332"/>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TWC;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Comcast;</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results of management’s due diligence investigation of TWC and the reputation, business practices and experience of TWC and its management;</w:t>
      </w:r>
    </w:p>
    <w:p>
      <w:pPr>
        <w:spacing w:after="0" w:line="142" w:lineRule="exact"/>
        <w:rPr>
          <w:rFonts w:ascii="Arial" w:cs="Arial" w:eastAsia="Arial" w:hAnsi="Arial"/>
          <w:sz w:val="15"/>
          <w:szCs w:val="15"/>
          <w:color w:val="auto"/>
        </w:rPr>
      </w:pPr>
    </w:p>
    <w:p>
      <w:pPr>
        <w:ind w:left="900" w:hanging="332"/>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historical trading prices of TWC common stock and Comcast Class A common stock;</w:t>
      </w:r>
    </w:p>
    <w:p>
      <w:pPr>
        <w:spacing w:after="0" w:line="119" w:lineRule="exact"/>
        <w:rPr>
          <w:rFonts w:ascii="Arial" w:cs="Arial" w:eastAsia="Arial" w:hAnsi="Arial"/>
          <w:sz w:val="17"/>
          <w:szCs w:val="17"/>
          <w:color w:val="auto"/>
        </w:rPr>
      </w:pPr>
    </w:p>
    <w:p>
      <w:pPr>
        <w:ind w:left="900" w:right="380" w:hanging="332"/>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review by the Comcast board of directors with its legal and financial advisors of the structure of the merger and the financial and other terms of the merger agreement;</w:t>
      </w:r>
    </w:p>
    <w:p>
      <w:pPr>
        <w:spacing w:after="0" w:line="77" w:lineRule="exact"/>
        <w:rPr>
          <w:rFonts w:ascii="Arial" w:cs="Arial" w:eastAsia="Arial" w:hAnsi="Arial"/>
          <w:sz w:val="17"/>
          <w:szCs w:val="17"/>
          <w:color w:val="auto"/>
        </w:rPr>
      </w:pPr>
    </w:p>
    <w:p>
      <w:pPr>
        <w:ind w:left="900" w:right="100" w:hanging="332"/>
        <w:spacing w:after="0" w:line="258"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39"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20" w:hanging="332"/>
        <w:spacing w:after="0" w:line="338" w:lineRule="auto"/>
        <w:tabs>
          <w:tab w:leader="none" w:pos="9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31" w:lineRule="exact"/>
        <w:rPr>
          <w:rFonts w:ascii="Arial" w:cs="Arial" w:eastAsia="Arial" w:hAnsi="Arial"/>
          <w:sz w:val="15"/>
          <w:szCs w:val="15"/>
          <w:color w:val="auto"/>
        </w:rPr>
      </w:pPr>
    </w:p>
    <w:p>
      <w:pPr>
        <w:ind w:left="900" w:right="40" w:hanging="332"/>
        <w:spacing w:after="0" w:line="285" w:lineRule="auto"/>
        <w:tabs>
          <w:tab w:leader="none" w:pos="9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77" w:lineRule="exact"/>
        <w:rPr>
          <w:rFonts w:ascii="Arial" w:cs="Arial" w:eastAsia="Arial" w:hAnsi="Arial"/>
          <w:sz w:val="15"/>
          <w:szCs w:val="15"/>
          <w:color w:val="auto"/>
        </w:rPr>
      </w:pPr>
    </w:p>
    <w:p>
      <w:pPr>
        <w:ind w:left="900" w:hanging="332"/>
        <w:spacing w:after="0" w:line="258"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8" w:lineRule="exact"/>
        <w:rPr>
          <w:rFonts w:ascii="Arial" w:cs="Arial" w:eastAsia="Arial" w:hAnsi="Arial"/>
          <w:sz w:val="17"/>
          <w:szCs w:val="17"/>
          <w:color w:val="auto"/>
        </w:rPr>
      </w:pPr>
    </w:p>
    <w:p>
      <w:pPr>
        <w:ind w:left="900" w:right="100" w:hanging="332"/>
        <w:spacing w:after="0" w:line="258"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8" w:lineRule="exact"/>
        <w:rPr>
          <w:rFonts w:ascii="Arial" w:cs="Arial" w:eastAsia="Arial" w:hAnsi="Arial"/>
          <w:sz w:val="17"/>
          <w:szCs w:val="17"/>
          <w:color w:val="auto"/>
        </w:rPr>
      </w:pPr>
    </w:p>
    <w:p>
      <w:pPr>
        <w:ind w:left="900" w:right="20" w:hanging="332"/>
        <w:spacing w:after="0" w:line="253"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“—Opinion of Comcast’s Financial Advisor,” beginning on page [—] of this joint proxy statement/prospectus.</w:t>
      </w:r>
    </w:p>
    <w:p>
      <w:pPr>
        <w:spacing w:after="0" w:line="180" w:lineRule="exact"/>
        <w:rPr>
          <w:sz w:val="20"/>
          <w:szCs w:val="20"/>
          <w:color w:val="auto"/>
        </w:rPr>
      </w:pPr>
    </w:p>
    <w:p>
      <w:pPr>
        <w:ind w:right="760" w:firstLine="457"/>
        <w:spacing w:after="0" w:line="270" w:lineRule="auto"/>
        <w:rPr>
          <w:sz w:val="20"/>
          <w:szCs w:val="20"/>
          <w:color w:val="auto"/>
        </w:rPr>
      </w:pPr>
      <w:r>
        <w:rPr>
          <w:rFonts w:ascii="Arial" w:cs="Arial" w:eastAsia="Arial" w:hAnsi="Arial"/>
          <w:sz w:val="17"/>
          <w:szCs w:val="17"/>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7" w:lineRule="exact"/>
        <w:rPr>
          <w:sz w:val="20"/>
          <w:szCs w:val="20"/>
          <w:color w:val="auto"/>
        </w:rPr>
      </w:pPr>
    </w:p>
    <w:p>
      <w:pPr>
        <w:ind w:left="900" w:hanging="332"/>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dilution associated with the issuance of Comcast Class A common stock in connection with the merger;</w:t>
      </w:r>
    </w:p>
    <w:p>
      <w:pPr>
        <w:spacing w:after="0" w:line="119" w:lineRule="exact"/>
        <w:rPr>
          <w:rFonts w:ascii="Arial" w:cs="Arial" w:eastAsia="Arial" w:hAnsi="Arial"/>
          <w:sz w:val="17"/>
          <w:szCs w:val="17"/>
          <w:color w:val="auto"/>
        </w:rPr>
      </w:pPr>
    </w:p>
    <w:p>
      <w:pPr>
        <w:ind w:left="900" w:right="60" w:hanging="332"/>
        <w:spacing w:after="0" w:line="258"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39"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80" w:hanging="332"/>
        <w:spacing w:after="0" w:line="28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70" w:lineRule="exact"/>
        <w:rPr>
          <w:rFonts w:ascii="Arial" w:cs="Arial" w:eastAsia="Arial" w:hAnsi="Arial"/>
          <w:sz w:val="16"/>
          <w:szCs w:val="16"/>
          <w:color w:val="auto"/>
        </w:rPr>
      </w:pPr>
    </w:p>
    <w:p>
      <w:pPr>
        <w:ind w:left="900" w:right="120" w:hanging="332"/>
        <w:spacing w:after="0" w:line="270"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risk that the merger may not be completed and the fact that Comcast will incur substantial costs in connection with the merger even if the merger is not ultimately completed;</w:t>
      </w:r>
    </w:p>
    <w:p>
      <w:pPr>
        <w:spacing w:after="0" w:line="77" w:lineRule="exact"/>
        <w:rPr>
          <w:rFonts w:ascii="Arial" w:cs="Arial" w:eastAsia="Arial" w:hAnsi="Arial"/>
          <w:sz w:val="17"/>
          <w:szCs w:val="17"/>
          <w:color w:val="auto"/>
        </w:rPr>
      </w:pPr>
    </w:p>
    <w:p>
      <w:pPr>
        <w:ind w:left="900" w:right="220" w:hanging="332"/>
        <w:spacing w:after="0" w:line="270"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7" w:lineRule="exact"/>
        <w:rPr>
          <w:rFonts w:ascii="Arial" w:cs="Arial" w:eastAsia="Arial" w:hAnsi="Arial"/>
          <w:sz w:val="17"/>
          <w:szCs w:val="17"/>
          <w:color w:val="auto"/>
        </w:rPr>
      </w:pPr>
    </w:p>
    <w:p>
      <w:pPr>
        <w:ind w:left="900" w:right="140" w:hanging="332"/>
        <w:spacing w:after="0" w:line="270"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7" w:lineRule="exact"/>
        <w:rPr>
          <w:rFonts w:ascii="Arial" w:cs="Arial" w:eastAsia="Arial" w:hAnsi="Arial"/>
          <w:sz w:val="17"/>
          <w:szCs w:val="17"/>
          <w:color w:val="auto"/>
        </w:rPr>
      </w:pPr>
    </w:p>
    <w:p>
      <w:pPr>
        <w:ind w:left="900" w:right="240" w:hanging="332"/>
        <w:spacing w:after="0" w:line="30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54" w:lineRule="exact"/>
        <w:rPr>
          <w:rFonts w:ascii="Arial" w:cs="Arial" w:eastAsia="Arial" w:hAnsi="Arial"/>
          <w:sz w:val="16"/>
          <w:szCs w:val="16"/>
          <w:color w:val="auto"/>
        </w:rPr>
      </w:pPr>
    </w:p>
    <w:p>
      <w:pPr>
        <w:ind w:left="900" w:right="460" w:hanging="332"/>
        <w:spacing w:after="0" w:line="30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4" w:lineRule="exact"/>
        <w:rPr>
          <w:rFonts w:ascii="Arial" w:cs="Arial" w:eastAsia="Arial" w:hAnsi="Arial"/>
          <w:sz w:val="16"/>
          <w:szCs w:val="16"/>
          <w:color w:val="auto"/>
        </w:rPr>
      </w:pPr>
    </w:p>
    <w:p>
      <w:pPr>
        <w:ind w:left="900" w:hanging="332"/>
        <w:spacing w:after="0"/>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risk that certain key employees of Comcast or TWC might not choose to remain with the combined company; and</w:t>
      </w:r>
    </w:p>
    <w:p>
      <w:pPr>
        <w:spacing w:after="0" w:line="119" w:lineRule="exact"/>
        <w:rPr>
          <w:rFonts w:ascii="Arial" w:cs="Arial" w:eastAsia="Arial" w:hAnsi="Arial"/>
          <w:sz w:val="17"/>
          <w:szCs w:val="17"/>
          <w:color w:val="auto"/>
        </w:rPr>
      </w:pPr>
    </w:p>
    <w:p>
      <w:pPr>
        <w:ind w:left="900" w:right="20" w:hanging="332"/>
        <w:spacing w:after="0" w:line="270"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various other risks associated with the merger and the business of Comcast, TWC and the combined company described under “Risk Factors,” beginning on page [—] of this joint proxy statement/prospectus.</w:t>
      </w:r>
    </w:p>
    <w:p>
      <w:pPr>
        <w:spacing w:after="0" w:line="166"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77"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 of this joint proxy statement/prospectus.</w:t>
      </w:r>
    </w:p>
    <w:p>
      <w:pPr>
        <w:spacing w:after="0" w:line="177" w:lineRule="exact"/>
        <w:rPr>
          <w:sz w:val="20"/>
          <w:szCs w:val="20"/>
          <w:color w:val="auto"/>
        </w:rPr>
      </w:pPr>
    </w:p>
    <w:p>
      <w:pPr>
        <w:ind w:right="100" w:firstLine="457"/>
        <w:spacing w:after="0" w:line="288" w:lineRule="auto"/>
        <w:rPr>
          <w:sz w:val="20"/>
          <w:szCs w:val="20"/>
          <w:color w:val="auto"/>
        </w:rPr>
      </w:pPr>
      <w:r>
        <w:rPr>
          <w:rFonts w:ascii="Arial" w:cs="Arial" w:eastAsia="Arial" w:hAnsi="Arial"/>
          <w:sz w:val="15"/>
          <w:szCs w:val="15"/>
          <w:color w:val="auto"/>
        </w:rPr>
        <w:t>The above discussion of the material factors considered by the Comcast board of directors in its consideration of the merger and the transactions contemplated by the merger agreement is not intended to be 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56"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b w:val="1"/>
          <w:bCs w:val="1"/>
          <w:color w:val="auto"/>
        </w:rPr>
        <w:t>THE COMCAST BOARD OF DIRECTORS UNANIMOUSLY RECOMMENDS THAT COMCAST SHAREHOLDERS VOTE “FOR” THE STOCK ISSUANCE.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39"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of TWC’s Financial Advisors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Allen &amp; Company LLC</w:t>
      </w:r>
    </w:p>
    <w:p>
      <w:pPr>
        <w:spacing w:after="0" w:line="107"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1" w:lineRule="exact"/>
        <w:rPr>
          <w:sz w:val="20"/>
          <w:szCs w:val="20"/>
          <w:color w:val="auto"/>
        </w:rPr>
      </w:pPr>
    </w:p>
    <w:p>
      <w:pPr>
        <w:ind w:right="80" w:firstLine="457"/>
        <w:spacing w:after="0" w:line="268"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 intended for the benefit</w:t>
      </w:r>
      <w:r>
        <w:rPr>
          <w:rFonts w:ascii="Arial" w:cs="Arial" w:eastAsia="Arial" w:hAnsi="Arial"/>
          <w:sz w:val="16"/>
          <w:szCs w:val="16"/>
          <w:color w:val="auto"/>
        </w:rPr>
        <w:t xml:space="preserve"> </w:t>
      </w:r>
      <w:r>
        <w:rPr>
          <w:rFonts w:ascii="Arial" w:cs="Arial" w:eastAsia="Arial" w:hAnsi="Arial"/>
          <w:sz w:val="16"/>
          <w:szCs w:val="16"/>
          <w:b w:val="1"/>
          <w:bCs w:val="1"/>
          <w:color w:val="auto"/>
        </w:rPr>
        <w:t>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72"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 fully described below. In arriving at its opinion, Allen &amp; Company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Allen &amp; Company, among other things:</w:t>
      </w:r>
    </w:p>
    <w:p>
      <w:pPr>
        <w:spacing w:after="0" w:line="120" w:lineRule="exact"/>
        <w:rPr>
          <w:sz w:val="20"/>
          <w:szCs w:val="20"/>
          <w:color w:val="auto"/>
        </w:rPr>
      </w:pPr>
    </w:p>
    <w:p>
      <w:pPr>
        <w:ind w:left="900" w:hanging="332"/>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31" w:lineRule="exact"/>
        <w:rPr>
          <w:rFonts w:ascii="Arial" w:cs="Arial" w:eastAsia="Arial" w:hAnsi="Arial"/>
          <w:sz w:val="16"/>
          <w:szCs w:val="16"/>
          <w:color w:val="auto"/>
        </w:rPr>
      </w:pPr>
    </w:p>
    <w:p>
      <w:pPr>
        <w:ind w:left="900" w:right="520" w:hanging="332"/>
        <w:spacing w:after="0" w:line="30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4" w:lineRule="exact"/>
        <w:rPr>
          <w:rFonts w:ascii="Arial" w:cs="Arial" w:eastAsia="Arial" w:hAnsi="Arial"/>
          <w:sz w:val="16"/>
          <w:szCs w:val="16"/>
          <w:color w:val="auto"/>
        </w:rPr>
      </w:pPr>
    </w:p>
    <w:p>
      <w:pPr>
        <w:ind w:left="900" w:hanging="332"/>
        <w:spacing w:after="0" w:line="258"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8" w:lineRule="exact"/>
        <w:rPr>
          <w:rFonts w:ascii="Arial" w:cs="Arial" w:eastAsia="Arial" w:hAnsi="Arial"/>
          <w:sz w:val="17"/>
          <w:szCs w:val="17"/>
          <w:color w:val="auto"/>
        </w:rPr>
      </w:pPr>
    </w:p>
    <w:p>
      <w:pPr>
        <w:ind w:left="900" w:right="60" w:hanging="332"/>
        <w:spacing w:after="0" w:line="270"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held discussions with the managements of TWC and Comcast relating to the past and current operations and financial condition and prospects of TWC and Comcast;</w:t>
      </w:r>
    </w:p>
    <w:p>
      <w:pPr>
        <w:spacing w:after="0" w:line="77" w:lineRule="exact"/>
        <w:rPr>
          <w:rFonts w:ascii="Arial" w:cs="Arial" w:eastAsia="Arial" w:hAnsi="Arial"/>
          <w:sz w:val="17"/>
          <w:szCs w:val="17"/>
          <w:color w:val="auto"/>
        </w:rPr>
      </w:pPr>
    </w:p>
    <w:p>
      <w:pPr>
        <w:ind w:left="900" w:right="460" w:hanging="332"/>
        <w:spacing w:after="0" w:line="270"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reviewed the strategic rationale for the merger and certain information relating to potential cost savings anticipated by the managements of TWC and Comcast to result from the merger;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39" w:right="25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320" w:hanging="332"/>
        <w:spacing w:after="0" w:line="270"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77" w:lineRule="exact"/>
        <w:rPr>
          <w:rFonts w:ascii="Arial" w:cs="Arial" w:eastAsia="Arial" w:hAnsi="Arial"/>
          <w:sz w:val="17"/>
          <w:szCs w:val="17"/>
          <w:color w:val="auto"/>
        </w:rPr>
      </w:pPr>
    </w:p>
    <w:p>
      <w:pPr>
        <w:ind w:left="900" w:right="60" w:hanging="332"/>
        <w:spacing w:after="0" w:line="270"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7" w:lineRule="exact"/>
        <w:rPr>
          <w:rFonts w:ascii="Arial" w:cs="Arial" w:eastAsia="Arial" w:hAnsi="Arial"/>
          <w:sz w:val="17"/>
          <w:szCs w:val="17"/>
          <w:color w:val="auto"/>
        </w:rPr>
      </w:pPr>
    </w:p>
    <w:p>
      <w:pPr>
        <w:ind w:left="900" w:right="200" w:hanging="332"/>
        <w:spacing w:after="0" w:line="270"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reviewed certain publicly available financial information relating to selected transactions that Allen &amp; Company deemed generally relevant in evaluating the merger; and</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20" w:lineRule="exact"/>
        <w:rPr>
          <w:sz w:val="20"/>
          <w:szCs w:val="20"/>
          <w:color w:val="auto"/>
        </w:rPr>
      </w:pPr>
    </w:p>
    <w:p>
      <w:pPr>
        <w:ind w:firstLine="457"/>
        <w:spacing w:after="0" w:line="281" w:lineRule="auto"/>
        <w:rPr>
          <w:sz w:val="20"/>
          <w:szCs w:val="20"/>
          <w:color w:val="auto"/>
        </w:rPr>
      </w:pPr>
      <w:r>
        <w:rPr>
          <w:rFonts w:ascii="Arial" w:cs="Arial" w:eastAsia="Arial" w:hAnsi="Arial"/>
          <w:sz w:val="15"/>
          <w:szCs w:val="15"/>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 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 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w:t>
      </w:r>
    </w:p>
    <w:p>
      <w:pPr>
        <w:spacing w:after="0" w:line="10" w:lineRule="exact"/>
        <w:rPr>
          <w:sz w:val="20"/>
          <w:szCs w:val="20"/>
          <w:color w:val="auto"/>
        </w:rPr>
      </w:pPr>
    </w:p>
    <w:p>
      <w:pPr>
        <w:ind w:right="100" w:firstLine="1"/>
        <w:spacing w:after="0" w:line="251" w:lineRule="auto"/>
        <w:tabs>
          <w:tab w:leader="none" w:pos="29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82" w:lineRule="exact"/>
        <w:rPr>
          <w:sz w:val="20"/>
          <w:szCs w:val="20"/>
          <w:color w:val="auto"/>
        </w:rPr>
      </w:pPr>
    </w:p>
    <w:p>
      <w:pPr>
        <w:ind w:right="260" w:firstLine="457"/>
        <w:spacing w:after="0" w:line="255"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8" w:lineRule="exact"/>
        <w:rPr>
          <w:sz w:val="20"/>
          <w:szCs w:val="20"/>
          <w:color w:val="auto"/>
        </w:rPr>
      </w:pPr>
    </w:p>
    <w:p>
      <w:pPr>
        <w:ind w:right="200" w:firstLine="457"/>
        <w:spacing w:after="0" w:line="255" w:lineRule="auto"/>
        <w:rPr>
          <w:sz w:val="20"/>
          <w:szCs w:val="20"/>
          <w:color w:val="auto"/>
        </w:rPr>
      </w:pPr>
      <w:r>
        <w:rPr>
          <w:rFonts w:ascii="Arial" w:cs="Arial" w:eastAsia="Arial" w:hAnsi="Arial"/>
          <w:sz w:val="17"/>
          <w:szCs w:val="17"/>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39" w:right="2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77" w:lineRule="exact"/>
        <w:rPr>
          <w:sz w:val="20"/>
          <w:szCs w:val="20"/>
          <w:color w:val="auto"/>
        </w:rPr>
      </w:pPr>
    </w:p>
    <w:p>
      <w:pPr>
        <w:ind w:right="60" w:firstLine="457"/>
        <w:spacing w:after="0" w:line="287" w:lineRule="auto"/>
        <w:rPr>
          <w:sz w:val="20"/>
          <w:szCs w:val="20"/>
          <w:color w:val="auto"/>
        </w:rPr>
      </w:pPr>
      <w:r>
        <w:rPr>
          <w:rFonts w:ascii="Arial" w:cs="Arial" w:eastAsia="Arial" w:hAnsi="Arial"/>
          <w:sz w:val="15"/>
          <w:szCs w:val="15"/>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62" w:lineRule="exact"/>
        <w:rPr>
          <w:sz w:val="20"/>
          <w:szCs w:val="20"/>
          <w:color w:val="auto"/>
        </w:rPr>
      </w:pPr>
    </w:p>
    <w:p>
      <w:pPr>
        <w:ind w:right="120" w:firstLine="457"/>
        <w:spacing w:after="0" w:line="309" w:lineRule="auto"/>
        <w:rPr>
          <w:sz w:val="20"/>
          <w:szCs w:val="20"/>
          <w:color w:val="auto"/>
        </w:rPr>
      </w:pPr>
      <w:r>
        <w:rPr>
          <w:rFonts w:ascii="Arial" w:cs="Arial" w:eastAsia="Arial" w:hAnsi="Arial"/>
          <w:sz w:val="15"/>
          <w:szCs w:val="15"/>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83"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In connection with Allen &amp; Company’s financial advisory services, TWC has agreed to pay Allen &amp; Company an aggregate cash fee of $25 million, a portion of which was payable upon delivery of Allen &amp; Company’s opinion to the TWC board of directors in connection with the merger and $17.5 million of which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 Allen &amp; Company in the past has provided, currently is providing and in the future may provide investment banking services to TWC and Comcast,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60"/>
          </w:cols>
          <w:pgMar w:left="240" w:top="439" w:right="2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Citigroup Global Markets Inc.</w:t>
      </w:r>
    </w:p>
    <w:p>
      <w:pPr>
        <w:spacing w:after="0" w:line="107"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6"/>
          <w:szCs w:val="16"/>
          <w:b w:val="1"/>
          <w:bCs w:val="1"/>
          <w:color w:val="auto"/>
        </w:rPr>
        <w:t>Citi’s opinion was provided for the information of the TWC board of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Citi, among other things:</w:t>
      </w:r>
    </w:p>
    <w:p>
      <w:pPr>
        <w:spacing w:after="0" w:line="120" w:lineRule="exact"/>
        <w:rPr>
          <w:sz w:val="20"/>
          <w:szCs w:val="20"/>
          <w:color w:val="auto"/>
        </w:rPr>
      </w:pPr>
    </w:p>
    <w:p>
      <w:pPr>
        <w:ind w:left="900" w:hanging="332"/>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reviewed a draft, dated February 12, 2014, of the merger agreement;</w:t>
      </w:r>
    </w:p>
    <w:p>
      <w:pPr>
        <w:spacing w:after="0" w:line="119" w:lineRule="exact"/>
        <w:rPr>
          <w:rFonts w:ascii="Arial" w:cs="Arial" w:eastAsia="Arial" w:hAnsi="Arial"/>
          <w:sz w:val="17"/>
          <w:szCs w:val="17"/>
          <w:color w:val="auto"/>
        </w:rPr>
      </w:pPr>
    </w:p>
    <w:p>
      <w:pPr>
        <w:ind w:left="900" w:right="180" w:hanging="332"/>
        <w:spacing w:after="0" w:line="270"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77" w:lineRule="exact"/>
        <w:rPr>
          <w:rFonts w:ascii="Arial" w:cs="Arial" w:eastAsia="Arial" w:hAnsi="Arial"/>
          <w:sz w:val="17"/>
          <w:szCs w:val="17"/>
          <w:color w:val="auto"/>
        </w:rPr>
      </w:pPr>
    </w:p>
    <w:p>
      <w:pPr>
        <w:ind w:left="900" w:right="60" w:hanging="332"/>
        <w:spacing w:after="0" w:line="27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79" w:lineRule="exact"/>
        <w:rPr>
          <w:rFonts w:ascii="Arial" w:cs="Arial" w:eastAsia="Arial" w:hAnsi="Arial"/>
          <w:sz w:val="16"/>
          <w:szCs w:val="16"/>
          <w:color w:val="auto"/>
        </w:rPr>
      </w:pPr>
    </w:p>
    <w:p>
      <w:pPr>
        <w:ind w:left="900" w:right="160" w:hanging="332"/>
        <w:spacing w:after="0" w:line="258"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considered, to the extent publicly available, the financial terms of certain other transactions which Citi considered relevant in evaluating the merger;</w:t>
      </w:r>
    </w:p>
    <w:p>
      <w:pPr>
        <w:spacing w:after="0" w:line="131" w:lineRule="exact"/>
        <w:rPr>
          <w:rFonts w:ascii="Arial" w:cs="Arial" w:eastAsia="Arial" w:hAnsi="Arial"/>
          <w:sz w:val="16"/>
          <w:szCs w:val="16"/>
          <w:color w:val="auto"/>
        </w:rPr>
      </w:pPr>
    </w:p>
    <w:p>
      <w:pPr>
        <w:ind w:left="900" w:right="520" w:hanging="332"/>
        <w:spacing w:after="0" w:line="270"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analyzed certain financial, stock market and other publicly available information relating to the businesses of other companies whose operations Citi considered relevant in evaluating those of TWC and Comcast;</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evaluated certain potential pro forma financial effects of the merger on Comcast; and</w:t>
      </w:r>
    </w:p>
    <w:p>
      <w:pPr>
        <w:spacing w:after="0" w:line="119" w:lineRule="exact"/>
        <w:rPr>
          <w:rFonts w:ascii="Arial" w:cs="Arial" w:eastAsia="Arial" w:hAnsi="Arial"/>
          <w:sz w:val="17"/>
          <w:szCs w:val="17"/>
          <w:color w:val="auto"/>
        </w:rPr>
      </w:pPr>
    </w:p>
    <w:p>
      <w:pPr>
        <w:ind w:left="900" w:right="620" w:hanging="332"/>
        <w:spacing w:after="0" w:line="270"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conducted such other analyses and examinations and considered such other information and financial, economic and market criteria as Citi deemed appropriate in arriving at its opinion.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39"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84" w:lineRule="auto"/>
        <w:rPr>
          <w:sz w:val="20"/>
          <w:szCs w:val="20"/>
          <w:color w:val="auto"/>
        </w:rPr>
      </w:pPr>
      <w:r>
        <w:rPr>
          <w:rFonts w:ascii="Arial" w:cs="Arial" w:eastAsia="Arial" w:hAnsi="Arial"/>
          <w:sz w:val="15"/>
          <w:szCs w:val="15"/>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 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65" w:lineRule="exact"/>
        <w:rPr>
          <w:sz w:val="20"/>
          <w:szCs w:val="20"/>
          <w:color w:val="auto"/>
        </w:rPr>
      </w:pPr>
    </w:p>
    <w:p>
      <w:pPr>
        <w:ind w:firstLine="457"/>
        <w:spacing w:after="0" w:line="282" w:lineRule="auto"/>
        <w:rPr>
          <w:sz w:val="20"/>
          <w:szCs w:val="20"/>
          <w:color w:val="auto"/>
        </w:rPr>
      </w:pPr>
      <w:r>
        <w:rPr>
          <w:rFonts w:ascii="Arial" w:cs="Arial" w:eastAsia="Arial" w:hAnsi="Arial"/>
          <w:sz w:val="15"/>
          <w:szCs w:val="15"/>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w:t>
      </w:r>
    </w:p>
    <w:p>
      <w:pPr>
        <w:spacing w:after="0" w:line="4"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82"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39"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 disclosed to Citi, as of the date of its opinion. The issuance of Citi’s opinion was authorized by Citi’s fairness opinion committee.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160" w:firstLine="457"/>
        <w:spacing w:after="0" w:line="255" w:lineRule="auto"/>
        <w:rPr>
          <w:sz w:val="20"/>
          <w:szCs w:val="20"/>
          <w:color w:val="auto"/>
        </w:rPr>
      </w:pPr>
      <w:r>
        <w:rPr>
          <w:rFonts w:ascii="Arial" w:cs="Arial" w:eastAsia="Arial" w:hAnsi="Arial"/>
          <w:sz w:val="17"/>
          <w:szCs w:val="17"/>
          <w:color w:val="auto"/>
        </w:rPr>
        <w:t>In connection with Citi’s services as TWC’s financial advisor, TWC has agreed to pay Citi an aggregate fee of $36 million, of which a portion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78"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Citi and its affiliates in the past have provided, currently are providing and in the future may provide investment banking and other financial services to TWC, Comcast and/or their respective affiliates unrelated to the proposed transaction,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 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$6.8 million from Comcast. In the ordinary course of business, Citi and its affiliates may actively trade or hold the securities of TWC, Comcast and their respective affiliates for its own account or for the account of its customers and, accordingly, may at any time hold a long or short position in such securities. In addition, Citi and its affiliates (including Citigroup Inc. and its affiliates) may maintain relationships with TWC, Comcast and their respective affiliates.</w:t>
      </w:r>
    </w:p>
    <w:p>
      <w:pPr>
        <w:spacing w:after="0" w:line="157"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Morgan Stanley &amp; Co. LLC</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39"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 xml:space="preserve">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6"/>
          <w:szCs w:val="16"/>
          <w:b w:val="1"/>
          <w:bCs w:val="1"/>
          <w:color w:val="auto"/>
        </w:rPr>
        <w:t>Morgan Stanley’s opinion was</w:t>
      </w:r>
      <w:r>
        <w:rPr>
          <w:rFonts w:ascii="Arial" w:cs="Arial" w:eastAsia="Arial" w:hAnsi="Arial"/>
          <w:sz w:val="16"/>
          <w:szCs w:val="16"/>
          <w:color w:val="auto"/>
        </w:rPr>
        <w:t xml:space="preserve"> </w:t>
      </w:r>
      <w:r>
        <w:rPr>
          <w:rFonts w:ascii="Arial" w:cs="Arial" w:eastAsia="Arial" w:hAnsi="Arial"/>
          <w:sz w:val="16"/>
          <w:szCs w:val="16"/>
          <w:b w:val="1"/>
          <w:bCs w:val="1"/>
          <w:color w:val="auto"/>
        </w:rPr>
        <w:t>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Morgan Stanley, among other things:</w:t>
      </w:r>
    </w:p>
    <w:p>
      <w:pPr>
        <w:spacing w:after="0" w:line="120" w:lineRule="exact"/>
        <w:rPr>
          <w:sz w:val="20"/>
          <w:szCs w:val="20"/>
          <w:color w:val="auto"/>
        </w:rPr>
      </w:pPr>
    </w:p>
    <w:p>
      <w:pPr>
        <w:ind w:left="900" w:hanging="445"/>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TWC;</w:t>
      </w:r>
    </w:p>
    <w:p>
      <w:pPr>
        <w:spacing w:after="0" w:line="119" w:lineRule="exact"/>
        <w:rPr>
          <w:rFonts w:ascii="Arial" w:cs="Arial" w:eastAsia="Arial" w:hAnsi="Arial"/>
          <w:sz w:val="17"/>
          <w:szCs w:val="17"/>
          <w:color w:val="auto"/>
        </w:rPr>
      </w:pPr>
    </w:p>
    <w:p>
      <w:pPr>
        <w:ind w:left="900" w:right="200" w:hanging="445"/>
        <w:spacing w:after="0" w:line="270"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certain financial projections relating to TWC, including certain projections referred to as the TWC Management Case, provided to or discussed with Morgan Stanley by the management of TWC;</w:t>
      </w:r>
    </w:p>
    <w:p>
      <w:pPr>
        <w:spacing w:after="0" w:line="77" w:lineRule="exact"/>
        <w:rPr>
          <w:rFonts w:ascii="Arial" w:cs="Arial" w:eastAsia="Arial" w:hAnsi="Arial"/>
          <w:sz w:val="17"/>
          <w:szCs w:val="17"/>
          <w:color w:val="auto"/>
        </w:rPr>
      </w:pPr>
    </w:p>
    <w:p>
      <w:pPr>
        <w:ind w:left="900" w:right="120" w:hanging="445"/>
        <w:spacing w:after="0" w:line="270"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referred to in the summary of Morgan Stanley’s opinion as the Comcast public projections;</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information relating to certain strategic, financial and operational benefits (including potential cost savings) anticipated from the merger prepared by the managements of TWC and Comcast;</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Comcast’s levered free cash flow per share;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the reported prices and trading activity for TWC common stock and Comcast Class A common stock;</w:t>
      </w:r>
    </w:p>
    <w:p>
      <w:pPr>
        <w:spacing w:after="0" w:line="119" w:lineRule="exact"/>
        <w:rPr>
          <w:rFonts w:ascii="Arial" w:cs="Arial" w:eastAsia="Arial" w:hAnsi="Arial"/>
          <w:sz w:val="17"/>
          <w:szCs w:val="17"/>
          <w:color w:val="auto"/>
        </w:rPr>
      </w:pPr>
    </w:p>
    <w:p>
      <w:pPr>
        <w:ind w:left="900" w:right="100" w:hanging="445"/>
        <w:spacing w:after="0" w:line="302"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the financial terms, to the extent publicly available, of certain comparable acquisition transactions;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31" w:lineRule="exact"/>
        <w:rPr>
          <w:rFonts w:ascii="Arial" w:cs="Arial" w:eastAsia="Arial" w:hAnsi="Arial"/>
          <w:sz w:val="16"/>
          <w:szCs w:val="16"/>
          <w:color w:val="auto"/>
        </w:rPr>
      </w:pPr>
    </w:p>
    <w:p>
      <w:pPr>
        <w:ind w:left="900" w:hanging="445"/>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reviewed a draft, dated February 12, 2014, of the merger agreement;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00"/>
          </w:cols>
          <w:pgMar w:left="240" w:top="439"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firstLine="457"/>
        <w:spacing w:after="0" w:line="284" w:lineRule="auto"/>
        <w:rPr>
          <w:sz w:val="20"/>
          <w:szCs w:val="20"/>
          <w:color w:val="auto"/>
        </w:rPr>
      </w:pPr>
      <w:r>
        <w:rPr>
          <w:rFonts w:ascii="Arial" w:cs="Arial" w:eastAsia="Arial" w:hAnsi="Arial"/>
          <w:sz w:val="15"/>
          <w:szCs w:val="15"/>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 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65"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 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69"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39"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140" w:firstLine="457"/>
        <w:spacing w:after="0" w:line="272" w:lineRule="auto"/>
        <w:rPr>
          <w:sz w:val="20"/>
          <w:szCs w:val="20"/>
          <w:color w:val="auto"/>
        </w:rPr>
      </w:pPr>
      <w:r>
        <w:rPr>
          <w:rFonts w:ascii="Arial" w:cs="Arial" w:eastAsia="Arial" w:hAnsi="Arial"/>
          <w:sz w:val="16"/>
          <w:szCs w:val="16"/>
          <w:color w:val="auto"/>
        </w:rPr>
        <w:t>TWC has agreed to pay Morgan Stanley for its financial advisory services in connection with the merger an aggregate fee of $36 million, of which a portion was payable upon delivery of its opinion and $28.5 million is 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68"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 received for such services aggregate fees of approximately $2.5 million from TWC and approximately $5 million from Comcast. Morgan Stanley may also seek to provide such services to TWC and Comcast in the future and expects to receive fees for the rendering of these services.</w:t>
      </w:r>
    </w:p>
    <w:p>
      <w:pPr>
        <w:spacing w:after="0" w:line="171"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Summary of Joint Financial Analyses</w:t>
      </w:r>
    </w:p>
    <w:p>
      <w:pPr>
        <w:spacing w:after="0" w:line="107"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In connection with the rendering of their respective opinions to the TWC board of directors, Allen &amp; Company, Citi and Morgan Stanley jointly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00"/>
          </w:cols>
          <w:pgMar w:left="240" w:top="439"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71" w:lineRule="exact"/>
        <w:rPr>
          <w:sz w:val="20"/>
          <w:szCs w:val="20"/>
          <w:color w:val="auto"/>
        </w:rPr>
      </w:pPr>
    </w:p>
    <w:p>
      <w:pPr>
        <w:ind w:right="160" w:firstLine="457"/>
        <w:spacing w:after="0" w:line="295" w:lineRule="auto"/>
        <w:rPr>
          <w:sz w:val="20"/>
          <w:szCs w:val="20"/>
          <w:color w:val="auto"/>
        </w:rPr>
      </w:pPr>
      <w:r>
        <w:rPr>
          <w:rFonts w:ascii="Arial" w:cs="Arial" w:eastAsia="Arial" w:hAnsi="Arial"/>
          <w:sz w:val="15"/>
          <w:szCs w:val="15"/>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 viewed as determinative of the views of the TWC board of directors or management with respect to the merger or the consideration payable in the merger.</w:t>
      </w:r>
    </w:p>
    <w:p>
      <w:pPr>
        <w:spacing w:after="0" w:line="151"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 xml:space="preserve">The following is a brief summary of the material financial analyses jointly prepared and reviewed with the TWC board of directors in connection with Allen &amp; Company’s, Citi’s and Morgan Stanley’s respective opinions, each dated February 12, 2014. </w:t>
      </w:r>
      <w:r>
        <w:rPr>
          <w:rFonts w:ascii="Arial" w:cs="Arial" w:eastAsia="Arial" w:hAnsi="Arial"/>
          <w:sz w:val="15"/>
          <w:szCs w:val="15"/>
          <w:b w:val="1"/>
          <w:bCs w:val="1"/>
          <w:color w:val="auto"/>
        </w:rPr>
        <w:t>The summary set forth below does not purport to be a complete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description of the financial analyses performed or factors considered by, and underlying 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5"/>
          <w:szCs w:val="15"/>
          <w:color w:val="auto"/>
        </w:rPr>
        <w:t>For purposes of the financial analyses</w:t>
      </w:r>
      <w:r>
        <w:rPr>
          <w:rFonts w:ascii="Arial" w:cs="Arial" w:eastAsia="Arial" w:hAnsi="Arial"/>
          <w:sz w:val="15"/>
          <w:szCs w:val="15"/>
          <w:b w:val="1"/>
          <w:bCs w:val="1"/>
          <w:color w:val="auto"/>
        </w:rPr>
        <w:t xml:space="preserve"> </w:t>
      </w:r>
      <w:r>
        <w:rPr>
          <w:rFonts w:ascii="Arial" w:cs="Arial" w:eastAsia="Arial" w:hAnsi="Arial"/>
          <w:sz w:val="15"/>
          <w:szCs w:val="15"/>
          <w:color w:val="auto"/>
        </w:rPr>
        <w:t>described below, (i) earnings before interest, taxes, depreciation and amortization, referred to 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was based on internal financial forecasts and other estimates of the management of TWC, referred to below as TWC management forecasts, and financial data utilized for Comcast in such analyses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00"/>
          </w:cols>
          <w:pgMar w:left="240" w:top="439" w:right="2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Public Companies Analyses</w:t>
      </w:r>
    </w:p>
    <w:p>
      <w:pPr>
        <w:spacing w:after="0" w:line="107" w:lineRule="exact"/>
        <w:rPr>
          <w:sz w:val="20"/>
          <w:szCs w:val="20"/>
          <w:color w:val="auto"/>
        </w:rPr>
      </w:pPr>
    </w:p>
    <w:p>
      <w:pPr>
        <w:ind w:right="200" w:firstLine="457"/>
        <w:spacing w:after="0" w:line="253"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0" w:lineRule="exact"/>
        <w:rPr>
          <w:sz w:val="20"/>
          <w:szCs w:val="20"/>
          <w:color w:val="auto"/>
        </w:rPr>
      </w:pPr>
    </w:p>
    <w:p>
      <w:pPr>
        <w:ind w:right="180" w:firstLine="457"/>
        <w:spacing w:after="0" w:line="282" w:lineRule="auto"/>
        <w:rPr>
          <w:sz w:val="20"/>
          <w:szCs w:val="20"/>
          <w:color w:val="auto"/>
        </w:rPr>
      </w:pPr>
      <w:r>
        <w:rPr>
          <w:rFonts w:ascii="Arial" w:cs="Arial" w:eastAsia="Arial" w:hAnsi="Arial"/>
          <w:sz w:val="16"/>
          <w:szCs w:val="16"/>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the following three selected publicly traded companies in the cable industry, referred to as the TWC selected companies:</w:t>
      </w:r>
    </w:p>
    <w:p>
      <w:pPr>
        <w:spacing w:after="0" w:line="70" w:lineRule="exact"/>
        <w:rPr>
          <w:sz w:val="20"/>
          <w:szCs w:val="20"/>
          <w:color w:val="auto"/>
        </w:rPr>
      </w:pPr>
    </w:p>
    <w:p>
      <w:pPr>
        <w:ind w:left="900" w:hanging="445"/>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Comcast Corporation (cable business)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208" w:lineRule="exact"/>
        <w:rPr>
          <w:sz w:val="20"/>
          <w:szCs w:val="20"/>
          <w:color w:val="auto"/>
        </w:rPr>
      </w:pPr>
    </w:p>
    <w:p>
      <w:pPr>
        <w:ind w:right="100" w:firstLine="457"/>
        <w:spacing w:after="0" w:line="287" w:lineRule="auto"/>
        <w:rPr>
          <w:sz w:val="20"/>
          <w:szCs w:val="20"/>
          <w:color w:val="auto"/>
        </w:rPr>
      </w:pPr>
      <w:r>
        <w:rPr>
          <w:rFonts w:ascii="Arial" w:cs="Arial" w:eastAsia="Arial" w:hAnsi="Arial"/>
          <w:sz w:val="15"/>
          <w:szCs w:val="15"/>
          <w:color w:val="auto"/>
        </w:rPr>
        <w:t>The overall low to high calendar year 2014 estimated EBITDA multiples observed for the TWC selected companies as of February 11, 2014 (the last trading day prior to the date on which the TWC board of directors approved the proposed merger) were 7.9x to 8.9x. The overall low to high next 12 months estimated EBITDA multiples observed for the TWC selected companies as of June 13, 2013 (the last trading day prior to published reports speculating a potential acquisition proposal by Charter for TWC) were 6.0x to 8.2x. Calendar year 2014 estimated EBITDA multiples as of February 11, 2014 and next 12 months estimated EBITDA multiples as of June 13, 2013 observed for TWC were 7.2x and 6.2x, respectively. Observed calendar year 2014 estimated EBITDA multiples as of February 11, 2014 and next 12 months estimated EBITDA multiples as of June 13, 2013 for Comcast’s cable business, which multiples were derived from observed calendar year 2014 estimated EBITDA multiples and next 12 months estimated EBITDA multiples, as the case may be, for Comcast’s non-cable businesses, were 7.9x and 6.0x, respectively. The TWC financial advisors then applied a selected range of estimated EBITDA multiples of 6.25x to 8.00x to TWC’s calendar year 2014 estimated EBITDA. This analysis indicated an approximate implied per share equity value reference range for TWC common stock of $108 to $159.</w:t>
      </w:r>
    </w:p>
    <w:p>
      <w:pPr>
        <w:spacing w:after="0" w:line="16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With respect to Comcast, the TWC financial advisors performed a sum-of-the-parts analysis of Comcast’s cable and non-cable businesses. In evaluating Comcast’s cable business, the TWC financial advisors reviewed estimated EBITDA multiples of TWC, Charter and Cablevision Systems Corporation, referred to as the Comcast selected cable companies, and also reviewed implied EBITDA multiples for Comcast’s cable business as described above. In evaluating Comcast’s non-cable businesses, specifically NBCUniversal and Comcast Spectacor, L.P., the TWC financial advisors reviewed estimated EBITDA multiples of Comcast’s non-cable businesses and the following five selected publicly traded companies in the media content industry, referred to as the Comcast selected content companies:</w:t>
      </w:r>
    </w:p>
    <w:p>
      <w:pPr>
        <w:spacing w:after="0" w:line="62" w:lineRule="exact"/>
        <w:rPr>
          <w:sz w:val="20"/>
          <w:szCs w:val="20"/>
          <w:color w:val="auto"/>
        </w:rPr>
      </w:pPr>
    </w:p>
    <w:p>
      <w:pPr>
        <w:ind w:left="900" w:hanging="445"/>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Viacom Inc.</w:t>
      </w:r>
    </w:p>
    <w:p>
      <w:pPr>
        <w:spacing w:after="0" w:line="208"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overall low to high calendar year 2014 estimated EBITDA multiples observed for the Comcast selected cable companies as of February 11, 2014 were 7.2x to 8.9x. The overall low to high next 12 months estimated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39"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EBITDA multiples observed for the Comcast selected cable companies as of June 13, 2013 were 6.2x to 8.2x. The overall low to high calendar year 2014 estimated EBITDA multiples observed for the Comcast selected content companies were 10.2x to 11.3x (with a median of 11.0x). The TWC financial advisors noted, as described above, that the observed implied calendar year 2014 estimated EBITDA multiples as of February 11, 2014 and next 12 months estimated EBITDA multiples as of June 13, 2013 for Comcast’s cable business were 7.9x and 6.0x, respectively. The TWC financial advisors also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calendar year 2014 estimated EBITDA of Comcast’s cable business and a selected range of estimated EBITDA multiples of 9.00x to 11.00x to the calendar year 2014 estimated EBITDA of Comcast’s non-cable businesses. This analysis indicated an approximate implied per share equity value reference range for Comcast Class A common stock of $42 to $57.</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the approximate implied per share equity value reference ranges for TWC common stock and Comcast Class A common stock described above,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TWC financial advisors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2.575x – 2.802x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189" w:lineRule="exact"/>
        <w:rPr>
          <w:sz w:val="20"/>
          <w:szCs w:val="20"/>
          <w:color w:val="auto"/>
        </w:rPr>
      </w:pPr>
    </w:p>
    <w:p>
      <w:pPr>
        <w:jc w:val="both"/>
        <w:ind w:right="360" w:firstLine="457"/>
        <w:spacing w:after="0" w:line="258" w:lineRule="auto"/>
        <w:rPr>
          <w:sz w:val="20"/>
          <w:szCs w:val="20"/>
          <w:color w:val="auto"/>
        </w:rPr>
      </w:pPr>
      <w:r>
        <w:rPr>
          <w:rFonts w:ascii="Arial" w:cs="Arial" w:eastAsia="Arial" w:hAnsi="Arial"/>
          <w:sz w:val="17"/>
          <w:szCs w:val="17"/>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characteristics and other factors that could affect the public trading or other values of the companies to which TWC and Comcast were compared.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Analyses</w:t>
      </w:r>
    </w:p>
    <w:p>
      <w:pPr>
        <w:spacing w:after="0" w:line="107" w:lineRule="exact"/>
        <w:rPr>
          <w:sz w:val="20"/>
          <w:szCs w:val="20"/>
          <w:color w:val="auto"/>
        </w:rPr>
      </w:pPr>
    </w:p>
    <w:p>
      <w:pPr>
        <w:ind w:right="40" w:firstLine="457"/>
        <w:spacing w:after="0" w:line="288" w:lineRule="auto"/>
        <w:rPr>
          <w:sz w:val="20"/>
          <w:szCs w:val="20"/>
          <w:color w:val="auto"/>
        </w:rPr>
      </w:pPr>
      <w:r>
        <w:rPr>
          <w:rFonts w:ascii="Arial" w:cs="Arial" w:eastAsia="Arial" w:hAnsi="Arial"/>
          <w:sz w:val="15"/>
          <w:szCs w:val="15"/>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The cash flows and terminal values were then discounted to present value (as of December 31, 2013) using discount rates ranging from 6.25% to 7.25% in the case of TWC and 7.00% to 8.00% in the case of Comcast. This analysis resulted in approximate implied per share equity value reference ranges for TWC common stock of $136 to $193 and for Comcast Class A common stock of $50 to $67.</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the approximate implied per share equity value reference ranges for TWC common stock and Comcast Class A common stock described above,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TWC financial advisors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2.717x – 2.895x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Relative Contribution Analysis</w:t>
      </w:r>
    </w:p>
    <w:p>
      <w:pPr>
        <w:spacing w:after="0" w:line="107" w:lineRule="exact"/>
        <w:rPr>
          <w:sz w:val="20"/>
          <w:szCs w:val="20"/>
          <w:color w:val="auto"/>
        </w:rPr>
      </w:pPr>
    </w:p>
    <w:p>
      <w:pPr>
        <w:jc w:val="both"/>
        <w:ind w:right="40" w:firstLine="457"/>
        <w:spacing w:after="0" w:line="258" w:lineRule="auto"/>
        <w:rPr>
          <w:sz w:val="20"/>
          <w:szCs w:val="20"/>
          <w:color w:val="auto"/>
        </w:rPr>
      </w:pPr>
      <w:r>
        <w:rPr>
          <w:rFonts w:ascii="Arial" w:cs="Arial" w:eastAsia="Arial" w:hAnsi="Arial"/>
          <w:sz w:val="17"/>
          <w:szCs w:val="17"/>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80"/>
          </w:cols>
          <w:pgMar w:left="240" w:top="439" w:right="2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24% to 25% and 18% to 20%, respectively, and of Comcast of approximately 78%, 75% to 76% and 80% to 82%, respectively.</w:t>
      </w:r>
    </w:p>
    <w:p>
      <w:pPr>
        <w:spacing w:after="0" w:line="141"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136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Implied Exchange Ratio Reference Ranges Based on:</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Merger Exchange Ratio</w:t>
            </w:r>
          </w:p>
        </w:tc>
        <w:tc>
          <w:tcPr>
            <w:tcW w:w="0" w:type="dxa"/>
            <w:vAlign w:val="bottom"/>
          </w:tcPr>
          <w:p>
            <w:pPr>
              <w:spacing w:after="0"/>
              <w:rPr>
                <w:sz w:val="1"/>
                <w:szCs w:val="1"/>
                <w:color w:val="auto"/>
              </w:rPr>
            </w:pPr>
          </w:p>
        </w:tc>
      </w:tr>
      <w:tr>
        <w:trPr>
          <w:trHeight w:val="144"/>
        </w:trPr>
        <w:tc>
          <w:tcPr>
            <w:tcW w:w="1360" w:type="dxa"/>
            <w:vAlign w:val="bottom"/>
          </w:tcPr>
          <w:p>
            <w:pPr>
              <w:jc w:val="center"/>
              <w:ind w:left="184"/>
              <w:spacing w:after="0" w:line="144" w:lineRule="exact"/>
              <w:rPr>
                <w:sz w:val="20"/>
                <w:szCs w:val="20"/>
                <w:color w:val="auto"/>
              </w:rPr>
            </w:pPr>
            <w:r>
              <w:rPr>
                <w:rFonts w:ascii="Arial" w:cs="Arial" w:eastAsia="Arial" w:hAnsi="Arial"/>
                <w:sz w:val="13"/>
                <w:szCs w:val="13"/>
                <w:b w:val="1"/>
                <w:bCs w:val="1"/>
                <w:color w:val="auto"/>
                <w:w w:val="92"/>
              </w:rPr>
              <w:t>Revenue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800"/>
              <w:spacing w:after="0" w:line="144" w:lineRule="exact"/>
              <w:rPr>
                <w:sz w:val="20"/>
                <w:szCs w:val="20"/>
                <w:color w:val="auto"/>
              </w:rPr>
            </w:pPr>
            <w:r>
              <w:rPr>
                <w:rFonts w:ascii="Arial" w:cs="Arial" w:eastAsia="Arial" w:hAnsi="Arial"/>
                <w:sz w:val="13"/>
                <w:szCs w:val="13"/>
                <w:b w:val="1"/>
                <w:bCs w:val="1"/>
                <w:color w:val="auto"/>
              </w:rPr>
              <w:t>EBITDA</w:t>
            </w: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EBITDA less CapEx</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60" w:type="dxa"/>
            <w:vAlign w:val="bottom"/>
            <w:tcBorders>
              <w:top w:val="single" w:sz="8" w:color="auto"/>
            </w:tcBorders>
            <w:shd w:val="clear" w:color="auto" w:fill="CCEEFF"/>
          </w:tcPr>
          <w:p>
            <w:pPr>
              <w:jc w:val="center"/>
              <w:ind w:left="184"/>
              <w:spacing w:after="0" w:line="194" w:lineRule="exact"/>
              <w:rPr>
                <w:sz w:val="20"/>
                <w:szCs w:val="20"/>
                <w:color w:val="auto"/>
              </w:rPr>
            </w:pPr>
            <w:r>
              <w:rPr>
                <w:rFonts w:ascii="Arial" w:cs="Arial" w:eastAsia="Arial" w:hAnsi="Arial"/>
                <w:sz w:val="17"/>
                <w:szCs w:val="17"/>
                <w:color w:val="auto"/>
                <w:w w:val="90"/>
              </w:rPr>
              <w:t>2.649x – 2.710x</w:t>
            </w: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2.894x – 3.084x</w:t>
            </w:r>
          </w:p>
        </w:tc>
        <w:tc>
          <w:tcPr>
            <w:tcW w:w="8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2.105x – 2.415x</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2.875x</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Selected Precedent Transactions Analysis</w:t>
      </w:r>
    </w:p>
    <w:p>
      <w:pPr>
        <w:spacing w:after="0" w:line="107"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Allen &amp; Company, Citi and Morgan Stanley performed a selected precedent transactions analysis of TWC in which the TWC financial advisors reviewed publicly available financial terms of the following seven selected transactions in the cable industry that the TWC financial advisors in their professional judgment deemed generally relevant for comparative purposes, referred to as the selected transactions: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Announcement Date</w:t>
            </w:r>
          </w:p>
        </w:tc>
        <w:tc>
          <w:tcPr>
            <w:tcW w:w="3520" w:type="dxa"/>
            <w:vAlign w:val="bottom"/>
            <w:gridSpan w:val="2"/>
          </w:tcPr>
          <w:p>
            <w:pPr>
              <w:ind w:left="1380"/>
              <w:spacing w:after="0"/>
              <w:rPr>
                <w:sz w:val="20"/>
                <w:szCs w:val="20"/>
                <w:color w:val="auto"/>
              </w:rPr>
            </w:pPr>
            <w:r>
              <w:rPr>
                <w:rFonts w:ascii="Arial" w:cs="Arial" w:eastAsia="Arial" w:hAnsi="Arial"/>
                <w:sz w:val="13"/>
                <w:szCs w:val="13"/>
                <w:b w:val="1"/>
                <w:bCs w:val="1"/>
                <w:color w:val="auto"/>
              </w:rPr>
              <w:t>Acquiror</w:t>
            </w:r>
          </w:p>
        </w:tc>
        <w:tc>
          <w:tcPr>
            <w:tcW w:w="5940" w:type="dxa"/>
            <w:vAlign w:val="bottom"/>
          </w:tcPr>
          <w:p>
            <w:pPr>
              <w:ind w:left="2780"/>
              <w:spacing w:after="0"/>
              <w:rPr>
                <w:sz w:val="20"/>
                <w:szCs w:val="20"/>
                <w:color w:val="auto"/>
              </w:rPr>
            </w:pPr>
            <w:r>
              <w:rPr>
                <w:rFonts w:ascii="Arial" w:cs="Arial" w:eastAsia="Arial" w:hAnsi="Arial"/>
                <w:sz w:val="13"/>
                <w:szCs w:val="13"/>
                <w:b w:val="1"/>
                <w:bCs w:val="1"/>
                <w:color w:val="auto"/>
              </w:rPr>
              <w:t>Target</w:t>
            </w: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98"/>
              </w:rPr>
              <w:t>March 19, 2013</w:t>
            </w:r>
          </w:p>
        </w:tc>
        <w:tc>
          <w:tcPr>
            <w:tcW w:w="780" w:type="dxa"/>
            <w:vAlign w:val="bottom"/>
          </w:tcPr>
          <w:p>
            <w:pPr>
              <w:spacing w:after="0"/>
              <w:rPr>
                <w:sz w:val="15"/>
                <w:szCs w:val="15"/>
                <w:color w:val="auto"/>
              </w:rPr>
            </w:pPr>
          </w:p>
        </w:tc>
        <w:tc>
          <w:tcPr>
            <w:tcW w:w="33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Liberty Media Corporation</w:t>
            </w:r>
          </w:p>
        </w:tc>
        <w:tc>
          <w:tcPr>
            <w:tcW w:w="220" w:type="dxa"/>
            <w:vAlign w:val="bottom"/>
          </w:tcPr>
          <w:p>
            <w:pPr>
              <w:spacing w:after="0"/>
              <w:rPr>
                <w:sz w:val="15"/>
                <w:szCs w:val="15"/>
                <w:color w:val="auto"/>
              </w:rPr>
            </w:pPr>
          </w:p>
        </w:tc>
        <w:tc>
          <w:tcPr>
            <w:tcW w:w="59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Charter Communications, Inc. (27% equity stake)</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February 7, 2013</w:t>
            </w:r>
          </w:p>
        </w:tc>
        <w:tc>
          <w:tcPr>
            <w:tcW w:w="3520" w:type="dxa"/>
            <w:vAlign w:val="bottom"/>
            <w:gridSpan w:val="2"/>
          </w:tcPr>
          <w:p>
            <w:pPr>
              <w:spacing w:after="0"/>
              <w:rPr>
                <w:sz w:val="20"/>
                <w:szCs w:val="20"/>
                <w:color w:val="auto"/>
              </w:rPr>
            </w:pPr>
            <w:r>
              <w:rPr>
                <w:rFonts w:ascii="Arial" w:cs="Arial" w:eastAsia="Arial" w:hAnsi="Arial"/>
                <w:sz w:val="17"/>
                <w:szCs w:val="17"/>
                <w:color w:val="auto"/>
              </w:rPr>
              <w:t>Charter Communications, Inc.</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BC Partners Ltd.</w:t>
            </w:r>
          </w:p>
        </w:tc>
        <w:tc>
          <w:tcPr>
            <w:tcW w:w="5940" w:type="dxa"/>
            <w:vAlign w:val="bottom"/>
          </w:tcPr>
          <w:p>
            <w:pPr>
              <w:spacing w:after="0"/>
              <w:rPr>
                <w:sz w:val="20"/>
                <w:szCs w:val="20"/>
                <w:color w:val="auto"/>
              </w:rPr>
            </w:pPr>
            <w:r>
              <w:rPr>
                <w:rFonts w:ascii="Arial" w:cs="Arial" w:eastAsia="Arial" w:hAnsi="Arial"/>
                <w:sz w:val="17"/>
                <w:szCs w:val="17"/>
                <w:color w:val="auto"/>
              </w:rPr>
              <w:t>Suddenlink Communications</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Cogeco Cable, Inc.</w:t>
            </w:r>
          </w:p>
        </w:tc>
        <w:tc>
          <w:tcPr>
            <w:tcW w:w="5940" w:type="dxa"/>
            <w:vAlign w:val="bottom"/>
          </w:tcPr>
          <w:p>
            <w:pPr>
              <w:spacing w:after="0"/>
              <w:rPr>
                <w:sz w:val="20"/>
                <w:szCs w:val="20"/>
                <w:color w:val="auto"/>
              </w:rPr>
            </w:pPr>
            <w:r>
              <w:rPr>
                <w:rFonts w:ascii="Arial" w:cs="Arial" w:eastAsia="Arial" w:hAnsi="Arial"/>
                <w:sz w:val="17"/>
                <w:szCs w:val="17"/>
                <w:color w:val="auto"/>
              </w:rPr>
              <w:t>Atlantic Broadband</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June 1,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Oak Hill Capital Partners</w:t>
            </w:r>
          </w:p>
        </w:tc>
        <w:tc>
          <w:tcPr>
            <w:tcW w:w="5940" w:type="dxa"/>
            <w:vAlign w:val="bottom"/>
          </w:tcPr>
          <w:p>
            <w:pPr>
              <w:spacing w:after="0"/>
              <w:rPr>
                <w:sz w:val="20"/>
                <w:szCs w:val="20"/>
                <w:color w:val="auto"/>
              </w:rPr>
            </w:pPr>
            <w:r>
              <w:rPr>
                <w:rFonts w:ascii="Arial" w:cs="Arial" w:eastAsia="Arial" w:hAnsi="Arial"/>
                <w:sz w:val="17"/>
                <w:szCs w:val="17"/>
                <w:color w:val="auto"/>
              </w:rPr>
              <w:t>WaveDivision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August 14, 2011</w:t>
            </w:r>
          </w:p>
        </w:tc>
        <w:tc>
          <w:tcPr>
            <w:tcW w:w="3520" w:type="dxa"/>
            <w:vAlign w:val="bottom"/>
            <w:gridSpan w:val="2"/>
          </w:tcPr>
          <w:p>
            <w:pPr>
              <w:spacing w:after="0"/>
              <w:rPr>
                <w:sz w:val="20"/>
                <w:szCs w:val="20"/>
                <w:color w:val="auto"/>
              </w:rPr>
            </w:pPr>
            <w:r>
              <w:rPr>
                <w:rFonts w:ascii="Arial" w:cs="Arial" w:eastAsia="Arial" w:hAnsi="Arial"/>
                <w:sz w:val="17"/>
                <w:szCs w:val="17"/>
                <w:color w:val="auto"/>
              </w:rPr>
              <w:t>Time Warner Cable Inc.</w:t>
            </w:r>
          </w:p>
        </w:tc>
        <w:tc>
          <w:tcPr>
            <w:tcW w:w="5940" w:type="dxa"/>
            <w:vAlign w:val="bottom"/>
          </w:tcPr>
          <w:p>
            <w:pPr>
              <w:spacing w:after="0"/>
              <w:rPr>
                <w:sz w:val="20"/>
                <w:szCs w:val="20"/>
                <w:color w:val="auto"/>
              </w:rPr>
            </w:pPr>
            <w:r>
              <w:rPr>
                <w:rFonts w:ascii="Arial" w:cs="Arial" w:eastAsia="Arial" w:hAnsi="Arial"/>
                <w:sz w:val="17"/>
                <w:szCs w:val="17"/>
                <w:color w:val="auto"/>
              </w:rPr>
              <w:t>Insight Communications Company, Inc.</w:t>
            </w:r>
          </w:p>
        </w:tc>
      </w:tr>
      <w:tr>
        <w:trPr>
          <w:trHeight w:val="214"/>
        </w:trPr>
        <w:tc>
          <w:tcPr>
            <w:tcW w:w="1960" w:type="dxa"/>
            <w:vAlign w:val="bottom"/>
            <w:gridSpan w:val="2"/>
          </w:tcPr>
          <w:p>
            <w:pPr>
              <w:spacing w:after="0"/>
              <w:rPr>
                <w:sz w:val="20"/>
                <w:szCs w:val="20"/>
                <w:color w:val="auto"/>
              </w:rPr>
            </w:pPr>
            <w:r>
              <w:rPr>
                <w:rFonts w:ascii="Arial" w:cs="Arial" w:eastAsia="Arial" w:hAnsi="Arial"/>
                <w:sz w:val="17"/>
                <w:szCs w:val="17"/>
                <w:color w:val="auto"/>
              </w:rPr>
              <w:t>June 14, 2010</w:t>
            </w:r>
          </w:p>
        </w:tc>
        <w:tc>
          <w:tcPr>
            <w:tcW w:w="3520" w:type="dxa"/>
            <w:vAlign w:val="bottom"/>
            <w:gridSpan w:val="2"/>
          </w:tcPr>
          <w:p>
            <w:pPr>
              <w:spacing w:after="0"/>
              <w:rPr>
                <w:sz w:val="20"/>
                <w:szCs w:val="20"/>
                <w:color w:val="auto"/>
              </w:rPr>
            </w:pPr>
            <w:r>
              <w:rPr>
                <w:rFonts w:ascii="Arial" w:cs="Arial" w:eastAsia="Arial" w:hAnsi="Arial"/>
                <w:sz w:val="17"/>
                <w:szCs w:val="17"/>
                <w:color w:val="auto"/>
              </w:rPr>
              <w:t>Cablevision Systems Corporation</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bl>
    <w:p>
      <w:pPr>
        <w:spacing w:after="0" w:line="190"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The overall low to high one-year forward estimated EBITDA multiples observed for the target companies were 7.7x to 8.3x adjusted for tax attributes and 8.0x to 8.6x not adjusted for tax attributes. The TWC financial advisors then applied selected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39" w:right="239" w:bottom="1440" w:gutter="0" w:footer="0" w:header="0"/>
        </w:sectPr>
      </w:pPr>
    </w:p>
    <w:p>
      <w:pPr>
        <w:spacing w:after="0" w:line="261"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Implied Per Share</w:t>
      </w:r>
    </w:p>
    <w:p>
      <w:pPr>
        <w:spacing w:after="0" w:line="3"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-1905</wp:posOffset>
            </wp:positionV>
            <wp:extent cx="31311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Adjusted for Tax Attributes</w:t>
            </w:r>
          </w:p>
        </w:tc>
        <w:tc>
          <w:tcPr>
            <w:tcW w:w="3340" w:type="dxa"/>
            <w:vAlign w:val="bottom"/>
            <w:gridSpan w:val="2"/>
          </w:tcPr>
          <w:p>
            <w:pPr>
              <w:jc w:val="center"/>
              <w:ind w:left="1413"/>
              <w:spacing w:after="0"/>
              <w:rPr>
                <w:sz w:val="20"/>
                <w:szCs w:val="20"/>
                <w:color w:val="auto"/>
              </w:rPr>
            </w:pPr>
            <w:r>
              <w:rPr>
                <w:rFonts w:ascii="Arial" w:cs="Arial" w:eastAsia="Arial" w:hAnsi="Arial"/>
                <w:sz w:val="13"/>
                <w:szCs w:val="13"/>
                <w:b w:val="1"/>
                <w:bCs w:val="1"/>
                <w:color w:val="auto"/>
                <w:w w:val="94"/>
              </w:rPr>
              <w:t>Not Adjusted for Tax Attributes</w:t>
            </w:r>
          </w:p>
        </w:tc>
      </w:tr>
      <w:tr>
        <w:trPr>
          <w:trHeight w:val="206"/>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$150 – $168</w:t>
            </w:r>
          </w:p>
        </w:tc>
        <w:tc>
          <w:tcPr>
            <w:tcW w:w="15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-142875</wp:posOffset>
            </wp:positionV>
            <wp:extent cx="6671310" cy="135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713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Implied Per Share Equity Value for TWC</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Based on Merger Exchange Ratio</w:t>
      </w:r>
    </w:p>
    <w:p>
      <w:pPr>
        <w:ind w:left="120"/>
        <w:spacing w:after="0"/>
        <w:rPr>
          <w:sz w:val="20"/>
          <w:szCs w:val="20"/>
          <w:color w:val="auto"/>
        </w:rPr>
      </w:pPr>
      <w:r>
        <w:rPr>
          <w:rFonts w:ascii="Arial" w:cs="Arial" w:eastAsia="Arial" w:hAnsi="Arial"/>
          <w:sz w:val="12"/>
          <w:szCs w:val="12"/>
          <w:b w:val="1"/>
          <w:bCs w:val="1"/>
          <w:color w:val="auto"/>
        </w:rPr>
        <w:t>and Comcast Class A Common Stock</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521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$158</w:t>
      </w:r>
    </w:p>
    <w:p>
      <w:pPr>
        <w:spacing w:after="0" w:line="207" w:lineRule="exact"/>
        <w:rPr>
          <w:sz w:val="20"/>
          <w:szCs w:val="20"/>
          <w:color w:val="auto"/>
        </w:rPr>
      </w:pPr>
    </w:p>
    <w:p>
      <w:pPr>
        <w:sectPr>
          <w:pgSz w:w="11900" w:h="16838" w:orient="portrait"/>
          <w:cols w:equalWidth="0" w:num="2">
            <w:col w:w="7020" w:space="720"/>
            <w:col w:w="3680"/>
          </w:cols>
          <w:pgMar w:left="240" w:top="439" w:right="239" w:bottom="1440" w:gutter="0" w:footer="0" w:header="0"/>
          <w:type w:val="continuous"/>
        </w:sectPr>
      </w:pPr>
    </w:p>
    <w:p>
      <w:pPr>
        <w:ind w:right="200" w:firstLine="457"/>
        <w:spacing w:after="0" w:line="282" w:lineRule="auto"/>
        <w:rPr>
          <w:sz w:val="20"/>
          <w:szCs w:val="20"/>
          <w:color w:val="auto"/>
        </w:rPr>
      </w:pPr>
      <w:r>
        <w:rPr>
          <w:rFonts w:ascii="Arial" w:cs="Arial" w:eastAsia="Arial" w:hAnsi="Arial"/>
          <w:sz w:val="16"/>
          <w:szCs w:val="16"/>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that could affect the acquisition or other values of the companies, businesses or transactions to which TWC and the merger were compared.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39" w:right="239" w:bottom="1440" w:gutter="0" w:footer="0" w:header="0"/>
          <w:type w:val="continuous"/>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firstLine="457"/>
        <w:spacing w:after="0" w:line="30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 analyses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their respective opinions but were referenced for informational purposes, including, among other things, the following:</w:t>
      </w:r>
    </w:p>
    <w:p>
      <w:pPr>
        <w:spacing w:after="0" w:line="54" w:lineRule="exact"/>
        <w:rPr>
          <w:sz w:val="20"/>
          <w:szCs w:val="20"/>
          <w:color w:val="auto"/>
        </w:rPr>
      </w:pPr>
    </w:p>
    <w:p>
      <w:pPr>
        <w:ind w:left="900" w:right="140" w:hanging="445"/>
        <w:spacing w:after="0" w:line="255"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89" w:lineRule="exact"/>
        <w:rPr>
          <w:rFonts w:ascii="Arial" w:cs="Arial" w:eastAsia="Arial" w:hAnsi="Arial"/>
          <w:sz w:val="17"/>
          <w:szCs w:val="17"/>
          <w:color w:val="auto"/>
        </w:rPr>
      </w:pPr>
    </w:p>
    <w:p>
      <w:pPr>
        <w:ind w:left="900" w:right="140" w:hanging="445"/>
        <w:spacing w:after="0" w:line="258"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8" w:lineRule="exact"/>
        <w:rPr>
          <w:rFonts w:ascii="Arial" w:cs="Arial" w:eastAsia="Arial" w:hAnsi="Arial"/>
          <w:sz w:val="17"/>
          <w:szCs w:val="17"/>
          <w:color w:val="auto"/>
        </w:rPr>
      </w:pPr>
    </w:p>
    <w:p>
      <w:pPr>
        <w:ind w:left="900" w:hanging="445"/>
        <w:spacing w:after="0" w:line="252"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 and</w:t>
      </w:r>
    </w:p>
    <w:p>
      <w:pPr>
        <w:spacing w:after="0" w:line="92" w:lineRule="exact"/>
        <w:rPr>
          <w:rFonts w:ascii="Arial" w:cs="Arial" w:eastAsia="Arial" w:hAnsi="Arial"/>
          <w:sz w:val="17"/>
          <w:szCs w:val="17"/>
          <w:color w:val="auto"/>
        </w:rPr>
      </w:pPr>
    </w:p>
    <w:p>
      <w:pPr>
        <w:ind w:left="900" w:right="120" w:hanging="445"/>
        <w:spacing w:after="0" w:line="292" w:lineRule="auto"/>
        <w:tabs>
          <w:tab w:leader="none" w:pos="9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to Comcast’s calendar year 2015, and accretive to Comcast’s calendar year 2016, estimated levered free cash flow per share. Actual results achieved by the combined company may vary from forecasted results and variations may be material.</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Financial Advisor to the TWC Independent Directors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7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5"/>
          <w:szCs w:val="15"/>
          <w:b w:val="1"/>
          <w:bCs w:val="1"/>
          <w:color w:val="auto"/>
        </w:rPr>
        <w:t>Centerview’s opinion was provided for the information and</w:t>
      </w:r>
      <w:r>
        <w:rPr>
          <w:rFonts w:ascii="Arial" w:cs="Arial" w:eastAsia="Arial" w:hAnsi="Arial"/>
          <w:sz w:val="15"/>
          <w:szCs w:val="15"/>
          <w:color w:val="auto"/>
        </w:rPr>
        <w:t xml:space="preserve"> </w:t>
      </w:r>
      <w:r>
        <w:rPr>
          <w:rFonts w:ascii="Arial" w:cs="Arial" w:eastAsia="Arial" w:hAnsi="Arial"/>
          <w:sz w:val="15"/>
          <w:szCs w:val="15"/>
          <w:b w:val="1"/>
          <w:bCs w:val="1"/>
          <w:color w:val="auto"/>
        </w:rPr>
        <w:t>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39"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b w:val="1"/>
          <w:bCs w:val="1"/>
          <w:color w:val="auto"/>
        </w:rPr>
        <w:t>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Centerview, among other things:</w:t>
      </w:r>
    </w:p>
    <w:p>
      <w:pPr>
        <w:spacing w:after="0" w:line="120" w:lineRule="exact"/>
        <w:rPr>
          <w:sz w:val="20"/>
          <w:szCs w:val="20"/>
          <w:color w:val="auto"/>
        </w:rPr>
      </w:pPr>
    </w:p>
    <w:p>
      <w:pPr>
        <w:ind w:left="900" w:hanging="44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reviewed a draft of the merger agreement dated February 12, 2014, referred to as the draft merger agreement;</w:t>
      </w:r>
    </w:p>
    <w:p>
      <w:pPr>
        <w:spacing w:after="0" w:line="119" w:lineRule="exact"/>
        <w:rPr>
          <w:rFonts w:ascii="Arial" w:cs="Arial" w:eastAsia="Arial" w:hAnsi="Arial"/>
          <w:sz w:val="17"/>
          <w:szCs w:val="17"/>
          <w:color w:val="auto"/>
        </w:rPr>
      </w:pPr>
    </w:p>
    <w:p>
      <w:pPr>
        <w:ind w:left="900" w:right="420" w:hanging="445"/>
        <w:spacing w:after="0" w:line="30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reviewed certain interim reports to stockholders and Quarterly Reports on Form 10-Q of TWC and Comcast;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reviewed certain publicly available research analyst reports for TWC and Comcast;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reviewed certain other communications from TWC and Comcast to their respective stockholders;</w:t>
      </w:r>
    </w:p>
    <w:p>
      <w:pPr>
        <w:spacing w:after="0" w:line="119" w:lineRule="exact"/>
        <w:rPr>
          <w:rFonts w:ascii="Arial" w:cs="Arial" w:eastAsia="Arial" w:hAnsi="Arial"/>
          <w:sz w:val="17"/>
          <w:szCs w:val="17"/>
          <w:color w:val="auto"/>
        </w:rPr>
      </w:pPr>
    </w:p>
    <w:p>
      <w:pPr>
        <w:ind w:left="900" w:right="200" w:hanging="445"/>
        <w:spacing w:after="0" w:line="276"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74" w:lineRule="exact"/>
        <w:rPr>
          <w:rFonts w:ascii="Arial" w:cs="Arial" w:eastAsia="Arial" w:hAnsi="Arial"/>
          <w:sz w:val="16"/>
          <w:szCs w:val="16"/>
          <w:color w:val="auto"/>
        </w:rPr>
      </w:pPr>
    </w:p>
    <w:p>
      <w:pPr>
        <w:ind w:left="900" w:hanging="445"/>
        <w:spacing w:after="0" w:line="255"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89" w:lineRule="exact"/>
        <w:rPr>
          <w:rFonts w:ascii="Arial" w:cs="Arial" w:eastAsia="Arial" w:hAnsi="Arial"/>
          <w:sz w:val="17"/>
          <w:szCs w:val="17"/>
          <w:color w:val="auto"/>
        </w:rPr>
      </w:pPr>
    </w:p>
    <w:p>
      <w:pPr>
        <w:ind w:left="900" w:hanging="44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the future financial performance of Comcast;</w:t>
      </w:r>
    </w:p>
    <w:p>
      <w:pPr>
        <w:spacing w:after="0" w:line="119" w:lineRule="exact"/>
        <w:rPr>
          <w:rFonts w:ascii="Arial" w:cs="Arial" w:eastAsia="Arial" w:hAnsi="Arial"/>
          <w:sz w:val="17"/>
          <w:szCs w:val="17"/>
          <w:color w:val="auto"/>
        </w:rPr>
      </w:pPr>
    </w:p>
    <w:p>
      <w:pPr>
        <w:ind w:left="900" w:right="60" w:hanging="445"/>
        <w:spacing w:after="0" w:line="258"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88" w:lineRule="exact"/>
        <w:rPr>
          <w:rFonts w:ascii="Arial" w:cs="Arial" w:eastAsia="Arial" w:hAnsi="Arial"/>
          <w:sz w:val="17"/>
          <w:szCs w:val="17"/>
          <w:color w:val="auto"/>
        </w:rPr>
      </w:pPr>
    </w:p>
    <w:p>
      <w:pPr>
        <w:ind w:left="900" w:right="20" w:hanging="445"/>
        <w:spacing w:after="0" w:line="30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54" w:lineRule="exact"/>
        <w:rPr>
          <w:rFonts w:ascii="Arial" w:cs="Arial" w:eastAsia="Arial" w:hAnsi="Arial"/>
          <w:sz w:val="16"/>
          <w:szCs w:val="16"/>
          <w:color w:val="auto"/>
        </w:rPr>
      </w:pPr>
    </w:p>
    <w:p>
      <w:pPr>
        <w:ind w:left="900" w:right="200" w:hanging="445"/>
        <w:spacing w:after="0" w:line="270"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compared certain of the proposed financial terms of the merger with the financial terms, to the extent publicly available, of certain other transactions that Centerview deemed relevant; and</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08" w:lineRule="exact"/>
        <w:rPr>
          <w:sz w:val="20"/>
          <w:szCs w:val="20"/>
          <w:color w:val="auto"/>
        </w:rPr>
      </w:pPr>
    </w:p>
    <w:p>
      <w:pPr>
        <w:jc w:val="both"/>
        <w:ind w:right="300" w:firstLine="457"/>
        <w:spacing w:after="0" w:line="258" w:lineRule="auto"/>
        <w:rPr>
          <w:sz w:val="20"/>
          <w:szCs w:val="20"/>
          <w:color w:val="auto"/>
        </w:rPr>
      </w:pPr>
      <w:r>
        <w:rPr>
          <w:rFonts w:ascii="Arial" w:cs="Arial" w:eastAsia="Arial" w:hAnsi="Arial"/>
          <w:sz w:val="17"/>
          <w:szCs w:val="17"/>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380"/>
          </w:cols>
          <w:pgMar w:left="240" w:top="439" w:right="27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 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 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62" w:lineRule="exact"/>
        <w:rPr>
          <w:sz w:val="20"/>
          <w:szCs w:val="20"/>
          <w:color w:val="auto"/>
        </w:rPr>
      </w:pPr>
    </w:p>
    <w:p>
      <w:pPr>
        <w:ind w:right="40" w:firstLine="457"/>
        <w:spacing w:after="0" w:line="285" w:lineRule="auto"/>
        <w:rPr>
          <w:sz w:val="20"/>
          <w:szCs w:val="20"/>
          <w:color w:val="auto"/>
        </w:rPr>
      </w:pPr>
      <w:r>
        <w:rPr>
          <w:rFonts w:ascii="Arial" w:cs="Arial" w:eastAsia="Arial" w:hAnsi="Arial"/>
          <w:sz w:val="15"/>
          <w:szCs w:val="15"/>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 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62"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39"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42"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TWC independent directors selected Centerview as their financial advisor in connection with the merger based on Centerview’s reputation and experience.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Centerview is a nationally recognized investment banking firm that has substantial experience in transactions similar to the merger.</w:t>
      </w:r>
    </w:p>
    <w:p>
      <w:pPr>
        <w:spacing w:after="0" w:line="196"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In connection with Centerview’s services as the TWC independent directors’ financial advisor, TWC has agreed to pay Centerview an aggregate fee of $11 million, portions of which were payable upon the rendering of Centerview’s opinion and in connection with its engagement and $3 million of which is payable contingent upon consummation of the merger. The TWC independent directors also have agreed to consider, in their sole discretion, the payment to Centerview of an additional fee of up to $2 million for Centerview’s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Summary of Centerview Financial Analysis</w:t>
      </w:r>
    </w:p>
    <w:p>
      <w:pPr>
        <w:spacing w:after="0" w:line="107" w:lineRule="exact"/>
        <w:rPr>
          <w:sz w:val="20"/>
          <w:szCs w:val="20"/>
          <w:color w:val="auto"/>
        </w:rPr>
      </w:pPr>
    </w:p>
    <w:p>
      <w:pPr>
        <w:ind w:right="180" w:firstLine="457"/>
        <w:spacing w:after="0" w:line="252" w:lineRule="auto"/>
        <w:rPr>
          <w:sz w:val="20"/>
          <w:szCs w:val="20"/>
          <w:color w:val="auto"/>
        </w:rPr>
      </w:pPr>
      <w:r>
        <w:rPr>
          <w:rFonts w:ascii="Arial" w:cs="Arial" w:eastAsia="Arial" w:hAnsi="Arial"/>
          <w:sz w:val="17"/>
          <w:szCs w:val="17"/>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Centerview arrived at its opinion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360"/>
          </w:cols>
          <w:pgMar w:left="240" w:top="439" w:right="2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In performing its financial analyses, Centerview considered industry performance, general business, economic, market and financial conditions and other matters existing as of the date of its opinion,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71"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 evaluation of the merger and should not be viewed as determinative of the views of the TWC board of directors or management with respect to the merger or the consideration payable in the merger.</w:t>
      </w:r>
    </w:p>
    <w:p>
      <w:pPr>
        <w:spacing w:after="0" w:line="168" w:lineRule="exact"/>
        <w:rPr>
          <w:sz w:val="20"/>
          <w:szCs w:val="20"/>
          <w:color w:val="auto"/>
        </w:rPr>
      </w:pPr>
    </w:p>
    <w:p>
      <w:pPr>
        <w:ind w:right="80" w:firstLine="457"/>
        <w:spacing w:after="0" w:line="284" w:lineRule="auto"/>
        <w:rPr>
          <w:sz w:val="20"/>
          <w:szCs w:val="20"/>
          <w:color w:val="auto"/>
        </w:rPr>
      </w:pPr>
      <w:r>
        <w:rPr>
          <w:rFonts w:ascii="Arial" w:cs="Arial" w:eastAsia="Arial" w:hAnsi="Arial"/>
          <w:sz w:val="15"/>
          <w:szCs w:val="15"/>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5"/>
          <w:szCs w:val="15"/>
          <w:b w:val="1"/>
          <w:bCs w:val="1"/>
          <w:color w:val="auto"/>
        </w:rPr>
        <w:t>The summary set forth below does not purport to be a complete description of the financial analyses performed or factors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5"/>
          <w:szCs w:val="15"/>
          <w:color w:val="auto"/>
        </w:rPr>
        <w:t>For purposes of the financial analyses described</w:t>
      </w:r>
      <w:r>
        <w:rPr>
          <w:rFonts w:ascii="Arial" w:cs="Arial" w:eastAsia="Arial" w:hAnsi="Arial"/>
          <w:sz w:val="15"/>
          <w:szCs w:val="15"/>
          <w:b w:val="1"/>
          <w:bCs w:val="1"/>
          <w:color w:val="auto"/>
        </w:rPr>
        <w:t xml:space="preserve"> </w:t>
      </w:r>
      <w:r>
        <w:rPr>
          <w:rFonts w:ascii="Arial" w:cs="Arial" w:eastAsia="Arial" w:hAnsi="Arial"/>
          <w:sz w:val="15"/>
          <w:szCs w:val="15"/>
          <w:color w:val="auto"/>
        </w:rPr>
        <w:t>below, (i) earnings before interest, taxes, depreciation and amortization, 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was based on internal financial forecasts and other estimates of the management of TWC, referred to below as TWC management forecasts, and financial data utilized for Comcast in such analyses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Public Companies Analyses</w:t>
      </w:r>
    </w:p>
    <w:p>
      <w:pPr>
        <w:spacing w:after="0" w:line="10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39"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and other publicly available information. Financial data of TWC was based on TWC management forecasts and financial data of Comcast was based on the publicly available Wall Street research analyst estimates.</w:t>
      </w:r>
    </w:p>
    <w:p>
      <w:pPr>
        <w:spacing w:after="0" w:line="166"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estimated EBITDA of TWC and the following three selected publicly traded companies in the cable industry, referred to as the TWC selected companies:</w:t>
      </w:r>
    </w:p>
    <w:p>
      <w:pPr>
        <w:spacing w:after="0" w:line="88" w:lineRule="exact"/>
        <w:rPr>
          <w:sz w:val="20"/>
          <w:szCs w:val="20"/>
          <w:color w:val="auto"/>
        </w:rPr>
      </w:pPr>
    </w:p>
    <w:p>
      <w:pPr>
        <w:ind w:left="900" w:hanging="445"/>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Comcast Corporation (cable business)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208"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The overall low to high calendar year 2014 estimated EBITDA multiples observed for the TWC selected companies as of February 11, 2014 (the last trading day prior to the date on which the TWC board of directors approved the proposed merger) were 7.9x to 8.8x. Centerview also reviewed next 12 months estimated EBITDA multiples of TWC and Comcast’s cable business over the one-year period ended February 11, 2014, which implied a next 12 months estimated EBITDA multiple for TWC on June 14, 2013 (the date of published reports speculating a potential acquisition proposal by Charter for TWC) of 6.2x and an implied next 12 months estimated EBITDA multiple for Comcast’s cable business on February 11, 2014 of 7.9x.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83"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In evaluating Comcast’s cable business, Centerview reviewed estimated EBITDA multiples of TWC, Charter and Cablevision Systems Corporation, referred to as the Comcast selected cable companies. Centerview also reviewed next 12 months estimated EBITDA multiples of TWC and Comcast’s cable business over the one-year period ended February 11, 2014 as described above. In evaluating Comcast’s non-cable businesses, specifically Comcast’s media content assets, Centerview reviewed estimated EBITDA multiples of Comcast’s non-cable businesses and the following five selected publicly traded companies in the media content industry, referred to as the Comcast selected content companies:</w:t>
      </w:r>
    </w:p>
    <w:p>
      <w:pPr>
        <w:spacing w:after="0" w:line="92" w:lineRule="exact"/>
        <w:rPr>
          <w:sz w:val="20"/>
          <w:szCs w:val="20"/>
          <w:color w:val="auto"/>
        </w:rPr>
      </w:pPr>
    </w:p>
    <w:p>
      <w:pPr>
        <w:ind w:left="900" w:hanging="445"/>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Viacom Inc.</w:t>
      </w:r>
    </w:p>
    <w:p>
      <w:pPr>
        <w:spacing w:after="0" w:line="208"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The overall low to high calendar year 2014 estimated EBITDA multiples observed for the Comcast selected cable companies as of February 11, 2014 were 7.1x to 8.8x. The overall low to high calendar year 2014 estimated EBITDA multiples observed for the Comcast selected content companies as of February 11, 2014 were 10.2x to 12.3x. Centerview noted, as described above,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 in selected research analysts’ published sum-of-the-parts analyses of Comcast’s content asset, NBCUniversal, was 10.0x. Centerview then applied a selected range of estimated EBITDA multiples of 6.25x to 8.0x to the calendar year 2014 estimated EBITDA of Comcast’s cable business and a selected range of estimated EBITDA multiples of 9.0x to 11.0x to the calendar year 2014 estimated EBITDA of Comcast’s non-cable businesses. This analysis indicated an approximate implied per share equity value reference range for Comcast Class A common stock of $42 to $58.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39"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Centerview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2"/>
              </w:rPr>
              <w:t>2.62x – 2.78x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189" w:lineRule="exact"/>
        <w:rPr>
          <w:sz w:val="20"/>
          <w:szCs w:val="20"/>
          <w:color w:val="auto"/>
        </w:rPr>
      </w:pPr>
    </w:p>
    <w:p>
      <w:pPr>
        <w:jc w:val="both"/>
        <w:ind w:right="380" w:firstLine="457"/>
        <w:spacing w:after="0" w:line="258" w:lineRule="auto"/>
        <w:rPr>
          <w:sz w:val="20"/>
          <w:szCs w:val="20"/>
          <w:color w:val="auto"/>
        </w:rPr>
      </w:pPr>
      <w:r>
        <w:rPr>
          <w:rFonts w:ascii="Arial" w:cs="Arial" w:eastAsia="Arial" w:hAnsi="Arial"/>
          <w:sz w:val="17"/>
          <w:szCs w:val="17"/>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characteristics and other factors that could affect the public trading or other values of the companies to which TWC and Comcast were compared.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Analyse</w:t>
      </w:r>
      <w:r>
        <w:rPr>
          <w:rFonts w:ascii="Arial" w:cs="Arial" w:eastAsia="Arial" w:hAnsi="Arial"/>
          <w:sz w:val="17"/>
          <w:szCs w:val="17"/>
          <w:color w:val="auto"/>
        </w:rPr>
        <w:t>s</w:t>
      </w:r>
    </w:p>
    <w:p>
      <w:pPr>
        <w:spacing w:after="0" w:line="107"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The cash flows and terminal values were then discounted to present value (as of February 11, 2014) using discount rates ranging from 6.5% to 7.5% in the case of TWC and 7.0% to 8.0% in the case of Comcast. This analysis resulted in approximate implied per share equity value reference ranges for TWC common stock of $133 to $186 and for Comcast Class A common stock of $48 to $65.</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Centerview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2"/>
              </w:rPr>
              <w:t>2.77x – 2.88x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Relative Contribution Analysis</w:t>
      </w:r>
    </w:p>
    <w:p>
      <w:pPr>
        <w:spacing w:after="0" w:line="107" w:lineRule="exact"/>
        <w:rPr>
          <w:sz w:val="20"/>
          <w:szCs w:val="20"/>
          <w:color w:val="auto"/>
        </w:rPr>
      </w:pPr>
    </w:p>
    <w:p>
      <w:pPr>
        <w:ind w:right="200" w:firstLine="457"/>
        <w:spacing w:after="0" w:line="252" w:lineRule="auto"/>
        <w:rPr>
          <w:sz w:val="20"/>
          <w:szCs w:val="20"/>
          <w:color w:val="auto"/>
        </w:rPr>
      </w:pPr>
      <w:r>
        <w:rPr>
          <w:rFonts w:ascii="Arial" w:cs="Arial" w:eastAsia="Arial" w:hAnsi="Arial"/>
          <w:sz w:val="17"/>
          <w:szCs w:val="17"/>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to 23%, 24% to 25% and 18% to 20%, respectively, and of Comcast of approximately 77% to 78%, 75% to 76% and 80% to 82%, respectively.</w:t>
      </w:r>
    </w:p>
    <w:p>
      <w:pPr>
        <w:spacing w:after="0" w:line="18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3" w:lineRule="exact"/>
        <w:rPr>
          <w:sz w:val="20"/>
          <w:szCs w:val="20"/>
          <w:color w:val="auto"/>
        </w:rPr>
      </w:pPr>
    </w:p>
    <w:p>
      <w:pPr>
        <w:jc w:val="center"/>
        <w:ind w:right="3940"/>
        <w:spacing w:after="0"/>
        <w:rPr>
          <w:sz w:val="20"/>
          <w:szCs w:val="20"/>
          <w:color w:val="auto"/>
        </w:rPr>
      </w:pPr>
      <w:r>
        <w:rPr>
          <w:rFonts w:ascii="Arial" w:cs="Arial" w:eastAsia="Arial" w:hAnsi="Arial"/>
          <w:sz w:val="13"/>
          <w:szCs w:val="13"/>
          <w:b w:val="1"/>
          <w:bCs w:val="1"/>
          <w:color w:val="auto"/>
        </w:rPr>
        <w:t>Implied Exchange Ratio</w:t>
      </w:r>
    </w:p>
    <w:p>
      <w:pPr>
        <w:spacing w:after="0" w:line="3" w:lineRule="exact"/>
        <w:rPr>
          <w:sz w:val="20"/>
          <w:szCs w:val="20"/>
          <w:color w:val="auto"/>
        </w:rPr>
      </w:pPr>
    </w:p>
    <w:p>
      <w:pPr>
        <w:jc w:val="center"/>
        <w:ind w:right="3940"/>
        <w:spacing w:after="0"/>
        <w:rPr>
          <w:sz w:val="20"/>
          <w:szCs w:val="20"/>
          <w:color w:val="auto"/>
        </w:rPr>
      </w:pPr>
      <w:r>
        <w:rPr>
          <w:rFonts w:ascii="Arial" w:cs="Arial" w:eastAsia="Arial" w:hAnsi="Arial"/>
          <w:sz w:val="13"/>
          <w:szCs w:val="13"/>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18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Revenue</w:t>
            </w:r>
          </w:p>
        </w:tc>
        <w:tc>
          <w:tcPr>
            <w:tcW w:w="7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center"/>
              <w:ind w:right="1060"/>
              <w:spacing w:after="0" w:line="144" w:lineRule="exact"/>
              <w:rPr>
                <w:sz w:val="20"/>
                <w:szCs w:val="20"/>
                <w:color w:val="auto"/>
              </w:rPr>
            </w:pPr>
            <w:r>
              <w:rPr>
                <w:rFonts w:ascii="Arial" w:cs="Arial" w:eastAsia="Arial" w:hAnsi="Arial"/>
                <w:sz w:val="13"/>
                <w:szCs w:val="13"/>
                <w:b w:val="1"/>
                <w:bCs w:val="1"/>
                <w:color w:val="auto"/>
              </w:rPr>
              <w:t>EBITDA</w:t>
            </w:r>
          </w:p>
        </w:tc>
        <w:tc>
          <w:tcPr>
            <w:tcW w:w="1760" w:type="dxa"/>
            <w:vAlign w:val="bottom"/>
            <w:tcBorders>
              <w:top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5"/>
              </w:rPr>
              <w:t>EBITDA less CapEx</w:t>
            </w:r>
          </w:p>
        </w:tc>
        <w:tc>
          <w:tcPr>
            <w:tcW w:w="1560" w:type="dxa"/>
            <w:vAlign w:val="bottom"/>
          </w:tcPr>
          <w:p>
            <w:pPr>
              <w:spacing w:after="0"/>
              <w:rPr>
                <w:sz w:val="12"/>
                <w:szCs w:val="12"/>
                <w:color w:val="auto"/>
              </w:rPr>
            </w:pPr>
          </w:p>
        </w:tc>
        <w:tc>
          <w:tcPr>
            <w:tcW w:w="2420" w:type="dxa"/>
            <w:vAlign w:val="bottom"/>
            <w:gridSpan w:val="2"/>
          </w:tcPr>
          <w:p>
            <w:pPr>
              <w:jc w:val="center"/>
              <w:ind w:right="1060"/>
              <w:spacing w:after="0" w:line="144" w:lineRule="exact"/>
              <w:rPr>
                <w:sz w:val="20"/>
                <w:szCs w:val="20"/>
                <w:color w:val="auto"/>
              </w:rPr>
            </w:pPr>
            <w:r>
              <w:rPr>
                <w:rFonts w:ascii="Arial" w:cs="Arial" w:eastAsia="Arial" w:hAnsi="Arial"/>
                <w:sz w:val="13"/>
                <w:szCs w:val="13"/>
                <w:b w:val="1"/>
                <w:bCs w:val="1"/>
                <w:color w:val="auto"/>
                <w:w w:val="94"/>
              </w:rPr>
              <w:t>Merger Exchange Ratio</w:t>
            </w:r>
          </w:p>
        </w:tc>
      </w:tr>
      <w:tr>
        <w:trPr>
          <w:trHeight w:val="194"/>
        </w:trPr>
        <w:tc>
          <w:tcPr>
            <w:tcW w:w="18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2.690x – 2.752x</w:t>
            </w:r>
          </w:p>
        </w:tc>
        <w:tc>
          <w:tcPr>
            <w:tcW w:w="7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2.937x – 3.129x</w:t>
            </w:r>
          </w:p>
        </w:tc>
        <w:tc>
          <w:tcPr>
            <w:tcW w:w="10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2.099x – 2.404x</w:t>
            </w: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2.875x</w:t>
            </w:r>
          </w:p>
        </w:tc>
        <w:tc>
          <w:tcPr>
            <w:tcW w:w="1060" w:type="dxa"/>
            <w:vAlign w:val="bottom"/>
            <w:tcBorders>
              <w:top w:val="single" w:sz="8" w:color="CCEEFF"/>
            </w:tcBorders>
            <w:shd w:val="clear" w:color="auto" w:fill="CCEEFF"/>
          </w:tcPr>
          <w:p>
            <w:pPr>
              <w:spacing w:after="0"/>
              <w:rPr>
                <w:sz w:val="16"/>
                <w:szCs w:val="16"/>
                <w:color w:val="auto"/>
              </w:rPr>
            </w:pPr>
          </w:p>
        </w:tc>
      </w:tr>
      <w:tr>
        <w:trPr>
          <w:trHeight w:val="340"/>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ind w:right="762"/>
              <w:spacing w:after="0"/>
              <w:rPr>
                <w:sz w:val="20"/>
                <w:szCs w:val="20"/>
                <w:color w:val="auto"/>
              </w:rPr>
            </w:pPr>
            <w:r>
              <w:rPr>
                <w:rFonts w:ascii="Arial" w:cs="Arial" w:eastAsia="Arial" w:hAnsi="Arial"/>
                <w:sz w:val="17"/>
                <w:szCs w:val="17"/>
                <w:color w:val="auto"/>
              </w:rPr>
              <w:t>113</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439"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firstLine="457"/>
        <w:spacing w:after="0" w:line="302" w:lineRule="auto"/>
        <w:rPr>
          <w:sz w:val="20"/>
          <w:szCs w:val="20"/>
          <w:color w:val="auto"/>
        </w:rPr>
      </w:pPr>
      <w:r>
        <w:rPr>
          <w:rFonts w:ascii="Arial" w:cs="Arial" w:eastAsia="Arial" w:hAnsi="Arial"/>
          <w:sz w:val="16"/>
          <w:szCs w:val="16"/>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Selected Precedent Transactions Analysis</w:t>
      </w:r>
    </w:p>
    <w:p>
      <w:pPr>
        <w:spacing w:after="0" w:line="10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Centerview performed a selected precedent transactions analysis of TWC in which Centerview reviewed publicly available financial terms of the following seven selected transactions in the cable industry that Centerview in its professional judgment deemed generally relevant for comparative purposes, referred to as the selected transactions: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Announcement Date</w:t>
            </w:r>
          </w:p>
        </w:tc>
        <w:tc>
          <w:tcPr>
            <w:tcW w:w="3520" w:type="dxa"/>
            <w:vAlign w:val="bottom"/>
            <w:gridSpan w:val="2"/>
          </w:tcPr>
          <w:p>
            <w:pPr>
              <w:ind w:left="1380"/>
              <w:spacing w:after="0"/>
              <w:rPr>
                <w:sz w:val="20"/>
                <w:szCs w:val="20"/>
                <w:color w:val="auto"/>
              </w:rPr>
            </w:pPr>
            <w:r>
              <w:rPr>
                <w:rFonts w:ascii="Arial" w:cs="Arial" w:eastAsia="Arial" w:hAnsi="Arial"/>
                <w:sz w:val="13"/>
                <w:szCs w:val="13"/>
                <w:b w:val="1"/>
                <w:bCs w:val="1"/>
                <w:color w:val="auto"/>
              </w:rPr>
              <w:t>Acquiror</w:t>
            </w:r>
          </w:p>
        </w:tc>
        <w:tc>
          <w:tcPr>
            <w:tcW w:w="5940" w:type="dxa"/>
            <w:vAlign w:val="bottom"/>
          </w:tcPr>
          <w:p>
            <w:pPr>
              <w:ind w:left="2780"/>
              <w:spacing w:after="0"/>
              <w:rPr>
                <w:sz w:val="20"/>
                <w:szCs w:val="20"/>
                <w:color w:val="auto"/>
              </w:rPr>
            </w:pPr>
            <w:r>
              <w:rPr>
                <w:rFonts w:ascii="Arial" w:cs="Arial" w:eastAsia="Arial" w:hAnsi="Arial"/>
                <w:sz w:val="13"/>
                <w:szCs w:val="13"/>
                <w:b w:val="1"/>
                <w:bCs w:val="1"/>
                <w:color w:val="auto"/>
              </w:rPr>
              <w:t>Target</w:t>
            </w: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98"/>
              </w:rPr>
              <w:t>March 19, 2013</w:t>
            </w:r>
          </w:p>
        </w:tc>
        <w:tc>
          <w:tcPr>
            <w:tcW w:w="780" w:type="dxa"/>
            <w:vAlign w:val="bottom"/>
          </w:tcPr>
          <w:p>
            <w:pPr>
              <w:spacing w:after="0"/>
              <w:rPr>
                <w:sz w:val="15"/>
                <w:szCs w:val="15"/>
                <w:color w:val="auto"/>
              </w:rPr>
            </w:pPr>
          </w:p>
        </w:tc>
        <w:tc>
          <w:tcPr>
            <w:tcW w:w="33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Liberty Media Corporation</w:t>
            </w:r>
          </w:p>
        </w:tc>
        <w:tc>
          <w:tcPr>
            <w:tcW w:w="220" w:type="dxa"/>
            <w:vAlign w:val="bottom"/>
          </w:tcPr>
          <w:p>
            <w:pPr>
              <w:spacing w:after="0"/>
              <w:rPr>
                <w:sz w:val="15"/>
                <w:szCs w:val="15"/>
                <w:color w:val="auto"/>
              </w:rPr>
            </w:pPr>
          </w:p>
        </w:tc>
        <w:tc>
          <w:tcPr>
            <w:tcW w:w="59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Charter Communications, Inc. (27% equity stake)</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February 7, 2013</w:t>
            </w:r>
          </w:p>
        </w:tc>
        <w:tc>
          <w:tcPr>
            <w:tcW w:w="3520" w:type="dxa"/>
            <w:vAlign w:val="bottom"/>
            <w:gridSpan w:val="2"/>
          </w:tcPr>
          <w:p>
            <w:pPr>
              <w:spacing w:after="0"/>
              <w:rPr>
                <w:sz w:val="20"/>
                <w:szCs w:val="20"/>
                <w:color w:val="auto"/>
              </w:rPr>
            </w:pPr>
            <w:r>
              <w:rPr>
                <w:rFonts w:ascii="Arial" w:cs="Arial" w:eastAsia="Arial" w:hAnsi="Arial"/>
                <w:sz w:val="17"/>
                <w:szCs w:val="17"/>
                <w:color w:val="auto"/>
              </w:rPr>
              <w:t>Charter Communications, Inc.</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BC Partners Ltd.</w:t>
            </w:r>
          </w:p>
        </w:tc>
        <w:tc>
          <w:tcPr>
            <w:tcW w:w="5940" w:type="dxa"/>
            <w:vAlign w:val="bottom"/>
          </w:tcPr>
          <w:p>
            <w:pPr>
              <w:spacing w:after="0"/>
              <w:rPr>
                <w:sz w:val="20"/>
                <w:szCs w:val="20"/>
                <w:color w:val="auto"/>
              </w:rPr>
            </w:pPr>
            <w:r>
              <w:rPr>
                <w:rFonts w:ascii="Arial" w:cs="Arial" w:eastAsia="Arial" w:hAnsi="Arial"/>
                <w:sz w:val="17"/>
                <w:szCs w:val="17"/>
                <w:color w:val="auto"/>
              </w:rPr>
              <w:t>Suddenlink Communications</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Cogeco Cable, Inc.</w:t>
            </w:r>
          </w:p>
        </w:tc>
        <w:tc>
          <w:tcPr>
            <w:tcW w:w="5940" w:type="dxa"/>
            <w:vAlign w:val="bottom"/>
          </w:tcPr>
          <w:p>
            <w:pPr>
              <w:spacing w:after="0"/>
              <w:rPr>
                <w:sz w:val="20"/>
                <w:szCs w:val="20"/>
                <w:color w:val="auto"/>
              </w:rPr>
            </w:pPr>
            <w:r>
              <w:rPr>
                <w:rFonts w:ascii="Arial" w:cs="Arial" w:eastAsia="Arial" w:hAnsi="Arial"/>
                <w:sz w:val="17"/>
                <w:szCs w:val="17"/>
                <w:color w:val="auto"/>
              </w:rPr>
              <w:t>Atlantic Broadband</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June 1,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Oak Hill Capital Partners</w:t>
            </w:r>
          </w:p>
        </w:tc>
        <w:tc>
          <w:tcPr>
            <w:tcW w:w="5940" w:type="dxa"/>
            <w:vAlign w:val="bottom"/>
          </w:tcPr>
          <w:p>
            <w:pPr>
              <w:spacing w:after="0"/>
              <w:rPr>
                <w:sz w:val="20"/>
                <w:szCs w:val="20"/>
                <w:color w:val="auto"/>
              </w:rPr>
            </w:pPr>
            <w:r>
              <w:rPr>
                <w:rFonts w:ascii="Arial" w:cs="Arial" w:eastAsia="Arial" w:hAnsi="Arial"/>
                <w:sz w:val="17"/>
                <w:szCs w:val="17"/>
                <w:color w:val="auto"/>
              </w:rPr>
              <w:t>WaveDivision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August 14, 2011</w:t>
            </w:r>
          </w:p>
        </w:tc>
        <w:tc>
          <w:tcPr>
            <w:tcW w:w="3520" w:type="dxa"/>
            <w:vAlign w:val="bottom"/>
            <w:gridSpan w:val="2"/>
          </w:tcPr>
          <w:p>
            <w:pPr>
              <w:spacing w:after="0"/>
              <w:rPr>
                <w:sz w:val="20"/>
                <w:szCs w:val="20"/>
                <w:color w:val="auto"/>
              </w:rPr>
            </w:pPr>
            <w:r>
              <w:rPr>
                <w:rFonts w:ascii="Arial" w:cs="Arial" w:eastAsia="Arial" w:hAnsi="Arial"/>
                <w:sz w:val="17"/>
                <w:szCs w:val="17"/>
                <w:color w:val="auto"/>
              </w:rPr>
              <w:t>Time Warner Cable Inc.</w:t>
            </w:r>
          </w:p>
        </w:tc>
        <w:tc>
          <w:tcPr>
            <w:tcW w:w="5940" w:type="dxa"/>
            <w:vAlign w:val="bottom"/>
          </w:tcPr>
          <w:p>
            <w:pPr>
              <w:spacing w:after="0"/>
              <w:rPr>
                <w:sz w:val="20"/>
                <w:szCs w:val="20"/>
                <w:color w:val="auto"/>
              </w:rPr>
            </w:pPr>
            <w:r>
              <w:rPr>
                <w:rFonts w:ascii="Arial" w:cs="Arial" w:eastAsia="Arial" w:hAnsi="Arial"/>
                <w:sz w:val="17"/>
                <w:szCs w:val="17"/>
                <w:color w:val="auto"/>
              </w:rPr>
              <w:t>Insight Communications Company, Inc.</w:t>
            </w:r>
          </w:p>
        </w:tc>
      </w:tr>
      <w:tr>
        <w:trPr>
          <w:trHeight w:val="214"/>
        </w:trPr>
        <w:tc>
          <w:tcPr>
            <w:tcW w:w="1960" w:type="dxa"/>
            <w:vAlign w:val="bottom"/>
            <w:gridSpan w:val="2"/>
          </w:tcPr>
          <w:p>
            <w:pPr>
              <w:spacing w:after="0"/>
              <w:rPr>
                <w:sz w:val="20"/>
                <w:szCs w:val="20"/>
                <w:color w:val="auto"/>
              </w:rPr>
            </w:pPr>
            <w:r>
              <w:rPr>
                <w:rFonts w:ascii="Arial" w:cs="Arial" w:eastAsia="Arial" w:hAnsi="Arial"/>
                <w:sz w:val="17"/>
                <w:szCs w:val="17"/>
                <w:color w:val="auto"/>
              </w:rPr>
              <w:t>June 14, 2010</w:t>
            </w:r>
          </w:p>
        </w:tc>
        <w:tc>
          <w:tcPr>
            <w:tcW w:w="3520" w:type="dxa"/>
            <w:vAlign w:val="bottom"/>
            <w:gridSpan w:val="2"/>
          </w:tcPr>
          <w:p>
            <w:pPr>
              <w:spacing w:after="0"/>
              <w:rPr>
                <w:sz w:val="20"/>
                <w:szCs w:val="20"/>
                <w:color w:val="auto"/>
              </w:rPr>
            </w:pPr>
            <w:r>
              <w:rPr>
                <w:rFonts w:ascii="Arial" w:cs="Arial" w:eastAsia="Arial" w:hAnsi="Arial"/>
                <w:sz w:val="17"/>
                <w:szCs w:val="17"/>
                <w:color w:val="auto"/>
              </w:rPr>
              <w:t>Cablevision Systems Corporation</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bl>
    <w:p>
      <w:pPr>
        <w:spacing w:after="0" w:line="190"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The overall low to high one-year forward estimated EBITDA multiples observed for the target companies were 7.6x to 8.3x adjusted for tax attributes and 8.0x to 8.6x not adjusted for tax attributes. Centerview then applied selected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39" w:right="239" w:bottom="1440" w:gutter="0" w:footer="0" w:header="0"/>
        </w:sectPr>
      </w:pP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Implied Per Share</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1"/>
        </w:trPr>
        <w:tc>
          <w:tcPr>
            <w:tcW w:w="2740" w:type="dxa"/>
            <w:vAlign w:val="bottom"/>
            <w:tcBorders>
              <w:top w:val="single" w:sz="8" w:color="auto"/>
            </w:tcBorders>
          </w:tcPr>
          <w:p>
            <w:pPr>
              <w:jc w:val="center"/>
              <w:ind w:right="256"/>
              <w:spacing w:after="0" w:line="111" w:lineRule="exact"/>
              <w:rPr>
                <w:sz w:val="20"/>
                <w:szCs w:val="20"/>
                <w:color w:val="auto"/>
              </w:rPr>
            </w:pPr>
            <w:r>
              <w:rPr>
                <w:rFonts w:ascii="Arial" w:cs="Arial" w:eastAsia="Arial" w:hAnsi="Arial"/>
                <w:sz w:val="12"/>
                <w:szCs w:val="12"/>
                <w:b w:val="1"/>
                <w:bCs w:val="1"/>
                <w:color w:val="auto"/>
              </w:rPr>
              <w:t>Adjusted for</w:t>
            </w:r>
          </w:p>
        </w:tc>
        <w:tc>
          <w:tcPr>
            <w:tcW w:w="3060" w:type="dxa"/>
            <w:vAlign w:val="bottom"/>
            <w:tcBorders>
              <w:top w:val="single" w:sz="8" w:color="auto"/>
            </w:tcBorders>
          </w:tcPr>
          <w:p>
            <w:pPr>
              <w:jc w:val="center"/>
              <w:ind w:left="36"/>
              <w:spacing w:after="0" w:line="111" w:lineRule="exact"/>
              <w:rPr>
                <w:sz w:val="20"/>
                <w:szCs w:val="20"/>
                <w:color w:val="auto"/>
              </w:rPr>
            </w:pPr>
            <w:r>
              <w:rPr>
                <w:rFonts w:ascii="Arial" w:cs="Arial" w:eastAsia="Arial" w:hAnsi="Arial"/>
                <w:sz w:val="12"/>
                <w:szCs w:val="12"/>
                <w:b w:val="1"/>
                <w:bCs w:val="1"/>
                <w:color w:val="auto"/>
              </w:rPr>
              <w:t>Not Adjusted for</w:t>
            </w:r>
          </w:p>
        </w:tc>
      </w:tr>
      <w:tr>
        <w:trPr>
          <w:trHeight w:val="174"/>
        </w:trPr>
        <w:tc>
          <w:tcPr>
            <w:tcW w:w="2740" w:type="dxa"/>
            <w:vAlign w:val="bottom"/>
          </w:tcPr>
          <w:p>
            <w:pPr>
              <w:jc w:val="center"/>
              <w:ind w:right="256"/>
              <w:spacing w:after="0"/>
              <w:rPr>
                <w:sz w:val="20"/>
                <w:szCs w:val="20"/>
                <w:color w:val="auto"/>
              </w:rPr>
            </w:pPr>
            <w:r>
              <w:rPr>
                <w:rFonts w:ascii="Arial" w:cs="Arial" w:eastAsia="Arial" w:hAnsi="Arial"/>
                <w:sz w:val="13"/>
                <w:szCs w:val="13"/>
                <w:b w:val="1"/>
                <w:bCs w:val="1"/>
                <w:color w:val="auto"/>
                <w:w w:val="93"/>
              </w:rPr>
              <w:t>Tax Attributes</w:t>
            </w:r>
          </w:p>
        </w:tc>
        <w:tc>
          <w:tcPr>
            <w:tcW w:w="3060" w:type="dxa"/>
            <w:vAlign w:val="bottom"/>
          </w:tcPr>
          <w:p>
            <w:pPr>
              <w:jc w:val="center"/>
              <w:ind w:left="36"/>
              <w:spacing w:after="0"/>
              <w:rPr>
                <w:sz w:val="20"/>
                <w:szCs w:val="20"/>
                <w:color w:val="auto"/>
              </w:rPr>
            </w:pPr>
            <w:r>
              <w:rPr>
                <w:rFonts w:ascii="Arial" w:cs="Arial" w:eastAsia="Arial" w:hAnsi="Arial"/>
                <w:sz w:val="13"/>
                <w:szCs w:val="13"/>
                <w:b w:val="1"/>
                <w:bCs w:val="1"/>
                <w:color w:val="auto"/>
                <w:w w:val="96"/>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-635</wp:posOffset>
            </wp:positionV>
            <wp:extent cx="6671310"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713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580"/>
        <w:spacing w:after="0"/>
        <w:rPr>
          <w:sz w:val="20"/>
          <w:szCs w:val="20"/>
          <w:color w:val="auto"/>
        </w:rPr>
      </w:pPr>
      <w:r>
        <w:rPr>
          <w:rFonts w:ascii="Arial" w:cs="Arial" w:eastAsia="Arial" w:hAnsi="Arial"/>
          <w:sz w:val="12"/>
          <w:szCs w:val="12"/>
          <w:b w:val="1"/>
          <w:bCs w:val="1"/>
          <w:color w:val="auto"/>
        </w:rPr>
        <w:t>Implied Per Share Equity Value for TWC</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Based on Merger Exchange Ratio</w:t>
      </w:r>
    </w:p>
    <w:p>
      <w:pPr>
        <w:ind w:left="120"/>
        <w:spacing w:after="0"/>
        <w:rPr>
          <w:sz w:val="20"/>
          <w:szCs w:val="20"/>
          <w:color w:val="auto"/>
        </w:rPr>
      </w:pPr>
      <w:r>
        <w:rPr>
          <w:rFonts w:ascii="Arial" w:cs="Arial" w:eastAsia="Arial" w:hAnsi="Arial"/>
          <w:sz w:val="12"/>
          <w:szCs w:val="12"/>
          <w:b w:val="1"/>
          <w:bCs w:val="1"/>
          <w:color w:val="auto"/>
        </w:rPr>
        <w:t>and Comcast Class A Common Stock</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5297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740" w:space="720"/>
            <w:col w:w="3960"/>
          </w:cols>
          <w:pgMar w:left="240" w:top="439" w:right="239" w:bottom="1440" w:gutter="0" w:footer="0" w:header="0"/>
          <w:type w:val="continuous"/>
        </w:sectPr>
      </w:pPr>
    </w:p>
    <w:p>
      <w:pPr>
        <w:ind w:left="1260"/>
        <w:spacing w:after="0"/>
        <w:tabs>
          <w:tab w:leader="none" w:pos="4340" w:val="left"/>
          <w:tab w:leader="none" w:pos="8360" w:val="left"/>
        </w:tabs>
        <w:rPr>
          <w:sz w:val="20"/>
          <w:szCs w:val="20"/>
          <w:color w:val="auto"/>
        </w:rPr>
      </w:pPr>
      <w:r>
        <w:rPr>
          <w:rFonts w:ascii="Arial" w:cs="Arial" w:eastAsia="Arial" w:hAnsi="Arial"/>
          <w:sz w:val="17"/>
          <w:szCs w:val="17"/>
          <w:color w:val="auto"/>
        </w:rPr>
        <w:t>$150 – $170</w:t>
      </w:r>
      <w:r>
        <w:rPr>
          <w:sz w:val="20"/>
          <w:szCs w:val="20"/>
          <w:color w:val="auto"/>
        </w:rPr>
        <w:tab/>
      </w:r>
      <w:r>
        <w:rPr>
          <w:rFonts w:ascii="Arial" w:cs="Arial" w:eastAsia="Arial" w:hAnsi="Arial"/>
          <w:sz w:val="17"/>
          <w:szCs w:val="17"/>
          <w:color w:val="auto"/>
        </w:rPr>
        <w:t>$153 – $170</w:t>
      </w:r>
      <w:r>
        <w:rPr>
          <w:sz w:val="20"/>
          <w:szCs w:val="20"/>
          <w:color w:val="auto"/>
        </w:rPr>
        <w:tab/>
      </w:r>
      <w:r>
        <w:rPr>
          <w:rFonts w:ascii="Arial" w:cs="Arial" w:eastAsia="Arial" w:hAnsi="Arial"/>
          <w:sz w:val="15"/>
          <w:szCs w:val="15"/>
          <w:color w:val="auto"/>
        </w:rPr>
        <w:t>$158.13</w:t>
      </w:r>
    </w:p>
    <w:p>
      <w:pPr>
        <w:spacing w:after="0" w:line="206"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that could affect the acquisition or other values of the companies, businesses or transactions to which TWC and the merger were compared.</w:t>
      </w:r>
    </w:p>
    <w:p>
      <w:pPr>
        <w:spacing w:after="0" w:line="159"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i w:val="1"/>
          <w:iCs w:val="1"/>
          <w:color w:val="auto"/>
        </w:rPr>
        <w:t xml:space="preserve">Other Factors. </w:t>
      </w:r>
      <w:r>
        <w:rPr>
          <w:rFonts w:ascii="Arial" w:cs="Arial" w:eastAsia="Arial" w:hAnsi="Arial"/>
          <w:sz w:val="17"/>
          <w:szCs w:val="17"/>
          <w:color w:val="auto"/>
        </w:rPr>
        <w:t>Centerview observed certain additional factors that were not considered part of its financial analyses with respect to its opinion but were referenced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informational purposes, including, among other things, the following:</w:t>
      </w:r>
    </w:p>
    <w:p>
      <w:pPr>
        <w:spacing w:after="0" w:line="77" w:lineRule="exact"/>
        <w:rPr>
          <w:sz w:val="20"/>
          <w:szCs w:val="20"/>
          <w:color w:val="auto"/>
        </w:rPr>
      </w:pPr>
    </w:p>
    <w:p>
      <w:pPr>
        <w:ind w:left="900" w:right="220" w:hanging="445"/>
        <w:spacing w:after="0" w:line="309" w:lineRule="auto"/>
        <w:tabs>
          <w:tab w:leader="none" w:pos="9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39" w:right="239" w:bottom="1440" w:gutter="0" w:footer="0" w:header="0"/>
          <w:type w:val="continuous"/>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left="900" w:right="80" w:hanging="445"/>
        <w:spacing w:after="0" w:line="258"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8" w:lineRule="exact"/>
        <w:rPr>
          <w:rFonts w:ascii="Arial" w:cs="Arial" w:eastAsia="Arial" w:hAnsi="Arial"/>
          <w:sz w:val="17"/>
          <w:szCs w:val="17"/>
          <w:color w:val="auto"/>
        </w:rPr>
      </w:pPr>
    </w:p>
    <w:p>
      <w:pPr>
        <w:ind w:left="900" w:hanging="445"/>
        <w:spacing w:after="0" w:line="255"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$108 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89" w:lineRule="exact"/>
        <w:rPr>
          <w:rFonts w:ascii="Arial" w:cs="Arial" w:eastAsia="Arial" w:hAnsi="Arial"/>
          <w:sz w:val="17"/>
          <w:szCs w:val="17"/>
          <w:color w:val="auto"/>
        </w:rPr>
      </w:pPr>
    </w:p>
    <w:p>
      <w:pPr>
        <w:ind w:left="900" w:right="100" w:hanging="445"/>
        <w:spacing w:after="0" w:line="292" w:lineRule="auto"/>
        <w:tabs>
          <w:tab w:leader="none" w:pos="9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to Comcast’s calendar year 2015, and accretive to Comcast’s calendar year 2016, estimated levered free cash flow per share. Actual results achieved by the combined company may vary from forecasted results and variations may be material; and</w:t>
      </w:r>
    </w:p>
    <w:p>
      <w:pPr>
        <w:spacing w:after="0" w:line="65" w:lineRule="exact"/>
        <w:rPr>
          <w:rFonts w:ascii="Arial" w:cs="Arial" w:eastAsia="Arial" w:hAnsi="Arial"/>
          <w:sz w:val="15"/>
          <w:szCs w:val="15"/>
          <w:color w:val="auto"/>
        </w:rPr>
      </w:pPr>
    </w:p>
    <w:p>
      <w:pPr>
        <w:ind w:left="900" w:hanging="445"/>
        <w:spacing w:after="0" w:line="295" w:lineRule="auto"/>
        <w:tabs>
          <w:tab w:leader="none" w:pos="9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 approximately 17% implied by the merger exchange ratio to the closing price of TWC common stock of $139.40 per share on February 11, 2014.</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Comcast’s Financial Advisor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107" w:lineRule="exact"/>
        <w:rPr>
          <w:sz w:val="20"/>
          <w:szCs w:val="20"/>
          <w:color w:val="auto"/>
        </w:rPr>
      </w:pPr>
    </w:p>
    <w:p>
      <w:pPr>
        <w:ind w:right="220" w:firstLine="457"/>
        <w:spacing w:after="0" w:line="253" w:lineRule="auto"/>
        <w:rPr>
          <w:sz w:val="20"/>
          <w:szCs w:val="20"/>
          <w:color w:val="auto"/>
        </w:rPr>
      </w:pPr>
      <w:r>
        <w:rPr>
          <w:rFonts w:ascii="Arial" w:cs="Arial" w:eastAsia="Arial" w:hAnsi="Arial"/>
          <w:sz w:val="17"/>
          <w:szCs w:val="17"/>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80"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39"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J.P. Morgan, among other things:</w:t>
      </w:r>
    </w:p>
    <w:p>
      <w:pPr>
        <w:spacing w:after="0" w:line="120" w:lineRule="exact"/>
        <w:rPr>
          <w:sz w:val="20"/>
          <w:szCs w:val="20"/>
          <w:color w:val="auto"/>
        </w:rPr>
      </w:pPr>
    </w:p>
    <w:p>
      <w:pPr>
        <w:ind w:left="900" w:hanging="445"/>
        <w:spacing w:after="0"/>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a draft of the merger agreement, dated February 12, 2014;</w:t>
      </w:r>
    </w:p>
    <w:p>
      <w:pPr>
        <w:spacing w:after="0" w:line="119" w:lineRule="exact"/>
        <w:rPr>
          <w:rFonts w:ascii="Arial" w:cs="Arial" w:eastAsia="Arial" w:hAnsi="Arial"/>
          <w:sz w:val="17"/>
          <w:szCs w:val="17"/>
          <w:color w:val="auto"/>
        </w:rPr>
      </w:pPr>
    </w:p>
    <w:p>
      <w:pPr>
        <w:ind w:left="900" w:right="60" w:hanging="445"/>
        <w:spacing w:after="0" w:line="25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88" w:lineRule="exact"/>
        <w:rPr>
          <w:rFonts w:ascii="Arial" w:cs="Arial" w:eastAsia="Arial" w:hAnsi="Arial"/>
          <w:sz w:val="17"/>
          <w:szCs w:val="17"/>
          <w:color w:val="auto"/>
        </w:rPr>
      </w:pPr>
    </w:p>
    <w:p>
      <w:pPr>
        <w:ind w:left="900" w:right="160" w:hanging="445"/>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7" w:lineRule="exact"/>
        <w:rPr>
          <w:rFonts w:ascii="Arial" w:cs="Arial" w:eastAsia="Arial" w:hAnsi="Arial"/>
          <w:sz w:val="17"/>
          <w:szCs w:val="17"/>
          <w:color w:val="auto"/>
        </w:rPr>
      </w:pPr>
    </w:p>
    <w:p>
      <w:pPr>
        <w:ind w:left="900" w:right="200" w:hanging="445"/>
        <w:spacing w:after="0" w:line="25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8" w:lineRule="exact"/>
        <w:rPr>
          <w:rFonts w:ascii="Arial" w:cs="Arial" w:eastAsia="Arial" w:hAnsi="Arial"/>
          <w:sz w:val="17"/>
          <w:szCs w:val="17"/>
          <w:color w:val="auto"/>
        </w:rPr>
      </w:pPr>
    </w:p>
    <w:p>
      <w:pPr>
        <w:ind w:left="900" w:right="20" w:hanging="445"/>
        <w:spacing w:after="0" w:line="268"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 of this joint proxy statement/prospectus;</w:t>
      </w:r>
    </w:p>
    <w:p>
      <w:pPr>
        <w:spacing w:after="0" w:line="84" w:lineRule="exact"/>
        <w:rPr>
          <w:rFonts w:ascii="Arial" w:cs="Arial" w:eastAsia="Arial" w:hAnsi="Arial"/>
          <w:sz w:val="16"/>
          <w:szCs w:val="16"/>
          <w:color w:val="auto"/>
        </w:rPr>
      </w:pPr>
    </w:p>
    <w:p>
      <w:pPr>
        <w:ind w:left="900" w:right="100" w:hanging="445"/>
        <w:spacing w:after="0" w:line="270"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82" w:lineRule="exact"/>
        <w:rPr>
          <w:rFonts w:ascii="Arial" w:cs="Arial" w:eastAsia="Arial" w:hAnsi="Arial"/>
          <w:sz w:val="16"/>
          <w:szCs w:val="16"/>
          <w:color w:val="auto"/>
        </w:rPr>
      </w:pPr>
    </w:p>
    <w:p>
      <w:pPr>
        <w:ind w:left="900" w:right="520" w:hanging="445"/>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performed such other financial studies and analyses and considered such other information as J.P. Morgan deemed appropriate for the purposes of its opinion.</w:t>
      </w:r>
    </w:p>
    <w:p>
      <w:pPr>
        <w:spacing w:after="0" w:line="166" w:lineRule="exact"/>
        <w:rPr>
          <w:sz w:val="20"/>
          <w:szCs w:val="20"/>
          <w:color w:val="auto"/>
        </w:rPr>
      </w:pPr>
    </w:p>
    <w:p>
      <w:pPr>
        <w:jc w:val="both"/>
        <w:ind w:right="180" w:firstLine="457"/>
        <w:spacing w:after="0" w:line="309" w:lineRule="auto"/>
        <w:rPr>
          <w:sz w:val="20"/>
          <w:szCs w:val="20"/>
          <w:color w:val="auto"/>
        </w:rPr>
      </w:pPr>
      <w:r>
        <w:rPr>
          <w:rFonts w:ascii="Arial" w:cs="Arial" w:eastAsia="Arial" w:hAnsi="Arial"/>
          <w:sz w:val="15"/>
          <w:szCs w:val="15"/>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4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39"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 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9"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8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 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72"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439" w:right="2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66"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Implied Premium Calculations</w:t>
      </w:r>
    </w:p>
    <w:p>
      <w:pPr>
        <w:spacing w:after="0" w:line="10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83"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Implied</w:t>
            </w: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premium</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Premium to 2/10/14 price</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60" w:type="dxa"/>
            <w:vAlign w:val="bottom"/>
            <w:vMerge w:val="continue"/>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20"/>
                <w:szCs w:val="20"/>
                <w:color w:val="auto"/>
              </w:rPr>
            </w:pPr>
            <w:r>
              <w:rPr>
                <w:rFonts w:ascii="Arial" w:cs="Arial" w:eastAsia="Arial" w:hAnsi="Arial"/>
                <w:sz w:val="17"/>
                <w:szCs w:val="17"/>
                <w:color w:val="auto"/>
              </w:rPr>
              <w:t>Premium to 3-month volume weighted average price</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Premium to 6-month volume weighted average price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20"/>
                <w:szCs w:val="20"/>
                <w:color w:val="auto"/>
              </w:rPr>
            </w:pPr>
            <w:r>
              <w:rPr>
                <w:rFonts w:ascii="Arial" w:cs="Arial" w:eastAsia="Arial" w:hAnsi="Arial"/>
                <w:sz w:val="17"/>
                <w:szCs w:val="17"/>
                <w:color w:val="auto"/>
              </w:rPr>
              <w:t>Premium to 52 week closing high</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J.P. Morgan noted that the implied premium calculations were presented merely for reference purposes only, and were not relied upon for valuation purposes.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Analyst Price Targets (Undiscounted)</w:t>
      </w:r>
    </w:p>
    <w:p>
      <w:pPr>
        <w:spacing w:after="0" w:line="107"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TWC</w:t>
            </w:r>
          </w:p>
        </w:tc>
        <w:tc>
          <w:tcPr>
            <w:tcW w:w="49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Comcast</w:t>
            </w:r>
          </w:p>
        </w:tc>
      </w:tr>
      <w:tr>
        <w:trPr>
          <w:trHeight w:val="194"/>
        </w:trPr>
        <w:tc>
          <w:tcPr>
            <w:tcW w:w="3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 price target</w:t>
            </w:r>
          </w:p>
        </w:tc>
        <w:tc>
          <w:tcPr>
            <w:tcW w:w="20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$165.00</w:t>
            </w:r>
          </w:p>
        </w:tc>
        <w:tc>
          <w:tcPr>
            <w:tcW w:w="22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CCEEFF"/>
            </w:tcBorders>
            <w:shd w:val="clear" w:color="auto" w:fill="CCEEFF"/>
          </w:tcPr>
          <w:p>
            <w:pPr>
              <w:ind w:left="220"/>
              <w:spacing w:after="0" w:line="194" w:lineRule="exact"/>
              <w:rPr>
                <w:sz w:val="20"/>
                <w:szCs w:val="20"/>
                <w:color w:val="auto"/>
              </w:rPr>
            </w:pPr>
            <w:r>
              <w:rPr>
                <w:rFonts w:ascii="Arial" w:cs="Arial" w:eastAsia="Arial" w:hAnsi="Arial"/>
                <w:sz w:val="17"/>
                <w:szCs w:val="17"/>
                <w:color w:val="auto"/>
              </w:rPr>
              <w:t>High price target</w:t>
            </w: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$ 65.00</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Low price target</w:t>
            </w:r>
          </w:p>
        </w:tc>
        <w:tc>
          <w:tcPr>
            <w:tcW w:w="2760" w:type="dxa"/>
            <w:vAlign w:val="bottom"/>
            <w:gridSpan w:val="3"/>
          </w:tcPr>
          <w:p>
            <w:pPr>
              <w:ind w:left="2000"/>
              <w:spacing w:after="0"/>
              <w:rPr>
                <w:sz w:val="20"/>
                <w:szCs w:val="20"/>
                <w:color w:val="auto"/>
              </w:rPr>
            </w:pPr>
            <w:r>
              <w:rPr>
                <w:rFonts w:ascii="Arial" w:cs="Arial" w:eastAsia="Arial" w:hAnsi="Arial"/>
                <w:sz w:val="17"/>
                <w:szCs w:val="17"/>
                <w:color w:val="auto"/>
              </w:rPr>
              <w:t>$125.00</w:t>
            </w:r>
          </w:p>
        </w:tc>
        <w:tc>
          <w:tcPr>
            <w:tcW w:w="4940" w:type="dxa"/>
            <w:vAlign w:val="bottom"/>
          </w:tcPr>
          <w:p>
            <w:pPr>
              <w:ind w:left="220"/>
              <w:spacing w:after="0"/>
              <w:rPr>
                <w:sz w:val="20"/>
                <w:szCs w:val="20"/>
                <w:color w:val="auto"/>
              </w:rPr>
            </w:pPr>
            <w:r>
              <w:rPr>
                <w:rFonts w:ascii="Arial" w:cs="Arial" w:eastAsia="Arial" w:hAnsi="Arial"/>
                <w:sz w:val="17"/>
                <w:szCs w:val="17"/>
                <w:color w:val="auto"/>
              </w:rPr>
              <w:t>Low price target</w:t>
            </w:r>
          </w:p>
        </w:tc>
        <w:tc>
          <w:tcPr>
            <w:tcW w:w="500" w:type="dxa"/>
            <w:vAlign w:val="bottom"/>
          </w:tcPr>
          <w:p>
            <w:pPr>
              <w:spacing w:after="0"/>
              <w:rPr>
                <w:sz w:val="20"/>
                <w:szCs w:val="20"/>
                <w:color w:val="auto"/>
              </w:rPr>
            </w:pPr>
            <w:r>
              <w:rPr>
                <w:rFonts w:ascii="Arial" w:cs="Arial" w:eastAsia="Arial" w:hAnsi="Arial"/>
                <w:sz w:val="17"/>
                <w:szCs w:val="17"/>
                <w:color w:val="auto"/>
                <w:w w:val="84"/>
              </w:rPr>
              <w:t>$ 58.00</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318"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Implied exchange</w:t>
            </w:r>
          </w:p>
        </w:tc>
      </w:tr>
      <w:tr>
        <w:trPr>
          <w:trHeight w:val="159"/>
        </w:trPr>
        <w:tc>
          <w:tcPr>
            <w:tcW w:w="40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ratio</w:t>
            </w:r>
          </w:p>
        </w:tc>
      </w:tr>
      <w:tr>
        <w:trPr>
          <w:trHeight w:val="194"/>
        </w:trPr>
        <w:tc>
          <w:tcPr>
            <w:tcW w:w="4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w w:val="94"/>
              </w:rPr>
              <w:t>Highest TWC price target to lowest Comcast price target</w:t>
            </w:r>
          </w:p>
        </w:tc>
        <w:tc>
          <w:tcPr>
            <w:tcW w:w="35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2.845x</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w w:val="93"/>
              </w:rPr>
              <w:t>Lowest TWC price target to highest Comcast price target</w:t>
            </w:r>
          </w:p>
        </w:tc>
        <w:tc>
          <w:tcPr>
            <w:tcW w:w="35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1.923x</w:t>
            </w:r>
          </w:p>
        </w:tc>
      </w:tr>
      <w:tr>
        <w:trPr>
          <w:trHeight w:val="328"/>
        </w:trPr>
        <w:tc>
          <w:tcPr>
            <w:tcW w:w="4020" w:type="dxa"/>
            <w:vAlign w:val="bottom"/>
          </w:tcPr>
          <w:p>
            <w:pPr>
              <w:spacing w:after="0"/>
              <w:rPr>
                <w:sz w:val="24"/>
                <w:szCs w:val="24"/>
                <w:color w:val="auto"/>
              </w:rPr>
            </w:pPr>
          </w:p>
        </w:tc>
        <w:tc>
          <w:tcPr>
            <w:tcW w:w="3540" w:type="dxa"/>
            <w:vAlign w:val="bottom"/>
          </w:tcPr>
          <w:p>
            <w:pPr>
              <w:jc w:val="right"/>
              <w:ind w:right="3016"/>
              <w:spacing w:after="0"/>
              <w:rPr>
                <w:sz w:val="20"/>
                <w:szCs w:val="20"/>
                <w:color w:val="auto"/>
              </w:rPr>
            </w:pPr>
            <w:r>
              <w:rPr>
                <w:rFonts w:ascii="Arial" w:cs="Arial" w:eastAsia="Arial" w:hAnsi="Arial"/>
                <w:sz w:val="17"/>
                <w:szCs w:val="17"/>
                <w:color w:val="auto"/>
              </w:rPr>
              <w:t>118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J.P. Morgan noted that the analyst price targets (undiscounted) were presented merely for reference purposes only, and were not relied upon for valuation purposes.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Historical Exchange Ratio Analysis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reviewed the per share daily closing market price of Comcast Class A common stock and TWC common stock since the spin-off of TWC 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March 12, 2009 and calculated the implied historical exchange ratios during this period. Specifically, for each trading day, J.P. Morgan divided the daily closing price 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share of TWC common stock by that of Comcast Class A common stock. J.P. Morgan calculated (i) the exchange ratios based on the closing stock prices on February 10,</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2014 and the unaffected date of June 13, 2013 and (ii) the average of the implied historical exchange ratios for the thirty-day, three-month, one-year, three-year, and since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spin-off periods ending February 10, 2014. The analysis resulted in the following implied exchange ratios for the dates and periods indicated, as compared to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exchange ratio in the proposed merger of 2.875x:</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60" w:type="dxa"/>
            <w:vAlign w:val="bottom"/>
            <w:gridSpan w:val="3"/>
            <w:vMerge w:val="restart"/>
          </w:tcPr>
          <w:p>
            <w:pPr>
              <w:jc w:val="center"/>
              <w:ind w:left="338"/>
              <w:spacing w:after="0"/>
              <w:rPr>
                <w:sz w:val="20"/>
                <w:szCs w:val="20"/>
                <w:color w:val="auto"/>
              </w:rPr>
            </w:pPr>
            <w:r>
              <w:rPr>
                <w:rFonts w:ascii="Arial" w:cs="Arial" w:eastAsia="Arial" w:hAnsi="Arial"/>
                <w:sz w:val="13"/>
                <w:szCs w:val="13"/>
                <w:b w:val="1"/>
                <w:bCs w:val="1"/>
                <w:color w:val="auto"/>
                <w:w w:val="99"/>
              </w:rPr>
              <w:t>TWC implied</w:t>
            </w:r>
          </w:p>
        </w:tc>
        <w:tc>
          <w:tcPr>
            <w:tcW w:w="44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Comcast</w:t>
            </w:r>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Average</w:t>
            </w:r>
          </w:p>
        </w:tc>
        <w:tc>
          <w:tcPr>
            <w:tcW w:w="2360" w:type="dxa"/>
            <w:vAlign w:val="bottom"/>
            <w:gridSpan w:val="3"/>
            <w:vMerge w:val="continue"/>
          </w:tcPr>
          <w:p>
            <w:pPr>
              <w:spacing w:after="0"/>
              <w:rPr>
                <w:sz w:val="12"/>
                <w:szCs w:val="12"/>
                <w:color w:val="auto"/>
              </w:rPr>
            </w:pPr>
          </w:p>
        </w:tc>
        <w:tc>
          <w:tcPr>
            <w:tcW w:w="1300" w:type="dxa"/>
            <w:vAlign w:val="bottom"/>
            <w:gridSpan w:val="3"/>
          </w:tcPr>
          <w:p>
            <w:pPr>
              <w:jc w:val="center"/>
              <w:ind w:left="158"/>
              <w:spacing w:after="0" w:line="139" w:lineRule="exact"/>
              <w:rPr>
                <w:sz w:val="20"/>
                <w:szCs w:val="20"/>
                <w:color w:val="auto"/>
              </w:rPr>
            </w:pPr>
            <w:r>
              <w:rPr>
                <w:rFonts w:ascii="Arial" w:cs="Arial" w:eastAsia="Arial" w:hAnsi="Arial"/>
                <w:sz w:val="13"/>
                <w:szCs w:val="13"/>
                <w:b w:val="1"/>
                <w:bCs w:val="1"/>
                <w:color w:val="auto"/>
                <w:w w:val="94"/>
              </w:rPr>
              <w:t>implied pro</w:t>
            </w:r>
          </w:p>
        </w:tc>
        <w:tc>
          <w:tcPr>
            <w:tcW w:w="0" w:type="dxa"/>
            <w:vAlign w:val="bottom"/>
          </w:tcPr>
          <w:p>
            <w:pPr>
              <w:spacing w:after="0"/>
              <w:rPr>
                <w:sz w:val="1"/>
                <w:szCs w:val="1"/>
                <w:color w:val="auto"/>
              </w:rPr>
            </w:pPr>
          </w:p>
        </w:tc>
      </w:tr>
      <w:tr>
        <w:trPr>
          <w:trHeight w:val="139"/>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88"/>
              </w:rPr>
              <w:t>Period</w:t>
            </w:r>
          </w:p>
        </w:tc>
        <w:tc>
          <w:tcPr>
            <w:tcW w:w="31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gridSpan w:val="2"/>
          </w:tcPr>
          <w:p>
            <w:pPr>
              <w:jc w:val="center"/>
              <w:ind w:right="580"/>
              <w:spacing w:after="0" w:line="139" w:lineRule="exact"/>
              <w:rPr>
                <w:sz w:val="20"/>
                <w:szCs w:val="20"/>
                <w:color w:val="auto"/>
              </w:rPr>
            </w:pPr>
            <w:r>
              <w:rPr>
                <w:rFonts w:ascii="Arial" w:cs="Arial" w:eastAsia="Arial" w:hAnsi="Arial"/>
                <w:sz w:val="13"/>
                <w:szCs w:val="13"/>
                <w:b w:val="1"/>
                <w:bCs w:val="1"/>
                <w:color w:val="auto"/>
                <w:w w:val="95"/>
              </w:rPr>
              <w:t>pro forma</w:t>
            </w:r>
          </w:p>
        </w:tc>
        <w:tc>
          <w:tcPr>
            <w:tcW w:w="440" w:type="dxa"/>
            <w:vAlign w:val="bottom"/>
          </w:tcPr>
          <w:p>
            <w:pPr>
              <w:spacing w:after="0"/>
              <w:rPr>
                <w:sz w:val="12"/>
                <w:szCs w:val="12"/>
                <w:color w:val="auto"/>
              </w:rPr>
            </w:pPr>
          </w:p>
        </w:tc>
        <w:tc>
          <w:tcPr>
            <w:tcW w:w="8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9"/>
        </w:trPr>
        <w:tc>
          <w:tcPr>
            <w:tcW w:w="38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2440" w:type="dxa"/>
            <w:vAlign w:val="bottom"/>
            <w:gridSpan w:val="2"/>
          </w:tcPr>
          <w:p>
            <w:pPr>
              <w:jc w:val="right"/>
              <w:spacing w:after="0"/>
              <w:rPr>
                <w:sz w:val="20"/>
                <w:szCs w:val="20"/>
                <w:color w:val="auto"/>
              </w:rPr>
            </w:pPr>
            <w:r>
              <w:rPr>
                <w:rFonts w:ascii="Arial" w:cs="Arial" w:eastAsia="Arial" w:hAnsi="Arial"/>
                <w:sz w:val="13"/>
                <w:szCs w:val="13"/>
                <w:b w:val="1"/>
                <w:bCs w:val="1"/>
                <w:color w:val="auto"/>
              </w:rPr>
              <w:t>exchange ratio</w:t>
            </w:r>
          </w:p>
        </w:tc>
        <w:tc>
          <w:tcPr>
            <w:tcW w:w="100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9"/>
              </w:rPr>
              <w:t>ownership</w:t>
            </w:r>
          </w:p>
        </w:tc>
        <w:tc>
          <w:tcPr>
            <w:tcW w:w="44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6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Current (2/10/2014)</w:t>
            </w:r>
          </w:p>
        </w:tc>
        <w:tc>
          <w:tcPr>
            <w:tcW w:w="160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2.497x</w:t>
            </w:r>
          </w:p>
        </w:tc>
        <w:tc>
          <w:tcPr>
            <w:tcW w:w="1000" w:type="dxa"/>
            <w:vAlign w:val="bottom"/>
            <w:vMerge w:val="continue"/>
            <w:shd w:val="clear" w:color="auto" w:fill="CCEEFF"/>
          </w:tcPr>
          <w:p>
            <w:pPr>
              <w:spacing w:after="0"/>
              <w:rPr>
                <w:sz w:val="16"/>
                <w:szCs w:val="16"/>
                <w:color w:val="auto"/>
              </w:rPr>
            </w:pPr>
          </w:p>
        </w:tc>
        <w:tc>
          <w:tcPr>
            <w:tcW w:w="13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20.9%</w:t>
            </w:r>
          </w:p>
        </w:tc>
        <w:tc>
          <w:tcPr>
            <w:tcW w:w="440" w:type="dxa"/>
            <w:vAlign w:val="bottom"/>
            <w:vMerge w:val="continue"/>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rPr>
                <w:sz w:val="20"/>
                <w:szCs w:val="20"/>
                <w:color w:val="auto"/>
              </w:rPr>
            </w:pPr>
            <w:r>
              <w:rPr>
                <w:rFonts w:ascii="Arial" w:cs="Arial" w:eastAsia="Arial" w:hAnsi="Arial"/>
                <w:sz w:val="17"/>
                <w:szCs w:val="17"/>
                <w:color w:val="auto"/>
              </w:rPr>
              <w:t>Unaffected date (6/13/2013)</w:t>
            </w:r>
          </w:p>
        </w:tc>
        <w:tc>
          <w:tcPr>
            <w:tcW w:w="1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2.419x</w:t>
            </w:r>
          </w:p>
        </w:tc>
        <w:tc>
          <w:tcPr>
            <w:tcW w:w="2360" w:type="dxa"/>
            <w:vAlign w:val="bottom"/>
            <w:gridSpan w:val="3"/>
          </w:tcPr>
          <w:p>
            <w:pPr>
              <w:jc w:val="right"/>
              <w:ind w:right="440"/>
              <w:spacing w:after="0"/>
              <w:rPr>
                <w:sz w:val="20"/>
                <w:szCs w:val="20"/>
                <w:color w:val="auto"/>
              </w:rPr>
            </w:pPr>
            <w:r>
              <w:rPr>
                <w:rFonts w:ascii="Arial" w:cs="Arial" w:eastAsia="Arial" w:hAnsi="Arial"/>
                <w:sz w:val="17"/>
                <w:szCs w:val="17"/>
                <w:color w:val="auto"/>
              </w:rPr>
              <w:t>20.4%</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30 days</w:t>
            </w:r>
          </w:p>
        </w:tc>
        <w:tc>
          <w:tcPr>
            <w:tcW w:w="1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2.517x</w:t>
            </w:r>
          </w:p>
        </w:tc>
        <w:tc>
          <w:tcPr>
            <w:tcW w:w="23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21.0%</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rPr>
                <w:sz w:val="20"/>
                <w:szCs w:val="20"/>
                <w:color w:val="auto"/>
              </w:rPr>
            </w:pPr>
            <w:r>
              <w:rPr>
                <w:rFonts w:ascii="Arial" w:cs="Arial" w:eastAsia="Arial" w:hAnsi="Arial"/>
                <w:sz w:val="17"/>
                <w:szCs w:val="17"/>
                <w:color w:val="auto"/>
              </w:rPr>
              <w:t>3 months</w:t>
            </w:r>
          </w:p>
        </w:tc>
        <w:tc>
          <w:tcPr>
            <w:tcW w:w="1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2.591x</w:t>
            </w:r>
          </w:p>
        </w:tc>
        <w:tc>
          <w:tcPr>
            <w:tcW w:w="2360" w:type="dxa"/>
            <w:vAlign w:val="bottom"/>
            <w:gridSpan w:val="3"/>
          </w:tcPr>
          <w:p>
            <w:pPr>
              <w:jc w:val="right"/>
              <w:ind w:right="440"/>
              <w:spacing w:after="0"/>
              <w:rPr>
                <w:sz w:val="20"/>
                <w:szCs w:val="20"/>
                <w:color w:val="auto"/>
              </w:rPr>
            </w:pPr>
            <w:r>
              <w:rPr>
                <w:rFonts w:ascii="Arial" w:cs="Arial" w:eastAsia="Arial" w:hAnsi="Arial"/>
                <w:sz w:val="17"/>
                <w:szCs w:val="17"/>
                <w:color w:val="auto"/>
              </w:rPr>
              <w:t>21.5%</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 year</w:t>
            </w:r>
          </w:p>
        </w:tc>
        <w:tc>
          <w:tcPr>
            <w:tcW w:w="1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2.468x</w:t>
            </w:r>
          </w:p>
        </w:tc>
        <w:tc>
          <w:tcPr>
            <w:tcW w:w="23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20.7%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rPr>
                <w:sz w:val="20"/>
                <w:szCs w:val="20"/>
                <w:color w:val="auto"/>
              </w:rPr>
            </w:pPr>
            <w:r>
              <w:rPr>
                <w:rFonts w:ascii="Arial" w:cs="Arial" w:eastAsia="Arial" w:hAnsi="Arial"/>
                <w:sz w:val="17"/>
                <w:szCs w:val="17"/>
                <w:color w:val="auto"/>
              </w:rPr>
              <w:t>3 years</w:t>
            </w:r>
          </w:p>
        </w:tc>
        <w:tc>
          <w:tcPr>
            <w:tcW w:w="1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2.667x</w:t>
            </w:r>
          </w:p>
        </w:tc>
        <w:tc>
          <w:tcPr>
            <w:tcW w:w="2360" w:type="dxa"/>
            <w:vAlign w:val="bottom"/>
            <w:gridSpan w:val="3"/>
          </w:tcPr>
          <w:p>
            <w:pPr>
              <w:jc w:val="right"/>
              <w:ind w:right="440"/>
              <w:spacing w:after="0"/>
              <w:rPr>
                <w:sz w:val="20"/>
                <w:szCs w:val="20"/>
                <w:color w:val="auto"/>
              </w:rPr>
            </w:pPr>
            <w:r>
              <w:rPr>
                <w:rFonts w:ascii="Arial" w:cs="Arial" w:eastAsia="Arial" w:hAnsi="Arial"/>
                <w:sz w:val="17"/>
                <w:szCs w:val="17"/>
                <w:color w:val="auto"/>
              </w:rPr>
              <w:t>22.1%</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Since spin-off (3/12/2009)</w:t>
            </w:r>
          </w:p>
        </w:tc>
        <w:tc>
          <w:tcPr>
            <w:tcW w:w="1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2.671x</w:t>
            </w:r>
          </w:p>
        </w:tc>
        <w:tc>
          <w:tcPr>
            <w:tcW w:w="23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22.1%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J.P. Morgan noted that a historical exchange ratio analysis was presented merely for reference purposes only, and was not relied upon for valuation purposes.</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Historical Trading Analysis</w:t>
      </w:r>
    </w:p>
    <w:p>
      <w:pPr>
        <w:spacing w:after="0" w:line="10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J.P. Morgan also reviewed the 52-week intraday trading range of TWC stock price and Comcast Class A stock price for the period ending February 10, 2014. The reference ranges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TWC</w:t>
            </w:r>
          </w:p>
        </w:tc>
        <w:tc>
          <w:tcPr>
            <w:tcW w:w="49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Comcast</w:t>
            </w:r>
          </w:p>
        </w:tc>
      </w:tr>
      <w:tr>
        <w:trPr>
          <w:trHeight w:val="194"/>
        </w:trPr>
        <w:tc>
          <w:tcPr>
            <w:tcW w:w="3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52-week high</w:t>
            </w:r>
          </w:p>
        </w:tc>
        <w:tc>
          <w:tcPr>
            <w:tcW w:w="2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139.85</w:t>
            </w:r>
          </w:p>
        </w:tc>
        <w:tc>
          <w:tcPr>
            <w:tcW w:w="22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CCEEFF"/>
            </w:tcBorders>
            <w:shd w:val="clear" w:color="auto" w:fill="CCEEFF"/>
          </w:tcPr>
          <w:p>
            <w:pPr>
              <w:ind w:left="220"/>
              <w:spacing w:after="0" w:line="194" w:lineRule="exact"/>
              <w:rPr>
                <w:sz w:val="20"/>
                <w:szCs w:val="20"/>
                <w:color w:val="auto"/>
              </w:rPr>
            </w:pPr>
            <w:r>
              <w:rPr>
                <w:rFonts w:ascii="Arial" w:cs="Arial" w:eastAsia="Arial" w:hAnsi="Arial"/>
                <w:sz w:val="17"/>
                <w:szCs w:val="17"/>
                <w:color w:val="auto"/>
              </w:rPr>
              <w:t>52-week high</w:t>
            </w: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$ 54.96</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7"/>
                <w:szCs w:val="17"/>
                <w:color w:val="auto"/>
              </w:rPr>
              <w:t>52-week low</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84.57</w:t>
            </w:r>
          </w:p>
        </w:tc>
        <w:tc>
          <w:tcPr>
            <w:tcW w:w="4940" w:type="dxa"/>
            <w:vAlign w:val="bottom"/>
          </w:tcPr>
          <w:p>
            <w:pPr>
              <w:ind w:left="220"/>
              <w:spacing w:after="0"/>
              <w:rPr>
                <w:sz w:val="20"/>
                <w:szCs w:val="20"/>
                <w:color w:val="auto"/>
              </w:rPr>
            </w:pPr>
            <w:r>
              <w:rPr>
                <w:rFonts w:ascii="Arial" w:cs="Arial" w:eastAsia="Arial" w:hAnsi="Arial"/>
                <w:sz w:val="17"/>
                <w:szCs w:val="17"/>
                <w:color w:val="auto"/>
              </w:rPr>
              <w:t>52-week low</w:t>
            </w:r>
          </w:p>
        </w:tc>
        <w:tc>
          <w:tcPr>
            <w:tcW w:w="500" w:type="dxa"/>
            <w:vAlign w:val="bottom"/>
          </w:tcPr>
          <w:p>
            <w:pPr>
              <w:spacing w:after="0"/>
              <w:rPr>
                <w:sz w:val="20"/>
                <w:szCs w:val="20"/>
                <w:color w:val="auto"/>
              </w:rPr>
            </w:pPr>
            <w:r>
              <w:rPr>
                <w:rFonts w:ascii="Arial" w:cs="Arial" w:eastAsia="Arial" w:hAnsi="Arial"/>
                <w:sz w:val="17"/>
                <w:szCs w:val="17"/>
                <w:color w:val="auto"/>
                <w:w w:val="84"/>
              </w:rPr>
              <w:t>$ 38.31</w:t>
            </w:r>
          </w:p>
        </w:tc>
        <w:tc>
          <w:tcPr>
            <w:tcW w:w="80" w:type="dxa"/>
            <w:vAlign w:val="bottom"/>
          </w:tcPr>
          <w:p>
            <w:pPr>
              <w:spacing w:after="0"/>
              <w:rPr>
                <w:sz w:val="18"/>
                <w:szCs w:val="18"/>
                <w:color w:val="auto"/>
              </w:rPr>
            </w:pPr>
          </w:p>
        </w:tc>
      </w:tr>
    </w:tbl>
    <w:p>
      <w:pPr>
        <w:spacing w:after="0" w:line="177"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460" w:type="dxa"/>
            <w:vAlign w:val="bottom"/>
          </w:tcPr>
          <w:p>
            <w:pPr>
              <w:spacing w:after="0"/>
              <w:rPr>
                <w:sz w:val="12"/>
                <w:szCs w:val="12"/>
                <w:color w:val="auto"/>
              </w:rPr>
            </w:pPr>
          </w:p>
        </w:tc>
        <w:tc>
          <w:tcPr>
            <w:tcW w:w="3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Implied exchange</w:t>
            </w:r>
          </w:p>
        </w:tc>
      </w:tr>
      <w:tr>
        <w:trPr>
          <w:trHeight w:val="159"/>
        </w:trPr>
        <w:tc>
          <w:tcPr>
            <w:tcW w:w="7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20" w:type="dxa"/>
            <w:vAlign w:val="bottom"/>
            <w:gridSpan w:val="2"/>
          </w:tcPr>
          <w:p>
            <w:pPr>
              <w:ind w:left="360"/>
              <w:spacing w:after="0"/>
              <w:rPr>
                <w:sz w:val="20"/>
                <w:szCs w:val="20"/>
                <w:color w:val="auto"/>
              </w:rPr>
            </w:pPr>
            <w:r>
              <w:rPr>
                <w:rFonts w:ascii="Arial" w:cs="Arial" w:eastAsia="Arial" w:hAnsi="Arial"/>
                <w:sz w:val="13"/>
                <w:szCs w:val="13"/>
                <w:b w:val="1"/>
                <w:bCs w:val="1"/>
                <w:color w:val="auto"/>
              </w:rPr>
              <w:t>ratio</w:t>
            </w:r>
          </w:p>
        </w:tc>
      </w:tr>
      <w:tr>
        <w:trPr>
          <w:trHeight w:val="194"/>
        </w:trPr>
        <w:tc>
          <w:tcPr>
            <w:tcW w:w="7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52-week highest TWC stock price to 52-week lowest Comcast class A stock price</w:t>
            </w:r>
          </w:p>
        </w:tc>
        <w:tc>
          <w:tcPr>
            <w:tcW w:w="19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3.650x</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7460" w:type="dxa"/>
            <w:vAlign w:val="bottom"/>
          </w:tcPr>
          <w:p>
            <w:pPr>
              <w:spacing w:after="0"/>
              <w:rPr>
                <w:sz w:val="20"/>
                <w:szCs w:val="20"/>
                <w:color w:val="auto"/>
              </w:rPr>
            </w:pPr>
            <w:r>
              <w:rPr>
                <w:rFonts w:ascii="Arial" w:cs="Arial" w:eastAsia="Arial" w:hAnsi="Arial"/>
                <w:sz w:val="17"/>
                <w:szCs w:val="17"/>
                <w:color w:val="auto"/>
              </w:rPr>
              <w:t>52-week lowest TWC stock price to 52-week highest Comcast class A stock price</w:t>
            </w:r>
          </w:p>
        </w:tc>
        <w:tc>
          <w:tcPr>
            <w:tcW w:w="19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1.539x</w:t>
            </w:r>
          </w:p>
        </w:tc>
      </w:tr>
    </w:tbl>
    <w:p>
      <w:pPr>
        <w:spacing w:after="0" w:line="200" w:lineRule="exact"/>
        <w:rPr>
          <w:sz w:val="20"/>
          <w:szCs w:val="20"/>
          <w:color w:val="auto"/>
        </w:rPr>
      </w:pPr>
    </w:p>
    <w:p>
      <w:pPr>
        <w:spacing w:after="0" w:line="318" w:lineRule="exact"/>
        <w:rPr>
          <w:sz w:val="20"/>
          <w:szCs w:val="20"/>
          <w:color w:val="auto"/>
        </w:rPr>
      </w:pPr>
    </w:p>
    <w:p>
      <w:pPr>
        <w:jc w:val="center"/>
        <w:ind w:right="460"/>
        <w:spacing w:after="0" w:line="440" w:lineRule="auto"/>
        <w:rPr>
          <w:sz w:val="20"/>
          <w:szCs w:val="20"/>
          <w:color w:val="auto"/>
        </w:rPr>
      </w:pPr>
      <w:r>
        <w:rPr>
          <w:rFonts w:ascii="Arial" w:cs="Arial" w:eastAsia="Arial" w:hAnsi="Arial"/>
          <w:sz w:val="17"/>
          <w:szCs w:val="17"/>
          <w:color w:val="auto"/>
        </w:rPr>
        <w:t>J.P. Morgan noted that a historical trading analysis was presented merely for reference purposes only, and was not relied upon for valuation purposes. 119</w:t>
      </w:r>
    </w:p>
    <w:p>
      <w:pPr>
        <w:sectPr>
          <w:pgSz w:w="11900" w:h="16838" w:orient="portrait"/>
          <w:cols w:equalWidth="0" w:num="1">
            <w:col w:w="11420"/>
          </w:cols>
          <w:pgMar w:left="240" w:top="439" w:right="2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Public Trading Multiples Analysis</w:t>
      </w:r>
    </w:p>
    <w:p>
      <w:pPr>
        <w:spacing w:after="0" w:line="10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Cable Companies:</w:t>
      </w:r>
    </w:p>
    <w:p>
      <w:pPr>
        <w:spacing w:after="0" w:line="120" w:lineRule="exact"/>
        <w:rPr>
          <w:sz w:val="20"/>
          <w:szCs w:val="20"/>
          <w:color w:val="auto"/>
        </w:rPr>
      </w:pPr>
    </w:p>
    <w:p>
      <w:pPr>
        <w:ind w:left="900" w:hanging="332"/>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Comcast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Time Warner Cable Inc.</w:t>
      </w:r>
    </w:p>
    <w:p>
      <w:pPr>
        <w:spacing w:after="0" w:line="208"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the information J.P. Morgan presented included:</w:t>
      </w:r>
    </w:p>
    <w:p>
      <w:pPr>
        <w:spacing w:after="0" w:line="120" w:lineRule="exact"/>
        <w:rPr>
          <w:sz w:val="20"/>
          <w:szCs w:val="20"/>
          <w:color w:val="auto"/>
        </w:rPr>
      </w:pPr>
    </w:p>
    <w:p>
      <w:pPr>
        <w:ind w:left="900" w:right="140" w:hanging="332"/>
        <w:spacing w:after="0" w:line="338" w:lineRule="auto"/>
        <w:tabs>
          <w:tab w:leader="none" w:pos="9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Multiple of firm value (calculated as equity value plus total debt and other adjustments, including minority interest, net of cash and cash equivalents, unconsolidated investments and value of tax attributes) to EBITDA (calculated as earnings before interest, taxes, depreciation and amortization) for 2014;</w:t>
      </w:r>
    </w:p>
    <w:p>
      <w:pPr>
        <w:spacing w:after="0" w:line="31" w:lineRule="exact"/>
        <w:rPr>
          <w:rFonts w:ascii="Arial" w:cs="Arial" w:eastAsia="Arial" w:hAnsi="Arial"/>
          <w:sz w:val="15"/>
          <w:szCs w:val="15"/>
          <w:color w:val="auto"/>
        </w:rPr>
      </w:pPr>
    </w:p>
    <w:p>
      <w:pPr>
        <w:ind w:left="900" w:hanging="332"/>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2015;</w:t>
      </w:r>
    </w:p>
    <w:p>
      <w:pPr>
        <w:spacing w:after="0" w:line="119" w:lineRule="exact"/>
        <w:rPr>
          <w:rFonts w:ascii="Arial" w:cs="Arial" w:eastAsia="Arial" w:hAnsi="Arial"/>
          <w:sz w:val="17"/>
          <w:szCs w:val="17"/>
          <w:color w:val="auto"/>
        </w:rPr>
      </w:pPr>
    </w:p>
    <w:p>
      <w:pPr>
        <w:ind w:left="900" w:right="180" w:hanging="332"/>
        <w:spacing w:after="0" w:line="270"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Results of the analysis were presented for the selected companies, as indicated in the following table: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Trading multiples—Cable Companies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3780" w:type="dxa"/>
            <w:vAlign w:val="bottom"/>
            <w:gridSpan w:val="4"/>
          </w:tcPr>
          <w:p>
            <w:pPr>
              <w:ind w:left="580"/>
              <w:spacing w:after="0"/>
              <w:rPr>
                <w:sz w:val="20"/>
                <w:szCs w:val="20"/>
                <w:color w:val="auto"/>
              </w:rPr>
            </w:pPr>
            <w:r>
              <w:rPr>
                <w:rFonts w:ascii="Arial" w:cs="Arial" w:eastAsia="Arial" w:hAnsi="Arial"/>
                <w:sz w:val="13"/>
                <w:szCs w:val="13"/>
                <w:b w:val="1"/>
                <w:bCs w:val="1"/>
                <w:color w:val="auto"/>
              </w:rPr>
              <w:t>Firm value to EBITDA ratio</w:t>
            </w:r>
          </w:p>
        </w:tc>
        <w:tc>
          <w:tcPr>
            <w:tcW w:w="3340" w:type="dxa"/>
            <w:vAlign w:val="bottom"/>
            <w:gridSpan w:val="4"/>
          </w:tcPr>
          <w:p>
            <w:pPr>
              <w:ind w:left="40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3400" w:type="dxa"/>
            <w:vAlign w:val="bottom"/>
          </w:tcPr>
          <w:p>
            <w:pPr>
              <w:spacing w:after="0"/>
              <w:rPr>
                <w:sz w:val="11"/>
                <w:szCs w:val="11"/>
                <w:color w:val="auto"/>
              </w:rPr>
            </w:pPr>
          </w:p>
        </w:tc>
        <w:tc>
          <w:tcPr>
            <w:tcW w:w="190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3"/>
                <w:szCs w:val="13"/>
                <w:b w:val="1"/>
                <w:bCs w:val="1"/>
                <w:color w:val="auto"/>
              </w:rPr>
              <w:t>2014 estimated</w:t>
            </w:r>
          </w:p>
        </w:tc>
        <w:tc>
          <w:tcPr>
            <w:tcW w:w="9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960" w:type="dxa"/>
            <w:vAlign w:val="bottom"/>
          </w:tcPr>
          <w:p>
            <w:pPr>
              <w:spacing w:after="0"/>
              <w:rPr>
                <w:sz w:val="11"/>
                <w:szCs w:val="11"/>
                <w:color w:val="auto"/>
              </w:rPr>
            </w:pPr>
          </w:p>
        </w:tc>
        <w:tc>
          <w:tcPr>
            <w:tcW w:w="21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2014 estimated</w:t>
            </w:r>
          </w:p>
        </w:tc>
        <w:tc>
          <w:tcPr>
            <w:tcW w:w="1140" w:type="dxa"/>
            <w:vAlign w:val="bottom"/>
            <w:tcBorders>
              <w:top w:val="single" w:sz="8" w:color="auto"/>
            </w:tcBorders>
          </w:tcPr>
          <w:p>
            <w:pPr>
              <w:ind w:left="140"/>
              <w:spacing w:after="0" w:line="131" w:lineRule="exact"/>
              <w:rPr>
                <w:sz w:val="20"/>
                <w:szCs w:val="20"/>
                <w:color w:val="auto"/>
              </w:rPr>
            </w:pPr>
            <w:r>
              <w:rPr>
                <w:rFonts w:ascii="Arial" w:cs="Arial" w:eastAsia="Arial" w:hAnsi="Arial"/>
                <w:sz w:val="13"/>
                <w:szCs w:val="13"/>
                <w:b w:val="1"/>
                <w:bCs w:val="1"/>
                <w:color w:val="auto"/>
              </w:rPr>
              <w:t>2015 estimated</w:t>
            </w:r>
          </w:p>
        </w:tc>
        <w:tc>
          <w:tcPr>
            <w:tcW w:w="100" w:type="dxa"/>
            <w:vAlign w:val="bottom"/>
          </w:tcPr>
          <w:p>
            <w:pPr>
              <w:spacing w:after="0"/>
              <w:rPr>
                <w:sz w:val="11"/>
                <w:szCs w:val="11"/>
                <w:color w:val="auto"/>
              </w:rPr>
            </w:pPr>
          </w:p>
        </w:tc>
      </w:tr>
      <w:tr>
        <w:trPr>
          <w:trHeight w:val="194"/>
        </w:trPr>
        <w:tc>
          <w:tcPr>
            <w:tcW w:w="3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940" w:type="dxa"/>
            <w:vAlign w:val="bottom"/>
            <w:tcBorders>
              <w:top w:val="single" w:sz="8" w:color="auto"/>
            </w:tcBorders>
            <w:shd w:val="clear" w:color="auto" w:fill="CCEEFF"/>
          </w:tcPr>
          <w:p>
            <w:pPr>
              <w:ind w:left="640"/>
              <w:spacing w:after="0" w:line="194" w:lineRule="exact"/>
              <w:rPr>
                <w:sz w:val="20"/>
                <w:szCs w:val="20"/>
                <w:color w:val="auto"/>
              </w:rPr>
            </w:pPr>
            <w:r>
              <w:rPr>
                <w:rFonts w:ascii="Arial" w:cs="Arial" w:eastAsia="Arial" w:hAnsi="Arial"/>
                <w:sz w:val="17"/>
                <w:szCs w:val="17"/>
                <w:color w:val="auto"/>
                <w:w w:val="86"/>
              </w:rPr>
              <w:t>8.8x</w:t>
            </w:r>
          </w:p>
        </w:tc>
        <w:tc>
          <w:tcPr>
            <w:tcW w:w="9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620"/>
              <w:spacing w:after="0" w:line="194" w:lineRule="exact"/>
              <w:rPr>
                <w:sz w:val="20"/>
                <w:szCs w:val="20"/>
                <w:color w:val="auto"/>
              </w:rPr>
            </w:pPr>
            <w:r>
              <w:rPr>
                <w:rFonts w:ascii="Arial" w:cs="Arial" w:eastAsia="Arial" w:hAnsi="Arial"/>
                <w:sz w:val="17"/>
                <w:szCs w:val="17"/>
                <w:color w:val="auto"/>
                <w:w w:val="86"/>
              </w:rPr>
              <w:t>8.0x</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760"/>
              <w:spacing w:after="0" w:line="194" w:lineRule="exact"/>
              <w:rPr>
                <w:sz w:val="20"/>
                <w:szCs w:val="20"/>
                <w:color w:val="auto"/>
              </w:rPr>
            </w:pPr>
            <w:r>
              <w:rPr>
                <w:rFonts w:ascii="Arial" w:cs="Arial" w:eastAsia="Arial" w:hAnsi="Arial"/>
                <w:sz w:val="17"/>
                <w:szCs w:val="17"/>
                <w:color w:val="auto"/>
                <w:w w:val="86"/>
              </w:rPr>
              <w:t>24.2x</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760"/>
              <w:spacing w:after="0" w:line="194" w:lineRule="exact"/>
              <w:rPr>
                <w:sz w:val="20"/>
                <w:szCs w:val="20"/>
                <w:color w:val="auto"/>
              </w:rPr>
            </w:pPr>
            <w:r>
              <w:rPr>
                <w:rFonts w:ascii="Arial" w:cs="Arial" w:eastAsia="Arial" w:hAnsi="Arial"/>
                <w:sz w:val="17"/>
                <w:szCs w:val="17"/>
                <w:color w:val="auto"/>
                <w:w w:val="86"/>
              </w:rPr>
              <w:t>18.4x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7"/>
                <w:szCs w:val="17"/>
                <w:color w:val="auto"/>
              </w:rPr>
              <w:t>Low</w:t>
            </w:r>
          </w:p>
        </w:tc>
        <w:tc>
          <w:tcPr>
            <w:tcW w:w="1900" w:type="dxa"/>
            <w:vAlign w:val="bottom"/>
            <w:gridSpan w:val="2"/>
          </w:tcPr>
          <w:p>
            <w:pPr>
              <w:ind w:left="640"/>
              <w:spacing w:after="0"/>
              <w:rPr>
                <w:sz w:val="20"/>
                <w:szCs w:val="20"/>
                <w:color w:val="auto"/>
              </w:rPr>
            </w:pPr>
            <w:r>
              <w:rPr>
                <w:rFonts w:ascii="Arial" w:cs="Arial" w:eastAsia="Arial" w:hAnsi="Arial"/>
                <w:sz w:val="17"/>
                <w:szCs w:val="17"/>
                <w:color w:val="auto"/>
              </w:rPr>
              <w:t>7.3x</w:t>
            </w:r>
          </w:p>
        </w:tc>
        <w:tc>
          <w:tcPr>
            <w:tcW w:w="1880" w:type="dxa"/>
            <w:vAlign w:val="bottom"/>
            <w:gridSpan w:val="2"/>
          </w:tcPr>
          <w:p>
            <w:pPr>
              <w:ind w:left="620"/>
              <w:spacing w:after="0"/>
              <w:rPr>
                <w:sz w:val="20"/>
                <w:szCs w:val="20"/>
                <w:color w:val="auto"/>
              </w:rPr>
            </w:pPr>
            <w:r>
              <w:rPr>
                <w:rFonts w:ascii="Arial" w:cs="Arial" w:eastAsia="Arial" w:hAnsi="Arial"/>
                <w:sz w:val="17"/>
                <w:szCs w:val="17"/>
                <w:color w:val="auto"/>
              </w:rPr>
              <w:t>6.9x</w:t>
            </w:r>
          </w:p>
        </w:tc>
        <w:tc>
          <w:tcPr>
            <w:tcW w:w="2100" w:type="dxa"/>
            <w:vAlign w:val="bottom"/>
            <w:gridSpan w:val="2"/>
          </w:tcPr>
          <w:p>
            <w:pPr>
              <w:ind w:left="760"/>
              <w:spacing w:after="0"/>
              <w:rPr>
                <w:sz w:val="20"/>
                <w:szCs w:val="20"/>
                <w:color w:val="auto"/>
              </w:rPr>
            </w:pPr>
            <w:r>
              <w:rPr>
                <w:rFonts w:ascii="Arial" w:cs="Arial" w:eastAsia="Arial" w:hAnsi="Arial"/>
                <w:sz w:val="17"/>
                <w:szCs w:val="17"/>
                <w:color w:val="auto"/>
              </w:rPr>
              <w:t>15.9x</w:t>
            </w: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14.8x</w:t>
            </w:r>
          </w:p>
        </w:tc>
      </w:tr>
      <w:tr>
        <w:trPr>
          <w:trHeight w:val="202"/>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19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7.4x</w:t>
            </w:r>
          </w:p>
        </w:tc>
        <w:tc>
          <w:tcPr>
            <w:tcW w:w="18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7.1x</w:t>
            </w:r>
          </w:p>
        </w:tc>
        <w:tc>
          <w:tcPr>
            <w:tcW w:w="2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21.0x</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16.4x</w:t>
            </w:r>
          </w:p>
        </w:tc>
      </w:tr>
      <w:tr>
        <w:trPr>
          <w:trHeight w:val="214"/>
        </w:trPr>
        <w:tc>
          <w:tcPr>
            <w:tcW w:w="3400" w:type="dxa"/>
            <w:vAlign w:val="bottom"/>
          </w:tcPr>
          <w:p>
            <w:pPr>
              <w:spacing w:after="0"/>
              <w:rPr>
                <w:sz w:val="20"/>
                <w:szCs w:val="20"/>
                <w:color w:val="auto"/>
              </w:rPr>
            </w:pPr>
            <w:r>
              <w:rPr>
                <w:rFonts w:ascii="Arial" w:cs="Arial" w:eastAsia="Arial" w:hAnsi="Arial"/>
                <w:sz w:val="17"/>
                <w:szCs w:val="17"/>
                <w:color w:val="auto"/>
              </w:rPr>
              <w:t>Mean</w:t>
            </w:r>
          </w:p>
        </w:tc>
        <w:tc>
          <w:tcPr>
            <w:tcW w:w="1900" w:type="dxa"/>
            <w:vAlign w:val="bottom"/>
            <w:gridSpan w:val="2"/>
          </w:tcPr>
          <w:p>
            <w:pPr>
              <w:ind w:left="640"/>
              <w:spacing w:after="0"/>
              <w:rPr>
                <w:sz w:val="20"/>
                <w:szCs w:val="20"/>
                <w:color w:val="auto"/>
              </w:rPr>
            </w:pPr>
            <w:r>
              <w:rPr>
                <w:rFonts w:ascii="Arial" w:cs="Arial" w:eastAsia="Arial" w:hAnsi="Arial"/>
                <w:sz w:val="17"/>
                <w:szCs w:val="17"/>
                <w:color w:val="auto"/>
              </w:rPr>
              <w:t>7.7x</w:t>
            </w:r>
          </w:p>
        </w:tc>
        <w:tc>
          <w:tcPr>
            <w:tcW w:w="1880" w:type="dxa"/>
            <w:vAlign w:val="bottom"/>
            <w:gridSpan w:val="2"/>
          </w:tcPr>
          <w:p>
            <w:pPr>
              <w:ind w:left="620"/>
              <w:spacing w:after="0"/>
              <w:rPr>
                <w:sz w:val="20"/>
                <w:szCs w:val="20"/>
                <w:color w:val="auto"/>
              </w:rPr>
            </w:pPr>
            <w:r>
              <w:rPr>
                <w:rFonts w:ascii="Arial" w:cs="Arial" w:eastAsia="Arial" w:hAnsi="Arial"/>
                <w:sz w:val="17"/>
                <w:szCs w:val="17"/>
                <w:color w:val="auto"/>
              </w:rPr>
              <w:t>7.3x</w:t>
            </w:r>
          </w:p>
        </w:tc>
        <w:tc>
          <w:tcPr>
            <w:tcW w:w="2100" w:type="dxa"/>
            <w:vAlign w:val="bottom"/>
            <w:gridSpan w:val="2"/>
          </w:tcPr>
          <w:p>
            <w:pPr>
              <w:ind w:left="760"/>
              <w:spacing w:after="0"/>
              <w:rPr>
                <w:sz w:val="20"/>
                <w:szCs w:val="20"/>
                <w:color w:val="auto"/>
              </w:rPr>
            </w:pPr>
            <w:r>
              <w:rPr>
                <w:rFonts w:ascii="Arial" w:cs="Arial" w:eastAsia="Arial" w:hAnsi="Arial"/>
                <w:sz w:val="17"/>
                <w:szCs w:val="17"/>
                <w:color w:val="auto"/>
              </w:rPr>
              <w:t>20.5x</w:t>
            </w: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16.5x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equity value to levered free cash flow ratio used is for whole company, including cable and non-cable businesses.</w:t>
      </w:r>
    </w:p>
    <w:p>
      <w:pPr>
        <w:spacing w:after="0" w:line="102" w:lineRule="exact"/>
        <w:rPr>
          <w:sz w:val="20"/>
          <w:szCs w:val="20"/>
          <w:color w:val="auto"/>
        </w:rPr>
      </w:pPr>
    </w:p>
    <w:p>
      <w:pPr>
        <w:sectPr>
          <w:pgSz w:w="11900" w:h="16838" w:orient="portrait"/>
          <w:cols w:equalWidth="0" w:num="2">
            <w:col w:w="380" w:space="420"/>
            <w:col w:w="10600"/>
          </w:cols>
          <w:pgMar w:left="240" w:top="43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00"/>
          </w:cols>
          <w:pgMar w:left="240" w:top="439" w:right="259" w:bottom="1440" w:gutter="0" w:footer="0" w:header="0"/>
          <w:type w:val="continuous"/>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Implied equity value per share—TWC</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1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right"/>
              <w:ind w:right="23"/>
              <w:spacing w:after="0"/>
              <w:rPr>
                <w:sz w:val="20"/>
                <w:szCs w:val="20"/>
                <w:color w:val="auto"/>
              </w:rPr>
            </w:pPr>
            <w:r>
              <w:rPr>
                <w:rFonts w:ascii="Arial" w:cs="Arial" w:eastAsia="Arial" w:hAnsi="Arial"/>
                <w:sz w:val="13"/>
                <w:szCs w:val="13"/>
                <w:b w:val="1"/>
                <w:bCs w:val="1"/>
                <w:color w:val="auto"/>
              </w:rPr>
              <w:t>Firm value to EBITDA ratio</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5"/>
          </w:tcPr>
          <w:p>
            <w:pPr>
              <w:ind w:left="30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186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2"/>
              </w:rPr>
              <w:t>2014 estimated</w:t>
            </w:r>
          </w:p>
        </w:tc>
        <w:tc>
          <w:tcPr>
            <w:tcW w:w="96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9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w w:val="94"/>
              </w:rPr>
              <w:t>2014 estimated</w:t>
            </w:r>
          </w:p>
        </w:tc>
        <w:tc>
          <w:tcPr>
            <w:tcW w:w="9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100" w:type="dxa"/>
            <w:vAlign w:val="bottom"/>
            <w:tcBorders>
              <w:bottom w:val="single" w:sz="8" w:color="CCEEFF"/>
            </w:tcBorders>
          </w:tcPr>
          <w:p>
            <w:pPr>
              <w:spacing w:after="0"/>
              <w:rPr>
                <w:sz w:val="11"/>
                <w:szCs w:val="11"/>
                <w:color w:val="auto"/>
              </w:rPr>
            </w:pPr>
          </w:p>
        </w:tc>
      </w:tr>
      <w:tr>
        <w:trPr>
          <w:trHeight w:val="194"/>
        </w:trPr>
        <w:tc>
          <w:tcPr>
            <w:tcW w:w="1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189.25</w:t>
            </w: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164.75</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178.00</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140.00</w:t>
            </w:r>
          </w:p>
        </w:tc>
        <w:tc>
          <w:tcPr>
            <w:tcW w:w="100" w:type="dxa"/>
            <w:vAlign w:val="bottom"/>
            <w:shd w:val="clear" w:color="auto" w:fill="CCEEFF"/>
          </w:tcPr>
          <w:p>
            <w:pPr>
              <w:spacing w:after="0"/>
              <w:rPr>
                <w:sz w:val="16"/>
                <w:szCs w:val="16"/>
                <w:color w:val="auto"/>
              </w:rPr>
            </w:pPr>
          </w:p>
        </w:tc>
      </w:tr>
      <w:tr>
        <w:trPr>
          <w:trHeight w:val="214"/>
        </w:trPr>
        <w:tc>
          <w:tcPr>
            <w:tcW w:w="1860" w:type="dxa"/>
            <w:vAlign w:val="bottom"/>
          </w:tcPr>
          <w:p>
            <w:pPr>
              <w:spacing w:after="0"/>
              <w:rPr>
                <w:sz w:val="20"/>
                <w:szCs w:val="20"/>
                <w:color w:val="auto"/>
              </w:rPr>
            </w:pPr>
            <w:r>
              <w:rPr>
                <w:rFonts w:ascii="Arial" w:cs="Arial" w:eastAsia="Arial" w:hAnsi="Arial"/>
                <w:sz w:val="17"/>
                <w:szCs w:val="17"/>
                <w:color w:val="auto"/>
              </w:rPr>
              <w:t>Low</w:t>
            </w:r>
          </w:p>
        </w:tc>
        <w:tc>
          <w:tcPr>
            <w:tcW w:w="182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130.75</w:t>
            </w:r>
          </w:p>
        </w:tc>
        <w:tc>
          <w:tcPr>
            <w:tcW w:w="1360" w:type="dxa"/>
            <w:vAlign w:val="bottom"/>
            <w:gridSpan w:val="2"/>
          </w:tcPr>
          <w:p>
            <w:pPr>
              <w:jc w:val="right"/>
              <w:ind w:right="28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135.00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158.50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119.50</w:t>
            </w:r>
          </w:p>
        </w:tc>
        <w:tc>
          <w:tcPr>
            <w:tcW w:w="100" w:type="dxa"/>
            <w:vAlign w:val="bottom"/>
          </w:tcPr>
          <w:p>
            <w:pPr>
              <w:spacing w:after="0"/>
              <w:rPr>
                <w:sz w:val="18"/>
                <w:szCs w:val="18"/>
                <w:color w:val="auto"/>
              </w:rPr>
            </w:pP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Comcast Public Trading and Sum of the Parts Trading Multiples Analyses</w:t>
      </w:r>
    </w:p>
    <w:p>
      <w:pPr>
        <w:spacing w:after="0" w:line="107" w:lineRule="exact"/>
        <w:rPr>
          <w:sz w:val="20"/>
          <w:szCs w:val="20"/>
          <w:color w:val="auto"/>
        </w:rPr>
      </w:pPr>
    </w:p>
    <w:p>
      <w:pPr>
        <w:ind w:right="100" w:firstLine="457"/>
        <w:spacing w:after="0" w:line="268"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Diversified Media Companies:</w:t>
      </w:r>
    </w:p>
    <w:p>
      <w:pPr>
        <w:spacing w:after="0" w:line="120" w:lineRule="exact"/>
        <w:rPr>
          <w:sz w:val="20"/>
          <w:szCs w:val="20"/>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AMC Networks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Discovery Communications,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Scripps Networks Interactive,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Viacom Inc.</w:t>
      </w:r>
    </w:p>
    <w:p>
      <w:pPr>
        <w:spacing w:after="0" w:line="208"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380"/>
          </w:cols>
          <w:pgMar w:left="240" w:top="439" w:right="27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in its sum of the parts analysis, the information J.P. Morgan presented included:</w:t>
      </w:r>
    </w:p>
    <w:p>
      <w:pPr>
        <w:spacing w:after="0" w:line="120" w:lineRule="exact"/>
        <w:rPr>
          <w:sz w:val="20"/>
          <w:szCs w:val="20"/>
          <w:color w:val="auto"/>
        </w:rPr>
      </w:pPr>
    </w:p>
    <w:p>
      <w:pPr>
        <w:ind w:left="900" w:hanging="332"/>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2014; 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Results of the analysis were presented for the Cable Companies, as indicated above in “—TWC Public Trading Multiples Analysis.” Results of the analysis for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Diversified Media Companies were presented for the selected companies, as indicated in the following table: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Trading multiples—Diversified Media Companies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5780" w:type="dxa"/>
            <w:vAlign w:val="bottom"/>
          </w:tcPr>
          <w:p>
            <w:pPr>
              <w:spacing w:after="0"/>
              <w:rPr>
                <w:sz w:val="13"/>
                <w:szCs w:val="13"/>
                <w:color w:val="auto"/>
              </w:rPr>
            </w:pPr>
          </w:p>
        </w:tc>
        <w:tc>
          <w:tcPr>
            <w:tcW w:w="290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Firm value to EBITDA ratio</w:t>
            </w:r>
          </w:p>
        </w:tc>
      </w:tr>
      <w:tr>
        <w:trPr>
          <w:trHeight w:val="131"/>
        </w:trPr>
        <w:tc>
          <w:tcPr>
            <w:tcW w:w="5780" w:type="dxa"/>
            <w:vAlign w:val="bottom"/>
          </w:tcPr>
          <w:p>
            <w:pPr>
              <w:spacing w:after="0"/>
              <w:rPr>
                <w:sz w:val="11"/>
                <w:szCs w:val="11"/>
                <w:color w:val="auto"/>
              </w:rPr>
            </w:pPr>
          </w:p>
        </w:tc>
        <w:tc>
          <w:tcPr>
            <w:tcW w:w="1940" w:type="dxa"/>
            <w:vAlign w:val="bottom"/>
            <w:tcBorders>
              <w:top w:val="single" w:sz="8" w:color="auto"/>
            </w:tcBorders>
            <w:gridSpan w:val="2"/>
          </w:tcPr>
          <w:p>
            <w:pPr>
              <w:jc w:val="right"/>
              <w:ind w:right="1100"/>
              <w:spacing w:after="0" w:line="131" w:lineRule="exact"/>
              <w:rPr>
                <w:sz w:val="20"/>
                <w:szCs w:val="20"/>
                <w:color w:val="auto"/>
              </w:rPr>
            </w:pPr>
            <w:r>
              <w:rPr>
                <w:rFonts w:ascii="Arial" w:cs="Arial" w:eastAsia="Arial" w:hAnsi="Arial"/>
                <w:sz w:val="13"/>
                <w:szCs w:val="13"/>
                <w:b w:val="1"/>
                <w:bCs w:val="1"/>
                <w:color w:val="auto"/>
                <w:w w:val="87"/>
              </w:rPr>
              <w:t>2014 estimated</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2015 estimated</w:t>
            </w:r>
          </w:p>
        </w:tc>
        <w:tc>
          <w:tcPr>
            <w:tcW w:w="100" w:type="dxa"/>
            <w:vAlign w:val="bottom"/>
          </w:tcPr>
          <w:p>
            <w:pPr>
              <w:spacing w:after="0"/>
              <w:rPr>
                <w:sz w:val="11"/>
                <w:szCs w:val="11"/>
                <w:color w:val="auto"/>
              </w:rPr>
            </w:pPr>
          </w:p>
        </w:tc>
      </w:tr>
      <w:tr>
        <w:trPr>
          <w:trHeight w:val="194"/>
        </w:trPr>
        <w:tc>
          <w:tcPr>
            <w:tcW w:w="5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12.7x</w:t>
            </w:r>
          </w:p>
        </w:tc>
        <w:tc>
          <w:tcPr>
            <w:tcW w:w="1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11.3x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Low</w:t>
            </w:r>
          </w:p>
        </w:tc>
        <w:tc>
          <w:tcPr>
            <w:tcW w:w="1940" w:type="dxa"/>
            <w:vAlign w:val="bottom"/>
            <w:gridSpan w:val="2"/>
          </w:tcPr>
          <w:p>
            <w:pPr>
              <w:jc w:val="right"/>
              <w:ind w:right="1100"/>
              <w:spacing w:after="0"/>
              <w:rPr>
                <w:sz w:val="20"/>
                <w:szCs w:val="20"/>
                <w:color w:val="auto"/>
              </w:rPr>
            </w:pPr>
            <w:r>
              <w:rPr>
                <w:rFonts w:ascii="Arial" w:cs="Arial" w:eastAsia="Arial" w:hAnsi="Arial"/>
                <w:sz w:val="17"/>
                <w:szCs w:val="17"/>
                <w:color w:val="auto"/>
              </w:rPr>
              <w:t>9.6x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8.9x</w:t>
            </w: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11.0x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10.4x</w:t>
            </w:r>
          </w:p>
        </w:tc>
      </w:tr>
      <w:tr>
        <w:trPr>
          <w:trHeight w:val="214"/>
        </w:trPr>
        <w:tc>
          <w:tcPr>
            <w:tcW w:w="5780" w:type="dxa"/>
            <w:vAlign w:val="bottom"/>
          </w:tcPr>
          <w:p>
            <w:pPr>
              <w:spacing w:after="0"/>
              <w:rPr>
                <w:sz w:val="20"/>
                <w:szCs w:val="20"/>
                <w:color w:val="auto"/>
              </w:rPr>
            </w:pPr>
            <w:r>
              <w:rPr>
                <w:rFonts w:ascii="Arial" w:cs="Arial" w:eastAsia="Arial" w:hAnsi="Arial"/>
                <w:sz w:val="17"/>
                <w:szCs w:val="17"/>
                <w:color w:val="auto"/>
              </w:rPr>
              <w:t>Mean</w:t>
            </w:r>
          </w:p>
        </w:tc>
        <w:tc>
          <w:tcPr>
            <w:tcW w:w="1940" w:type="dxa"/>
            <w:vAlign w:val="bottom"/>
            <w:gridSpan w:val="2"/>
          </w:tcPr>
          <w:p>
            <w:pPr>
              <w:jc w:val="right"/>
              <w:ind w:right="1100"/>
              <w:spacing w:after="0"/>
              <w:rPr>
                <w:sz w:val="20"/>
                <w:szCs w:val="20"/>
                <w:color w:val="auto"/>
              </w:rPr>
            </w:pPr>
            <w:r>
              <w:rPr>
                <w:rFonts w:ascii="Arial" w:cs="Arial" w:eastAsia="Arial" w:hAnsi="Arial"/>
                <w:sz w:val="17"/>
                <w:szCs w:val="17"/>
                <w:color w:val="auto"/>
              </w:rPr>
              <w:t>11.1x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10.2x</w:t>
            </w:r>
          </w:p>
        </w:tc>
      </w:tr>
    </w:tbl>
    <w:p>
      <w:pPr>
        <w:spacing w:after="0" w:line="177" w:lineRule="exact"/>
        <w:rPr>
          <w:sz w:val="20"/>
          <w:szCs w:val="20"/>
          <w:color w:val="auto"/>
        </w:rPr>
      </w:pPr>
    </w:p>
    <w:p>
      <w:pPr>
        <w:jc w:val="both"/>
        <w:ind w:right="160" w:firstLine="457"/>
        <w:spacing w:after="0" w:line="258"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w:t>
      </w:r>
    </w:p>
    <w:p>
      <w:pPr>
        <w:spacing w:after="0" w:line="177" w:lineRule="exact"/>
        <w:rPr>
          <w:sz w:val="20"/>
          <w:szCs w:val="20"/>
          <w:color w:val="auto"/>
        </w:rPr>
      </w:pPr>
    </w:p>
    <w:p>
      <w:pPr>
        <w:ind w:right="220" w:firstLine="457"/>
        <w:spacing w:after="0" w:line="270" w:lineRule="auto"/>
        <w:rPr>
          <w:sz w:val="20"/>
          <w:szCs w:val="20"/>
          <w:color w:val="auto"/>
        </w:rPr>
      </w:pPr>
      <w:r>
        <w:rPr>
          <w:rFonts w:ascii="Arial" w:cs="Arial" w:eastAsia="Arial" w:hAnsi="Arial"/>
          <w:sz w:val="17"/>
          <w:szCs w:val="17"/>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the information J.P. Morgan presented included:</w:t>
      </w:r>
    </w:p>
    <w:p>
      <w:pPr>
        <w:spacing w:after="0" w:line="120" w:lineRule="exact"/>
        <w:rPr>
          <w:sz w:val="20"/>
          <w:szCs w:val="20"/>
          <w:color w:val="auto"/>
        </w:rPr>
      </w:pPr>
    </w:p>
    <w:p>
      <w:pPr>
        <w:ind w:left="900" w:hanging="332"/>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2014; 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Results of the analysis were presented for the Cable Companies, as indicated above in “—TWC Public Trading Multiples Analysis.”</w:t>
      </w:r>
    </w:p>
    <w:p>
      <w:pPr>
        <w:spacing w:after="0" w:line="208"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Implied equity value per share—Comcast</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1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3"/>
          </w:tcPr>
          <w:p>
            <w:pPr>
              <w:jc w:val="right"/>
              <w:ind w:right="30"/>
              <w:spacing w:after="0"/>
              <w:rPr>
                <w:sz w:val="20"/>
                <w:szCs w:val="20"/>
                <w:color w:val="auto"/>
              </w:rPr>
            </w:pPr>
            <w:r>
              <w:rPr>
                <w:rFonts w:ascii="Arial" w:cs="Arial" w:eastAsia="Arial" w:hAnsi="Arial"/>
                <w:sz w:val="13"/>
                <w:szCs w:val="13"/>
                <w:b w:val="1"/>
                <w:bCs w:val="1"/>
                <w:color w:val="auto"/>
              </w:rPr>
              <w:t>Firm value to EBITDA ratio</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5"/>
          </w:tcPr>
          <w:p>
            <w:pPr>
              <w:ind w:left="28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184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2"/>
              </w:rPr>
              <w:t>2014 estimated</w:t>
            </w:r>
          </w:p>
        </w:tc>
        <w:tc>
          <w:tcPr>
            <w:tcW w:w="98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10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w w:val="90"/>
              </w:rPr>
              <w:t>2014 estimated</w:t>
            </w:r>
          </w:p>
        </w:tc>
        <w:tc>
          <w:tcPr>
            <w:tcW w:w="10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100" w:type="dxa"/>
            <w:vAlign w:val="bottom"/>
            <w:tcBorders>
              <w:bottom w:val="single" w:sz="8" w:color="CCEEFF"/>
            </w:tcBorders>
          </w:tcPr>
          <w:p>
            <w:pPr>
              <w:spacing w:after="0"/>
              <w:rPr>
                <w:sz w:val="11"/>
                <w:szCs w:val="11"/>
                <w:color w:val="auto"/>
              </w:rPr>
            </w:pPr>
          </w:p>
        </w:tc>
      </w:tr>
      <w:tr>
        <w:trPr>
          <w:trHeight w:val="194"/>
        </w:trPr>
        <w:tc>
          <w:tcPr>
            <w:tcW w:w="1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65.00</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61.50</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53.75</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57.50</w:t>
            </w:r>
          </w:p>
        </w:tc>
        <w:tc>
          <w:tcPr>
            <w:tcW w:w="100" w:type="dxa"/>
            <w:vAlign w:val="bottom"/>
            <w:shd w:val="clear" w:color="auto" w:fill="CCEEFF"/>
          </w:tcPr>
          <w:p>
            <w:pPr>
              <w:spacing w:after="0"/>
              <w:rPr>
                <w:sz w:val="16"/>
                <w:szCs w:val="16"/>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7"/>
                <w:szCs w:val="17"/>
                <w:color w:val="auto"/>
              </w:rPr>
              <w:t>Low</w:t>
            </w:r>
          </w:p>
        </w:tc>
        <w:tc>
          <w:tcPr>
            <w:tcW w:w="1820" w:type="dxa"/>
            <w:vAlign w:val="bottom"/>
            <w:gridSpan w:val="2"/>
          </w:tcPr>
          <w:p>
            <w:pPr>
              <w:jc w:val="right"/>
              <w:ind w:right="17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49.25</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51.75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47.75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49.00</w:t>
            </w:r>
          </w:p>
        </w:tc>
        <w:tc>
          <w:tcPr>
            <w:tcW w:w="100" w:type="dxa"/>
            <w:vAlign w:val="bottom"/>
          </w:tcPr>
          <w:p>
            <w:pPr>
              <w:spacing w:after="0"/>
              <w:rPr>
                <w:sz w:val="18"/>
                <w:szCs w:val="18"/>
                <w:color w:val="auto"/>
              </w:rPr>
            </w:pPr>
          </w:p>
        </w:tc>
      </w:tr>
    </w:tbl>
    <w:p>
      <w:pPr>
        <w:spacing w:after="0" w:line="177" w:lineRule="exact"/>
        <w:rPr>
          <w:sz w:val="20"/>
          <w:szCs w:val="20"/>
          <w:color w:val="auto"/>
        </w:rPr>
      </w:pPr>
    </w:p>
    <w:p>
      <w:pPr>
        <w:ind w:right="360" w:firstLine="457"/>
        <w:spacing w:after="0" w:line="270" w:lineRule="auto"/>
        <w:rPr>
          <w:sz w:val="20"/>
          <w:szCs w:val="20"/>
          <w:color w:val="auto"/>
        </w:rPr>
      </w:pPr>
      <w:r>
        <w:rPr>
          <w:rFonts w:ascii="Arial" w:cs="Arial" w:eastAsia="Arial" w:hAnsi="Arial"/>
          <w:sz w:val="17"/>
          <w:szCs w:val="17"/>
          <w:color w:val="auto"/>
        </w:rPr>
        <w:t>For each of firm value to EBITDA and equity value to levered free cash flow, J.P. Morgan then calculated (1) the ratio of the highest implied equity value per share for TWC to the lowest implied equity value per share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00"/>
          </w:cols>
          <w:pgMar w:left="240" w:top="439" w:right="25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80" w:type="dxa"/>
            <w:vAlign w:val="bottom"/>
          </w:tcPr>
          <w:p>
            <w:pPr>
              <w:spacing w:after="0"/>
              <w:rPr>
                <w:sz w:val="13"/>
                <w:szCs w:val="13"/>
                <w:color w:val="auto"/>
              </w:rPr>
            </w:pPr>
          </w:p>
        </w:tc>
        <w:tc>
          <w:tcPr>
            <w:tcW w:w="2540" w:type="dxa"/>
            <w:vAlign w:val="bottom"/>
            <w:gridSpan w:val="4"/>
          </w:tcPr>
          <w:p>
            <w:pPr>
              <w:ind w:left="560"/>
              <w:spacing w:after="0"/>
              <w:rPr>
                <w:sz w:val="20"/>
                <w:szCs w:val="20"/>
                <w:color w:val="auto"/>
              </w:rPr>
            </w:pPr>
            <w:r>
              <w:rPr>
                <w:rFonts w:ascii="Arial" w:cs="Arial" w:eastAsia="Arial" w:hAnsi="Arial"/>
                <w:sz w:val="13"/>
                <w:szCs w:val="13"/>
                <w:b w:val="1"/>
                <w:bCs w:val="1"/>
                <w:color w:val="auto"/>
              </w:rPr>
              <w:t>Implied exchange ratio</w:t>
            </w:r>
          </w:p>
        </w:tc>
      </w:tr>
      <w:tr>
        <w:trPr>
          <w:trHeight w:val="131"/>
        </w:trPr>
        <w:tc>
          <w:tcPr>
            <w:tcW w:w="8880" w:type="dxa"/>
            <w:vAlign w:val="bottom"/>
          </w:tcPr>
          <w:p>
            <w:pPr>
              <w:spacing w:after="0"/>
              <w:rPr>
                <w:sz w:val="11"/>
                <w:szCs w:val="11"/>
                <w:color w:val="auto"/>
              </w:rPr>
            </w:pPr>
          </w:p>
        </w:tc>
        <w:tc>
          <w:tcPr>
            <w:tcW w:w="1600" w:type="dxa"/>
            <w:vAlign w:val="bottom"/>
            <w:tcBorders>
              <w:top w:val="single" w:sz="8" w:color="auto"/>
            </w:tcBorders>
            <w:gridSpan w:val="2"/>
          </w:tcPr>
          <w:p>
            <w:pPr>
              <w:jc w:val="right"/>
              <w:ind w:right="740"/>
              <w:spacing w:after="0" w:line="131" w:lineRule="exact"/>
              <w:rPr>
                <w:sz w:val="20"/>
                <w:szCs w:val="20"/>
                <w:color w:val="auto"/>
              </w:rPr>
            </w:pPr>
            <w:r>
              <w:rPr>
                <w:rFonts w:ascii="Arial" w:cs="Arial" w:eastAsia="Arial" w:hAnsi="Arial"/>
                <w:sz w:val="13"/>
                <w:szCs w:val="13"/>
                <w:b w:val="1"/>
                <w:bCs w:val="1"/>
                <w:color w:val="auto"/>
                <w:w w:val="90"/>
              </w:rPr>
              <w:t>2014 estimated</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2015 estimated</w:t>
            </w:r>
          </w:p>
        </w:tc>
        <w:tc>
          <w:tcPr>
            <w:tcW w:w="80" w:type="dxa"/>
            <w:vAlign w:val="bottom"/>
          </w:tcPr>
          <w:p>
            <w:pPr>
              <w:spacing w:after="0"/>
              <w:rPr>
                <w:sz w:val="11"/>
                <w:szCs w:val="11"/>
                <w:color w:val="auto"/>
              </w:rPr>
            </w:pPr>
          </w:p>
        </w:tc>
      </w:tr>
      <w:tr>
        <w:trPr>
          <w:trHeight w:val="182"/>
        </w:trPr>
        <w:tc>
          <w:tcPr>
            <w:tcW w:w="8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Firm value to EBITDA ratio:</w:t>
            </w:r>
          </w:p>
        </w:tc>
        <w:tc>
          <w:tcPr>
            <w:tcW w:w="8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8880" w:type="dxa"/>
            <w:vAlign w:val="bottom"/>
          </w:tcPr>
          <w:p>
            <w:pPr>
              <w:spacing w:after="0"/>
              <w:rPr>
                <w:sz w:val="20"/>
                <w:szCs w:val="20"/>
                <w:color w:val="auto"/>
              </w:rPr>
            </w:pPr>
            <w:r>
              <w:rPr>
                <w:rFonts w:ascii="Arial" w:cs="Arial" w:eastAsia="Arial" w:hAnsi="Arial"/>
                <w:sz w:val="17"/>
                <w:szCs w:val="17"/>
                <w:color w:val="auto"/>
              </w:rPr>
              <w:t>Highest TWC implied equity value per share to lowest Comcast implied equity value per share</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3.843x</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3.184x</w:t>
            </w:r>
          </w:p>
        </w:tc>
      </w:tr>
      <w:tr>
        <w:trPr>
          <w:trHeight w:val="202"/>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Lowest TWC implied equity value per share to highest Comcast implied equity value per share</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2.012x</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2.195x</w:t>
            </w:r>
          </w:p>
        </w:tc>
      </w:tr>
      <w:tr>
        <w:trPr>
          <w:trHeight w:val="202"/>
        </w:trPr>
        <w:tc>
          <w:tcPr>
            <w:tcW w:w="8880" w:type="dxa"/>
            <w:vAlign w:val="bottom"/>
          </w:tcPr>
          <w:p>
            <w:pPr>
              <w:spacing w:after="0"/>
              <w:rPr>
                <w:sz w:val="20"/>
                <w:szCs w:val="20"/>
                <w:color w:val="auto"/>
              </w:rPr>
            </w:pPr>
            <w:r>
              <w:rPr>
                <w:rFonts w:ascii="Arial" w:cs="Arial" w:eastAsia="Arial" w:hAnsi="Arial"/>
                <w:sz w:val="17"/>
                <w:szCs w:val="17"/>
                <w:i w:val="1"/>
                <w:iCs w:val="1"/>
                <w:color w:val="auto"/>
              </w:rPr>
              <w:t>Equity value to levered free cash flow ratio:</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Highest TWC implied equity value per share to lowest Comcast implied equity value per share</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3.728x</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2.857x</w:t>
            </w:r>
          </w:p>
        </w:tc>
      </w:tr>
      <w:tr>
        <w:trPr>
          <w:trHeight w:val="214"/>
        </w:trPr>
        <w:tc>
          <w:tcPr>
            <w:tcW w:w="8880" w:type="dxa"/>
            <w:vAlign w:val="bottom"/>
          </w:tcPr>
          <w:p>
            <w:pPr>
              <w:spacing w:after="0"/>
              <w:rPr>
                <w:sz w:val="20"/>
                <w:szCs w:val="20"/>
                <w:color w:val="auto"/>
              </w:rPr>
            </w:pPr>
            <w:r>
              <w:rPr>
                <w:rFonts w:ascii="Arial" w:cs="Arial" w:eastAsia="Arial" w:hAnsi="Arial"/>
                <w:sz w:val="17"/>
                <w:szCs w:val="17"/>
                <w:color w:val="auto"/>
              </w:rPr>
              <w:t>Lowest TWC implied equity value per share to highest Comcast implied equity value per share</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2.949x</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2.078x</w:t>
            </w: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Transaction Analysis</w:t>
      </w:r>
    </w:p>
    <w:p>
      <w:pPr>
        <w:spacing w:after="0" w:line="10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Cable Transactions (acquiror / target):</w:t>
      </w:r>
    </w:p>
    <w:p>
      <w:pPr>
        <w:spacing w:after="0" w:line="120" w:lineRule="exact"/>
        <w:rPr>
          <w:sz w:val="20"/>
          <w:szCs w:val="20"/>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Charter Communications, Inc. / Bresnan Broadband Holdings, LLC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BC Partners Limited / Suddenlink Communications</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Cogeco Cable Inc. / Atlantic Broadband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Liberty Global, Inc. / OneLink Communications</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Oak Hill Capital Partners, L.P. and GI Partners L.L.C. / WaveDivision Holdings, LLC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WideOpenWest Finance, LLC / Knology,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Time Warner Cable Inc. / Insight Communications Company,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Suddenlink Communications / NPG Cable,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Rocco B. Commisso / Mediacom Communications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Knology, Inc. / Sunflower Broadband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Cablevision Systems Corporation / Bresnan Broadband Holdings, LLC</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320" w:type="dxa"/>
            <w:vAlign w:val="bottom"/>
            <w:gridSpan w:val="2"/>
            <w:vMerge w:val="restart"/>
          </w:tcPr>
          <w:p>
            <w:pPr>
              <w:jc w:val="center"/>
              <w:ind w:right="1640"/>
              <w:spacing w:after="0"/>
              <w:rPr>
                <w:sz w:val="20"/>
                <w:szCs w:val="20"/>
                <w:color w:val="auto"/>
              </w:rPr>
            </w:pPr>
            <w:r>
              <w:rPr>
                <w:rFonts w:ascii="Arial" w:cs="Arial" w:eastAsia="Arial" w:hAnsi="Arial"/>
                <w:sz w:val="13"/>
                <w:szCs w:val="13"/>
                <w:b w:val="1"/>
                <w:bCs w:val="1"/>
                <w:color w:val="auto"/>
                <w:w w:val="94"/>
              </w:rPr>
              <w:t>Unadjusted firm value to</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Firm value, adjusted for tax</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3"/>
              </w:rPr>
              <w:t>attributes, to</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332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96"/>
              </w:rPr>
              <w:t>next twelve months EBITDA</w:t>
            </w:r>
          </w:p>
        </w:tc>
        <w:tc>
          <w:tcPr>
            <w:tcW w:w="1760" w:type="dxa"/>
            <w:vAlign w:val="bottom"/>
            <w:gridSpan w:val="2"/>
          </w:tcPr>
          <w:p>
            <w:pPr>
              <w:jc w:val="right"/>
              <w:ind w:right="100"/>
              <w:spacing w:after="0" w:line="139" w:lineRule="exact"/>
              <w:rPr>
                <w:sz w:val="20"/>
                <w:szCs w:val="20"/>
                <w:color w:val="auto"/>
              </w:rPr>
            </w:pPr>
            <w:r>
              <w:rPr>
                <w:rFonts w:ascii="Arial" w:cs="Arial" w:eastAsia="Arial" w:hAnsi="Arial"/>
                <w:sz w:val="13"/>
                <w:szCs w:val="13"/>
                <w:b w:val="1"/>
                <w:bCs w:val="1"/>
                <w:color w:val="auto"/>
                <w:w w:val="94"/>
              </w:rPr>
              <w:t>next twelve months EBITDA</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3320" w:type="dxa"/>
            <w:vAlign w:val="bottom"/>
            <w:gridSpan w:val="2"/>
          </w:tcPr>
          <w:p>
            <w:pPr>
              <w:jc w:val="center"/>
              <w:ind w:right="1640"/>
              <w:spacing w:after="0"/>
              <w:rPr>
                <w:sz w:val="20"/>
                <w:szCs w:val="20"/>
                <w:color w:val="auto"/>
              </w:rPr>
            </w:pPr>
            <w:r>
              <w:rPr>
                <w:rFonts w:ascii="Arial" w:cs="Arial" w:eastAsia="Arial" w:hAnsi="Arial"/>
                <w:sz w:val="13"/>
                <w:szCs w:val="13"/>
                <w:b w:val="1"/>
                <w:bCs w:val="1"/>
                <w:color w:val="auto"/>
                <w:w w:val="99"/>
              </w:rPr>
              <w:t>ratio</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ratio</w:t>
            </w:r>
          </w:p>
        </w:tc>
        <w:tc>
          <w:tcPr>
            <w:tcW w:w="0" w:type="dxa"/>
            <w:vAlign w:val="bottom"/>
          </w:tcPr>
          <w:p>
            <w:pPr>
              <w:spacing w:after="0"/>
              <w:rPr>
                <w:sz w:val="1"/>
                <w:szCs w:val="1"/>
                <w:color w:val="auto"/>
              </w:rPr>
            </w:pPr>
          </w:p>
        </w:tc>
      </w:tr>
      <w:tr>
        <w:trPr>
          <w:trHeight w:val="194"/>
        </w:trPr>
        <w:tc>
          <w:tcPr>
            <w:tcW w:w="3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660" w:type="dxa"/>
            <w:vAlign w:val="bottom"/>
            <w:tcBorders>
              <w:top w:val="single" w:sz="8" w:color="auto"/>
            </w:tcBorders>
            <w:shd w:val="clear" w:color="auto" w:fill="CCEEFF"/>
          </w:tcPr>
          <w:p>
            <w:pPr>
              <w:ind w:left="1380"/>
              <w:spacing w:after="0" w:line="194" w:lineRule="exact"/>
              <w:rPr>
                <w:sz w:val="20"/>
                <w:szCs w:val="20"/>
                <w:color w:val="auto"/>
              </w:rPr>
            </w:pPr>
            <w:r>
              <w:rPr>
                <w:rFonts w:ascii="Arial" w:cs="Arial" w:eastAsia="Arial" w:hAnsi="Arial"/>
                <w:sz w:val="17"/>
                <w:szCs w:val="17"/>
                <w:color w:val="auto"/>
                <w:w w:val="80"/>
              </w:rPr>
              <w:t>8.8x</w:t>
            </w:r>
          </w:p>
        </w:tc>
        <w:tc>
          <w:tcPr>
            <w:tcW w:w="16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7.3x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Arial" w:cs="Arial" w:eastAsia="Arial" w:hAnsi="Arial"/>
                <w:sz w:val="17"/>
                <w:szCs w:val="17"/>
                <w:color w:val="auto"/>
              </w:rPr>
              <w:t>Low</w:t>
            </w:r>
          </w:p>
        </w:tc>
        <w:tc>
          <w:tcPr>
            <w:tcW w:w="3320" w:type="dxa"/>
            <w:vAlign w:val="bottom"/>
            <w:gridSpan w:val="2"/>
          </w:tcPr>
          <w:p>
            <w:pPr>
              <w:ind w:left="1380"/>
              <w:spacing w:after="0"/>
              <w:rPr>
                <w:sz w:val="20"/>
                <w:szCs w:val="20"/>
                <w:color w:val="auto"/>
              </w:rPr>
            </w:pPr>
            <w:r>
              <w:rPr>
                <w:rFonts w:ascii="Arial" w:cs="Arial" w:eastAsia="Arial" w:hAnsi="Arial"/>
                <w:sz w:val="17"/>
                <w:szCs w:val="17"/>
                <w:color w:val="auto"/>
              </w:rPr>
              <w:t>7.1x</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5.9x</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332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8.0x</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6.9x</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Arial" w:cs="Arial" w:eastAsia="Arial" w:hAnsi="Arial"/>
                <w:sz w:val="17"/>
                <w:szCs w:val="17"/>
                <w:color w:val="auto"/>
              </w:rPr>
              <w:t>Mean</w:t>
            </w:r>
          </w:p>
        </w:tc>
        <w:tc>
          <w:tcPr>
            <w:tcW w:w="3320" w:type="dxa"/>
            <w:vAlign w:val="bottom"/>
            <w:gridSpan w:val="2"/>
          </w:tcPr>
          <w:p>
            <w:pPr>
              <w:ind w:left="1380"/>
              <w:spacing w:after="0"/>
              <w:rPr>
                <w:sz w:val="20"/>
                <w:szCs w:val="20"/>
                <w:color w:val="auto"/>
              </w:rPr>
            </w:pPr>
            <w:r>
              <w:rPr>
                <w:rFonts w:ascii="Arial" w:cs="Arial" w:eastAsia="Arial" w:hAnsi="Arial"/>
                <w:sz w:val="17"/>
                <w:szCs w:val="17"/>
                <w:color w:val="auto"/>
              </w:rPr>
              <w:t>8.0x</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6.7x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20"/>
        <w:spacing w:after="0" w:line="258" w:lineRule="auto"/>
        <w:rPr>
          <w:sz w:val="20"/>
          <w:szCs w:val="20"/>
          <w:color w:val="auto"/>
        </w:rPr>
      </w:pPr>
      <w:r>
        <w:rPr>
          <w:rFonts w:ascii="Arial" w:cs="Arial" w:eastAsia="Arial" w:hAnsi="Arial"/>
          <w:sz w:val="17"/>
          <w:szCs w:val="17"/>
          <w:color w:val="auto"/>
        </w:rPr>
        <w:t>Firm value, adjusted for tax attributes, to next twelve months EBITDA ratio only available for the following transactions: Charter Communications, Inc. / Bresnan Broadband Holdings, LLC, Time Warner Cable Inc. / Insight Communications Company, Inc., Rocco B. Commisso / Mediacom Communications Corporation and Cablevision Systems Corporation / Bresnan Broadband Holdings, LLC.</w:t>
      </w:r>
    </w:p>
    <w:p>
      <w:pPr>
        <w:spacing w:after="0" w:line="114" w:lineRule="exact"/>
        <w:rPr>
          <w:sz w:val="20"/>
          <w:szCs w:val="20"/>
          <w:color w:val="auto"/>
        </w:rPr>
      </w:pPr>
    </w:p>
    <w:p>
      <w:pPr>
        <w:sectPr>
          <w:pgSz w:w="11900" w:h="16838" w:orient="portrait"/>
          <w:cols w:equalWidth="0" w:num="2">
            <w:col w:w="380" w:space="420"/>
            <w:col w:w="10620"/>
          </w:cols>
          <w:pgMar w:left="240" w:top="43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439" w:right="239" w:bottom="1440" w:gutter="0" w:footer="0" w:header="0"/>
          <w:type w:val="continuous"/>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firstLine="457"/>
        <w:spacing w:after="0" w:line="338" w:lineRule="auto"/>
        <w:rPr>
          <w:sz w:val="20"/>
          <w:szCs w:val="20"/>
          <w:color w:val="auto"/>
        </w:rPr>
      </w:pPr>
      <w:r>
        <w:rPr>
          <w:rFonts w:ascii="Arial" w:cs="Arial" w:eastAsia="Arial" w:hAnsi="Arial"/>
          <w:sz w:val="15"/>
          <w:szCs w:val="15"/>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Analysis for TWC and Sum of the Parts Discounted Cash Flow Analysis for Comcast</w:t>
      </w:r>
    </w:p>
    <w:p>
      <w:pPr>
        <w:spacing w:after="0" w:line="10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69" w:lineRule="exact"/>
        <w:rPr>
          <w:sz w:val="20"/>
          <w:szCs w:val="20"/>
          <w:color w:val="auto"/>
        </w:rPr>
      </w:pPr>
    </w:p>
    <w:p>
      <w:pPr>
        <w:ind w:right="40" w:firstLine="457"/>
        <w:spacing w:after="0" w:line="250"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87"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51" w:lineRule="exact"/>
        <w:rPr>
          <w:sz w:val="20"/>
          <w:szCs w:val="20"/>
          <w:color w:val="auto"/>
        </w:rPr>
      </w:pPr>
    </w:p>
    <w:p>
      <w:pPr>
        <w:ind w:right="40" w:firstLine="457"/>
        <w:spacing w:after="0" w:line="312" w:lineRule="auto"/>
        <w:rPr>
          <w:sz w:val="20"/>
          <w:szCs w:val="20"/>
          <w:color w:val="auto"/>
        </w:rPr>
      </w:pPr>
      <w:r>
        <w:rPr>
          <w:rFonts w:ascii="Arial" w:cs="Arial" w:eastAsia="Arial" w:hAnsi="Arial"/>
          <w:sz w:val="14"/>
          <w:szCs w:val="14"/>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439"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ranging from 1.75% to 2.25% to the unlevered free cash flows of the business during 2023. The unlevered free cash flows and range of terminal values were then discounted to present values using a discount rate range of 7.0% to 8.0%, which range was chosen by J.P. Morgan based upon an analysis of the weighted average cost of capital of the non-cable business of Comcast.</w:t>
      </w:r>
    </w:p>
    <w:p>
      <w:pPr>
        <w:spacing w:after="0" w:line="177" w:lineRule="exact"/>
        <w:rPr>
          <w:sz w:val="20"/>
          <w:szCs w:val="20"/>
          <w:color w:val="auto"/>
        </w:rPr>
      </w:pPr>
    </w:p>
    <w:p>
      <w:pPr>
        <w:jc w:val="both"/>
        <w:ind w:right="100" w:firstLine="457"/>
        <w:spacing w:after="0" w:line="255"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J.P. Morgan then calculated (1) the ratio of the highest implied equity value per share for TWC to the lowest implied equity value per share for Comcast, and</w:t>
      </w:r>
    </w:p>
    <w:p>
      <w:pPr>
        <w:spacing w:after="0" w:line="30" w:lineRule="exact"/>
        <w:rPr>
          <w:sz w:val="20"/>
          <w:szCs w:val="20"/>
          <w:color w:val="auto"/>
        </w:rPr>
      </w:pPr>
    </w:p>
    <w:p>
      <w:pPr>
        <w:ind w:right="140" w:firstLine="1"/>
        <w:spacing w:after="0" w:line="301" w:lineRule="auto"/>
        <w:tabs>
          <w:tab w:leader="none" w:pos="238"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ratio of the lowest implied equity value per share for 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50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Implied</w:t>
            </w:r>
          </w:p>
        </w:tc>
      </w:tr>
      <w:tr>
        <w:trPr>
          <w:trHeight w:val="159"/>
        </w:trPr>
        <w:tc>
          <w:tcPr>
            <w:tcW w:w="105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exchange ratio</w:t>
            </w:r>
          </w:p>
        </w:tc>
      </w:tr>
      <w:tr>
        <w:trPr>
          <w:trHeight w:val="182"/>
        </w:trPr>
        <w:tc>
          <w:tcPr>
            <w:tcW w:w="10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No synergies</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Highest TWC standalone implied equity value per share to lowest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3.203x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Lowest TWC standalone implied equity value per share to highest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1.623x</w:t>
            </w:r>
          </w:p>
        </w:tc>
      </w:tr>
      <w:tr>
        <w:trPr>
          <w:trHeight w:val="202"/>
        </w:trPr>
        <w:tc>
          <w:tcPr>
            <w:tcW w:w="10500" w:type="dxa"/>
            <w:vAlign w:val="bottom"/>
          </w:tcPr>
          <w:p>
            <w:pPr>
              <w:spacing w:after="0"/>
              <w:rPr>
                <w:sz w:val="20"/>
                <w:szCs w:val="20"/>
                <w:color w:val="auto"/>
              </w:rPr>
            </w:pPr>
            <w:r>
              <w:rPr>
                <w:rFonts w:ascii="Arial" w:cs="Arial" w:eastAsia="Arial" w:hAnsi="Arial"/>
                <w:sz w:val="17"/>
                <w:szCs w:val="17"/>
                <w:i w:val="1"/>
                <w:iCs w:val="1"/>
                <w:color w:val="auto"/>
              </w:rPr>
              <w:t>50% synergie</w:t>
            </w:r>
            <w:r>
              <w:rPr>
                <w:rFonts w:ascii="Arial" w:cs="Arial" w:eastAsia="Arial" w:hAnsi="Arial"/>
                <w:sz w:val="17"/>
                <w:szCs w:val="17"/>
                <w:color w:val="auto"/>
              </w:rPr>
              <w: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Highest TWC implied equity value per share (including 50% synergies) to lowest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3.927x</w:t>
            </w: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Lowest TWC implied equity value per share (including 50% synergies) to highest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2.080x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100% synergies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Highest TWC implied equity value per share (including 100% synergies) to lowest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4.647x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Lowest TWC implied equity value per share (including 100% synergies) to highest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2.534x</w:t>
            </w: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Illustrative Value Creation Analysis</w:t>
      </w:r>
    </w:p>
    <w:p>
      <w:pPr>
        <w:spacing w:after="0" w:line="107" w:lineRule="exact"/>
        <w:rPr>
          <w:sz w:val="20"/>
          <w:szCs w:val="20"/>
          <w:color w:val="auto"/>
        </w:rPr>
      </w:pPr>
    </w:p>
    <w:p>
      <w:pPr>
        <w:jc w:val="both"/>
        <w:ind w:right="120" w:firstLine="457"/>
        <w:spacing w:after="0" w:line="286" w:lineRule="auto"/>
        <w:rPr>
          <w:sz w:val="20"/>
          <w:szCs w:val="20"/>
          <w:color w:val="auto"/>
        </w:rPr>
      </w:pPr>
      <w:r>
        <w:rPr>
          <w:rFonts w:ascii="Arial" w:cs="Arial" w:eastAsia="Arial" w:hAnsi="Arial"/>
          <w:sz w:val="15"/>
          <w:szCs w:val="15"/>
          <w:i w:val="1"/>
          <w:iCs w:val="1"/>
          <w:color w:val="auto"/>
        </w:rPr>
        <w:t xml:space="preserve">Intrinsic Value. </w:t>
      </w:r>
      <w:r>
        <w:rPr>
          <w:rFonts w:ascii="Arial" w:cs="Arial" w:eastAsia="Arial" w:hAnsi="Arial"/>
          <w:sz w:val="15"/>
          <w:szCs w:val="15"/>
          <w:color w:val="auto"/>
        </w:rPr>
        <w:t>J.P. Morgan conducted an illustrative value creation analysis that compared the implied equity value per share of Comcast common stock derived</w:t>
      </w:r>
      <w:r>
        <w:rPr>
          <w:rFonts w:ascii="Arial" w:cs="Arial" w:eastAsia="Arial" w:hAnsi="Arial"/>
          <w:sz w:val="15"/>
          <w:szCs w:val="15"/>
          <w:i w:val="1"/>
          <w:iCs w:val="1"/>
          <w:color w:val="auto"/>
        </w:rPr>
        <w:t xml:space="preserve"> </w:t>
      </w:r>
      <w:r>
        <w:rPr>
          <w:rFonts w:ascii="Arial" w:cs="Arial" w:eastAsia="Arial" w:hAnsi="Arial"/>
          <w:sz w:val="15"/>
          <w:szCs w:val="15"/>
          <w:color w:val="auto"/>
        </w:rPr>
        <w:t>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w:t>
      </w:r>
    </w:p>
    <w:p>
      <w:pPr>
        <w:spacing w:after="0" w:line="1"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 (c) 100% of the estimated present value of the Comcast synergy estimates, net of implementation costs and remediation capital expenditures, discounted to present value using a discount rate of 7.0% and perpetuity growth rate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39"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firstLine="457"/>
        <w:spacing w:after="0" w:line="268" w:lineRule="auto"/>
        <w:rPr>
          <w:sz w:val="20"/>
          <w:szCs w:val="20"/>
          <w:color w:val="auto"/>
        </w:rPr>
      </w:pPr>
      <w:r>
        <w:rPr>
          <w:rFonts w:ascii="Arial" w:cs="Arial" w:eastAsia="Arial" w:hAnsi="Arial"/>
          <w:sz w:val="16"/>
          <w:szCs w:val="16"/>
          <w:i w:val="1"/>
          <w:iCs w:val="1"/>
          <w:color w:val="auto"/>
        </w:rPr>
        <w:t>Market Value</w:t>
      </w:r>
      <w:r>
        <w:rPr>
          <w:rFonts w:ascii="Arial" w:cs="Arial" w:eastAsia="Arial" w:hAnsi="Arial"/>
          <w:sz w:val="16"/>
          <w:szCs w:val="16"/>
          <w:color w:val="auto"/>
        </w:rPr>
        <w:t>. J.P. Morgan also conducted an illustrative value creation analysis that compared the closing market price of Comcast common stock as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10, 2014 to the pro forma combined company implied 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6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2" w:lineRule="exact"/>
        <w:rPr>
          <w:sz w:val="20"/>
          <w:szCs w:val="20"/>
          <w:color w:val="auto"/>
        </w:rPr>
      </w:pPr>
    </w:p>
    <w:p>
      <w:pPr>
        <w:ind w:right="100" w:firstLine="457"/>
        <w:spacing w:after="0" w:line="253"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39"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J.P. Morgan has acted as financial advisor to Comcast with respect to the proposed merger and will receive a fee from Comcast for its services equal to a total of $27.5 million, $25 million of which will become payable 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acting as an active bookrunner on NBCU’s bond offering in March 2013, providing treasury and securities services to Comcast and providing treasury and securities services as well as asset management services to TWC. In addition, J.P. Morgan’s commercial banking affiliate is an agent bank and 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$16.7 million and from TWC in the amount of $5.6 million.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Prospective Financial Information</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Management Case</w:t>
      </w:r>
    </w:p>
    <w:p>
      <w:pPr>
        <w:spacing w:after="0" w:line="107" w:lineRule="exact"/>
        <w:rPr>
          <w:sz w:val="20"/>
          <w:szCs w:val="20"/>
          <w:color w:val="auto"/>
        </w:rPr>
      </w:pPr>
    </w:p>
    <w:p>
      <w:pPr>
        <w:ind w:right="60" w:firstLine="457"/>
        <w:spacing w:after="0" w:line="285" w:lineRule="auto"/>
        <w:rPr>
          <w:sz w:val="20"/>
          <w:szCs w:val="20"/>
          <w:color w:val="auto"/>
        </w:rPr>
      </w:pPr>
      <w:r>
        <w:rPr>
          <w:rFonts w:ascii="Arial" w:cs="Arial" w:eastAsia="Arial" w:hAnsi="Arial"/>
          <w:sz w:val="15"/>
          <w:szCs w:val="15"/>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“—Opinions of TWC’s Financial Advisors” and “— Opinion of Financial Advisor to the TWC Independent Directors” beginning on pages [—] and [—],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 (iii) operating expenses before depreciation, amortization and merger-related and restructuring costs growth of 4.8% 2013-2016 CAGR resulting from continuation of cost reduction and operating efficiency strategies, (iv) a decrease in total operating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20"/>
          </w:cols>
          <w:pgMar w:left="240" w:top="439"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before depreciation, amortization and merger-related and restructuring costs as a percentage of revenue to 63.4% in 2016, and (v) an increase in capital expenditures as a percentage of revenue from 14.5% in 2013 to 16.0% in 2014, decreasing to 15.7% of revenue in 2015 and to 14.8% of revenue in 2016. These assumptions are 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TWC Management Case:</w:t>
      </w:r>
    </w:p>
    <w:p>
      <w:pPr>
        <w:spacing w:after="0" w:line="225" w:lineRule="exact"/>
        <w:rPr>
          <w:sz w:val="20"/>
          <w:szCs w:val="20"/>
          <w:color w:val="auto"/>
        </w:rPr>
      </w:pPr>
    </w:p>
    <w:p>
      <w:pPr>
        <w:jc w:val="center"/>
        <w:ind w:left="6620"/>
        <w:spacing w:after="0"/>
        <w:rPr>
          <w:sz w:val="20"/>
          <w:szCs w:val="20"/>
          <w:color w:val="auto"/>
        </w:rPr>
      </w:pPr>
      <w:r>
        <w:rPr>
          <w:rFonts w:ascii="Arial" w:cs="Arial" w:eastAsia="Arial" w:hAnsi="Arial"/>
          <w:sz w:val="13"/>
          <w:szCs w:val="13"/>
          <w:b w:val="1"/>
          <w:bCs w:val="1"/>
          <w:color w:val="auto"/>
        </w:rPr>
        <w:t>TWC Management Case</w:t>
      </w:r>
    </w:p>
    <w:p>
      <w:pPr>
        <w:jc w:val="center"/>
        <w:ind w:left="662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280" w:type="dxa"/>
            <w:vAlign w:val="bottom"/>
            <w:tcBorders>
              <w:bottom w:val="single" w:sz="8" w:color="CCEEFF"/>
            </w:tcBorders>
          </w:tcPr>
          <w:p>
            <w:pPr>
              <w:spacing w:after="0"/>
              <w:rPr>
                <w:sz w:val="11"/>
                <w:szCs w:val="11"/>
                <w:color w:val="auto"/>
              </w:rPr>
            </w:pPr>
          </w:p>
        </w:tc>
        <w:tc>
          <w:tcPr>
            <w:tcW w:w="24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2014E</w:t>
            </w:r>
          </w:p>
        </w:tc>
        <w:tc>
          <w:tcPr>
            <w:tcW w:w="58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2015E</w:t>
            </w:r>
          </w:p>
        </w:tc>
        <w:tc>
          <w:tcPr>
            <w:tcW w:w="58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4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$23,160</w:t>
            </w: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$24,146</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$25,657</w:t>
            </w:r>
          </w:p>
        </w:tc>
        <w:tc>
          <w:tcPr>
            <w:tcW w:w="80" w:type="dxa"/>
            <w:vAlign w:val="bottom"/>
            <w:shd w:val="clear" w:color="auto" w:fill="CCEEFF"/>
          </w:tcPr>
          <w:p>
            <w:pPr>
              <w:spacing w:after="0"/>
              <w:rPr>
                <w:sz w:val="16"/>
                <w:szCs w:val="16"/>
                <w:color w:val="auto"/>
              </w:rPr>
            </w:pPr>
          </w:p>
        </w:tc>
      </w:tr>
      <w:tr>
        <w:trPr>
          <w:trHeight w:val="202"/>
        </w:trPr>
        <w:tc>
          <w:tcPr>
            <w:tcW w:w="4280" w:type="dxa"/>
            <w:vAlign w:val="bottom"/>
          </w:tcPr>
          <w:p>
            <w:pPr>
              <w:spacing w:after="0"/>
              <w:rPr>
                <w:sz w:val="20"/>
                <w:szCs w:val="20"/>
                <w:color w:val="auto"/>
              </w:rPr>
            </w:pPr>
            <w:r>
              <w:rPr>
                <w:rFonts w:ascii="Arial" w:cs="Arial" w:eastAsia="Arial" w:hAnsi="Arial"/>
                <w:sz w:val="17"/>
                <w:szCs w:val="17"/>
                <w:color w:val="auto"/>
              </w:rPr>
              <w:t>Adjusted OIBDA(1)</w:t>
            </w:r>
          </w:p>
        </w:tc>
        <w:tc>
          <w:tcPr>
            <w:tcW w:w="2980" w:type="dxa"/>
            <w:vAlign w:val="bottom"/>
            <w:gridSpan w:val="2"/>
          </w:tcPr>
          <w:p>
            <w:pPr>
              <w:jc w:val="right"/>
              <w:spacing w:after="0"/>
              <w:rPr>
                <w:sz w:val="20"/>
                <w:szCs w:val="20"/>
                <w:color w:val="auto"/>
              </w:rPr>
            </w:pPr>
            <w:r>
              <w:rPr>
                <w:rFonts w:ascii="Arial" w:cs="Arial" w:eastAsia="Arial" w:hAnsi="Arial"/>
                <w:sz w:val="17"/>
                <w:szCs w:val="17"/>
                <w:color w:val="auto"/>
              </w:rPr>
              <w:t>8,425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8,600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9,400</w:t>
            </w:r>
          </w:p>
        </w:tc>
        <w:tc>
          <w:tcPr>
            <w:tcW w:w="80" w:type="dxa"/>
            <w:vAlign w:val="bottom"/>
          </w:tcPr>
          <w:p>
            <w:pPr>
              <w:spacing w:after="0"/>
              <w:rPr>
                <w:sz w:val="17"/>
                <w:szCs w:val="17"/>
                <w:color w:val="auto"/>
              </w:rPr>
            </w:pPr>
          </w:p>
        </w:tc>
      </w:tr>
      <w:tr>
        <w:trPr>
          <w:trHeight w:val="202"/>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7"/>
                <w:szCs w:val="17"/>
                <w:color w:val="auto"/>
              </w:rPr>
            </w:pPr>
          </w:p>
        </w:tc>
      </w:tr>
      <w:tr>
        <w:trPr>
          <w:trHeight w:val="214"/>
        </w:trPr>
        <w:tc>
          <w:tcPr>
            <w:tcW w:w="4280" w:type="dxa"/>
            <w:vAlign w:val="bottom"/>
          </w:tcPr>
          <w:p>
            <w:pPr>
              <w:spacing w:after="0"/>
              <w:rPr>
                <w:sz w:val="20"/>
                <w:szCs w:val="20"/>
                <w:color w:val="auto"/>
              </w:rPr>
            </w:pPr>
            <w:r>
              <w:rPr>
                <w:rFonts w:ascii="Arial" w:cs="Arial" w:eastAsia="Arial" w:hAnsi="Arial"/>
                <w:sz w:val="17"/>
                <w:szCs w:val="17"/>
                <w:color w:val="auto"/>
              </w:rPr>
              <w:t>Levered Free Cash Flow(2)</w:t>
            </w:r>
          </w:p>
        </w:tc>
        <w:tc>
          <w:tcPr>
            <w:tcW w:w="2980" w:type="dxa"/>
            <w:vAlign w:val="bottom"/>
            <w:gridSpan w:val="2"/>
          </w:tcPr>
          <w:p>
            <w:pPr>
              <w:jc w:val="right"/>
              <w:spacing w:after="0"/>
              <w:rPr>
                <w:sz w:val="20"/>
                <w:szCs w:val="20"/>
                <w:color w:val="auto"/>
              </w:rPr>
            </w:pPr>
            <w:r>
              <w:rPr>
                <w:rFonts w:ascii="Arial" w:cs="Arial" w:eastAsia="Arial" w:hAnsi="Arial"/>
                <w:sz w:val="17"/>
                <w:szCs w:val="17"/>
                <w:color w:val="auto"/>
              </w:rPr>
              <w:t>2,650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2,120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2,670</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right="160" w:hanging="459"/>
        <w:spacing w:after="0" w:line="271"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right="40" w:hanging="459"/>
        <w:spacing w:after="0" w:line="280" w:lineRule="auto"/>
        <w:tabs>
          <w:tab w:leader="none" w:pos="46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(C) partnership distributions to third parties and (D) principal payments on capital leases.</w:t>
      </w:r>
    </w:p>
    <w:p>
      <w:pPr>
        <w:spacing w:after="0" w:line="196"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80"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Specified Comcast Street Case</w:t>
      </w:r>
    </w:p>
    <w:p>
      <w:pPr>
        <w:spacing w:after="0" w:line="107"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With respect to Comcast’s potential future performance, the TWC board of directors also reviewed and considered certain publicly-available forecasts of future performance concerning Comcast prepared by a research analyst, which is referred to in this joint proxy statement/prospectus as the Specified Comcast Street Case. TWC’s financial advisors used the Specified Comcast Street Case in their financial analyses of Comcast (see “—Opinions of TWC’s Financial Advisors” and “— Opinion of Financial Advisor to the TWC Independent Directors” beginning on pages [—] and [—], respectively, of this joint proxy statement/prospectus) per Comcast’s management’s indication, on which the TWC financial advisors relied, as a reasonable basis on which to evaluate Comcast, with TWC’s consent. The Specified Comcast Street Case was not internally prepared or adopted by Comcast management. The information was prepared by an independent analyst not affiliated with Comcast,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00"/>
          </w:cols>
          <w:pgMar w:left="240" w:top="439" w:right="25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purposes unrelated to the management of Comcast’s business or the merger. Comcast believes that the Specified Comcast Street Case is a conservative forecast of Comcast’s future performance.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Specified Comcast Street Case:</w:t>
      </w:r>
    </w:p>
    <w:p>
      <w:pPr>
        <w:spacing w:after="0" w:line="225" w:lineRule="exact"/>
        <w:rPr>
          <w:sz w:val="20"/>
          <w:szCs w:val="20"/>
          <w:color w:val="auto"/>
        </w:rPr>
      </w:pPr>
    </w:p>
    <w:p>
      <w:pPr>
        <w:jc w:val="center"/>
        <w:ind w:left="5140"/>
        <w:spacing w:after="0"/>
        <w:rPr>
          <w:sz w:val="20"/>
          <w:szCs w:val="20"/>
          <w:color w:val="auto"/>
        </w:rPr>
      </w:pPr>
      <w:r>
        <w:rPr>
          <w:rFonts w:ascii="Arial" w:cs="Arial" w:eastAsia="Arial" w:hAnsi="Arial"/>
          <w:sz w:val="13"/>
          <w:szCs w:val="13"/>
          <w:b w:val="1"/>
          <w:bCs w:val="1"/>
          <w:color w:val="auto"/>
        </w:rPr>
        <w:t>Specified Comcast Street Case</w:t>
      </w:r>
    </w:p>
    <w:p>
      <w:pPr>
        <w:jc w:val="center"/>
        <w:ind w:left="51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40" w:type="dxa"/>
            <w:vAlign w:val="bottom"/>
          </w:tcPr>
          <w:p>
            <w:pPr>
              <w:spacing w:after="0"/>
              <w:rPr>
                <w:sz w:val="11"/>
                <w:szCs w:val="11"/>
                <w:color w:val="auto"/>
              </w:rPr>
            </w:pPr>
          </w:p>
        </w:tc>
        <w:tc>
          <w:tcPr>
            <w:tcW w:w="90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5"/>
              </w:rPr>
              <w:t>2014E</w:t>
            </w:r>
          </w:p>
        </w:tc>
        <w:tc>
          <w:tcPr>
            <w:tcW w:w="740" w:type="dxa"/>
            <w:vAlign w:val="bottom"/>
            <w:tcBorders>
              <w:top w:val="single" w:sz="8" w:color="auto"/>
            </w:tcBorders>
            <w:gridSpan w:val="2"/>
          </w:tcPr>
          <w:p>
            <w:pPr>
              <w:jc w:val="right"/>
              <w:ind w:right="260"/>
              <w:spacing w:after="0" w:line="131" w:lineRule="exact"/>
              <w:rPr>
                <w:sz w:val="20"/>
                <w:szCs w:val="20"/>
                <w:color w:val="auto"/>
              </w:rPr>
            </w:pPr>
            <w:r>
              <w:rPr>
                <w:rFonts w:ascii="Arial" w:cs="Arial" w:eastAsia="Arial" w:hAnsi="Arial"/>
                <w:sz w:val="13"/>
                <w:szCs w:val="13"/>
                <w:b w:val="1"/>
                <w:bCs w:val="1"/>
                <w:color w:val="auto"/>
              </w:rPr>
              <w:t>2015E</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2016E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2017E</w:t>
            </w:r>
          </w:p>
        </w:tc>
        <w:tc>
          <w:tcPr>
            <w:tcW w:w="90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5"/>
              </w:rPr>
              <w:t>2018E</w:t>
            </w:r>
          </w:p>
        </w:tc>
        <w:tc>
          <w:tcPr>
            <w:tcW w:w="760" w:type="dxa"/>
            <w:vAlign w:val="bottom"/>
            <w:tcBorders>
              <w:top w:val="single" w:sz="8" w:color="auto"/>
            </w:tcBorders>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2019E</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rPr>
              <w:t>2020E</w:t>
            </w:r>
          </w:p>
        </w:tc>
        <w:tc>
          <w:tcPr>
            <w:tcW w:w="100" w:type="dxa"/>
            <w:vAlign w:val="bottom"/>
          </w:tcPr>
          <w:p>
            <w:pPr>
              <w:spacing w:after="0"/>
              <w:rPr>
                <w:sz w:val="11"/>
                <w:szCs w:val="11"/>
                <w:color w:val="auto"/>
              </w:rPr>
            </w:pPr>
          </w:p>
        </w:tc>
      </w:tr>
      <w:tr>
        <w:trPr>
          <w:trHeight w:val="194"/>
        </w:trPr>
        <w:tc>
          <w:tcPr>
            <w:tcW w:w="5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$ 68,373</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$ 71,147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$ 74,566</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$ 77,821</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$ 80,842</w:t>
            </w: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$ 83,650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3"/>
              </w:rPr>
              <w:t>$ 86,247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EBITDA(1)</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22,388</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23,892</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25,196</w:t>
            </w: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26,457</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28,744</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29,720</w:t>
            </w:r>
          </w:p>
        </w:tc>
      </w:tr>
      <w:tr>
        <w:trPr>
          <w:trHeight w:val="202"/>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7,384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7,399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7,606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7,860</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8,452</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460" w:hanging="459"/>
        <w:spacing w:after="0"/>
        <w:tabs>
          <w:tab w:leader="none" w:pos="4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208"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20"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Consensus Comcast Street Case</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a summary of the Consensus Comcast Street Case:</w:t>
      </w:r>
    </w:p>
    <w:p>
      <w:pPr>
        <w:spacing w:after="0" w:line="225" w:lineRule="exact"/>
        <w:rPr>
          <w:sz w:val="20"/>
          <w:szCs w:val="20"/>
          <w:color w:val="auto"/>
        </w:rPr>
      </w:pPr>
    </w:p>
    <w:p>
      <w:pPr>
        <w:jc w:val="center"/>
        <w:ind w:left="5300"/>
        <w:spacing w:after="0"/>
        <w:rPr>
          <w:sz w:val="20"/>
          <w:szCs w:val="20"/>
          <w:color w:val="auto"/>
        </w:rPr>
      </w:pPr>
      <w:r>
        <w:rPr>
          <w:rFonts w:ascii="Arial" w:cs="Arial" w:eastAsia="Arial" w:hAnsi="Arial"/>
          <w:sz w:val="13"/>
          <w:szCs w:val="13"/>
          <w:b w:val="1"/>
          <w:bCs w:val="1"/>
          <w:color w:val="auto"/>
        </w:rPr>
        <w:t>Consensus Comcast Street Case – Cable Business</w:t>
      </w:r>
    </w:p>
    <w:p>
      <w:pPr>
        <w:jc w:val="center"/>
        <w:ind w:left="530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378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2014E</w:t>
            </w:r>
          </w:p>
        </w:tc>
        <w:tc>
          <w:tcPr>
            <w:tcW w:w="86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2015E</w:t>
            </w:r>
          </w:p>
        </w:tc>
        <w:tc>
          <w:tcPr>
            <w:tcW w:w="8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3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6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43,735</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46,430</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49,099</w:t>
            </w:r>
          </w:p>
        </w:tc>
        <w:tc>
          <w:tcPr>
            <w:tcW w:w="80" w:type="dxa"/>
            <w:vAlign w:val="bottom"/>
            <w:shd w:val="clear" w:color="auto" w:fill="CCEEFF"/>
          </w:tcPr>
          <w:p>
            <w:pPr>
              <w:spacing w:after="0"/>
              <w:rPr>
                <w:sz w:val="16"/>
                <w:szCs w:val="16"/>
                <w:color w:val="auto"/>
              </w:rPr>
            </w:pPr>
          </w:p>
        </w:tc>
      </w:tr>
      <w:tr>
        <w:trPr>
          <w:trHeight w:val="202"/>
        </w:trPr>
        <w:tc>
          <w:tcPr>
            <w:tcW w:w="3780" w:type="dxa"/>
            <w:vAlign w:val="bottom"/>
          </w:tcPr>
          <w:p>
            <w:pPr>
              <w:spacing w:after="0"/>
              <w:rPr>
                <w:sz w:val="20"/>
                <w:szCs w:val="20"/>
                <w:color w:val="auto"/>
              </w:rPr>
            </w:pPr>
            <w:r>
              <w:rPr>
                <w:rFonts w:ascii="Arial" w:cs="Arial" w:eastAsia="Arial" w:hAnsi="Arial"/>
                <w:sz w:val="17"/>
                <w:szCs w:val="17"/>
                <w:color w:val="auto"/>
              </w:rPr>
              <w:t>EBITDA(1)</w:t>
            </w:r>
          </w:p>
        </w:tc>
        <w:tc>
          <w:tcPr>
            <w:tcW w:w="2380" w:type="dxa"/>
            <w:vAlign w:val="bottom"/>
            <w:gridSpan w:val="2"/>
          </w:tcPr>
          <w:p>
            <w:pPr>
              <w:jc w:val="right"/>
              <w:spacing w:after="0"/>
              <w:rPr>
                <w:sz w:val="20"/>
                <w:szCs w:val="20"/>
                <w:color w:val="auto"/>
              </w:rPr>
            </w:pPr>
            <w:r>
              <w:rPr>
                <w:rFonts w:ascii="Arial" w:cs="Arial" w:eastAsia="Arial" w:hAnsi="Arial"/>
                <w:sz w:val="17"/>
                <w:szCs w:val="17"/>
                <w:color w:val="auto"/>
              </w:rPr>
              <w:t>17,875</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18,929</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20,371</w:t>
            </w:r>
          </w:p>
        </w:tc>
        <w:tc>
          <w:tcPr>
            <w:tcW w:w="80" w:type="dxa"/>
            <w:vAlign w:val="bottom"/>
          </w:tcPr>
          <w:p>
            <w:pPr>
              <w:spacing w:after="0"/>
              <w:rPr>
                <w:sz w:val="17"/>
                <w:szCs w:val="17"/>
                <w:color w:val="auto"/>
              </w:rPr>
            </w:pPr>
          </w:p>
        </w:tc>
      </w:tr>
      <w:tr>
        <w:trPr>
          <w:trHeight w:val="202"/>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w:t>
            </w:r>
          </w:p>
        </w:tc>
        <w:tc>
          <w:tcPr>
            <w:tcW w:w="80" w:type="dxa"/>
            <w:vAlign w:val="bottom"/>
            <w:shd w:val="clear" w:color="auto" w:fill="CCEEFF"/>
          </w:tcPr>
          <w:p>
            <w:pPr>
              <w:spacing w:after="0"/>
              <w:rPr>
                <w:sz w:val="17"/>
                <w:szCs w:val="17"/>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380" w:type="dxa"/>
            <w:vAlign w:val="bottom"/>
            <w:gridSpan w:val="2"/>
          </w:tcPr>
          <w:p>
            <w:pPr>
              <w:jc w:val="right"/>
              <w:spacing w:after="0"/>
              <w:rPr>
                <w:sz w:val="20"/>
                <w:szCs w:val="20"/>
                <w:color w:val="auto"/>
              </w:rPr>
            </w:pPr>
            <w:r>
              <w:rPr>
                <w:rFonts w:ascii="Arial" w:cs="Arial" w:eastAsia="Arial" w:hAnsi="Arial"/>
                <w:sz w:val="17"/>
                <w:szCs w:val="17"/>
                <w:color w:val="auto"/>
              </w:rPr>
              <w:t>6,900</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7,592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8,552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440" w:hanging="459"/>
        <w:spacing w:after="0" w:line="321" w:lineRule="auto"/>
        <w:tabs>
          <w:tab w:leader="none" w:pos="4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39"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3"/>
          <w:szCs w:val="13"/>
          <w:b w:val="1"/>
          <w:bCs w:val="1"/>
          <w:color w:val="auto"/>
        </w:rPr>
        <w:t>Consensus Comcast Street Case – Non-Cable Business</w:t>
      </w:r>
    </w:p>
    <w:p>
      <w:pPr>
        <w:jc w:val="center"/>
        <w:ind w:left="478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8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1" w:lineRule="exact"/>
              <w:rPr>
                <w:sz w:val="20"/>
                <w:szCs w:val="20"/>
                <w:color w:val="auto"/>
              </w:rPr>
            </w:pPr>
            <w:r>
              <w:rPr>
                <w:rFonts w:ascii="Arial" w:cs="Arial" w:eastAsia="Arial" w:hAnsi="Arial"/>
                <w:sz w:val="13"/>
                <w:szCs w:val="13"/>
                <w:b w:val="1"/>
                <w:bCs w:val="1"/>
                <w:color w:val="auto"/>
              </w:rPr>
              <w:t>2014E</w:t>
            </w:r>
          </w:p>
        </w:tc>
        <w:tc>
          <w:tcPr>
            <w:tcW w:w="10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9"/>
              <w:spacing w:after="0" w:line="131" w:lineRule="exact"/>
              <w:rPr>
                <w:sz w:val="20"/>
                <w:szCs w:val="20"/>
                <w:color w:val="auto"/>
              </w:rPr>
            </w:pPr>
            <w:r>
              <w:rPr>
                <w:rFonts w:ascii="Arial" w:cs="Arial" w:eastAsia="Arial" w:hAnsi="Arial"/>
                <w:sz w:val="13"/>
                <w:szCs w:val="13"/>
                <w:b w:val="1"/>
                <w:bCs w:val="1"/>
                <w:color w:val="auto"/>
              </w:rPr>
              <w:t>2015E</w:t>
            </w:r>
          </w:p>
        </w:tc>
        <w:tc>
          <w:tcPr>
            <w:tcW w:w="10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25,066</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25,493</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27,837</w:t>
            </w:r>
          </w:p>
        </w:tc>
        <w:tc>
          <w:tcPr>
            <w:tcW w:w="80" w:type="dxa"/>
            <w:vAlign w:val="bottom"/>
            <w:shd w:val="clear" w:color="auto" w:fill="CCEEFF"/>
          </w:tcPr>
          <w:p>
            <w:pPr>
              <w:spacing w:after="0"/>
              <w:rPr>
                <w:sz w:val="16"/>
                <w:szCs w:val="16"/>
                <w:color w:val="auto"/>
              </w:rPr>
            </w:pPr>
          </w:p>
        </w:tc>
      </w:tr>
      <w:tr>
        <w:trPr>
          <w:trHeight w:val="202"/>
        </w:trPr>
        <w:tc>
          <w:tcPr>
            <w:tcW w:w="4860" w:type="dxa"/>
            <w:vAlign w:val="bottom"/>
          </w:tcPr>
          <w:p>
            <w:pPr>
              <w:spacing w:after="0"/>
              <w:rPr>
                <w:sz w:val="20"/>
                <w:szCs w:val="20"/>
                <w:color w:val="auto"/>
              </w:rPr>
            </w:pPr>
            <w:r>
              <w:rPr>
                <w:rFonts w:ascii="Arial" w:cs="Arial" w:eastAsia="Arial" w:hAnsi="Arial"/>
                <w:sz w:val="17"/>
                <w:szCs w:val="17"/>
                <w:color w:val="auto"/>
              </w:rPr>
              <w:t>EBITDA(1)</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4,924</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5,367</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5,776</w:t>
            </w:r>
          </w:p>
        </w:tc>
        <w:tc>
          <w:tcPr>
            <w:tcW w:w="80" w:type="dxa"/>
            <w:vAlign w:val="bottom"/>
          </w:tcPr>
          <w:p>
            <w:pPr>
              <w:spacing w:after="0"/>
              <w:rPr>
                <w:sz w:val="17"/>
                <w:szCs w:val="17"/>
                <w:color w:val="auto"/>
              </w:rPr>
            </w:pPr>
          </w:p>
        </w:tc>
      </w:tr>
      <w:tr>
        <w:trPr>
          <w:trHeight w:val="202"/>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80" w:type="dxa"/>
            <w:vAlign w:val="bottom"/>
            <w:shd w:val="clear" w:color="auto" w:fill="CCEEFF"/>
          </w:tcPr>
          <w:p>
            <w:pPr>
              <w:spacing w:after="0"/>
              <w:rPr>
                <w:sz w:val="17"/>
                <w:szCs w:val="17"/>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2,130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2,445</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2,763</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120" w:hanging="459"/>
        <w:spacing w:after="0" w:line="321" w:lineRule="auto"/>
        <w:tabs>
          <w:tab w:leader="none" w:pos="46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149" w:lineRule="exact"/>
        <w:rPr>
          <w:sz w:val="20"/>
          <w:szCs w:val="20"/>
          <w:color w:val="auto"/>
        </w:rPr>
      </w:pPr>
    </w:p>
    <w:p>
      <w:pPr>
        <w:jc w:val="center"/>
        <w:ind w:left="5540"/>
        <w:spacing w:after="0"/>
        <w:rPr>
          <w:sz w:val="20"/>
          <w:szCs w:val="20"/>
          <w:color w:val="auto"/>
        </w:rPr>
      </w:pPr>
      <w:r>
        <w:rPr>
          <w:rFonts w:ascii="Arial" w:cs="Arial" w:eastAsia="Arial" w:hAnsi="Arial"/>
          <w:sz w:val="13"/>
          <w:szCs w:val="13"/>
          <w:b w:val="1"/>
          <w:bCs w:val="1"/>
          <w:color w:val="auto"/>
        </w:rPr>
        <w:t>Consensus Comcast Street Case – Consolidated</w:t>
      </w:r>
    </w:p>
    <w:p>
      <w:pPr>
        <w:jc w:val="center"/>
        <w:ind w:left="55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390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2014E</w:t>
            </w:r>
          </w:p>
        </w:tc>
        <w:tc>
          <w:tcPr>
            <w:tcW w:w="78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2015E</w:t>
            </w:r>
          </w:p>
        </w:tc>
        <w:tc>
          <w:tcPr>
            <w:tcW w:w="78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6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7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68,801</w:t>
            </w: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71,923</w:t>
            </w: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76,936</w:t>
            </w:r>
          </w:p>
        </w:tc>
        <w:tc>
          <w:tcPr>
            <w:tcW w:w="80" w:type="dxa"/>
            <w:vAlign w:val="bottom"/>
            <w:shd w:val="clear" w:color="auto" w:fill="CCEEFF"/>
          </w:tcPr>
          <w:p>
            <w:pPr>
              <w:spacing w:after="0"/>
              <w:rPr>
                <w:sz w:val="16"/>
                <w:szCs w:val="16"/>
                <w:color w:val="auto"/>
              </w:rPr>
            </w:pPr>
          </w:p>
        </w:tc>
      </w:tr>
      <w:tr>
        <w:trPr>
          <w:trHeight w:val="202"/>
        </w:trPr>
        <w:tc>
          <w:tcPr>
            <w:tcW w:w="3900" w:type="dxa"/>
            <w:vAlign w:val="bottom"/>
          </w:tcPr>
          <w:p>
            <w:pPr>
              <w:spacing w:after="0"/>
              <w:rPr>
                <w:sz w:val="20"/>
                <w:szCs w:val="20"/>
                <w:color w:val="auto"/>
              </w:rPr>
            </w:pPr>
            <w:r>
              <w:rPr>
                <w:rFonts w:ascii="Arial" w:cs="Arial" w:eastAsia="Arial" w:hAnsi="Arial"/>
                <w:sz w:val="17"/>
                <w:szCs w:val="17"/>
                <w:color w:val="auto"/>
              </w:rPr>
              <w:t>EBITDA(1)</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22,799</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24,296</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26,147</w:t>
            </w:r>
          </w:p>
        </w:tc>
        <w:tc>
          <w:tcPr>
            <w:tcW w:w="80" w:type="dxa"/>
            <w:vAlign w:val="bottom"/>
          </w:tcPr>
          <w:p>
            <w:pPr>
              <w:spacing w:after="0"/>
              <w:rPr>
                <w:sz w:val="17"/>
                <w:szCs w:val="17"/>
                <w:color w:val="auto"/>
              </w:rPr>
            </w:pPr>
          </w:p>
        </w:tc>
      </w:tr>
      <w:tr>
        <w:trPr>
          <w:trHeight w:val="202"/>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7,106</w:t>
            </w:r>
          </w:p>
        </w:tc>
        <w:tc>
          <w:tcPr>
            <w:tcW w:w="80" w:type="dxa"/>
            <w:vAlign w:val="bottom"/>
            <w:shd w:val="clear" w:color="auto" w:fill="CCEEFF"/>
          </w:tcPr>
          <w:p>
            <w:pPr>
              <w:spacing w:after="0"/>
              <w:rPr>
                <w:sz w:val="17"/>
                <w:szCs w:val="17"/>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9,030</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10,037</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11,315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120" w:hanging="459"/>
        <w:spacing w:after="0" w:line="321" w:lineRule="auto"/>
        <w:tabs>
          <w:tab w:leader="none" w:pos="4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32" w:lineRule="exact"/>
        <w:rPr>
          <w:sz w:val="20"/>
          <w:szCs w:val="20"/>
          <w:color w:val="auto"/>
        </w:rPr>
      </w:pPr>
    </w:p>
    <w:p>
      <w:pPr>
        <w:jc w:val="both"/>
        <w:ind w:right="40" w:firstLine="457"/>
        <w:spacing w:after="0" w:line="309" w:lineRule="auto"/>
        <w:rPr>
          <w:sz w:val="20"/>
          <w:szCs w:val="20"/>
          <w:color w:val="auto"/>
        </w:rPr>
      </w:pPr>
      <w:r>
        <w:rPr>
          <w:rFonts w:ascii="Arial" w:cs="Arial" w:eastAsia="Arial" w:hAnsi="Arial"/>
          <w:sz w:val="15"/>
          <w:szCs w:val="15"/>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TWC Management Case</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00"/>
          </w:cols>
          <w:pgMar w:left="240" w:top="439" w:right="25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Adjusted TWC Management Case.</w:t>
      </w:r>
    </w:p>
    <w:p>
      <w:pPr>
        <w:spacing w:after="0" w:line="225" w:lineRule="exact"/>
        <w:rPr>
          <w:sz w:val="20"/>
          <w:szCs w:val="20"/>
          <w:color w:val="auto"/>
        </w:rPr>
      </w:pPr>
    </w:p>
    <w:p>
      <w:pPr>
        <w:jc w:val="center"/>
        <w:ind w:left="6620"/>
        <w:spacing w:after="0"/>
        <w:rPr>
          <w:sz w:val="20"/>
          <w:szCs w:val="20"/>
          <w:color w:val="auto"/>
        </w:rPr>
      </w:pPr>
      <w:r>
        <w:rPr>
          <w:rFonts w:ascii="Arial" w:cs="Arial" w:eastAsia="Arial" w:hAnsi="Arial"/>
          <w:sz w:val="13"/>
          <w:szCs w:val="13"/>
          <w:b w:val="1"/>
          <w:bCs w:val="1"/>
          <w:color w:val="auto"/>
        </w:rPr>
        <w:t>Adjusted TWC Management Case</w:t>
      </w:r>
    </w:p>
    <w:p>
      <w:pPr>
        <w:jc w:val="center"/>
        <w:ind w:left="662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440" w:type="dxa"/>
            <w:vAlign w:val="bottom"/>
            <w:tcBorders>
              <w:bottom w:val="single" w:sz="8" w:color="CCEEFF"/>
            </w:tcBorders>
          </w:tcPr>
          <w:p>
            <w:pPr>
              <w:spacing w:after="0"/>
              <w:rPr>
                <w:sz w:val="11"/>
                <w:szCs w:val="11"/>
                <w:color w:val="auto"/>
              </w:rPr>
            </w:pPr>
          </w:p>
        </w:tc>
        <w:tc>
          <w:tcPr>
            <w:tcW w:w="22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2014E</w:t>
            </w:r>
          </w:p>
        </w:tc>
        <w:tc>
          <w:tcPr>
            <w:tcW w:w="58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2015E</w:t>
            </w:r>
          </w:p>
        </w:tc>
        <w:tc>
          <w:tcPr>
            <w:tcW w:w="58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4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$23,160</w:t>
            </w: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$24,146</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$25,354</w:t>
            </w:r>
          </w:p>
        </w:tc>
        <w:tc>
          <w:tcPr>
            <w:tcW w:w="80" w:type="dxa"/>
            <w:vAlign w:val="bottom"/>
            <w:shd w:val="clear" w:color="auto" w:fill="CCEEFF"/>
          </w:tcPr>
          <w:p>
            <w:pPr>
              <w:spacing w:after="0"/>
              <w:rPr>
                <w:sz w:val="16"/>
                <w:szCs w:val="16"/>
                <w:color w:val="auto"/>
              </w:rPr>
            </w:pPr>
          </w:p>
        </w:tc>
      </w:tr>
      <w:tr>
        <w:trPr>
          <w:trHeight w:val="202"/>
        </w:trPr>
        <w:tc>
          <w:tcPr>
            <w:tcW w:w="4440" w:type="dxa"/>
            <w:vAlign w:val="bottom"/>
          </w:tcPr>
          <w:p>
            <w:pPr>
              <w:spacing w:after="0"/>
              <w:rPr>
                <w:sz w:val="20"/>
                <w:szCs w:val="20"/>
                <w:color w:val="auto"/>
              </w:rPr>
            </w:pPr>
            <w:r>
              <w:rPr>
                <w:rFonts w:ascii="Arial" w:cs="Arial" w:eastAsia="Arial" w:hAnsi="Arial"/>
                <w:sz w:val="17"/>
                <w:szCs w:val="17"/>
                <w:color w:val="auto"/>
              </w:rPr>
              <w:t>EBITDA(1)</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8,425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8,600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9,073</w:t>
            </w:r>
          </w:p>
        </w:tc>
        <w:tc>
          <w:tcPr>
            <w:tcW w:w="80" w:type="dxa"/>
            <w:vAlign w:val="bottom"/>
          </w:tcPr>
          <w:p>
            <w:pPr>
              <w:spacing w:after="0"/>
              <w:rPr>
                <w:sz w:val="17"/>
                <w:szCs w:val="17"/>
                <w:color w:val="auto"/>
              </w:rPr>
            </w:pPr>
          </w:p>
        </w:tc>
      </w:tr>
      <w:tr>
        <w:trPr>
          <w:trHeight w:val="202"/>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7"/>
                <w:szCs w:val="17"/>
                <w:color w:val="auto"/>
              </w:rPr>
            </w:pPr>
          </w:p>
        </w:tc>
      </w:tr>
      <w:tr>
        <w:trPr>
          <w:trHeight w:val="214"/>
        </w:trPr>
        <w:tc>
          <w:tcPr>
            <w:tcW w:w="444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2,950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2,483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2,945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Adjusted TWC Management Case was as follows (in millions): 2017E:</w:t>
      </w:r>
    </w:p>
    <w:p>
      <w:pPr>
        <w:spacing w:after="0" w:line="2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$3,214; 2018E: $3,455; 2019E: $3,609; 2020E: $3,744; 2021E: $3,858; 2022E: $3,949; and 2023E: $4,015.</w:t>
      </w:r>
    </w:p>
    <w:p>
      <w:pPr>
        <w:spacing w:after="0" w:line="196"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80"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39"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reflected in any of the Cases will be realized or that actual results will not materially vary from the Cases. In 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7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 of this joint proxy statement/prospectus for additional information regarding the risks inherent in forward-looking information such as the financial projections and “Where You Can Find More Information” beginning on page [—] of this joint proxy statement/prospectus.</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73" w:lineRule="exact"/>
        <w:rPr>
          <w:sz w:val="20"/>
          <w:szCs w:val="20"/>
          <w:color w:val="auto"/>
        </w:rPr>
      </w:pPr>
    </w:p>
    <w:p>
      <w:pPr>
        <w:ind w:right="40" w:firstLine="457"/>
        <w:spacing w:after="0" w:line="30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42"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information about the Cases set forth above does not give effect to the merger and also does not take into account the effect of any failure of the merger to be consummated.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between Comcast and TWC</w:t>
      </w:r>
    </w:p>
    <w:p>
      <w:pPr>
        <w:spacing w:after="0" w:line="111"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80"/>
          </w:cols>
          <w:pgMar w:left="240" w:top="439" w:right="27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Comcast and TWC also are and have been co-investors in certain other businesses, including, among others, Canoe Ventures, LLC, iN DEMAND LLC and SportsNet New York and co-participants in certain industry trade groups. Additional information regarding joint ventures between Comcast and TWC is included in the documents incorporated by reference into this joint proxy statement/prospectus.</w:t>
      </w:r>
    </w:p>
    <w:p>
      <w:pPr>
        <w:spacing w:after="0" w:line="177"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 of this joint proxy statement/prospectus or its obligations to call and hold a meeting of its stockholders, in each case, if an acquisition proposal (as defined under “The Merger Agreement—No Solicitation by TWC” beginning on page [—] of this joint proxy statement/prospectus) has been publicly made prior to TWC’s special meeting. Each such termination event is more fully described in “The Merger Agreement— Termination of the Merger Agreement” beginning on page [—] of this joint proxy statement/prospectus.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Antitrust Filing</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39"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7"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FCC Approval</w:t>
      </w:r>
    </w:p>
    <w:p>
      <w:pPr>
        <w:spacing w:after="0" w:line="107" w:lineRule="exact"/>
        <w:rPr>
          <w:sz w:val="20"/>
          <w:szCs w:val="20"/>
          <w:color w:val="auto"/>
        </w:rPr>
      </w:pPr>
    </w:p>
    <w:p>
      <w:pPr>
        <w:ind w:right="100" w:firstLine="457"/>
        <w:spacing w:after="0" w:line="272"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State and Local Approvals</w:t>
      </w:r>
    </w:p>
    <w:p>
      <w:pPr>
        <w:spacing w:after="0" w:line="107"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Other Governmental Approvals</w:t>
      </w:r>
    </w:p>
    <w:p>
      <w:pPr>
        <w:spacing w:after="0" w:line="107" w:lineRule="exact"/>
        <w:rPr>
          <w:sz w:val="20"/>
          <w:szCs w:val="20"/>
          <w:color w:val="auto"/>
        </w:rPr>
      </w:pPr>
    </w:p>
    <w:p>
      <w:pPr>
        <w:jc w:val="both"/>
        <w:ind w:right="140" w:firstLine="457"/>
        <w:spacing w:after="0" w:line="258"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Efforts to Obtain Regulatory Approvals</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70" w:lineRule="exact"/>
        <w:rPr>
          <w:sz w:val="20"/>
          <w:szCs w:val="20"/>
          <w:color w:val="auto"/>
        </w:rPr>
      </w:pPr>
    </w:p>
    <w:p>
      <w:pPr>
        <w:ind w:left="5580" w:right="2580" w:hanging="5125"/>
        <w:spacing w:after="0" w:line="440" w:lineRule="auto"/>
        <w:tabs>
          <w:tab w:leader="none" w:pos="9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divest or hold separate any businesses, assets or properties of Comcast or TWC or any of their respective subsidiaries; 134</w:t>
      </w:r>
    </w:p>
    <w:p>
      <w:pPr>
        <w:sectPr>
          <w:pgSz w:w="11900" w:h="16838" w:orient="portrait"/>
          <w:cols w:equalWidth="0" w:num="1">
            <w:col w:w="11420"/>
          </w:cols>
          <w:pgMar w:left="240" w:top="439"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240" w:hanging="445"/>
        <w:spacing w:after="0" w:line="270" w:lineRule="auto"/>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accept any conditions or take any actions that would apply to or affect any businesses, assets or properties of Comcast or TWC or any of their respective subsidiaries; or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the FTC or the DOJ.</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first two bullets above, (i) Comcast is prepared to divest up to approximately three million subscribers of the combined company and</w:t>
      </w:r>
    </w:p>
    <w:p>
      <w:pPr>
        <w:spacing w:after="0" w:line="30" w:lineRule="exact"/>
        <w:rPr>
          <w:sz w:val="20"/>
          <w:szCs w:val="20"/>
          <w:color w:val="auto"/>
        </w:rPr>
      </w:pPr>
    </w:p>
    <w:p>
      <w:pPr>
        <w:ind w:right="40" w:firstLine="1"/>
        <w:spacing w:after="0" w:line="285" w:lineRule="auto"/>
        <w:tabs>
          <w:tab w:leader="none" w:pos="247" w:val="left"/>
        </w:tabs>
        <w:numPr>
          <w:ilvl w:val="0"/>
          <w:numId w:val="170"/>
        </w:numPr>
        <w:rPr>
          <w:rFonts w:ascii="Arial" w:cs="Arial" w:eastAsia="Arial" w:hAnsi="Arial"/>
          <w:sz w:val="15"/>
          <w:szCs w:val="15"/>
          <w:color w:val="auto"/>
        </w:rPr>
      </w:pPr>
      <w:r>
        <w:rPr>
          <w:rFonts w:ascii="Arial" w:cs="Arial" w:eastAsia="Arial" w:hAnsi="Arial"/>
          <w:sz w:val="15"/>
          <w:szCs w:val="15"/>
          <w:color w:val="auto"/>
        </w:rPr>
        <w:t>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59"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In connection with obtaining the required governmental authorizations, Comcast has agreed to the following undertakings (with such modifications as are no more adverse in the aggregate than such agreed undertakings):</w:t>
      </w:r>
    </w:p>
    <w:p>
      <w:pPr>
        <w:spacing w:after="0" w:line="77" w:lineRule="exact"/>
        <w:rPr>
          <w:sz w:val="20"/>
          <w:szCs w:val="20"/>
          <w:color w:val="auto"/>
        </w:rPr>
      </w:pPr>
    </w:p>
    <w:p>
      <w:pPr>
        <w:ind w:left="900" w:right="280" w:hanging="445"/>
        <w:spacing w:after="0" w:line="255" w:lineRule="auto"/>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89" w:lineRule="exact"/>
        <w:rPr>
          <w:rFonts w:ascii="Arial" w:cs="Arial" w:eastAsia="Arial" w:hAnsi="Arial"/>
          <w:sz w:val="17"/>
          <w:szCs w:val="17"/>
          <w:color w:val="auto"/>
        </w:rPr>
      </w:pPr>
    </w:p>
    <w:p>
      <w:pPr>
        <w:ind w:left="900" w:hanging="445"/>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extending Comcast’s broadband adoption and digital literacy programs to low-income subscribers in the acquired systems; and</w:t>
      </w:r>
    </w:p>
    <w:p>
      <w:pPr>
        <w:spacing w:after="0" w:line="119" w:lineRule="exact"/>
        <w:rPr>
          <w:rFonts w:ascii="Arial" w:cs="Arial" w:eastAsia="Arial" w:hAnsi="Arial"/>
          <w:sz w:val="17"/>
          <w:szCs w:val="17"/>
          <w:color w:val="auto"/>
        </w:rPr>
      </w:pPr>
    </w:p>
    <w:p>
      <w:pPr>
        <w:ind w:left="900" w:right="260" w:hanging="445"/>
        <w:spacing w:after="0" w:line="270" w:lineRule="auto"/>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extending Comcast’s diversity program to the acquired TWC systems, covering diversity in employment, supplier diversity, programming diversity, and community investment diversity.</w:t>
      </w:r>
    </w:p>
    <w:p>
      <w:pPr>
        <w:spacing w:after="0" w:line="166"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Timing</w:t>
      </w:r>
    </w:p>
    <w:p>
      <w:pPr>
        <w:spacing w:after="0" w:line="10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 below, if the merger is not completed on or before the initial end date, or, at the election of either Comcast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00"/>
          </w:cols>
          <w:pgMar w:left="240" w:top="439" w:right="2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TWC if certain conditions related to the receipt of regulatory approvals have not been satisfied, by August 12, 2015, either Comcast or TWC may terminate the merger agreement. See “The Merger Agreement—Termination of the Merger Agreement” beginning on page [—] of this joint proxy statement/prospectus.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77"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55"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 statement/prospectus, all of which may change, possibly with retroactive effect. For purposes of this discussion, a “U.S. Holder” is a beneficial owner of TWC common stock that is for U.S. federal income tax purposes:</w:t>
      </w:r>
    </w:p>
    <w:p>
      <w:pPr>
        <w:spacing w:after="0" w:line="92" w:lineRule="exact"/>
        <w:rPr>
          <w:sz w:val="20"/>
          <w:szCs w:val="20"/>
          <w:color w:val="auto"/>
        </w:rPr>
      </w:pPr>
    </w:p>
    <w:p>
      <w:pPr>
        <w:ind w:left="900" w:hanging="332"/>
        <w:spacing w:after="0"/>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119" w:lineRule="exact"/>
        <w:rPr>
          <w:rFonts w:ascii="Arial" w:cs="Arial" w:eastAsia="Arial" w:hAnsi="Arial"/>
          <w:sz w:val="17"/>
          <w:szCs w:val="17"/>
          <w:color w:val="auto"/>
        </w:rPr>
      </w:pPr>
    </w:p>
    <w:p>
      <w:pPr>
        <w:ind w:left="900" w:right="40" w:hanging="332"/>
        <w:spacing w:after="0" w:line="270"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or of any political subdivision thereof; or</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 estate or trust the income of which is subject to U.S. federal income taxation regardless of its source.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discussion addresses only the consequences of the exchange of shares of TWC common stock held as capital assets. It does not address all aspects of U.S.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taxation that may be important to a U.S. Holder in light of that stockholder’s particular circumstances or to a U.S. Holder subject to special rules, such as:</w:t>
      </w:r>
    </w:p>
    <w:p>
      <w:pPr>
        <w:spacing w:after="0" w:line="131" w:lineRule="exact"/>
        <w:rPr>
          <w:sz w:val="20"/>
          <w:szCs w:val="20"/>
          <w:color w:val="auto"/>
        </w:rPr>
      </w:pPr>
    </w:p>
    <w:p>
      <w:pPr>
        <w:ind w:left="900" w:hanging="332"/>
        <w:spacing w:after="0"/>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 financial institution or insurance company;</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 tax-exempt organization;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 dealer or broker in securities, commodities or foreign currencies;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39"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332"/>
        <w:spacing w:after="0"/>
        <w:tabs>
          <w:tab w:leader="none" w:pos="90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 stockholder that holds TWC common stock as part of a hedge, appreciated financial position, straddle, conversion, or other risk reduction transaction; or</w:t>
      </w:r>
    </w:p>
    <w:p>
      <w:pPr>
        <w:spacing w:after="0" w:line="142" w:lineRule="exact"/>
        <w:rPr>
          <w:rFonts w:ascii="Arial" w:cs="Arial" w:eastAsia="Arial" w:hAnsi="Arial"/>
          <w:sz w:val="15"/>
          <w:szCs w:val="15"/>
          <w:color w:val="auto"/>
        </w:rPr>
      </w:pPr>
    </w:p>
    <w:p>
      <w:pPr>
        <w:ind w:left="900" w:hanging="332"/>
        <w:spacing w:after="0"/>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220"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7"/>
          <w:szCs w:val="17"/>
          <w:b w:val="1"/>
          <w:bCs w:val="1"/>
          <w:color w:val="auto"/>
        </w:rPr>
        <w:t>Accordingly, we urge each holder of TWC 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 to consult his or her tax advisor to determine the particular U.S. federal, state or local or foreign income or other tax consequences to him, her or it of the merger.</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Tax Opinions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71"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 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such opinions, the material U.S. federal income tax consequences of the merger are as follows: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Federal Income Tax Consequences to Comcast, Merger Sub and TWC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Comcast, Merger Sub and TWC will recognize any gain or loss for U.S. federal income tax purposes as a result of the merger.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39"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Federal Income Tax Consequences to U.S. Holders</w:t>
      </w:r>
    </w:p>
    <w:p>
      <w:pPr>
        <w:spacing w:after="0" w:line="107"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 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0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Reporting Requirements</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8" w:lineRule="exact"/>
        <w:rPr>
          <w:sz w:val="20"/>
          <w:szCs w:val="20"/>
          <w:color w:val="auto"/>
        </w:rPr>
      </w:pPr>
    </w:p>
    <w:p>
      <w:pPr>
        <w:ind w:left="900" w:hanging="445"/>
        <w:spacing w:after="0"/>
        <w:tabs>
          <w:tab w:leader="none" w:pos="90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names and employer identification numbers of the parties to the reorganization (Comcast (EIN: 27-0000798), Merger Sub (EIN: 32-0433588) and TWC</w:t>
      </w:r>
    </w:p>
    <w:p>
      <w:pPr>
        <w:spacing w:after="0" w:line="4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(EIN: 84-1496755));</w:t>
      </w:r>
    </w:p>
    <w:p>
      <w:pPr>
        <w:spacing w:after="0" w:line="107" w:lineRule="exact"/>
        <w:rPr>
          <w:rFonts w:ascii="Arial" w:cs="Arial" w:eastAsia="Arial" w:hAnsi="Arial"/>
          <w:sz w:val="15"/>
          <w:szCs w:val="15"/>
          <w:color w:val="auto"/>
        </w:rPr>
      </w:pPr>
    </w:p>
    <w:p>
      <w:pPr>
        <w:ind w:left="900" w:hanging="445"/>
        <w:spacing w:after="0"/>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closing date of the merger; and</w:t>
      </w:r>
    </w:p>
    <w:p>
      <w:pPr>
        <w:spacing w:after="0" w:line="119" w:lineRule="exact"/>
        <w:rPr>
          <w:rFonts w:ascii="Arial" w:cs="Arial" w:eastAsia="Arial" w:hAnsi="Arial"/>
          <w:sz w:val="17"/>
          <w:szCs w:val="17"/>
          <w:color w:val="auto"/>
        </w:rPr>
      </w:pPr>
    </w:p>
    <w:p>
      <w:pPr>
        <w:ind w:left="900" w:right="120" w:hanging="445"/>
        <w:spacing w:after="0" w:line="270"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fair market value and tax basis of the TWC common stock exchanged in the merger, in each case determined immediately before the completion of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111"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1 under “Comcast and TWC Unaudited Pro Forma Condensed Combined Financial Statements” beginning on page [—] of this joint proxy statement/prospectus) over the net fair value of such assets and liabilities will be recorded as goodwill.</w:t>
      </w:r>
    </w:p>
    <w:p>
      <w:pPr>
        <w:spacing w:after="0" w:line="163"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39"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Shares of Comcast Class A Common Stock and Delisting and Deregistration of TWC Common Stock</w:t>
      </w:r>
    </w:p>
    <w:p>
      <w:pPr>
        <w:spacing w:after="0" w:line="11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63"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Relating to the Merger</w:t>
      </w:r>
    </w:p>
    <w:p>
      <w:pPr>
        <w:spacing w:after="0" w:line="111"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 xml:space="preserve">Following the announcement of the merger, eight putative class action complaints challenging the merger have been filed on behalf of purported TWC stockholders, seven in the Supreme Court of the State of New York, County of New York and one in the Court of Chancery of the State of Delaware. These complaints are captioned: </w:t>
      </w:r>
      <w:r>
        <w:rPr>
          <w:rFonts w:ascii="Arial" w:cs="Arial" w:eastAsia="Arial" w:hAnsi="Arial"/>
          <w:sz w:val="15"/>
          <w:szCs w:val="15"/>
          <w:i w:val="1"/>
          <w:iCs w:val="1"/>
          <w:color w:val="auto"/>
        </w:rPr>
        <w:t>Barrett</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 et al.</w:t>
      </w:r>
      <w:r>
        <w:rPr>
          <w:rFonts w:ascii="Arial" w:cs="Arial" w:eastAsia="Arial" w:hAnsi="Arial"/>
          <w:sz w:val="15"/>
          <w:szCs w:val="15"/>
          <w:color w:val="auto"/>
        </w:rPr>
        <w:t xml:space="preserve">, Index No. 650507/2014 (N.Y. Sup. Ct.); </w:t>
      </w:r>
      <w:r>
        <w:rPr>
          <w:rFonts w:ascii="Arial" w:cs="Arial" w:eastAsia="Arial" w:hAnsi="Arial"/>
          <w:sz w:val="15"/>
          <w:szCs w:val="15"/>
          <w:i w:val="1"/>
          <w:iCs w:val="1"/>
          <w:color w:val="auto"/>
        </w:rPr>
        <w:t>Karl Graulich IRA</w:t>
      </w:r>
      <w:r>
        <w:rPr>
          <w:rFonts w:ascii="Arial" w:cs="Arial" w:eastAsia="Arial" w:hAnsi="Arial"/>
          <w:sz w:val="15"/>
          <w:szCs w:val="15"/>
          <w:color w:val="auto"/>
        </w:rPr>
        <w:t xml:space="preserve"> v. </w:t>
      </w:r>
      <w:r>
        <w:rPr>
          <w:rFonts w:ascii="Arial" w:cs="Arial" w:eastAsia="Arial" w:hAnsi="Arial"/>
          <w:sz w:val="15"/>
          <w:szCs w:val="15"/>
          <w:i w:val="1"/>
          <w:iCs w:val="1"/>
          <w:color w:val="auto"/>
        </w:rPr>
        <w:t>Marcus, et al.</w:t>
      </w:r>
      <w:r>
        <w:rPr>
          <w:rFonts w:ascii="Arial" w:cs="Arial" w:eastAsia="Arial" w:hAnsi="Arial"/>
          <w:sz w:val="15"/>
          <w:szCs w:val="15"/>
          <w:color w:val="auto"/>
        </w:rPr>
        <w:t xml:space="preserve">, Index. No. 650520/2014 (N.Y. Sup. Ct.); </w:t>
      </w:r>
      <w:r>
        <w:rPr>
          <w:rFonts w:ascii="Arial" w:cs="Arial" w:eastAsia="Arial" w:hAnsi="Arial"/>
          <w:sz w:val="15"/>
          <w:szCs w:val="15"/>
          <w:i w:val="1"/>
          <w:iCs w:val="1"/>
          <w:color w:val="auto"/>
        </w:rPr>
        <w:t>Wedeking</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w:t>
      </w:r>
      <w:r>
        <w:rPr>
          <w:rFonts w:ascii="Arial" w:cs="Arial" w:eastAsia="Arial" w:hAnsi="Arial"/>
          <w:sz w:val="15"/>
          <w:szCs w:val="15"/>
          <w:color w:val="auto"/>
        </w:rPr>
        <w:t xml:space="preserve">, et al., Index No. 650515/2014 (N.Y. Sup. Ct.); </w:t>
      </w:r>
      <w:r>
        <w:rPr>
          <w:rFonts w:ascii="Arial" w:cs="Arial" w:eastAsia="Arial" w:hAnsi="Arial"/>
          <w:sz w:val="15"/>
          <w:szCs w:val="15"/>
          <w:i w:val="1"/>
          <w:iCs w:val="1"/>
          <w:color w:val="auto"/>
        </w:rPr>
        <w:t>Lassoff</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 et al.</w:t>
      </w:r>
      <w:r>
        <w:rPr>
          <w:rFonts w:ascii="Arial" w:cs="Arial" w:eastAsia="Arial" w:hAnsi="Arial"/>
          <w:sz w:val="15"/>
          <w:szCs w:val="15"/>
          <w:color w:val="auto"/>
        </w:rPr>
        <w:t xml:space="preserve">, Index No. 650586/2014 (N.Y. Sup. Ct.); </w:t>
      </w:r>
      <w:r>
        <w:rPr>
          <w:rFonts w:ascii="Arial" w:cs="Arial" w:eastAsia="Arial" w:hAnsi="Arial"/>
          <w:sz w:val="15"/>
          <w:szCs w:val="15"/>
          <w:i w:val="1"/>
          <w:iCs w:val="1"/>
          <w:color w:val="auto"/>
        </w:rPr>
        <w:t>Thomas</w:t>
      </w:r>
      <w:r>
        <w:rPr>
          <w:rFonts w:ascii="Arial" w:cs="Arial" w:eastAsia="Arial" w:hAnsi="Arial"/>
          <w:sz w:val="15"/>
          <w:szCs w:val="15"/>
          <w:color w:val="auto"/>
        </w:rPr>
        <w:t xml:space="preserve"> v. </w:t>
      </w:r>
      <w:r>
        <w:rPr>
          <w:rFonts w:ascii="Arial" w:cs="Arial" w:eastAsia="Arial" w:hAnsi="Arial"/>
          <w:sz w:val="15"/>
          <w:szCs w:val="15"/>
          <w:i w:val="1"/>
          <w:iCs w:val="1"/>
          <w:color w:val="auto"/>
        </w:rPr>
        <w:t>Marcus, et al.</w:t>
      </w:r>
      <w:r>
        <w:rPr>
          <w:rFonts w:ascii="Arial" w:cs="Arial" w:eastAsia="Arial" w:hAnsi="Arial"/>
          <w:sz w:val="15"/>
          <w:szCs w:val="15"/>
          <w:color w:val="auto"/>
        </w:rPr>
        <w:t xml:space="preserve">, Index No. 650620/2014 (N.Y. Sup. Ct.); </w:t>
      </w:r>
      <w:r>
        <w:rPr>
          <w:rFonts w:ascii="Arial" w:cs="Arial" w:eastAsia="Arial" w:hAnsi="Arial"/>
          <w:sz w:val="15"/>
          <w:szCs w:val="15"/>
          <w:i w:val="1"/>
          <w:iCs w:val="1"/>
          <w:color w:val="auto"/>
        </w:rPr>
        <w:t>Tangarone</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w:t>
      </w:r>
      <w:r>
        <w:rPr>
          <w:rFonts w:ascii="Arial" w:cs="Arial" w:eastAsia="Arial" w:hAnsi="Arial"/>
          <w:sz w:val="15"/>
          <w:szCs w:val="15"/>
          <w:color w:val="auto"/>
        </w:rPr>
        <w:t xml:space="preserve">, Index No. 650666/2014 (N.Y. Sup. Ct.); </w:t>
      </w:r>
      <w:r>
        <w:rPr>
          <w:rFonts w:ascii="Arial" w:cs="Arial" w:eastAsia="Arial" w:hAnsi="Arial"/>
          <w:sz w:val="15"/>
          <w:szCs w:val="15"/>
          <w:i w:val="1"/>
          <w:iCs w:val="1"/>
          <w:color w:val="auto"/>
        </w:rPr>
        <w:t>Louisiana</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Municipal Police Employees’ Retirement System </w:t>
      </w:r>
      <w:r>
        <w:rPr>
          <w:rFonts w:ascii="Arial" w:cs="Arial" w:eastAsia="Arial" w:hAnsi="Arial"/>
          <w:sz w:val="15"/>
          <w:szCs w:val="15"/>
          <w:color w:val="auto"/>
        </w:rPr>
        <w:t>v.</w:t>
      </w:r>
      <w:r>
        <w:rPr>
          <w:rFonts w:ascii="Arial" w:cs="Arial" w:eastAsia="Arial" w:hAnsi="Arial"/>
          <w:sz w:val="15"/>
          <w:szCs w:val="15"/>
          <w:i w:val="1"/>
          <w:iCs w:val="1"/>
          <w:color w:val="auto"/>
        </w:rPr>
        <w:t xml:space="preserve"> Black</w:t>
      </w:r>
      <w:r>
        <w:rPr>
          <w:rFonts w:ascii="Arial" w:cs="Arial" w:eastAsia="Arial" w:hAnsi="Arial"/>
          <w:sz w:val="15"/>
          <w:szCs w:val="15"/>
          <w:color w:val="auto"/>
        </w:rPr>
        <w:t>,</w:t>
      </w:r>
      <w:r>
        <w:rPr>
          <w:rFonts w:ascii="Arial" w:cs="Arial" w:eastAsia="Arial" w:hAnsi="Arial"/>
          <w:sz w:val="15"/>
          <w:szCs w:val="15"/>
          <w:i w:val="1"/>
          <w:iCs w:val="1"/>
          <w:color w:val="auto"/>
        </w:rPr>
        <w:t xml:space="preserve"> et al</w:t>
      </w:r>
      <w:r>
        <w:rPr>
          <w:rFonts w:ascii="Arial" w:cs="Arial" w:eastAsia="Arial" w:hAnsi="Arial"/>
          <w:sz w:val="15"/>
          <w:szCs w:val="15"/>
          <w:color w:val="auto"/>
        </w:rPr>
        <w:t>., Case No. 9410-VCN (Del. Ch.); and</w:t>
      </w:r>
      <w:r>
        <w:rPr>
          <w:rFonts w:ascii="Arial" w:cs="Arial" w:eastAsia="Arial" w:hAnsi="Arial"/>
          <w:sz w:val="15"/>
          <w:szCs w:val="15"/>
          <w:i w:val="1"/>
          <w:iCs w:val="1"/>
          <w:color w:val="auto"/>
        </w:rPr>
        <w:t xml:space="preserve"> Empire State Supply Corp. v. Time Warner Cable Inc. et al.</w:t>
      </w:r>
      <w:r>
        <w:rPr>
          <w:rFonts w:ascii="Arial" w:cs="Arial" w:eastAsia="Arial" w:hAnsi="Arial"/>
          <w:sz w:val="15"/>
          <w:szCs w:val="15"/>
          <w:color w:val="auto"/>
        </w:rPr>
        <w:t>, Index</w:t>
      </w:r>
      <w:r>
        <w:rPr>
          <w:rFonts w:ascii="Arial" w:cs="Arial" w:eastAsia="Arial" w:hAnsi="Arial"/>
          <w:sz w:val="15"/>
          <w:szCs w:val="15"/>
          <w:i w:val="1"/>
          <w:iCs w:val="1"/>
          <w:color w:val="auto"/>
        </w:rPr>
        <w:t xml:space="preserve"> </w:t>
      </w:r>
      <w:r>
        <w:rPr>
          <w:rFonts w:ascii="Arial" w:cs="Arial" w:eastAsia="Arial" w:hAnsi="Arial"/>
          <w:sz w:val="15"/>
          <w:szCs w:val="15"/>
          <w:color w:val="auto"/>
        </w:rPr>
        <w:t>No. 650708/2014 (N.Y. Sup. Ct.). These complaints name as defendants TWC, the members of the TWC board of directors, Comcast, and Merger Sub. The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seek, among other relief, injunctive relief enjoining the merger, a directive to TWC directors to execute their fiduciary duties and obtain a transaction in the best interest of stockholders, a constructive trust on behalf of stockholders for any benefit wrongfully obtained by defendants, compensation for certain unspecified damages and reimbursement of costs. Certain of the plaintiffs in the aforementioned lawsuits have sought discovery. Certain of the plaintiffs in the actions filed in New York state court have sought to consolidate the litigation filed in that court. A hearing to consider that request has been scheduled for April 2, 2014.</w:t>
      </w:r>
    </w:p>
    <w:p>
      <w:pPr>
        <w:spacing w:after="0" w:line="3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defendants believe that the claims asserted against them in the lawsuits are without merit and intend to defend the litigation vigorously.</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20"/>
          </w:cols>
          <w:pgMar w:left="240" w:top="439"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MERGER AGREEMENT</w:t>
      </w:r>
    </w:p>
    <w:p>
      <w:pPr>
        <w:spacing w:after="0" w:line="212"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of the Merger</w:t>
      </w:r>
    </w:p>
    <w:p>
      <w:pPr>
        <w:spacing w:after="0" w:line="111"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20" w:lineRule="exact"/>
        <w:rPr>
          <w:sz w:val="20"/>
          <w:szCs w:val="20"/>
          <w:color w:val="auto"/>
        </w:rPr>
      </w:pPr>
    </w:p>
    <w:p>
      <w:pPr>
        <w:jc w:val="both"/>
        <w:ind w:right="400" w:firstLine="457"/>
        <w:spacing w:after="0" w:line="309" w:lineRule="auto"/>
        <w:rPr>
          <w:sz w:val="20"/>
          <w:szCs w:val="20"/>
          <w:color w:val="auto"/>
        </w:rPr>
      </w:pPr>
      <w:r>
        <w:rPr>
          <w:rFonts w:ascii="Arial" w:cs="Arial" w:eastAsia="Arial" w:hAnsi="Arial"/>
          <w:sz w:val="15"/>
          <w:szCs w:val="15"/>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1" w:lineRule="exact"/>
        <w:rPr>
          <w:sz w:val="20"/>
          <w:szCs w:val="20"/>
          <w:color w:val="auto"/>
        </w:rPr>
      </w:pPr>
    </w:p>
    <w:p>
      <w:pPr>
        <w:jc w:val="both"/>
        <w:ind w:right="120" w:firstLine="457"/>
        <w:spacing w:after="0" w:line="338" w:lineRule="auto"/>
        <w:rPr>
          <w:sz w:val="20"/>
          <w:szCs w:val="20"/>
          <w:color w:val="auto"/>
        </w:rPr>
      </w:pPr>
      <w:r>
        <w:rPr>
          <w:rFonts w:ascii="Arial" w:cs="Arial" w:eastAsia="Arial" w:hAnsi="Arial"/>
          <w:sz w:val="15"/>
          <w:szCs w:val="15"/>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Following the completion of the merger, TWC common stock will be delisted from the New York Stock Exchange and deregistered under the Exchange Act.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and Effectiveness of the Merger</w:t>
      </w:r>
    </w:p>
    <w:p>
      <w:pPr>
        <w:spacing w:after="0" w:line="111"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 of this joint proxy statement/prospectus.</w:t>
      </w:r>
    </w:p>
    <w:p>
      <w:pPr>
        <w:spacing w:after="0" w:line="18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As of the date of this joint proxy statement/prospectus, the merger is expected to be completed by the end of 2014.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 and [—], respectively, of this joint proxy statement/prospectus.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00"/>
          </w:cols>
          <w:pgMar w:left="240" w:top="439" w:right="25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Consideration</w:t>
      </w:r>
    </w:p>
    <w:p>
      <w:pPr>
        <w:spacing w:after="0" w:line="111" w:lineRule="exact"/>
        <w:rPr>
          <w:sz w:val="20"/>
          <w:szCs w:val="20"/>
          <w:color w:val="auto"/>
        </w:rPr>
      </w:pPr>
    </w:p>
    <w:p>
      <w:pPr>
        <w:ind w:right="280" w:firstLine="457"/>
        <w:spacing w:after="0" w:line="253" w:lineRule="auto"/>
        <w:rPr>
          <w:sz w:val="20"/>
          <w:szCs w:val="20"/>
          <w:color w:val="auto"/>
        </w:rPr>
      </w:pPr>
      <w:r>
        <w:rPr>
          <w:rFonts w:ascii="Arial" w:cs="Arial" w:eastAsia="Arial" w:hAnsi="Arial"/>
          <w:sz w:val="17"/>
          <w:szCs w:val="17"/>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 of this joint proxy statement/prospectus). Each share of common stock of Merger Sub outstanding immediately prior to completion of the merger will be converted into one share of common stock of the surviving corporation.</w:t>
      </w:r>
    </w:p>
    <w:p>
      <w:pPr>
        <w:spacing w:after="0" w:line="180"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Fractional Shares</w:t>
      </w:r>
    </w:p>
    <w:p>
      <w:pPr>
        <w:spacing w:after="0" w:line="11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Surrendering TWC Stock Certificates</w:t>
      </w:r>
    </w:p>
    <w:p>
      <w:pPr>
        <w:spacing w:after="0" w:line="111"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8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71" w:lineRule="exact"/>
        <w:rPr>
          <w:sz w:val="20"/>
          <w:szCs w:val="20"/>
          <w:color w:val="auto"/>
        </w:rPr>
      </w:pPr>
    </w:p>
    <w:p>
      <w:pPr>
        <w:jc w:val="both"/>
        <w:ind w:right="420" w:firstLine="457"/>
        <w:spacing w:after="0" w:line="282" w:lineRule="auto"/>
        <w:rPr>
          <w:sz w:val="20"/>
          <w:szCs w:val="20"/>
          <w:color w:val="auto"/>
        </w:rPr>
      </w:pPr>
      <w:r>
        <w:rPr>
          <w:rFonts w:ascii="Arial" w:cs="Arial" w:eastAsia="Arial" w:hAnsi="Arial"/>
          <w:sz w:val="16"/>
          <w:szCs w:val="16"/>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39"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80"/>
        <w:spacing w:after="0" w:line="309" w:lineRule="auto"/>
        <w:rPr>
          <w:sz w:val="20"/>
          <w:szCs w:val="20"/>
          <w:color w:val="auto"/>
        </w:rPr>
      </w:pPr>
      <w:r>
        <w:rPr>
          <w:rFonts w:ascii="Arial" w:cs="Arial" w:eastAsia="Arial" w:hAnsi="Arial"/>
          <w:sz w:val="15"/>
          <w:szCs w:val="15"/>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TWC Equity Awards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 Stock Options</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83"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 Restricted Stock Units</w:t>
      </w:r>
    </w:p>
    <w:p>
      <w:pPr>
        <w:spacing w:after="0" w:line="10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51"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400"/>
          </w:cols>
          <w:pgMar w:left="240" w:top="439"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Shares of Comcast Class A Common Stock</w:t>
      </w:r>
    </w:p>
    <w:p>
      <w:pPr>
        <w:spacing w:after="0" w:line="111"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Completion of the Merger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Mutual Conditions to Completion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31" w:lineRule="exact"/>
        <w:rPr>
          <w:sz w:val="20"/>
          <w:szCs w:val="20"/>
          <w:color w:val="auto"/>
        </w:rPr>
      </w:pPr>
    </w:p>
    <w:p>
      <w:pPr>
        <w:ind w:left="900" w:hanging="445"/>
        <w:spacing w:after="0"/>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adoption of the merger agreement by holders of a majority of the outstanding shares of TWC common stock entitled to vote;</w:t>
      </w:r>
    </w:p>
    <w:p>
      <w:pPr>
        <w:spacing w:after="0" w:line="119" w:lineRule="exact"/>
        <w:rPr>
          <w:rFonts w:ascii="Arial" w:cs="Arial" w:eastAsia="Arial" w:hAnsi="Arial"/>
          <w:sz w:val="17"/>
          <w:szCs w:val="17"/>
          <w:color w:val="auto"/>
        </w:rPr>
      </w:pPr>
    </w:p>
    <w:p>
      <w:pPr>
        <w:ind w:left="900" w:hanging="445"/>
        <w:spacing w:after="0" w:line="255"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89" w:lineRule="exact"/>
        <w:rPr>
          <w:rFonts w:ascii="Arial" w:cs="Arial" w:eastAsia="Arial" w:hAnsi="Arial"/>
          <w:sz w:val="17"/>
          <w:szCs w:val="17"/>
          <w:color w:val="auto"/>
        </w:rPr>
      </w:pPr>
    </w:p>
    <w:p>
      <w:pPr>
        <w:ind w:left="900" w:right="40" w:hanging="445"/>
        <w:spacing w:after="0" w:line="255"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 of this joint proxy statement/prospectus for a definition of burdensome condition));</w:t>
      </w:r>
    </w:p>
    <w:p>
      <w:pPr>
        <w:spacing w:after="0" w:line="89" w:lineRule="exact"/>
        <w:rPr>
          <w:rFonts w:ascii="Arial" w:cs="Arial" w:eastAsia="Arial" w:hAnsi="Arial"/>
          <w:sz w:val="17"/>
          <w:szCs w:val="17"/>
          <w:color w:val="auto"/>
        </w:rPr>
      </w:pPr>
    </w:p>
    <w:p>
      <w:pPr>
        <w:ind w:left="900" w:right="40" w:hanging="445"/>
        <w:spacing w:after="0" w:line="269"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 of this joint proxy statement/prospectus);</w:t>
      </w:r>
    </w:p>
    <w:p>
      <w:pPr>
        <w:spacing w:after="0" w:line="82" w:lineRule="exact"/>
        <w:rPr>
          <w:rFonts w:ascii="Arial" w:cs="Arial" w:eastAsia="Arial" w:hAnsi="Arial"/>
          <w:sz w:val="16"/>
          <w:szCs w:val="16"/>
          <w:color w:val="auto"/>
        </w:rPr>
      </w:pPr>
    </w:p>
    <w:p>
      <w:pPr>
        <w:ind w:left="900" w:hanging="445"/>
        <w:spacing w:after="0" w:line="255"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89" w:lineRule="exact"/>
        <w:rPr>
          <w:rFonts w:ascii="Arial" w:cs="Arial" w:eastAsia="Arial" w:hAnsi="Arial"/>
          <w:sz w:val="17"/>
          <w:szCs w:val="17"/>
          <w:color w:val="auto"/>
        </w:rPr>
      </w:pPr>
    </w:p>
    <w:p>
      <w:pPr>
        <w:ind w:left="900" w:right="160" w:hanging="445"/>
        <w:spacing w:after="0" w:line="258"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39" w:right="2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approval for the listing on NASDAQ of the shares of Comcast Class A common stock to be issued in the merger, subject only to official notice of issuance.</w:t>
      </w:r>
    </w:p>
    <w:p>
      <w:pPr>
        <w:spacing w:after="0" w:line="33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Additional Conditions to Completion for the Benefit of Comcast and Merger Sub</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obligation of each of Comcast and Merger Sub to complete the merger is subject to the satisfaction or waiver of the following conditions:</w:t>
      </w:r>
    </w:p>
    <w:p>
      <w:pPr>
        <w:spacing w:after="0" w:line="131" w:lineRule="exact"/>
        <w:rPr>
          <w:sz w:val="20"/>
          <w:szCs w:val="20"/>
          <w:color w:val="auto"/>
        </w:rPr>
      </w:pPr>
    </w:p>
    <w:p>
      <w:pPr>
        <w:ind w:left="900" w:hanging="445"/>
        <w:spacing w:after="0" w:line="258"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8" w:lineRule="exact"/>
        <w:rPr>
          <w:rFonts w:ascii="Arial" w:cs="Arial" w:eastAsia="Arial" w:hAnsi="Arial"/>
          <w:sz w:val="17"/>
          <w:szCs w:val="17"/>
          <w:color w:val="auto"/>
        </w:rPr>
      </w:pPr>
    </w:p>
    <w:p>
      <w:pPr>
        <w:ind w:left="900" w:right="160" w:hanging="445"/>
        <w:spacing w:after="0" w:line="268"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84" w:lineRule="exact"/>
        <w:rPr>
          <w:rFonts w:ascii="Arial" w:cs="Arial" w:eastAsia="Arial" w:hAnsi="Arial"/>
          <w:sz w:val="16"/>
          <w:szCs w:val="16"/>
          <w:color w:val="auto"/>
        </w:rPr>
      </w:pPr>
    </w:p>
    <w:p>
      <w:pPr>
        <w:ind w:left="900" w:right="20" w:hanging="445"/>
        <w:spacing w:after="0" w:line="299" w:lineRule="auto"/>
        <w:tabs>
          <w:tab w:leader="none" w:pos="9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61" w:lineRule="exact"/>
        <w:rPr>
          <w:rFonts w:ascii="Arial" w:cs="Arial" w:eastAsia="Arial" w:hAnsi="Arial"/>
          <w:sz w:val="15"/>
          <w:szCs w:val="15"/>
          <w:color w:val="auto"/>
        </w:rPr>
      </w:pPr>
    </w:p>
    <w:p>
      <w:pPr>
        <w:ind w:left="900" w:hanging="445"/>
        <w:spacing w:after="0"/>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31" w:lineRule="exact"/>
        <w:rPr>
          <w:rFonts w:ascii="Arial" w:cs="Arial" w:eastAsia="Arial" w:hAnsi="Arial"/>
          <w:sz w:val="16"/>
          <w:szCs w:val="16"/>
          <w:color w:val="auto"/>
        </w:rPr>
      </w:pPr>
    </w:p>
    <w:p>
      <w:pPr>
        <w:ind w:left="900" w:right="60" w:hanging="445"/>
        <w:spacing w:after="0" w:line="270"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31" w:lineRule="exact"/>
        <w:rPr>
          <w:rFonts w:ascii="Arial" w:cs="Arial" w:eastAsia="Arial" w:hAnsi="Arial"/>
          <w:sz w:val="16"/>
          <w:szCs w:val="16"/>
          <w:color w:val="auto"/>
        </w:rPr>
      </w:pPr>
    </w:p>
    <w:p>
      <w:pPr>
        <w:ind w:left="900" w:right="200" w:hanging="445"/>
        <w:spacing w:after="0" w:line="255"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Additional Conditions to Completion for the Benefit of TWC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obligation of TWC to complete the merger is subject to the satisfaction or waiver of the following conditions:</w:t>
      </w:r>
    </w:p>
    <w:p>
      <w:pPr>
        <w:spacing w:after="0" w:line="120" w:lineRule="exact"/>
        <w:rPr>
          <w:sz w:val="20"/>
          <w:szCs w:val="20"/>
          <w:color w:val="auto"/>
        </w:rPr>
      </w:pPr>
    </w:p>
    <w:p>
      <w:pPr>
        <w:jc w:val="both"/>
        <w:ind w:left="900" w:right="160" w:hanging="445"/>
        <w:spacing w:after="0" w:line="282" w:lineRule="auto"/>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39"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40"/>
        <w:spacing w:after="0" w:line="299" w:lineRule="auto"/>
        <w:rPr>
          <w:sz w:val="20"/>
          <w:szCs w:val="20"/>
          <w:color w:val="auto"/>
        </w:rPr>
      </w:pPr>
      <w:r>
        <w:rPr>
          <w:rFonts w:ascii="Arial" w:cs="Arial" w:eastAsia="Arial" w:hAnsi="Arial"/>
          <w:sz w:val="15"/>
          <w:szCs w:val="15"/>
          <w:color w:val="auto"/>
        </w:rPr>
        <w:t>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61" w:lineRule="exact"/>
        <w:rPr>
          <w:sz w:val="20"/>
          <w:szCs w:val="20"/>
          <w:color w:val="auto"/>
        </w:rPr>
      </w:pPr>
    </w:p>
    <w:p>
      <w:pPr>
        <w:ind w:left="900" w:right="20" w:hanging="445"/>
        <w:spacing w:after="0" w:line="299" w:lineRule="auto"/>
        <w:tabs>
          <w:tab w:leader="none" w:pos="90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61" w:lineRule="exact"/>
        <w:rPr>
          <w:rFonts w:ascii="Arial" w:cs="Arial" w:eastAsia="Arial" w:hAnsi="Arial"/>
          <w:sz w:val="15"/>
          <w:szCs w:val="15"/>
          <w:color w:val="auto"/>
        </w:rPr>
      </w:pPr>
    </w:p>
    <w:p>
      <w:pPr>
        <w:ind w:left="900" w:right="160" w:hanging="445"/>
        <w:spacing w:after="0" w:line="270"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performance in all material respects by Comcast and Merger Sub of the material obligations required to be performed by them at or prior to completion of the merger;</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receipt of a certificate executed by an executive officer of Comcast as to the satisfaction of the conditions described in the preceding four bullets; and</w:t>
      </w:r>
    </w:p>
    <w:p>
      <w:pPr>
        <w:spacing w:after="0" w:line="142" w:lineRule="exact"/>
        <w:rPr>
          <w:rFonts w:ascii="Arial" w:cs="Arial" w:eastAsia="Arial" w:hAnsi="Arial"/>
          <w:sz w:val="15"/>
          <w:szCs w:val="15"/>
          <w:color w:val="auto"/>
        </w:rPr>
      </w:pPr>
    </w:p>
    <w:p>
      <w:pPr>
        <w:ind w:left="900" w:hanging="445"/>
        <w:spacing w:after="0" w:line="289" w:lineRule="auto"/>
        <w:tabs>
          <w:tab w:leader="none" w:pos="90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w:t>
      </w:r>
    </w:p>
    <w:p>
      <w:pPr>
        <w:ind w:left="900" w:right="360"/>
        <w:spacing w:after="0" w:line="255" w:lineRule="auto"/>
        <w:rPr>
          <w:rFonts w:ascii="Arial" w:cs="Arial" w:eastAsia="Arial" w:hAnsi="Arial"/>
          <w:sz w:val="15"/>
          <w:szCs w:val="15"/>
          <w:color w:val="auto"/>
        </w:rPr>
      </w:pPr>
      <w:r>
        <w:rPr>
          <w:rFonts w:ascii="Arial" w:cs="Arial" w:eastAsia="Arial" w:hAnsi="Arial"/>
          <w:sz w:val="17"/>
          <w:szCs w:val="17"/>
          <w:color w:val="auto"/>
        </w:rPr>
        <w:t>(i) the merger will qualify as a reorganization within the meaning of Section 368(a) of the Code and (ii) Comcast and TWC will each be a “party to the reorganization” within the meaning of Section 368(b) of the Code.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11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“—Definition of ‘Material Adverse Effect”’ beginning on page [—]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81" w:lineRule="exact"/>
        <w:rPr>
          <w:sz w:val="20"/>
          <w:szCs w:val="20"/>
          <w:color w:val="auto"/>
        </w:rPr>
      </w:pPr>
    </w:p>
    <w:p>
      <w:pPr>
        <w:ind w:left="900" w:hanging="445"/>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corporate existence, good standing and qualification to do business;</w:t>
      </w:r>
    </w:p>
    <w:p>
      <w:pPr>
        <w:spacing w:after="0" w:line="119" w:lineRule="exact"/>
        <w:rPr>
          <w:rFonts w:ascii="Arial" w:cs="Arial" w:eastAsia="Arial" w:hAnsi="Arial"/>
          <w:sz w:val="17"/>
          <w:szCs w:val="17"/>
          <w:color w:val="auto"/>
        </w:rPr>
      </w:pPr>
    </w:p>
    <w:p>
      <w:pPr>
        <w:ind w:left="900" w:right="40" w:hanging="445"/>
        <w:spacing w:after="0" w:line="258"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corporate power and authority to execute and deliver the merger agreement (and, in the case of TWC, the voting agreement), and, subject to the approval of TWC stockholders and Comcast shareholders, as applicable, to perform and comply with their respective obligations thereunder and consummate the transactions contemplated thereby;</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governmental actions necessary to complete the merger;</w:t>
      </w:r>
    </w:p>
    <w:p>
      <w:pPr>
        <w:spacing w:after="0" w:line="119" w:lineRule="exact"/>
        <w:rPr>
          <w:rFonts w:ascii="Arial" w:cs="Arial" w:eastAsia="Arial" w:hAnsi="Arial"/>
          <w:sz w:val="17"/>
          <w:szCs w:val="17"/>
          <w:color w:val="auto"/>
        </w:rPr>
      </w:pPr>
    </w:p>
    <w:p>
      <w:pPr>
        <w:ind w:left="900" w:right="160" w:hanging="445"/>
        <w:spacing w:after="0" w:line="302"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439" w:right="2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capital structure;</w:t>
      </w:r>
    </w:p>
    <w:p>
      <w:pPr>
        <w:spacing w:after="0" w:line="119" w:lineRule="exact"/>
        <w:rPr>
          <w:rFonts w:ascii="Arial" w:cs="Arial" w:eastAsia="Arial" w:hAnsi="Arial"/>
          <w:sz w:val="17"/>
          <w:szCs w:val="17"/>
          <w:color w:val="auto"/>
        </w:rPr>
      </w:pPr>
    </w:p>
    <w:p>
      <w:pPr>
        <w:ind w:left="900" w:right="20" w:hanging="445"/>
        <w:spacing w:after="0" w:line="270" w:lineRule="auto"/>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absence of preemptive or other similar rights or any debt securities having the right to vote with TWC stockholders or Comcast shareholders, as applicable, on any matters;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corporate existence, good standing, qualification to do business and capital structure of subsidiaries;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SEC filings, the absence of misstatements or omissions from such filings and compliance with the Sarbanes-Oxley Act of 2002;</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disclosure controls and procedures and internal controls over financial reporting;</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fair presentation of financial statements;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information provided by a party for inclusion in disclosure documents to be filed with the SEC in connection with the merger;</w:t>
      </w:r>
    </w:p>
    <w:p>
      <w:pPr>
        <w:spacing w:after="0" w:line="119" w:lineRule="exact"/>
        <w:rPr>
          <w:rFonts w:ascii="Arial" w:cs="Arial" w:eastAsia="Arial" w:hAnsi="Arial"/>
          <w:sz w:val="17"/>
          <w:szCs w:val="17"/>
          <w:color w:val="auto"/>
        </w:rPr>
      </w:pPr>
    </w:p>
    <w:p>
      <w:pPr>
        <w:jc w:val="both"/>
        <w:ind w:left="900" w:right="220" w:hanging="445"/>
        <w:spacing w:after="0" w:line="338" w:lineRule="auto"/>
        <w:tabs>
          <w:tab w:leader="none" w:pos="9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31" w:lineRule="exact"/>
        <w:rPr>
          <w:rFonts w:ascii="Arial" w:cs="Arial" w:eastAsia="Arial" w:hAnsi="Arial"/>
          <w:sz w:val="15"/>
          <w:szCs w:val="15"/>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absence of undisclosed liabilities;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compliance with laws, court orders and permits;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absence of pending or threatened legal proceedings and investigations;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tax matters and tax treatment of the merger;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franchises;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absence of any undisclosed broker’s or finder’s fees payable in connection with the merger;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receipt of opinions from financial advisors.</w:t>
      </w:r>
    </w:p>
    <w:p>
      <w:pPr>
        <w:spacing w:after="0" w:line="208" w:lineRule="exact"/>
        <w:rPr>
          <w:sz w:val="20"/>
          <w:szCs w:val="20"/>
          <w:color w:val="auto"/>
        </w:rPr>
      </w:pPr>
    </w:p>
    <w:p>
      <w:pPr>
        <w:ind w:right="340" w:firstLine="457"/>
        <w:spacing w:after="0" w:line="30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also makes representations and warranties relating to, among other things, Comcast’s acquisition of NBCUniversal.</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representations and warranties in the merger agreement do not survive completion of the merger.</w:t>
      </w:r>
    </w:p>
    <w:p>
      <w:pPr>
        <w:spacing w:after="0" w:line="208" w:lineRule="exact"/>
        <w:rPr>
          <w:sz w:val="20"/>
          <w:szCs w:val="20"/>
          <w:color w:val="auto"/>
        </w:rPr>
      </w:pPr>
    </w:p>
    <w:p>
      <w:pPr>
        <w:ind w:right="480" w:firstLine="457"/>
        <w:spacing w:after="0" w:line="338" w:lineRule="auto"/>
        <w:rPr>
          <w:sz w:val="20"/>
          <w:szCs w:val="20"/>
          <w:color w:val="auto"/>
        </w:rPr>
      </w:pPr>
      <w:r>
        <w:rPr>
          <w:rFonts w:ascii="Arial" w:cs="Arial" w:eastAsia="Arial" w:hAnsi="Arial"/>
          <w:sz w:val="15"/>
          <w:szCs w:val="15"/>
          <w:color w:val="auto"/>
        </w:rPr>
        <w:t>See “—Explanatory Note Regarding the Merger Agreement and the Summary of the Merger Agreement: Representations, Warranties and Covenants in the Merger Agreement Are Not Intended to Function or Be Relied on as Public Disclosures” beginning on page [—] of this joint proxy statement/prospectus.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“Material Adverse Effect”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Many of the representations and warranties in the merger agreement are qualified by “material adverse effect.”</w:t>
      </w:r>
    </w:p>
    <w:p>
      <w:pPr>
        <w:spacing w:after="0" w:line="208"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8" w:lineRule="exact"/>
        <w:rPr>
          <w:sz w:val="20"/>
          <w:szCs w:val="20"/>
          <w:color w:val="auto"/>
        </w:rPr>
      </w:pPr>
    </w:p>
    <w:p>
      <w:pPr>
        <w:ind w:left="900" w:hanging="445"/>
        <w:spacing w:after="0" w:line="258" w:lineRule="auto"/>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changes in the financial or securities markets or general economic or political conditions in the United States or any foreign jurisdiction except to the extent having a materially disproportionate effect on that party and its subsidiaries, taken as a whole, relative to other participants in the industry in which that party and its subsidiaries operate;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380"/>
          </w:cols>
          <w:pgMar w:left="240" w:top="439" w:right="27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80" w:hanging="445"/>
        <w:spacing w:after="0" w:line="258"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460" w:hanging="445"/>
        <w:spacing w:after="0" w:line="258"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360" w:hanging="445"/>
        <w:spacing w:after="0" w:line="255"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89" w:lineRule="exact"/>
        <w:rPr>
          <w:rFonts w:ascii="Arial" w:cs="Arial" w:eastAsia="Arial" w:hAnsi="Arial"/>
          <w:sz w:val="17"/>
          <w:szCs w:val="17"/>
          <w:color w:val="auto"/>
        </w:rPr>
      </w:pPr>
    </w:p>
    <w:p>
      <w:pPr>
        <w:ind w:left="900" w:right="360" w:hanging="445"/>
        <w:spacing w:after="0" w:line="258"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8" w:lineRule="exact"/>
        <w:rPr>
          <w:rFonts w:ascii="Arial" w:cs="Arial" w:eastAsia="Arial" w:hAnsi="Arial"/>
          <w:sz w:val="17"/>
          <w:szCs w:val="17"/>
          <w:color w:val="auto"/>
        </w:rPr>
      </w:pPr>
    </w:p>
    <w:p>
      <w:pPr>
        <w:ind w:left="900" w:right="260" w:hanging="445"/>
        <w:spacing w:after="0" w:line="258"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8" w:lineRule="exact"/>
        <w:rPr>
          <w:rFonts w:ascii="Arial" w:cs="Arial" w:eastAsia="Arial" w:hAnsi="Arial"/>
          <w:sz w:val="17"/>
          <w:szCs w:val="17"/>
          <w:color w:val="auto"/>
        </w:rPr>
      </w:pPr>
    </w:p>
    <w:p>
      <w:pPr>
        <w:ind w:left="900" w:right="440" w:hanging="445"/>
        <w:spacing w:after="0" w:line="270"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changes in United States generally accepted accounting principles (or authoritative interpretations of United States generally accepted accounting principles);</w:t>
      </w:r>
    </w:p>
    <w:p>
      <w:pPr>
        <w:spacing w:after="0" w:line="77" w:lineRule="exact"/>
        <w:rPr>
          <w:rFonts w:ascii="Arial" w:cs="Arial" w:eastAsia="Arial" w:hAnsi="Arial"/>
          <w:sz w:val="17"/>
          <w:szCs w:val="17"/>
          <w:color w:val="auto"/>
        </w:rPr>
      </w:pPr>
    </w:p>
    <w:p>
      <w:pPr>
        <w:ind w:left="900" w:right="440" w:hanging="445"/>
        <w:spacing w:after="0" w:line="302"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compliance with the terms of, or the taking of any action required by, the merger agreement.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Business Pending the Merger</w:t>
      </w:r>
    </w:p>
    <w:p>
      <w:pPr>
        <w:spacing w:after="0" w:line="11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 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62"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 through tenth bullets and the sixteenth bullet below, such consent not to be unreasonably withheld, conditioned or delayed), (iv) as contemplated by or reasonably necessary to implement TWC’s operating plan as presented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39"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70" w:lineRule="exact"/>
        <w:rPr>
          <w:sz w:val="20"/>
          <w:szCs w:val="20"/>
          <w:color w:val="auto"/>
        </w:rPr>
      </w:pPr>
    </w:p>
    <w:p>
      <w:pPr>
        <w:ind w:left="900" w:hanging="445"/>
        <w:spacing w:after="0"/>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amend its organizational documents;</w:t>
      </w:r>
    </w:p>
    <w:p>
      <w:pPr>
        <w:spacing w:after="0" w:line="119" w:lineRule="exact"/>
        <w:rPr>
          <w:rFonts w:ascii="Arial" w:cs="Arial" w:eastAsia="Arial" w:hAnsi="Arial"/>
          <w:sz w:val="17"/>
          <w:szCs w:val="17"/>
          <w:color w:val="auto"/>
        </w:rPr>
      </w:pPr>
    </w:p>
    <w:p>
      <w:pPr>
        <w:ind w:left="900" w:right="400" w:hanging="445"/>
        <w:spacing w:after="0" w:line="286" w:lineRule="auto"/>
        <w:tabs>
          <w:tab w:leader="none" w:pos="9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w:t>
      </w:r>
    </w:p>
    <w:p>
      <w:pPr>
        <w:ind w:left="900" w:firstLine="9"/>
        <w:spacing w:after="0" w:line="280" w:lineRule="auto"/>
        <w:tabs>
          <w:tab w:leader="none" w:pos="1138" w:val="left"/>
        </w:tabs>
        <w:numPr>
          <w:ilvl w:val="1"/>
          <w:numId w:val="185"/>
        </w:numPr>
        <w:rPr>
          <w:rFonts w:ascii="Arial" w:cs="Arial" w:eastAsia="Arial" w:hAnsi="Arial"/>
          <w:sz w:val="15"/>
          <w:szCs w:val="15"/>
          <w:color w:val="auto"/>
        </w:rPr>
      </w:pPr>
      <w:r>
        <w:rPr>
          <w:rFonts w:ascii="Arial" w:cs="Arial" w:eastAsia="Arial" w:hAnsi="Arial"/>
          <w:sz w:val="15"/>
          <w:szCs w:val="15"/>
          <w:color w:val="auto"/>
        </w:rPr>
        <w:t>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w:t>
      </w:r>
    </w:p>
    <w:p>
      <w:pPr>
        <w:spacing w:after="0" w:line="1" w:lineRule="exact"/>
        <w:rPr>
          <w:rFonts w:ascii="Arial" w:cs="Arial" w:eastAsia="Arial" w:hAnsi="Arial"/>
          <w:sz w:val="15"/>
          <w:szCs w:val="15"/>
          <w:color w:val="auto"/>
        </w:rPr>
      </w:pPr>
    </w:p>
    <w:p>
      <w:pPr>
        <w:ind w:left="900" w:right="100" w:firstLine="9"/>
        <w:spacing w:after="0" w:line="250" w:lineRule="auto"/>
        <w:tabs>
          <w:tab w:leader="none" w:pos="1138" w:val="left"/>
        </w:tabs>
        <w:numPr>
          <w:ilvl w:val="1"/>
          <w:numId w:val="185"/>
        </w:numPr>
        <w:rPr>
          <w:rFonts w:ascii="Arial" w:cs="Arial" w:eastAsia="Arial" w:hAnsi="Arial"/>
          <w:sz w:val="17"/>
          <w:szCs w:val="17"/>
          <w:color w:val="auto"/>
        </w:rPr>
      </w:pPr>
      <w:r>
        <w:rPr>
          <w:rFonts w:ascii="Arial" w:cs="Arial" w:eastAsia="Arial" w:hAnsi="Arial"/>
          <w:sz w:val="17"/>
          <w:szCs w:val="17"/>
          <w:color w:val="auto"/>
        </w:rPr>
        <w:t>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94" w:lineRule="exact"/>
        <w:rPr>
          <w:rFonts w:ascii="Arial" w:cs="Arial" w:eastAsia="Arial" w:hAnsi="Arial"/>
          <w:sz w:val="17"/>
          <w:szCs w:val="17"/>
          <w:color w:val="auto"/>
        </w:rPr>
      </w:pPr>
    </w:p>
    <w:p>
      <w:pPr>
        <w:ind w:left="900" w:right="80" w:hanging="445"/>
        <w:spacing w:after="0" w:line="287" w:lineRule="auto"/>
        <w:tabs>
          <w:tab w:leader="none" w:pos="9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68" w:lineRule="exact"/>
        <w:rPr>
          <w:rFonts w:ascii="Arial" w:cs="Arial" w:eastAsia="Arial" w:hAnsi="Arial"/>
          <w:sz w:val="15"/>
          <w:szCs w:val="15"/>
          <w:color w:val="auto"/>
        </w:rPr>
      </w:pPr>
    </w:p>
    <w:p>
      <w:pPr>
        <w:ind w:left="900" w:right="20" w:hanging="445"/>
        <w:spacing w:after="0" w:line="258"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8" w:lineRule="exact"/>
        <w:rPr>
          <w:rFonts w:ascii="Arial" w:cs="Arial" w:eastAsia="Arial" w:hAnsi="Arial"/>
          <w:sz w:val="17"/>
          <w:szCs w:val="17"/>
          <w:color w:val="auto"/>
        </w:rPr>
      </w:pPr>
    </w:p>
    <w:p>
      <w:pPr>
        <w:ind w:left="900" w:right="80" w:hanging="445"/>
        <w:spacing w:after="0" w:line="255"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acquire any assets, securities, properties, interests or businesses, other than (i) supplies and materials in the ordinary course of business consistent with past practice, (ii) pursuant to contracts or arrangements 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89" w:lineRule="exact"/>
        <w:rPr>
          <w:rFonts w:ascii="Arial" w:cs="Arial" w:eastAsia="Arial" w:hAnsi="Arial"/>
          <w:sz w:val="17"/>
          <w:szCs w:val="17"/>
          <w:color w:val="auto"/>
        </w:rPr>
      </w:pPr>
    </w:p>
    <w:p>
      <w:pPr>
        <w:ind w:left="900" w:right="20" w:hanging="445"/>
        <w:spacing w:after="0" w:line="299" w:lineRule="auto"/>
        <w:tabs>
          <w:tab w:leader="none" w:pos="9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 date of the merger agreement, (iv) leases or subleases under which TWC or one of its subsidiaries is the lessor entered into in the ordinary course of business or (v) certain permitted liens;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420"/>
          </w:cols>
          <w:pgMar w:left="240" w:top="439"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make any loans, advances, capital contributions or investments, other than (i) in the ordinary course of business consistent with past practice,</w:t>
      </w:r>
    </w:p>
    <w:p>
      <w:pPr>
        <w:spacing w:after="0" w:line="29" w:lineRule="exact"/>
        <w:rPr>
          <w:rFonts w:ascii="Arial" w:cs="Arial" w:eastAsia="Arial" w:hAnsi="Arial"/>
          <w:sz w:val="16"/>
          <w:szCs w:val="16"/>
          <w:color w:val="auto"/>
        </w:rPr>
      </w:pPr>
    </w:p>
    <w:p>
      <w:pPr>
        <w:ind w:left="900" w:firstLine="9"/>
        <w:spacing w:after="0" w:line="255" w:lineRule="auto"/>
        <w:tabs>
          <w:tab w:leader="none" w:pos="114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investments or capital contributions made alongside Comcast or any of its affiliates or (iii) loans, advances or capital contributions to, or investments in, wholly owned subsidiaries of TWC;</w:t>
      </w:r>
    </w:p>
    <w:p>
      <w:pPr>
        <w:spacing w:after="0" w:line="89" w:lineRule="exact"/>
        <w:rPr>
          <w:rFonts w:ascii="Arial" w:cs="Arial" w:eastAsia="Arial" w:hAnsi="Arial"/>
          <w:sz w:val="17"/>
          <w:szCs w:val="17"/>
          <w:color w:val="auto"/>
        </w:rPr>
      </w:pPr>
    </w:p>
    <w:p>
      <w:pPr>
        <w:ind w:left="900" w:right="80" w:hanging="445"/>
        <w:spacing w:after="0" w:line="255"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89" w:lineRule="exact"/>
        <w:rPr>
          <w:rFonts w:ascii="Arial" w:cs="Arial" w:eastAsia="Arial" w:hAnsi="Arial"/>
          <w:sz w:val="17"/>
          <w:szCs w:val="17"/>
          <w:color w:val="auto"/>
        </w:rPr>
      </w:pPr>
    </w:p>
    <w:p>
      <w:pPr>
        <w:jc w:val="both"/>
        <w:ind w:left="900" w:right="180" w:hanging="445"/>
        <w:spacing w:after="0" w:line="258"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88" w:lineRule="exact"/>
        <w:rPr>
          <w:rFonts w:ascii="Arial" w:cs="Arial" w:eastAsia="Arial" w:hAnsi="Arial"/>
          <w:sz w:val="17"/>
          <w:szCs w:val="17"/>
          <w:color w:val="auto"/>
        </w:rPr>
      </w:pPr>
    </w:p>
    <w:p>
      <w:pPr>
        <w:ind w:left="900" w:right="460" w:hanging="445"/>
        <w:spacing w:after="0" w:line="302" w:lineRule="auto"/>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4" w:lineRule="exact"/>
        <w:rPr>
          <w:rFonts w:ascii="Arial" w:cs="Arial" w:eastAsia="Arial" w:hAnsi="Arial"/>
          <w:sz w:val="16"/>
          <w:szCs w:val="16"/>
          <w:color w:val="auto"/>
        </w:rPr>
      </w:pPr>
    </w:p>
    <w:p>
      <w:pPr>
        <w:ind w:left="900" w:right="120" w:hanging="445"/>
        <w:spacing w:after="0" w:line="282" w:lineRule="auto"/>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70" w:lineRule="exact"/>
        <w:rPr>
          <w:rFonts w:ascii="Arial" w:cs="Arial" w:eastAsia="Arial" w:hAnsi="Arial"/>
          <w:sz w:val="16"/>
          <w:szCs w:val="16"/>
          <w:color w:val="auto"/>
        </w:rPr>
      </w:pPr>
    </w:p>
    <w:p>
      <w:pPr>
        <w:ind w:left="900" w:hanging="445"/>
        <w:spacing w:after="0" w:line="338" w:lineRule="auto"/>
        <w:tabs>
          <w:tab w:leader="none" w:pos="9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31" w:lineRule="exact"/>
        <w:rPr>
          <w:rFonts w:ascii="Arial" w:cs="Arial" w:eastAsia="Arial" w:hAnsi="Arial"/>
          <w:sz w:val="15"/>
          <w:szCs w:val="15"/>
          <w:color w:val="auto"/>
        </w:rPr>
      </w:pPr>
    </w:p>
    <w:p>
      <w:pPr>
        <w:ind w:left="900" w:hanging="445"/>
        <w:spacing w:after="0" w:line="272" w:lineRule="auto"/>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 of this joint proxy statement/prospectus;</w:t>
      </w:r>
    </w:p>
    <w:p>
      <w:pPr>
        <w:spacing w:after="0" w:line="79" w:lineRule="exact"/>
        <w:rPr>
          <w:rFonts w:ascii="Arial" w:cs="Arial" w:eastAsia="Arial" w:hAnsi="Arial"/>
          <w:sz w:val="16"/>
          <w:szCs w:val="16"/>
          <w:color w:val="auto"/>
        </w:rPr>
      </w:pPr>
    </w:p>
    <w:p>
      <w:pPr>
        <w:ind w:left="900" w:right="40" w:hanging="445"/>
        <w:spacing w:after="0" w:line="289" w:lineRule="auto"/>
        <w:tabs>
          <w:tab w:leader="none" w:pos="9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w:t>
      </w:r>
    </w:p>
    <w:p>
      <w:pPr>
        <w:jc w:val="both"/>
        <w:ind w:left="900" w:right="140" w:firstLine="9"/>
        <w:spacing w:after="0" w:line="280" w:lineRule="auto"/>
        <w:tabs>
          <w:tab w:leader="none" w:pos="1147" w:val="left"/>
        </w:tabs>
        <w:numPr>
          <w:ilvl w:val="1"/>
          <w:numId w:val="186"/>
        </w:numPr>
        <w:rPr>
          <w:rFonts w:ascii="Arial" w:cs="Arial" w:eastAsia="Arial" w:hAnsi="Arial"/>
          <w:sz w:val="15"/>
          <w:szCs w:val="15"/>
          <w:color w:val="auto"/>
        </w:rPr>
      </w:pPr>
      <w:r>
        <w:rPr>
          <w:rFonts w:ascii="Arial" w:cs="Arial" w:eastAsia="Arial" w:hAnsi="Arial"/>
          <w:sz w:val="15"/>
          <w:szCs w:val="15"/>
          <w:color w:val="auto"/>
        </w:rPr>
        <w:t>establish or adopt any Title IV plan, “excess benefit plan,” deferred compensation plan, severance or change in control plan or employee benefit plan that provides post-retirement health, medical, life insurance or death benefits to retired, current or former employees, directors or consultants of TWC or any of its subsidiaries, other than as part of an acquisition of any other company or business that is permitted or consented to under the merger agreement,</w:t>
      </w:r>
    </w:p>
    <w:p>
      <w:pPr>
        <w:spacing w:after="0" w:line="1" w:lineRule="exact"/>
        <w:rPr>
          <w:rFonts w:ascii="Arial" w:cs="Arial" w:eastAsia="Arial" w:hAnsi="Arial"/>
          <w:sz w:val="15"/>
          <w:szCs w:val="15"/>
          <w:color w:val="auto"/>
        </w:rPr>
      </w:pPr>
    </w:p>
    <w:p>
      <w:pPr>
        <w:ind w:left="1200" w:hanging="291"/>
        <w:spacing w:after="0"/>
        <w:tabs>
          <w:tab w:leader="none" w:pos="12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fail to continue to make all contributions required to be made to any company plan that is a Title IV plan (other than a multiemployer plan) or</w:t>
      </w:r>
    </w:p>
    <w:p>
      <w:pPr>
        <w:spacing w:after="0" w:line="17" w:lineRule="exact"/>
        <w:rPr>
          <w:rFonts w:ascii="Arial" w:cs="Arial" w:eastAsia="Arial" w:hAnsi="Arial"/>
          <w:sz w:val="16"/>
          <w:szCs w:val="16"/>
          <w:color w:val="auto"/>
        </w:rPr>
      </w:pPr>
    </w:p>
    <w:p>
      <w:pPr>
        <w:ind w:left="900" w:firstLine="9"/>
        <w:spacing w:after="0" w:line="255" w:lineRule="auto"/>
        <w:tabs>
          <w:tab w:leader="none" w:pos="1185"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amend the benefit formula under any company plan that is a Title IV plan (other than a multiemployer plan) to increase the benefit accrual applicable to any participant or beneficiary thereof under such plan;</w:t>
      </w:r>
    </w:p>
    <w:p>
      <w:pPr>
        <w:spacing w:after="0" w:line="89" w:lineRule="exact"/>
        <w:rPr>
          <w:rFonts w:ascii="Arial" w:cs="Arial" w:eastAsia="Arial" w:hAnsi="Arial"/>
          <w:sz w:val="17"/>
          <w:szCs w:val="17"/>
          <w:color w:val="auto"/>
        </w:rPr>
      </w:pPr>
    </w:p>
    <w:p>
      <w:pPr>
        <w:ind w:left="900" w:right="400" w:hanging="445"/>
        <w:spacing w:after="0" w:line="270"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change TWC’s method of financial accounting, except as required by concurrent changes in United States generally accepted accounting principles or Regulation S-X under the Exchange Act;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400"/>
          </w:cols>
          <w:pgMar w:left="240" w:top="439" w:right="2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settle, or offer or propose to settle, (i) any litigation, investigation, arbitration, proceeding or other claim involving or against TWC or its subsidiaries or</w:t>
      </w:r>
    </w:p>
    <w:p>
      <w:pPr>
        <w:spacing w:after="0" w:line="29" w:lineRule="exact"/>
        <w:rPr>
          <w:rFonts w:ascii="Arial" w:cs="Arial" w:eastAsia="Arial" w:hAnsi="Arial"/>
          <w:sz w:val="16"/>
          <w:szCs w:val="16"/>
          <w:color w:val="auto"/>
        </w:rPr>
      </w:pPr>
    </w:p>
    <w:p>
      <w:pPr>
        <w:ind w:left="900"/>
        <w:spacing w:after="0" w:line="251" w:lineRule="auto"/>
        <w:rPr>
          <w:rFonts w:ascii="Arial" w:cs="Arial" w:eastAsia="Arial" w:hAnsi="Arial"/>
          <w:sz w:val="16"/>
          <w:szCs w:val="16"/>
          <w:color w:val="auto"/>
        </w:rPr>
      </w:pPr>
      <w:r>
        <w:rPr>
          <w:rFonts w:ascii="Arial" w:cs="Arial" w:eastAsia="Arial" w:hAnsi="Arial"/>
          <w:sz w:val="17"/>
          <w:szCs w:val="17"/>
          <w:color w:val="auto"/>
        </w:rPr>
        <w:t>(ii)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3" w:lineRule="exact"/>
        <w:rPr>
          <w:rFonts w:ascii="Arial" w:cs="Arial" w:eastAsia="Arial" w:hAnsi="Arial"/>
          <w:sz w:val="16"/>
          <w:szCs w:val="16"/>
          <w:color w:val="auto"/>
        </w:rPr>
      </w:pPr>
    </w:p>
    <w:p>
      <w:pPr>
        <w:ind w:left="900" w:right="420" w:hanging="445"/>
        <w:spacing w:after="0" w:line="270"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knowingly and intentionally take any action that would reasonably be expected to make any representation or warranty of TWC inaccurate in any material respect at, or immediately prior to, completion of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take certain other actions as previously agreed to by the parties;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agree, resolve or commit to do any of the foregoing.</w:t>
      </w:r>
    </w:p>
    <w:p>
      <w:pPr>
        <w:spacing w:after="0" w:line="208"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2" w:lineRule="exact"/>
        <w:rPr>
          <w:sz w:val="20"/>
          <w:szCs w:val="20"/>
          <w:color w:val="auto"/>
        </w:rPr>
      </w:pPr>
    </w:p>
    <w:p>
      <w:pPr>
        <w:ind w:left="900" w:right="180" w:hanging="445"/>
        <w:spacing w:after="0" w:line="270"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amend Comcast’s articles or Comcast’s by-laws in a manner that would have a material and adverse impact on the value of the Comcast Class A common stock;</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82" w:lineRule="exact"/>
        <w:rPr>
          <w:rFonts w:ascii="Arial" w:cs="Arial" w:eastAsia="Arial" w:hAnsi="Arial"/>
          <w:sz w:val="16"/>
          <w:szCs w:val="16"/>
          <w:color w:val="auto"/>
        </w:rPr>
      </w:pPr>
    </w:p>
    <w:p>
      <w:pPr>
        <w:ind w:left="900" w:right="840" w:hanging="445"/>
        <w:spacing w:after="0" w:line="270"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adopt or publicly propose a plan of complete or partial liquidation or resolutions providing for or authorizing such a liquidation or a dissolution, restructuring, recapitalization or reorganization;</w:t>
      </w:r>
    </w:p>
    <w:p>
      <w:pPr>
        <w:spacing w:after="0" w:line="77" w:lineRule="exact"/>
        <w:rPr>
          <w:rFonts w:ascii="Arial" w:cs="Arial" w:eastAsia="Arial" w:hAnsi="Arial"/>
          <w:sz w:val="17"/>
          <w:szCs w:val="17"/>
          <w:color w:val="auto"/>
        </w:rPr>
      </w:pPr>
    </w:p>
    <w:p>
      <w:pPr>
        <w:ind w:left="900" w:right="500" w:hanging="445"/>
        <w:spacing w:after="0" w:line="270"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agree, resolve or commit to do any of the foregoing.</w:t>
      </w:r>
    </w:p>
    <w:p>
      <w:pPr>
        <w:spacing w:after="0" w:line="208"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In addition, from the date of the merger agreement until May 23, 2014, neither Comcast nor any of its subsidiaries may enter into any agreements (written or oral) providing for the divestiture of in excess of 25,000 subscribers in the aggregate.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20"/>
          </w:cols>
          <w:pgMar w:left="240" w:top="439"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 of the TWC Board of Directors to Recommend the Merger Agreement and Call and Hold a Stockholders’ Meeting</w:t>
      </w:r>
    </w:p>
    <w:p>
      <w:pPr>
        <w:spacing w:after="0" w:line="111"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73"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As discussed under “TWC Proposal I: Adoption of the Merger Agreement and Comcast Proposal I: Approval of the Stock Issuance —TWC’s Reasons for the Merger; Recommendation of the Merger by the TWC Board of Directors” beginning on page [—] of this joint proxy statement/prospectus, the TWC board of directors unanimously recommends that TWC stockholders vote “</w:t>
      </w:r>
      <w:r>
        <w:rPr>
          <w:rFonts w:ascii="Arial" w:cs="Arial" w:eastAsia="Arial" w:hAnsi="Arial"/>
          <w:sz w:val="15"/>
          <w:szCs w:val="15"/>
          <w:b w:val="1"/>
          <w:bCs w:val="1"/>
          <w:color w:val="auto"/>
        </w:rPr>
        <w:t>FOR</w:t>
      </w:r>
      <w:r>
        <w:rPr>
          <w:rFonts w:ascii="Arial" w:cs="Arial" w:eastAsia="Arial" w:hAnsi="Arial"/>
          <w:sz w:val="15"/>
          <w:szCs w:val="15"/>
          <w:color w:val="auto"/>
        </w:rPr>
        <w:t>” the adoption of the merger agreement. The TWC board of directors, however, can (i) withdraw, modify or qualify in a manner adverse to Comcast its recommendation that TWC stockholders adopt the merger agreement, or (ii) recommend a competing acquisition proposal, in each case under specified circumstances as discussed under “—No Solicitation by TWC” beginning on page [—]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 by TWC</w:t>
      </w:r>
    </w:p>
    <w:p>
      <w:pPr>
        <w:spacing w:after="0" w:line="111" w:lineRule="exact"/>
        <w:rPr>
          <w:sz w:val="20"/>
          <w:szCs w:val="20"/>
          <w:color w:val="auto"/>
        </w:rPr>
      </w:pPr>
    </w:p>
    <w:p>
      <w:pPr>
        <w:ind w:right="20" w:firstLine="457"/>
        <w:spacing w:after="0" w:line="285" w:lineRule="auto"/>
        <w:rPr>
          <w:sz w:val="20"/>
          <w:szCs w:val="20"/>
          <w:color w:val="auto"/>
        </w:rPr>
      </w:pPr>
      <w:r>
        <w:rPr>
          <w:rFonts w:ascii="Arial" w:cs="Arial" w:eastAsia="Arial" w:hAnsi="Arial"/>
          <w:sz w:val="15"/>
          <w:szCs w:val="15"/>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 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400"/>
          </w:cols>
          <w:pgMar w:left="240" w:top="439" w:right="2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5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Notwithstanding the foregoing, but subject to the terms and conditions described below, at any time prior to the adoption of the merger agreement by TWC stockholders:</w:t>
      </w:r>
    </w:p>
    <w:p>
      <w:pPr>
        <w:spacing w:after="0" w:line="77" w:lineRule="exact"/>
        <w:rPr>
          <w:sz w:val="20"/>
          <w:szCs w:val="20"/>
          <w:color w:val="auto"/>
        </w:rPr>
      </w:pPr>
    </w:p>
    <w:p>
      <w:pPr>
        <w:ind w:left="900" w:hanging="445"/>
        <w:spacing w:after="0" w:line="287" w:lineRule="auto"/>
        <w:tabs>
          <w:tab w:leader="none" w:pos="9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68" w:lineRule="exact"/>
        <w:rPr>
          <w:rFonts w:ascii="Arial" w:cs="Arial" w:eastAsia="Arial" w:hAnsi="Arial"/>
          <w:sz w:val="15"/>
          <w:szCs w:val="15"/>
          <w:color w:val="auto"/>
        </w:rPr>
      </w:pPr>
    </w:p>
    <w:p>
      <w:pPr>
        <w:ind w:left="900" w:right="340" w:hanging="445"/>
        <w:spacing w:after="0" w:line="270"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TWC board of directors may make an adverse recommendation change (i) following receipt of a superior proposal or (ii) involving or relating to an intervening event (as defined below).</w:t>
      </w:r>
    </w:p>
    <w:p>
      <w:pPr>
        <w:spacing w:after="0" w:line="16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66"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 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5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 (i) such acquisition proposal constitutes a superior proposal, (ii) TWC promptly notifies Comcast, in writing at least five business days before taking that action, of its intention to do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420"/>
          </w:cols>
          <w:pgMar w:left="240" w:top="439"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0"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71"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73" w:lineRule="exact"/>
        <w:rPr>
          <w:sz w:val="20"/>
          <w:szCs w:val="20"/>
          <w:color w:val="auto"/>
        </w:rPr>
      </w:pPr>
    </w:p>
    <w:p>
      <w:pPr>
        <w:ind w:right="100" w:firstLine="457"/>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8"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Intervening event</w:t>
      </w:r>
      <w:r>
        <w:rPr>
          <w:rFonts w:ascii="Arial" w:cs="Arial" w:eastAsia="Arial" w:hAnsi="Arial"/>
          <w:sz w:val="16"/>
          <w:szCs w:val="16"/>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 (ii) does not relate to or involve an acquisition proposal; provided that (x) no action taken by either party pursuant to the affirmative covenants described in the section “—Reasonable Best Efforts Covenant”, beginning on page [—]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165" w:lineRule="exact"/>
        <w:rPr>
          <w:sz w:val="20"/>
          <w:szCs w:val="20"/>
          <w:color w:val="auto"/>
        </w:rPr>
      </w:pPr>
    </w:p>
    <w:p>
      <w:pPr>
        <w:ind w:right="120" w:firstLine="457"/>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420"/>
          </w:cols>
          <w:pgMar w:left="240" w:top="439"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340"/>
        <w:spacing w:after="0" w:line="338" w:lineRule="auto"/>
        <w:rPr>
          <w:sz w:val="20"/>
          <w:szCs w:val="20"/>
          <w:color w:val="auto"/>
        </w:rPr>
      </w:pPr>
      <w:r>
        <w:rPr>
          <w:rFonts w:ascii="Arial" w:cs="Arial" w:eastAsia="Arial" w:hAnsi="Arial"/>
          <w:sz w:val="15"/>
          <w:szCs w:val="15"/>
          <w:color w:val="auto"/>
        </w:rPr>
        <w:t>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20"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Comcast</w:t>
      </w:r>
    </w:p>
    <w:p>
      <w:pPr>
        <w:spacing w:after="0" w:line="111"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 of the Comcast Board of Directors to Recommend the Stock Issuance and Call and Hold a Shareholders’ Meeting</w:t>
      </w:r>
    </w:p>
    <w:p>
      <w:pPr>
        <w:spacing w:after="0" w:line="11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discussed under “TWC Proposal I: Adoption of the Merger Agreement and Comcast Proposal I: Approval of the Stock Issuance—Comcast’s Reasons for the Merger; Recommendation of the Comcast Board of Directors” beginning on page [—] of this joint proxy statement/prospectus,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TWC</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Reasonable Best Efforts Covenant</w:t>
      </w:r>
    </w:p>
    <w:p>
      <w:pPr>
        <w:spacing w:after="0" w:line="111" w:lineRule="exact"/>
        <w:rPr>
          <w:sz w:val="20"/>
          <w:szCs w:val="20"/>
          <w:color w:val="auto"/>
        </w:rPr>
      </w:pPr>
    </w:p>
    <w:p>
      <w:pPr>
        <w:ind w:firstLine="457"/>
        <w:spacing w:after="0" w:line="338" w:lineRule="auto"/>
        <w:rPr>
          <w:sz w:val="20"/>
          <w:szCs w:val="20"/>
          <w:color w:val="auto"/>
        </w:rPr>
      </w:pPr>
      <w:r>
        <w:rPr>
          <w:rFonts w:ascii="Arial" w:cs="Arial" w:eastAsia="Arial" w:hAnsi="Arial"/>
          <w:sz w:val="15"/>
          <w:szCs w:val="15"/>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00"/>
          </w:cols>
          <w:pgMar w:left="240" w:top="439" w:right="2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59"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72"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88" w:lineRule="exact"/>
        <w:rPr>
          <w:sz w:val="20"/>
          <w:szCs w:val="20"/>
          <w:color w:val="auto"/>
        </w:rPr>
      </w:pPr>
    </w:p>
    <w:p>
      <w:pPr>
        <w:ind w:left="900" w:right="420" w:hanging="445"/>
        <w:spacing w:after="0" w:line="270"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divest or otherwise hold separate (including by establishing a trust or otherwise) any businesses, assets or properties of Comcast, TWC or any of their respective subsidiaries;</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accept any conditions or take any other actions that would apply to or affect any businesses, assets or properties of Comcast, TWC or any of their respective subsidiaries; or</w:t>
      </w:r>
    </w:p>
    <w:p>
      <w:pPr>
        <w:spacing w:after="0" w:line="77" w:lineRule="exact"/>
        <w:rPr>
          <w:rFonts w:ascii="Arial" w:cs="Arial" w:eastAsia="Arial" w:hAnsi="Arial"/>
          <w:sz w:val="17"/>
          <w:szCs w:val="17"/>
          <w:color w:val="auto"/>
        </w:rPr>
      </w:pPr>
    </w:p>
    <w:p>
      <w:pPr>
        <w:ind w:left="900" w:right="160" w:hanging="445"/>
        <w:spacing w:after="0" w:line="290" w:lineRule="auto"/>
        <w:tabs>
          <w:tab w:leader="none" w:pos="9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 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first two bullets above, (i) Comcast is prepared to divest up to approximately three million subscribers of the combined company and</w:t>
      </w:r>
    </w:p>
    <w:p>
      <w:pPr>
        <w:spacing w:after="0" w:line="30" w:lineRule="exact"/>
        <w:rPr>
          <w:sz w:val="20"/>
          <w:szCs w:val="20"/>
          <w:color w:val="auto"/>
        </w:rPr>
      </w:pPr>
    </w:p>
    <w:p>
      <w:pPr>
        <w:ind w:right="100" w:firstLine="1"/>
        <w:spacing w:after="0" w:line="251" w:lineRule="auto"/>
        <w:tabs>
          <w:tab w:leader="none" w:pos="24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Comcast and its subsidiaries are required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00"/>
          </w:cols>
          <w:pgMar w:left="240" w:top="439" w:right="25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0" w:lineRule="exact"/>
        <w:rPr>
          <w:sz w:val="20"/>
          <w:szCs w:val="20"/>
          <w:color w:val="auto"/>
        </w:rPr>
      </w:pPr>
    </w:p>
    <w:p>
      <w:pPr>
        <w:ind w:right="680" w:firstLine="457"/>
        <w:spacing w:after="0" w:line="270" w:lineRule="auto"/>
        <w:rPr>
          <w:sz w:val="20"/>
          <w:szCs w:val="20"/>
          <w:color w:val="auto"/>
        </w:rPr>
      </w:pPr>
      <w:r>
        <w:rPr>
          <w:rFonts w:ascii="Arial" w:cs="Arial" w:eastAsia="Arial" w:hAnsi="Arial"/>
          <w:sz w:val="17"/>
          <w:szCs w:val="17"/>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66"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57"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Proxy Statement/Prospectus and Registration Statement Covenant</w:t>
      </w:r>
    </w:p>
    <w:p>
      <w:pPr>
        <w:spacing w:after="0" w:line="111" w:lineRule="exact"/>
        <w:rPr>
          <w:sz w:val="20"/>
          <w:szCs w:val="20"/>
          <w:color w:val="auto"/>
        </w:rPr>
      </w:pPr>
    </w:p>
    <w:p>
      <w:pPr>
        <w:ind w:right="60" w:firstLine="457"/>
        <w:spacing w:after="0" w:line="295" w:lineRule="auto"/>
        <w:rPr>
          <w:sz w:val="20"/>
          <w:szCs w:val="20"/>
          <w:color w:val="auto"/>
        </w:rPr>
      </w:pPr>
      <w:r>
        <w:rPr>
          <w:rFonts w:ascii="Arial" w:cs="Arial" w:eastAsia="Arial" w:hAnsi="Arial"/>
          <w:sz w:val="15"/>
          <w:szCs w:val="15"/>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380"/>
          </w:cols>
          <w:pgMar w:left="240" w:top="439" w:right="2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recommendation change as described under “—No Solicitation by TWC,” beginning on page [—] of this joint proxy statement/prospectus, and (ii) the recommendation of the Comcast board of directors in favor of approval of the stock issuance.</w:t>
      </w:r>
    </w:p>
    <w:p>
      <w:pPr>
        <w:spacing w:after="0" w:line="166"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and Insurance</w:t>
      </w:r>
    </w:p>
    <w:p>
      <w:pPr>
        <w:spacing w:after="0" w:line="111" w:lineRule="exact"/>
        <w:rPr>
          <w:sz w:val="20"/>
          <w:szCs w:val="20"/>
          <w:color w:val="auto"/>
        </w:rPr>
      </w:pPr>
    </w:p>
    <w:p>
      <w:pPr>
        <w:ind w:right="20" w:firstLine="457"/>
        <w:spacing w:after="0" w:line="250" w:lineRule="auto"/>
        <w:rPr>
          <w:sz w:val="20"/>
          <w:szCs w:val="20"/>
          <w:color w:val="auto"/>
        </w:rPr>
      </w:pPr>
      <w:r>
        <w:rPr>
          <w:rFonts w:ascii="Arial" w:cs="Arial" w:eastAsia="Arial" w:hAnsi="Arial"/>
          <w:sz w:val="17"/>
          <w:szCs w:val="17"/>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85"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63"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 Insurance, in place as of the date of the merger agreement or (ii) purchase comparable D&amp;O Insurance for such six-year period, in each case with respect to any claim related to any period of time at or prior to completion of 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60" w:lineRule="exact"/>
        <w:rPr>
          <w:sz w:val="20"/>
          <w:szCs w:val="20"/>
          <w:color w:val="auto"/>
        </w:rPr>
      </w:pPr>
    </w:p>
    <w:p>
      <w:pPr>
        <w:ind w:right="260" w:firstLine="457"/>
        <w:spacing w:after="0" w:line="338" w:lineRule="auto"/>
        <w:rPr>
          <w:sz w:val="20"/>
          <w:szCs w:val="20"/>
          <w:color w:val="auto"/>
        </w:rPr>
      </w:pPr>
      <w:r>
        <w:rPr>
          <w:rFonts w:ascii="Arial" w:cs="Arial" w:eastAsia="Arial" w:hAnsi="Arial"/>
          <w:sz w:val="15"/>
          <w:szCs w:val="15"/>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420"/>
          </w:cols>
          <w:pgMar w:left="240" w:top="439"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41"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w:t>
      </w:r>
    </w:p>
    <w:p>
      <w:pPr>
        <w:spacing w:after="0" w:line="111"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92" w:lineRule="exact"/>
        <w:rPr>
          <w:sz w:val="20"/>
          <w:szCs w:val="20"/>
          <w:color w:val="auto"/>
        </w:rPr>
      </w:pPr>
    </w:p>
    <w:p>
      <w:pPr>
        <w:ind w:left="900" w:right="440" w:hanging="445"/>
        <w:spacing w:after="0" w:line="270"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base pay, commission opportunities and cash bonus opportunities, as applicable, that are no less favorable in the aggregate than provided to each such covered employee immediately prior to completion of the merger; and</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employee benefits that are no less favorable in the aggregate than provided to each such covered employee immediately prior to completion of the merger.</w:t>
      </w:r>
    </w:p>
    <w:p>
      <w:pPr>
        <w:spacing w:after="0" w:line="231"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 described in “Interests of Certain Persons in the Merger—Interests of Directors and Executive Officers of TWC in the Merger—2014 Supplemental Bonus Opportunity Awards” beginning on page [—]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51"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 completion of the merger through the first anniversary thereof, or for any longer period during which such amendments are prohibited under the terms of the applicable plan, as long as such contract or plan is set forth on TWC’s confidential disclosure schedules delivered in connection with the merger agreement.</w:t>
      </w:r>
    </w:p>
    <w:p>
      <w:pPr>
        <w:spacing w:after="0" w:line="149"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420"/>
          </w:cols>
          <w:pgMar w:left="240" w:top="439"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80" w:firstLine="457"/>
        <w:spacing w:after="0" w:line="276"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63"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80"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111"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 limitations period applicable to any tax claim or assessment, (vi) file any material amended tax returns or claims for material tax refunds, (vii) surrender any material tax claim, audit or assessment, (viii) 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55" w:lineRule="exact"/>
        <w:rPr>
          <w:sz w:val="20"/>
          <w:szCs w:val="20"/>
          <w:color w:val="auto"/>
        </w:rPr>
      </w:pPr>
    </w:p>
    <w:p>
      <w:pPr>
        <w:ind w:right="600" w:firstLine="457"/>
        <w:spacing w:after="0" w:line="338" w:lineRule="auto"/>
        <w:rPr>
          <w:sz w:val="20"/>
          <w:szCs w:val="20"/>
          <w:color w:val="auto"/>
        </w:rPr>
      </w:pPr>
      <w:r>
        <w:rPr>
          <w:rFonts w:ascii="Arial" w:cs="Arial" w:eastAsia="Arial" w:hAnsi="Arial"/>
          <w:sz w:val="15"/>
          <w:szCs w:val="15"/>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Agreements</w:t>
      </w:r>
    </w:p>
    <w:p>
      <w:pPr>
        <w:spacing w:after="0" w:line="111"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7" w:lineRule="exact"/>
        <w:rPr>
          <w:sz w:val="20"/>
          <w:szCs w:val="20"/>
          <w:color w:val="auto"/>
        </w:rPr>
      </w:pPr>
    </w:p>
    <w:p>
      <w:pPr>
        <w:ind w:left="900" w:right="80" w:hanging="445"/>
        <w:spacing w:after="0" w:line="270"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TWC and Comcast to provide the other party and its representatives with reasonable access to such party’s offices, properties, books and records and other information as may be reasonably requested;</w:t>
      </w:r>
    </w:p>
    <w:p>
      <w:pPr>
        <w:spacing w:after="0" w:line="77" w:lineRule="exact"/>
        <w:rPr>
          <w:rFonts w:ascii="Arial" w:cs="Arial" w:eastAsia="Arial" w:hAnsi="Arial"/>
          <w:sz w:val="17"/>
          <w:szCs w:val="17"/>
          <w:color w:val="auto"/>
        </w:rPr>
      </w:pPr>
    </w:p>
    <w:p>
      <w:pPr>
        <w:jc w:val="both"/>
        <w:ind w:left="900" w:right="300" w:hanging="445"/>
        <w:spacing w:after="0" w:line="338"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400"/>
          </w:cols>
          <w:pgMar w:left="240" w:top="439" w:right="25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20"/>
        <w:spacing w:after="0" w:line="270" w:lineRule="auto"/>
        <w:rPr>
          <w:sz w:val="20"/>
          <w:szCs w:val="20"/>
          <w:color w:val="auto"/>
        </w:rPr>
      </w:pPr>
      <w:r>
        <w:rPr>
          <w:rFonts w:ascii="Arial" w:cs="Arial" w:eastAsia="Arial" w:hAnsi="Arial"/>
          <w:sz w:val="17"/>
          <w:szCs w:val="17"/>
          <w:color w:val="auto"/>
        </w:rPr>
        <w:t>as required by law, TWC may not settle, agree to undertakings or approve any waiver that may be sought in such litigation without the prior written consent of Comcast (which consent may not be unreasonably withheld, conditioned or delayed);</w:t>
      </w:r>
    </w:p>
    <w:p>
      <w:pPr>
        <w:spacing w:after="0" w:line="77" w:lineRule="exact"/>
        <w:rPr>
          <w:sz w:val="20"/>
          <w:szCs w:val="20"/>
          <w:color w:val="auto"/>
        </w:rPr>
      </w:pPr>
    </w:p>
    <w:p>
      <w:pPr>
        <w:ind w:left="900" w:right="540" w:hanging="445"/>
        <w:spacing w:after="0" w:line="270"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77" w:lineRule="exact"/>
        <w:rPr>
          <w:rFonts w:ascii="Arial" w:cs="Arial" w:eastAsia="Arial" w:hAnsi="Arial"/>
          <w:sz w:val="17"/>
          <w:szCs w:val="17"/>
          <w:color w:val="auto"/>
        </w:rPr>
      </w:pPr>
    </w:p>
    <w:p>
      <w:pPr>
        <w:ind w:left="900" w:right="280" w:hanging="445"/>
        <w:spacing w:after="0" w:line="309" w:lineRule="auto"/>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52" w:lineRule="exact"/>
        <w:rPr>
          <w:rFonts w:ascii="Arial" w:cs="Arial" w:eastAsia="Arial" w:hAnsi="Arial"/>
          <w:sz w:val="15"/>
          <w:szCs w:val="15"/>
          <w:color w:val="auto"/>
        </w:rPr>
      </w:pPr>
    </w:p>
    <w:p>
      <w:pPr>
        <w:ind w:left="900" w:hanging="445"/>
        <w:spacing w:after="0"/>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TWC and Comcast to notify the other of certain events.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Merger Agreement</w:t>
      </w:r>
    </w:p>
    <w:p>
      <w:pPr>
        <w:spacing w:after="0" w:line="11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The merger agreement may be terminated at any time before completion of the merger, whether before or after TWC stockholders have adopted the merger agreement, in any of the following ways:</w:t>
      </w:r>
    </w:p>
    <w:p>
      <w:pPr>
        <w:spacing w:after="0" w:line="77" w:lineRule="exact"/>
        <w:rPr>
          <w:sz w:val="20"/>
          <w:szCs w:val="20"/>
          <w:color w:val="auto"/>
        </w:rPr>
      </w:pPr>
    </w:p>
    <w:p>
      <w:pPr>
        <w:ind w:left="900" w:hanging="44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by mutual written consent of Comcast and TWC;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by either Comcast or TWC, if:</w:t>
      </w:r>
    </w:p>
    <w:p>
      <w:pPr>
        <w:spacing w:after="0" w:line="119" w:lineRule="exact"/>
        <w:rPr>
          <w:rFonts w:ascii="Arial" w:cs="Arial" w:eastAsia="Arial" w:hAnsi="Arial"/>
          <w:sz w:val="17"/>
          <w:szCs w:val="17"/>
          <w:color w:val="auto"/>
        </w:rPr>
      </w:pPr>
    </w:p>
    <w:p>
      <w:pPr>
        <w:ind w:left="1480" w:hanging="458"/>
        <w:spacing w:after="0" w:line="272" w:lineRule="auto"/>
        <w:tabs>
          <w:tab w:leader="none" w:pos="148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79" w:lineRule="exact"/>
        <w:rPr>
          <w:rFonts w:ascii="Arial" w:cs="Arial" w:eastAsia="Arial" w:hAnsi="Arial"/>
          <w:sz w:val="16"/>
          <w:szCs w:val="16"/>
          <w:color w:val="auto"/>
        </w:rPr>
      </w:pPr>
    </w:p>
    <w:p>
      <w:pPr>
        <w:ind w:left="1480" w:hanging="458"/>
        <w:spacing w:after="0" w:line="276" w:lineRule="auto"/>
        <w:tabs>
          <w:tab w:leader="none" w:pos="148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74" w:lineRule="exact"/>
        <w:rPr>
          <w:rFonts w:ascii="Arial" w:cs="Arial" w:eastAsia="Arial" w:hAnsi="Arial"/>
          <w:sz w:val="16"/>
          <w:szCs w:val="16"/>
          <w:color w:val="auto"/>
        </w:rPr>
      </w:pPr>
    </w:p>
    <w:p>
      <w:pPr>
        <w:ind w:left="1480" w:right="400" w:hanging="458"/>
        <w:spacing w:after="0" w:line="270" w:lineRule="auto"/>
        <w:tabs>
          <w:tab w:leader="none" w:pos="148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TWC stockholders fail to adopt the merger agreement upon a vote taken on a proposal to adopt the merger agreement at a TWC stockholders’ meeting called for that purpose;</w:t>
      </w:r>
    </w:p>
    <w:p>
      <w:pPr>
        <w:spacing w:after="0" w:line="77" w:lineRule="exact"/>
        <w:rPr>
          <w:rFonts w:ascii="Arial" w:cs="Arial" w:eastAsia="Arial" w:hAnsi="Arial"/>
          <w:sz w:val="17"/>
          <w:szCs w:val="17"/>
          <w:color w:val="auto"/>
        </w:rPr>
      </w:pPr>
    </w:p>
    <w:p>
      <w:pPr>
        <w:ind w:left="1480" w:right="140" w:hanging="458"/>
        <w:spacing w:after="0" w:line="270" w:lineRule="auto"/>
        <w:tabs>
          <w:tab w:leader="none" w:pos="148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Comcast shareholders fail to approve the stock issuance upon a vote taken on a proposal to approve the stock issuance at a Comcast shareholders’ meeting called for that purpose; or</w:t>
      </w:r>
    </w:p>
    <w:p>
      <w:pPr>
        <w:spacing w:after="0" w:line="77" w:lineRule="exact"/>
        <w:rPr>
          <w:rFonts w:ascii="Arial" w:cs="Arial" w:eastAsia="Arial" w:hAnsi="Arial"/>
          <w:sz w:val="17"/>
          <w:szCs w:val="17"/>
          <w:color w:val="auto"/>
        </w:rPr>
      </w:pPr>
    </w:p>
    <w:p>
      <w:pPr>
        <w:ind w:left="1480" w:hanging="458"/>
        <w:spacing w:after="0" w:line="272" w:lineRule="auto"/>
        <w:tabs>
          <w:tab w:leader="none" w:pos="148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420"/>
          </w:cols>
          <w:pgMar w:left="240" w:top="439"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by Comcast, if:</w:t>
      </w:r>
    </w:p>
    <w:p>
      <w:pPr>
        <w:spacing w:after="0" w:line="119" w:lineRule="exact"/>
        <w:rPr>
          <w:rFonts w:ascii="Arial" w:cs="Arial" w:eastAsia="Arial" w:hAnsi="Arial"/>
          <w:sz w:val="17"/>
          <w:szCs w:val="17"/>
          <w:color w:val="auto"/>
        </w:rPr>
      </w:pPr>
    </w:p>
    <w:p>
      <w:pPr>
        <w:ind w:left="1480" w:right="140" w:hanging="458"/>
        <w:spacing w:after="0" w:line="299" w:lineRule="auto"/>
        <w:tabs>
          <w:tab w:leader="none" w:pos="1480" w:val="left"/>
        </w:tabs>
        <w:numPr>
          <w:ilvl w:val="1"/>
          <w:numId w:val="196"/>
        </w:numPr>
        <w:rPr>
          <w:rFonts w:ascii="Arial" w:cs="Arial" w:eastAsia="Arial" w:hAnsi="Arial"/>
          <w:sz w:val="15"/>
          <w:szCs w:val="15"/>
          <w:color w:val="auto"/>
        </w:rPr>
      </w:pPr>
      <w:r>
        <w:rPr>
          <w:rFonts w:ascii="Arial" w:cs="Arial" w:eastAsia="Arial" w:hAnsi="Arial"/>
          <w:sz w:val="15"/>
          <w:szCs w:val="15"/>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61" w:lineRule="exact"/>
        <w:rPr>
          <w:rFonts w:ascii="Arial" w:cs="Arial" w:eastAsia="Arial" w:hAnsi="Arial"/>
          <w:sz w:val="15"/>
          <w:szCs w:val="15"/>
          <w:color w:val="auto"/>
        </w:rPr>
      </w:pPr>
    </w:p>
    <w:p>
      <w:pPr>
        <w:ind w:left="1480" w:right="60" w:hanging="458"/>
        <w:spacing w:after="0" w:line="258" w:lineRule="auto"/>
        <w:tabs>
          <w:tab w:leader="none" w:pos="14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8" w:lineRule="exact"/>
        <w:rPr>
          <w:rFonts w:ascii="Arial" w:cs="Arial" w:eastAsia="Arial" w:hAnsi="Arial"/>
          <w:sz w:val="17"/>
          <w:szCs w:val="17"/>
          <w:color w:val="auto"/>
        </w:rPr>
      </w:pPr>
    </w:p>
    <w:p>
      <w:pPr>
        <w:ind w:left="1480" w:hanging="458"/>
        <w:spacing w:after="0" w:line="253" w:lineRule="auto"/>
        <w:tabs>
          <w:tab w:leader="none" w:pos="14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prior to the adoption of the merger agreement by TWC stockholders, there has been an intentional and material breach by TWC of (i) any of its obligations described under “—No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2" w:lineRule="exact"/>
        <w:rPr>
          <w:rFonts w:ascii="Arial" w:cs="Arial" w:eastAsia="Arial" w:hAnsi="Arial"/>
          <w:sz w:val="17"/>
          <w:szCs w:val="17"/>
          <w:color w:val="auto"/>
        </w:rPr>
      </w:pPr>
    </w:p>
    <w:p>
      <w:pPr>
        <w:ind w:left="900" w:hanging="445"/>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by TWC, if:</w:t>
      </w:r>
    </w:p>
    <w:p>
      <w:pPr>
        <w:spacing w:after="0" w:line="119" w:lineRule="exact"/>
        <w:rPr>
          <w:rFonts w:ascii="Arial" w:cs="Arial" w:eastAsia="Arial" w:hAnsi="Arial"/>
          <w:sz w:val="17"/>
          <w:szCs w:val="17"/>
          <w:color w:val="auto"/>
        </w:rPr>
      </w:pPr>
    </w:p>
    <w:p>
      <w:pPr>
        <w:ind w:left="1480" w:right="20" w:hanging="458"/>
        <w:spacing w:after="0" w:line="270" w:lineRule="auto"/>
        <w:tabs>
          <w:tab w:leader="none" w:pos="14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there has been an intentional and material breach of Comcast’s obligations to call and hold a meeting of its shareholders for purposes of approving the stock issuance; or</w:t>
      </w:r>
    </w:p>
    <w:p>
      <w:pPr>
        <w:spacing w:after="0" w:line="77" w:lineRule="exact"/>
        <w:rPr>
          <w:rFonts w:ascii="Arial" w:cs="Arial" w:eastAsia="Arial" w:hAnsi="Arial"/>
          <w:sz w:val="17"/>
          <w:szCs w:val="17"/>
          <w:color w:val="auto"/>
        </w:rPr>
      </w:pPr>
    </w:p>
    <w:p>
      <w:pPr>
        <w:ind w:left="1480" w:right="180" w:hanging="458"/>
        <w:spacing w:after="0" w:line="270" w:lineRule="auto"/>
        <w:tabs>
          <w:tab w:leader="none" w:pos="14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 material breach of the voting agreement shall have occurred that is not curable or, if capable of being cured, is not cured within 30 days notice thereof.</w:t>
      </w:r>
    </w:p>
    <w:p>
      <w:pPr>
        <w:spacing w:after="0" w:line="166"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 (i) intentional and willful failure of any party to fulfill a condition to the performance of the obligation of any other party under the merger agreement, (ii) failure of any party to perform a covenant under the merger agreement, or (iii) willful and material breach by any party of any representation or warranty under the merger agreement.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11" w:lineRule="exact"/>
        <w:rPr>
          <w:sz w:val="20"/>
          <w:szCs w:val="20"/>
          <w:color w:val="auto"/>
        </w:rPr>
      </w:pPr>
    </w:p>
    <w:p>
      <w:pPr>
        <w:ind w:right="160" w:firstLine="457"/>
        <w:spacing w:after="0" w:line="28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Performance; Remedies</w:t>
      </w:r>
    </w:p>
    <w:p>
      <w:pPr>
        <w:spacing w:after="0" w:line="111" w:lineRule="exact"/>
        <w:rPr>
          <w:sz w:val="20"/>
          <w:szCs w:val="20"/>
          <w:color w:val="auto"/>
        </w:rPr>
      </w:pPr>
    </w:p>
    <w:p>
      <w:pPr>
        <w:ind w:right="80" w:firstLine="457"/>
        <w:spacing w:after="0" w:line="30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340"/>
          </w:cols>
          <w:pgMar w:left="240" w:top="439" w:right="3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Beneficiaries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merger agreement is not intended to and does not confer upon any person other than the parties to the merger agreement any rights or remedies, except:</w:t>
      </w:r>
    </w:p>
    <w:p>
      <w:pPr>
        <w:spacing w:after="0" w:line="143" w:lineRule="exact"/>
        <w:rPr>
          <w:sz w:val="20"/>
          <w:szCs w:val="20"/>
          <w:color w:val="auto"/>
        </w:rPr>
      </w:pPr>
    </w:p>
    <w:p>
      <w:pPr>
        <w:ind w:left="900" w:right="300" w:hanging="445"/>
        <w:spacing w:after="0" w:line="255"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89" w:lineRule="exact"/>
        <w:rPr>
          <w:rFonts w:ascii="Arial" w:cs="Arial" w:eastAsia="Arial" w:hAnsi="Arial"/>
          <w:sz w:val="17"/>
          <w:szCs w:val="17"/>
          <w:color w:val="auto"/>
        </w:rPr>
      </w:pPr>
    </w:p>
    <w:p>
      <w:pPr>
        <w:ind w:left="900" w:right="380" w:hanging="445"/>
        <w:spacing w:after="0" w:line="270"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right of the indemnified persons to enforce the obligations described under “—Indemnification and Insurance” beginning on page [—] of this joint proxy statement/prospectus; and</w:t>
      </w:r>
    </w:p>
    <w:p>
      <w:pPr>
        <w:spacing w:after="0" w:line="77" w:lineRule="exact"/>
        <w:rPr>
          <w:rFonts w:ascii="Arial" w:cs="Arial" w:eastAsia="Arial" w:hAnsi="Arial"/>
          <w:sz w:val="17"/>
          <w:szCs w:val="17"/>
          <w:color w:val="auto"/>
        </w:rPr>
      </w:pPr>
    </w:p>
    <w:p>
      <w:pPr>
        <w:ind w:left="900" w:right="60" w:hanging="445"/>
        <w:spacing w:after="0" w:line="258"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 of this joint proxy statement/prospectus.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Waivers</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61" w:lineRule="exact"/>
        <w:rPr>
          <w:sz w:val="20"/>
          <w:szCs w:val="20"/>
          <w:color w:val="auto"/>
        </w:rPr>
      </w:pPr>
    </w:p>
    <w:p>
      <w:pPr>
        <w:ind w:right="60" w:firstLine="457"/>
        <w:spacing w:after="0" w:line="267" w:lineRule="auto"/>
        <w:rPr>
          <w:sz w:val="20"/>
          <w:szCs w:val="20"/>
          <w:color w:val="auto"/>
        </w:rPr>
      </w:pPr>
      <w:r>
        <w:rPr>
          <w:rFonts w:ascii="Arial" w:cs="Arial" w:eastAsia="Arial" w:hAnsi="Arial"/>
          <w:sz w:val="16"/>
          <w:szCs w:val="16"/>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 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400"/>
          </w:cols>
          <w:pgMar w:left="240" w:top="439" w:right="25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VOTING AGREEMENT</w:t>
      </w:r>
    </w:p>
    <w:p>
      <w:pPr>
        <w:spacing w:after="0" w:line="212" w:lineRule="exact"/>
        <w:rPr>
          <w:sz w:val="20"/>
          <w:szCs w:val="20"/>
          <w:color w:val="auto"/>
        </w:rPr>
      </w:pPr>
    </w:p>
    <w:p>
      <w:pPr>
        <w:ind w:right="140" w:firstLine="457"/>
        <w:spacing w:after="0" w:line="286" w:lineRule="auto"/>
        <w:rPr>
          <w:sz w:val="20"/>
          <w:szCs w:val="20"/>
          <w:color w:val="auto"/>
        </w:rPr>
      </w:pPr>
      <w:r>
        <w:rPr>
          <w:rFonts w:ascii="Arial" w:cs="Arial" w:eastAsia="Arial" w:hAnsi="Arial"/>
          <w:sz w:val="15"/>
          <w:szCs w:val="15"/>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471,435.749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w:t>
      </w:r>
    </w:p>
    <w:p>
      <w:pPr>
        <w:spacing w:after="0" w:line="185"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111"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 (i) 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Transfer</w:t>
      </w:r>
    </w:p>
    <w:p>
      <w:pPr>
        <w:spacing w:after="0" w:line="111"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Each Comcast shareholder who is party to the voting agreement has agreed with TWC, subject to certain exceptions, not to (i) directly or indirectly, sell, transfer, pledge, encumber, assign, distribute, gift or otherwise dispose of any shares of Comcast Class B common stock or any interest in, or voting rights with respect to, such shares, or enter into any contract, option or other arrangement or understanding (including any voting trust or agreement) with respect thereto, (ii) take any action to convert any shares of Comcast Class B common stock into shares of Comcast Class A common stock or Comcast Class A Special common stock, or (iii) grant any proxy or power of attorney with respect to any of such shareholder’s shares of Comcast Class A common stock or Comcast Class B common stock that is inconsistent with the agreements described in the preceding paragraph.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400"/>
          </w:cols>
          <w:pgMar w:left="240" w:top="439" w:right="2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Capacities</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voting agreement provides that nothing in the voting agreement limits the discretion of Brian L. Roberts to take or not take any action in his fiduciary capacity as an officer or director of Comcast.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420"/>
          </w:cols>
          <w:pgMar w:left="240" w:top="439"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INTERESTS OF CERTAIN PERSONS IN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Directors and Executive Officers of TWC in the Merger</w:t>
      </w:r>
    </w:p>
    <w:p>
      <w:pPr>
        <w:spacing w:after="0" w:line="111" w:lineRule="exact"/>
        <w:rPr>
          <w:sz w:val="20"/>
          <w:szCs w:val="20"/>
          <w:color w:val="auto"/>
        </w:rPr>
      </w:pPr>
    </w:p>
    <w:p>
      <w:pPr>
        <w:ind w:right="180" w:firstLine="457"/>
        <w:spacing w:after="0" w:line="290" w:lineRule="auto"/>
        <w:rPr>
          <w:sz w:val="20"/>
          <w:szCs w:val="20"/>
          <w:color w:val="auto"/>
        </w:rPr>
      </w:pPr>
      <w:r>
        <w:rPr>
          <w:rFonts w:ascii="Arial" w:cs="Arial" w:eastAsia="Arial" w:hAnsi="Arial"/>
          <w:sz w:val="15"/>
          <w:szCs w:val="15"/>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55" w:lineRule="exact"/>
        <w:rPr>
          <w:sz w:val="20"/>
          <w:szCs w:val="20"/>
          <w:color w:val="auto"/>
        </w:rPr>
      </w:pPr>
    </w:p>
    <w:p>
      <w:pPr>
        <w:ind w:right="220" w:firstLine="457"/>
        <w:spacing w:after="0" w:line="255"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Strategy, People and Corporate Development Officer.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TWC Equity Awards in the Merger—In General</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i w:val="1"/>
          <w:iCs w:val="1"/>
          <w:color w:val="auto"/>
        </w:rPr>
        <w:t>Options Held by Current Employees</w:t>
      </w:r>
      <w:r>
        <w:rPr>
          <w:rFonts w:ascii="Arial" w:cs="Arial" w:eastAsia="Arial" w:hAnsi="Arial"/>
          <w:sz w:val="16"/>
          <w:szCs w:val="16"/>
          <w:color w:val="auto"/>
        </w:rPr>
        <w:t>. 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7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68" w:lineRule="exact"/>
        <w:rPr>
          <w:sz w:val="20"/>
          <w:szCs w:val="20"/>
          <w:color w:val="auto"/>
        </w:rPr>
      </w:pPr>
    </w:p>
    <w:p>
      <w:pPr>
        <w:ind w:right="120" w:firstLine="457"/>
        <w:spacing w:after="0" w:line="252"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 former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420"/>
          </w:cols>
          <w:pgMar w:left="240" w:top="439"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“The Merger Agreement—Treatment of TWC Equity Awards” beginning on page [—] of this joint proxy statement/prospectus.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Options Held by Executive Officers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As of March 12, 2014, TWC’s seven executive officers (identified below) held an aggregate of 1,023,017 options to acquire TWC common stock, which were granted pursuant to the Time Warner Cable Inc. 2006 Stock Incentive Plan, as amended, which is referred to in this joint proxy statement/prospectus as the 2006 Plan, and the Time Warner Cable Inc. 2011 Stock Incentive Plan, which is referred to in this joint proxy statement/prospectus as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71" w:lineRule="exact"/>
        <w:rPr>
          <w:sz w:val="20"/>
          <w:szCs w:val="20"/>
          <w:color w:val="auto"/>
        </w:rPr>
      </w:pPr>
    </w:p>
    <w:p>
      <w:pPr>
        <w:ind w:right="200" w:firstLine="457"/>
        <w:spacing w:after="0" w:line="270"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82" w:lineRule="exact"/>
        <w:rPr>
          <w:sz w:val="20"/>
          <w:szCs w:val="20"/>
          <w:color w:val="auto"/>
        </w:rPr>
      </w:pPr>
    </w:p>
    <w:p>
      <w:pPr>
        <w:ind w:left="900" w:right="40" w:hanging="445"/>
        <w:spacing w:after="0" w:line="276"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74" w:lineRule="exact"/>
        <w:rPr>
          <w:rFonts w:ascii="Arial" w:cs="Arial" w:eastAsia="Arial" w:hAnsi="Arial"/>
          <w:sz w:val="16"/>
          <w:szCs w:val="16"/>
          <w:color w:val="auto"/>
        </w:rPr>
      </w:pPr>
    </w:p>
    <w:p>
      <w:pPr>
        <w:ind w:left="900" w:right="420" w:hanging="445"/>
        <w:spacing w:after="0" w:line="270"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66"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66"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 xml:space="preserve"> Quantification of Potential Payments to TWC Named Executive Officers in Connection with the Merger”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420"/>
          </w:cols>
          <w:pgMar w:left="240" w:top="439"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beginning on page [—]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88"/>
              </w:rPr>
              <w:t>Value of Vested</w:t>
            </w: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89"/>
              </w:rPr>
              <w:t>Unvested Options</w:t>
            </w:r>
          </w:p>
        </w:tc>
        <w:tc>
          <w:tcPr>
            <w:tcW w:w="13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Value of</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9"/>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42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90"/>
              </w:rPr>
              <w:t>Vested Options (#)</w:t>
            </w:r>
          </w:p>
        </w:tc>
        <w:tc>
          <w:tcPr>
            <w:tcW w:w="14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4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8"/>
              </w:rPr>
              <w:t>Unvested</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Value of All</w:t>
            </w:r>
          </w:p>
        </w:tc>
        <w:tc>
          <w:tcPr>
            <w:tcW w:w="0" w:type="dxa"/>
            <w:vAlign w:val="bottom"/>
          </w:tcPr>
          <w:p>
            <w:pPr>
              <w:spacing w:after="0"/>
              <w:rPr>
                <w:sz w:val="1"/>
                <w:szCs w:val="1"/>
                <w:color w:val="auto"/>
              </w:rPr>
            </w:pPr>
          </w:p>
        </w:tc>
      </w:tr>
      <w:tr>
        <w:trPr>
          <w:trHeight w:val="159"/>
        </w:trPr>
        <w:tc>
          <w:tcPr>
            <w:tcW w:w="42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Options ($)</w:t>
            </w:r>
          </w:p>
        </w:tc>
        <w:tc>
          <w:tcPr>
            <w:tcW w:w="1020" w:type="dxa"/>
            <w:vAlign w:val="bottom"/>
          </w:tcPr>
          <w:p>
            <w:pPr>
              <w:jc w:val="right"/>
              <w:ind w:right="343"/>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3"/>
                <w:szCs w:val="13"/>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Options ($)</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Options ($)</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Robert D. Marcus</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315,339</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26,272,520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235,334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1"/>
              </w:rPr>
              <w:t>16,249,789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42,522,309</w:t>
            </w: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line="189" w:lineRule="exact"/>
              <w:rPr>
                <w:sz w:val="20"/>
                <w:szCs w:val="20"/>
                <w:color w:val="auto"/>
              </w:rPr>
            </w:pPr>
            <w:r>
              <w:rPr>
                <w:rFonts w:ascii="Arial" w:cs="Arial" w:eastAsia="Arial" w:hAnsi="Arial"/>
                <w:sz w:val="17"/>
                <w:szCs w:val="17"/>
                <w:color w:val="auto"/>
              </w:rPr>
              <w:t>Arthur T. Minson, Jr.</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4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7"/>
                <w:szCs w:val="17"/>
                <w:color w:val="auto"/>
              </w:rPr>
              <w:t>100,262</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5,502,731</w:t>
            </w:r>
          </w:p>
        </w:tc>
        <w:tc>
          <w:tcPr>
            <w:tcW w:w="800" w:type="dxa"/>
            <w:vAlign w:val="bottom"/>
          </w:tcPr>
          <w:p>
            <w:pPr>
              <w:jc w:val="right"/>
              <w:spacing w:after="0"/>
              <w:rPr>
                <w:sz w:val="20"/>
                <w:szCs w:val="20"/>
                <w:color w:val="auto"/>
              </w:rPr>
            </w:pPr>
            <w:r>
              <w:rPr>
                <w:rFonts w:ascii="Arial" w:cs="Arial" w:eastAsia="Arial" w:hAnsi="Arial"/>
                <w:sz w:val="17"/>
                <w:szCs w:val="17"/>
                <w:color w:val="auto"/>
              </w:rPr>
              <w:t>5,502,731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Executive Officers as a Group (5 persons)</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182,890</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14,760,115</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189,192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1"/>
              </w:rPr>
              <w:t>13,137,279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27,897,394</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Restricted Stock Units Held by Executive Officers</w:t>
      </w:r>
    </w:p>
    <w:p>
      <w:pPr>
        <w:spacing w:after="0" w:line="107" w:lineRule="exact"/>
        <w:rPr>
          <w:sz w:val="20"/>
          <w:szCs w:val="20"/>
          <w:color w:val="auto"/>
        </w:rPr>
      </w:pPr>
    </w:p>
    <w:p>
      <w:pPr>
        <w:jc w:val="both"/>
        <w:ind w:right="80" w:firstLine="457"/>
        <w:spacing w:after="0" w:line="338" w:lineRule="auto"/>
        <w:rPr>
          <w:sz w:val="20"/>
          <w:szCs w:val="20"/>
          <w:color w:val="auto"/>
        </w:rPr>
      </w:pPr>
      <w:r>
        <w:rPr>
          <w:rFonts w:ascii="Arial" w:cs="Arial" w:eastAsia="Arial" w:hAnsi="Arial"/>
          <w:sz w:val="15"/>
          <w:szCs w:val="15"/>
          <w:color w:val="auto"/>
        </w:rPr>
        <w:t>As of March 12,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20" w:lineRule="exact"/>
        <w:rPr>
          <w:sz w:val="20"/>
          <w:szCs w:val="20"/>
          <w:color w:val="auto"/>
        </w:rPr>
      </w:pPr>
    </w:p>
    <w:p>
      <w:pPr>
        <w:ind w:right="60" w:firstLine="457"/>
        <w:spacing w:after="0" w:line="269"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82" w:lineRule="exact"/>
        <w:rPr>
          <w:sz w:val="20"/>
          <w:szCs w:val="20"/>
          <w:color w:val="auto"/>
        </w:rPr>
      </w:pPr>
    </w:p>
    <w:p>
      <w:pPr>
        <w:ind w:left="900" w:right="220" w:hanging="445"/>
        <w:spacing w:after="0" w:line="302" w:lineRule="auto"/>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54" w:lineRule="exact"/>
        <w:rPr>
          <w:rFonts w:ascii="Arial" w:cs="Arial" w:eastAsia="Arial" w:hAnsi="Arial"/>
          <w:sz w:val="16"/>
          <w:szCs w:val="16"/>
          <w:color w:val="auto"/>
        </w:rPr>
      </w:pPr>
    </w:p>
    <w:p>
      <w:pPr>
        <w:ind w:left="900" w:right="220" w:hanging="445"/>
        <w:spacing w:after="0" w:line="276" w:lineRule="auto"/>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63"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66" w:lineRule="exact"/>
        <w:rPr>
          <w:sz w:val="20"/>
          <w:szCs w:val="20"/>
          <w:color w:val="auto"/>
        </w:rPr>
      </w:pPr>
    </w:p>
    <w:p>
      <w:pPr>
        <w:ind w:right="60" w:firstLine="457"/>
        <w:spacing w:after="0" w:line="338" w:lineRule="auto"/>
        <w:rPr>
          <w:sz w:val="20"/>
          <w:szCs w:val="20"/>
          <w:color w:val="auto"/>
        </w:rPr>
      </w:pPr>
      <w:r>
        <w:rPr>
          <w:rFonts w:ascii="Arial" w:cs="Arial" w:eastAsia="Arial" w:hAnsi="Arial"/>
          <w:sz w:val="15"/>
          <w:szCs w:val="15"/>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restricted stock units, applying the same assumptions used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439"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in “</w:t>
      </w:r>
      <w:r>
        <w:rPr>
          <w:rFonts w:ascii="Arial" w:cs="Arial" w:eastAsia="Arial" w:hAnsi="Arial"/>
          <w:sz w:val="16"/>
          <w:szCs w:val="16"/>
          <w:i w:val="1"/>
          <w:iCs w:val="1"/>
          <w:color w:val="auto"/>
        </w:rPr>
        <w:t>—</w:t>
      </w:r>
      <w:r>
        <w:rPr>
          <w:rFonts w:ascii="Arial" w:cs="Arial" w:eastAsia="Arial" w:hAnsi="Arial"/>
          <w:sz w:val="16"/>
          <w:szCs w:val="16"/>
          <w:color w:val="auto"/>
        </w:rPr>
        <w:t>Quantification of Potential Payments to TWC Named Executive Officers in Connection with the Merger” beginning on page [—]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2"/>
              </w:rPr>
              <w:t>Regularly-Scheduled 2014</w:t>
            </w:r>
          </w:p>
        </w:tc>
        <w:tc>
          <w:tcPr>
            <w:tcW w:w="20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5"/>
              </w:rPr>
              <w:t>Retention Grant</w:t>
            </w:r>
          </w:p>
        </w:tc>
        <w:tc>
          <w:tcPr>
            <w:tcW w:w="1900" w:type="dxa"/>
            <w:vAlign w:val="bottom"/>
            <w:gridSpan w:val="6"/>
            <w:vMerge w:val="restart"/>
          </w:tcPr>
          <w:p>
            <w:pPr>
              <w:jc w:val="right"/>
              <w:ind w:right="500"/>
              <w:spacing w:after="0"/>
              <w:rPr>
                <w:sz w:val="20"/>
                <w:szCs w:val="20"/>
                <w:color w:val="auto"/>
              </w:rPr>
            </w:pPr>
            <w:r>
              <w:rPr>
                <w:rFonts w:ascii="Arial" w:cs="Arial" w:eastAsia="Arial" w:hAnsi="Arial"/>
                <w:sz w:val="13"/>
                <w:szCs w:val="13"/>
                <w:b w:val="1"/>
                <w:bCs w:val="1"/>
                <w:color w:val="auto"/>
              </w:rPr>
              <w:t>Previous Restricted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1900" w:type="dxa"/>
            <w:vAlign w:val="bottom"/>
            <w:gridSpan w:val="6"/>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Annual Restricted Stock</w:t>
            </w:r>
          </w:p>
        </w:tc>
        <w:tc>
          <w:tcPr>
            <w:tcW w:w="2000" w:type="dxa"/>
            <w:vAlign w:val="bottom"/>
            <w:gridSpan w:val="6"/>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(2015/2016 Restricted</w:t>
            </w:r>
          </w:p>
        </w:tc>
        <w:tc>
          <w:tcPr>
            <w:tcW w:w="1900" w:type="dxa"/>
            <w:vAlign w:val="bottom"/>
            <w:gridSpan w:val="6"/>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gridSpan w:val="2"/>
            <w:vMerge w:val="continue"/>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7"/>
              </w:rPr>
              <w:t>Unit Awards</w:t>
            </w:r>
          </w:p>
        </w:tc>
        <w:tc>
          <w:tcPr>
            <w:tcW w:w="20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3"/>
              </w:rPr>
              <w:t>Stock Unit Awards)</w:t>
            </w:r>
          </w:p>
        </w:tc>
        <w:tc>
          <w:tcPr>
            <w:tcW w:w="19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Stock Unit Awards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00" w:type="dxa"/>
            <w:vAlign w:val="bottom"/>
            <w:tcBorders>
              <w:top w:val="single" w:sz="8" w:color="auto"/>
              <w:bottom w:val="single" w:sz="8" w:color="CCEEFF"/>
            </w:tcBorders>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6"/>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0"/>
              <w:spacing w:after="0" w:line="131" w:lineRule="exact"/>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6"/>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ind w:left="180"/>
              <w:spacing w:after="0" w:line="131" w:lineRule="exact"/>
              <w:rPr>
                <w:sz w:val="20"/>
                <w:szCs w:val="20"/>
                <w:color w:val="auto"/>
              </w:rPr>
            </w:pPr>
            <w:r>
              <w:rPr>
                <w:rFonts w:ascii="Arial" w:cs="Arial" w:eastAsia="Arial" w:hAnsi="Arial"/>
                <w:sz w:val="13"/>
                <w:szCs w:val="13"/>
                <w:b w:val="1"/>
                <w:bCs w:val="1"/>
                <w:color w:val="auto"/>
              </w:rPr>
              <w:t>Value</w:t>
            </w:r>
          </w:p>
        </w:tc>
        <w:tc>
          <w:tcPr>
            <w:tcW w:w="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20"/>
              <w:spacing w:after="0" w:line="131" w:lineRule="exact"/>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1"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0"/>
              <w:spacing w:after="0" w:line="131" w:lineRule="exact"/>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w w:val="98"/>
              </w:rPr>
              <w:t>Robert D. Marcus Chairman and Chief Executive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8,421,061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111,968</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16,842,227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14,993,813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267,632</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40,257,101</w:t>
            </w:r>
          </w:p>
        </w:tc>
        <w:tc>
          <w:tcPr>
            <w:tcW w:w="0" w:type="dxa"/>
            <w:vAlign w:val="bottom"/>
          </w:tcPr>
          <w:p>
            <w:pPr>
              <w:spacing w:after="0"/>
              <w:rPr>
                <w:sz w:val="1"/>
                <w:szCs w:val="1"/>
                <w:color w:val="auto"/>
              </w:rPr>
            </w:pPr>
          </w:p>
        </w:tc>
      </w:tr>
      <w:tr>
        <w:trPr>
          <w:trHeight w:val="189"/>
        </w:trPr>
        <w:tc>
          <w:tcPr>
            <w:tcW w:w="3640" w:type="dxa"/>
            <w:vAlign w:val="bottom"/>
            <w:gridSpan w:val="2"/>
          </w:tcPr>
          <w:p>
            <w:pPr>
              <w:spacing w:after="0" w:line="189" w:lineRule="exact"/>
              <w:rPr>
                <w:sz w:val="20"/>
                <w:szCs w:val="20"/>
                <w:color w:val="auto"/>
              </w:rPr>
            </w:pPr>
            <w:r>
              <w:rPr>
                <w:rFonts w:ascii="Arial" w:cs="Arial" w:eastAsia="Arial" w:hAnsi="Arial"/>
                <w:sz w:val="17"/>
                <w:szCs w:val="17"/>
                <w:color w:val="auto"/>
                <w:w w:val="95"/>
              </w:rPr>
              <w:t>Arthur T. Minson, Jr. Executive Vice President and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24,260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3,649,163</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48,520</w:t>
            </w:r>
          </w:p>
        </w:tc>
        <w:tc>
          <w:tcPr>
            <w:tcW w:w="22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7,298,326</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19,128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2,877,182</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91,908</w:t>
            </w:r>
          </w:p>
        </w:tc>
        <w:tc>
          <w:tcPr>
            <w:tcW w:w="3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13,824,671</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All Other Executive Officers as a Group (5 persons)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9,511,619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126,470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19,023,343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52,038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7,827,281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241,743</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36,362,243</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Retention Grant</w:t>
      </w:r>
    </w:p>
    <w:p>
      <w:pPr>
        <w:spacing w:after="0" w:line="10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78" w:lineRule="exact"/>
        <w:rPr>
          <w:sz w:val="20"/>
          <w:szCs w:val="20"/>
          <w:color w:val="auto"/>
        </w:rPr>
      </w:pPr>
    </w:p>
    <w:p>
      <w:pPr>
        <w:ind w:right="80" w:firstLine="457"/>
        <w:spacing w:after="0" w:line="286" w:lineRule="auto"/>
        <w:rPr>
          <w:sz w:val="20"/>
          <w:szCs w:val="20"/>
          <w:color w:val="auto"/>
        </w:rPr>
      </w:pPr>
      <w:r>
        <w:rPr>
          <w:rFonts w:ascii="Arial" w:cs="Arial" w:eastAsia="Arial" w:hAnsi="Arial"/>
          <w:sz w:val="15"/>
          <w:szCs w:val="15"/>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 (ii) 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60" w:lineRule="exact"/>
        <w:rPr>
          <w:sz w:val="20"/>
          <w:szCs w:val="20"/>
          <w:color w:val="auto"/>
        </w:rPr>
      </w:pPr>
    </w:p>
    <w:p>
      <w:pPr>
        <w:ind w:right="140" w:firstLine="457"/>
        <w:spacing w:after="0" w:line="255" w:lineRule="auto"/>
        <w:rPr>
          <w:sz w:val="20"/>
          <w:szCs w:val="20"/>
          <w:color w:val="auto"/>
        </w:rPr>
      </w:pPr>
      <w:r>
        <w:rPr>
          <w:rFonts w:ascii="Arial" w:cs="Arial" w:eastAsia="Arial" w:hAnsi="Arial"/>
          <w:sz w:val="17"/>
          <w:szCs w:val="17"/>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420"/>
          </w:cols>
          <w:pgMar w:left="240" w:top="439"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77"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All restricted stock units held by TWC’s executive officers, including those received by them as part of the retention grant, were granted pursuant to the Officer Equity Arrangements.</w:t>
      </w:r>
    </w:p>
    <w:p>
      <w:pPr>
        <w:spacing w:after="0" w:line="166" w:lineRule="exact"/>
        <w:rPr>
          <w:sz w:val="20"/>
          <w:szCs w:val="20"/>
          <w:color w:val="auto"/>
        </w:rPr>
      </w:pPr>
    </w:p>
    <w:p>
      <w:pPr>
        <w:ind w:right="60" w:firstLine="457"/>
        <w:spacing w:after="0" w:line="286" w:lineRule="auto"/>
        <w:rPr>
          <w:sz w:val="20"/>
          <w:szCs w:val="20"/>
          <w:color w:val="auto"/>
        </w:rPr>
      </w:pPr>
      <w:r>
        <w:rPr>
          <w:rFonts w:ascii="Arial" w:cs="Arial" w:eastAsia="Arial" w:hAnsi="Arial"/>
          <w:sz w:val="15"/>
          <w:szCs w:val="15"/>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most recently filed proxy (filed on April 4, 2013),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2014 Supplemental Bonus Opportunity Awards</w:t>
      </w:r>
    </w:p>
    <w:p>
      <w:pPr>
        <w:spacing w:after="0" w:line="107"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0"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pay out.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400"/>
          </w:cols>
          <w:pgMar w:left="240" w:top="439"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2014 Target</w:t>
            </w:r>
          </w:p>
        </w:tc>
        <w:tc>
          <w:tcPr>
            <w:tcW w:w="0" w:type="dxa"/>
            <w:vAlign w:val="bottom"/>
          </w:tcPr>
          <w:p>
            <w:pPr>
              <w:spacing w:after="0"/>
              <w:rPr>
                <w:sz w:val="1"/>
                <w:szCs w:val="1"/>
                <w:color w:val="auto"/>
              </w:rPr>
            </w:pPr>
          </w:p>
        </w:tc>
      </w:tr>
      <w:tr>
        <w:trPr>
          <w:trHeight w:val="139"/>
        </w:trPr>
        <w:tc>
          <w:tcPr>
            <w:tcW w:w="8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2400" w:type="dxa"/>
            <w:vAlign w:val="bottom"/>
            <w:gridSpan w:val="4"/>
          </w:tcPr>
          <w:p>
            <w:pPr>
              <w:ind w:left="1120"/>
              <w:spacing w:after="0" w:line="139" w:lineRule="exact"/>
              <w:rPr>
                <w:sz w:val="20"/>
                <w:szCs w:val="20"/>
                <w:color w:val="auto"/>
              </w:rPr>
            </w:pPr>
            <w:r>
              <w:rPr>
                <w:rFonts w:ascii="Arial" w:cs="Arial" w:eastAsia="Arial" w:hAnsi="Arial"/>
                <w:sz w:val="13"/>
                <w:szCs w:val="13"/>
                <w:b w:val="1"/>
                <w:bCs w:val="1"/>
                <w:color w:val="auto"/>
                <w:w w:val="97"/>
              </w:rPr>
              <w:t>Supplemental Bonus</w:t>
            </w:r>
          </w:p>
        </w:tc>
        <w:tc>
          <w:tcPr>
            <w:tcW w:w="0" w:type="dxa"/>
            <w:vAlign w:val="bottom"/>
          </w:tcPr>
          <w:p>
            <w:pPr>
              <w:spacing w:after="0"/>
              <w:rPr>
                <w:sz w:val="1"/>
                <w:szCs w:val="1"/>
                <w:color w:val="auto"/>
              </w:rPr>
            </w:pPr>
          </w:p>
        </w:tc>
      </w:tr>
      <w:tr>
        <w:trPr>
          <w:trHeight w:val="159"/>
        </w:trPr>
        <w:tc>
          <w:tcPr>
            <w:tcW w:w="81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Opportunity</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Robert D. Marcus</w:t>
            </w: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1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line="189" w:lineRule="exact"/>
              <w:rPr>
                <w:sz w:val="20"/>
                <w:szCs w:val="20"/>
                <w:color w:val="auto"/>
              </w:rPr>
            </w:pPr>
            <w:r>
              <w:rPr>
                <w:rFonts w:ascii="Arial" w:cs="Arial" w:eastAsia="Arial" w:hAnsi="Arial"/>
                <w:sz w:val="17"/>
                <w:szCs w:val="17"/>
                <w:color w:val="auto"/>
              </w:rPr>
              <w:t>Arthur T. Minson, Jr.</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120" w:type="dxa"/>
            <w:vAlign w:val="bottom"/>
            <w:gridSpan w:val="2"/>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12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executive officers as a group (5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Severance Payments and Benefits to Executive Officers</w:t>
      </w:r>
    </w:p>
    <w:p>
      <w:pPr>
        <w:spacing w:after="0" w:line="107" w:lineRule="exact"/>
        <w:rPr>
          <w:sz w:val="20"/>
          <w:szCs w:val="20"/>
          <w:color w:val="auto"/>
        </w:rPr>
      </w:pPr>
    </w:p>
    <w:p>
      <w:pPr>
        <w:ind w:right="160" w:firstLine="457"/>
        <w:spacing w:after="0" w:line="255" w:lineRule="auto"/>
        <w:rPr>
          <w:sz w:val="20"/>
          <w:szCs w:val="20"/>
          <w:color w:val="auto"/>
        </w:rPr>
      </w:pPr>
      <w:r>
        <w:rPr>
          <w:rFonts w:ascii="Arial" w:cs="Arial" w:eastAsia="Arial" w:hAnsi="Arial"/>
          <w:sz w:val="17"/>
          <w:szCs w:val="17"/>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w:t>
      </w:r>
    </w:p>
    <w:p>
      <w:pPr>
        <w:spacing w:after="0" w:line="178"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See “—Quantification of Potential Payments to TWC Named Executive Officers in Connection with the Merger” below for information regarding certain potential severance payments and benefits to TWC’s “named executive officers” that are related to the merger. As explained in that section, only two of TWC’s current executive officers, Messrs. Marcus and Minson, were also “named executive officers” of TWC for 2013. These two officers’ severance rights are described in “—Quantification of Potential Payments to TWC Named Executive Officers in Connection with the Merger” below. TWC’s other five executive officers who are not also named executive officers would be entitled to severance payments and benefits as follows:</w:t>
      </w:r>
    </w:p>
    <w:p>
      <w:pPr>
        <w:spacing w:after="0" w:line="92" w:lineRule="exact"/>
        <w:rPr>
          <w:sz w:val="20"/>
          <w:szCs w:val="20"/>
          <w:color w:val="auto"/>
        </w:rPr>
      </w:pPr>
    </w:p>
    <w:p>
      <w:pPr>
        <w:ind w:left="900" w:hanging="445"/>
        <w:spacing w:after="0"/>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accrued but unpaid bonus for any previously completed fiscal year,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pro rata bonus for service during the year of termination,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36 months of continued salary and bonus payments, paid on TWC’s normal payroll payment dates for salary, where the bonus component is set at target;</w:t>
      </w:r>
    </w:p>
    <w:p>
      <w:pPr>
        <w:spacing w:after="0" w:line="142" w:lineRule="exact"/>
        <w:rPr>
          <w:rFonts w:ascii="Arial" w:cs="Arial" w:eastAsia="Arial" w:hAnsi="Arial"/>
          <w:sz w:val="15"/>
          <w:szCs w:val="15"/>
          <w:color w:val="auto"/>
        </w:rPr>
      </w:pPr>
    </w:p>
    <w:p>
      <w:pPr>
        <w:ind w:left="1480" w:right="340" w:hanging="571"/>
        <w:spacing w:after="0" w:line="270" w:lineRule="auto"/>
        <w:tabs>
          <w:tab w:leader="none" w:pos="148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77" w:lineRule="exact"/>
        <w:rPr>
          <w:rFonts w:ascii="Arial" w:cs="Arial" w:eastAsia="Arial" w:hAnsi="Arial"/>
          <w:sz w:val="17"/>
          <w:szCs w:val="17"/>
          <w:color w:val="auto"/>
        </w:rPr>
      </w:pPr>
    </w:p>
    <w:p>
      <w:pPr>
        <w:ind w:left="1480" w:hanging="571"/>
        <w:spacing w:after="0"/>
        <w:tabs>
          <w:tab w:leader="none" w:pos="148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For Ms. MacKinnon, the salary and target bonus used are those in effect at termination;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36 months of continued participation in TWC’s health and welfare benefit plans; and</w:t>
      </w:r>
    </w:p>
    <w:p>
      <w:pPr>
        <w:spacing w:after="0" w:line="119" w:lineRule="exact"/>
        <w:rPr>
          <w:rFonts w:ascii="Arial" w:cs="Arial" w:eastAsia="Arial" w:hAnsi="Arial"/>
          <w:sz w:val="17"/>
          <w:szCs w:val="17"/>
          <w:color w:val="auto"/>
        </w:rPr>
      </w:pPr>
    </w:p>
    <w:p>
      <w:pPr>
        <w:ind w:left="900" w:right="420" w:hanging="445"/>
        <w:spacing w:after="0" w:line="270" w:lineRule="auto"/>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 the case of Mr. Lawrence-Apfelbaum only, continued payments equal to the premium cost of certain life insurance and one year of office space and secretarial services.</w:t>
      </w:r>
    </w:p>
    <w:p>
      <w:pPr>
        <w:spacing w:after="0" w:line="166"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 months following a change in control or (ii) following TWC’s execution of a merger, acquisition, sale or other agreement providing for a change in control but before 24 months following a change in control (or, if earlier,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420"/>
          </w:cols>
          <w:pgMar w:left="240" w:top="439"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expiration or termination of such agreement without a change in control). If a Qualifying Termination occurs outside of the time periods described above, the severance payments and benefits due are lower than the amounts above. For Mr. Lawrence-Apfelbaum, the above severance payments and benefits are triggered upon any Qualifying Termination, regardless of whether there is also a change in control.</w:t>
      </w:r>
    </w:p>
    <w:p>
      <w:pPr>
        <w:spacing w:after="0" w:line="177"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All of the severance payments and benefits set forth above are subject to the Golden Parachute Modified Cutback, which, generally, applies to first reduce cash-based payments and then to equity award vesting.</w:t>
      </w:r>
    </w:p>
    <w:p>
      <w:pPr>
        <w:spacing w:after="0" w:line="166"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 (iv) a non-competition covenant during the officer’s employment term and for 24 months (36 months for Mr. Lawrence-Apfelbaum) following termination.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generally means any of the following occurrences without the officer’s consent:</w:t>
      </w:r>
    </w:p>
    <w:p>
      <w:pPr>
        <w:spacing w:after="0" w:line="120" w:lineRule="exact"/>
        <w:rPr>
          <w:sz w:val="20"/>
          <w:szCs w:val="20"/>
          <w:color w:val="auto"/>
        </w:rPr>
      </w:pPr>
    </w:p>
    <w:p>
      <w:pPr>
        <w:ind w:left="900" w:hanging="445"/>
        <w:spacing w:after="0"/>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material violation with respect to such officer’s authority, functions, duties, powers, responsibilities or place of employment;</w:t>
      </w:r>
    </w:p>
    <w:p>
      <w:pPr>
        <w:spacing w:after="0" w:line="119" w:lineRule="exact"/>
        <w:rPr>
          <w:rFonts w:ascii="Arial" w:cs="Arial" w:eastAsia="Arial" w:hAnsi="Arial"/>
          <w:sz w:val="17"/>
          <w:szCs w:val="17"/>
          <w:color w:val="auto"/>
        </w:rPr>
      </w:pPr>
    </w:p>
    <w:p>
      <w:pPr>
        <w:ind w:left="900" w:right="360" w:hanging="445"/>
        <w:spacing w:after="0" w:line="270"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failure to cause any successor to all or substantially all of the business and assets of the company expressly to assume the obligations of the company under the employment agreement;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material breach of the employer’s obligations under the employment agreement;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for Mr. Jain and Ms. MacKinnon, a material violation with respect to his or her reporting relationship.</w:t>
      </w:r>
    </w:p>
    <w:p>
      <w:pPr>
        <w:spacing w:after="0" w:line="20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Post-Closing Obligations of Comcast under the Merger Agreement</w:t>
      </w:r>
    </w:p>
    <w:p>
      <w:pPr>
        <w:spacing w:after="0" w:line="107" w:lineRule="exact"/>
        <w:rPr>
          <w:sz w:val="20"/>
          <w:szCs w:val="20"/>
          <w:color w:val="auto"/>
        </w:rPr>
      </w:pPr>
    </w:p>
    <w:p>
      <w:pPr>
        <w:ind w:right="80" w:firstLine="457"/>
        <w:spacing w:after="0" w:line="288" w:lineRule="auto"/>
        <w:rPr>
          <w:sz w:val="20"/>
          <w:szCs w:val="20"/>
          <w:color w:val="auto"/>
        </w:rPr>
      </w:pPr>
      <w:r>
        <w:rPr>
          <w:rFonts w:ascii="Arial" w:cs="Arial" w:eastAsia="Arial" w:hAnsi="Arial"/>
          <w:sz w:val="15"/>
          <w:szCs w:val="15"/>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 of this joint proxy statement/prospectus for more detail about these employee-related interests.</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Restricted Stock Unit, Deferred Stock Units and Options Held by Non-Employee Directors</w:t>
      </w:r>
    </w:p>
    <w:p>
      <w:pPr>
        <w:spacing w:after="0" w:line="107" w:lineRule="exact"/>
        <w:rPr>
          <w:sz w:val="20"/>
          <w:szCs w:val="20"/>
          <w:color w:val="auto"/>
        </w:rPr>
      </w:pPr>
    </w:p>
    <w:p>
      <w:pPr>
        <w:ind w:firstLine="457"/>
        <w:spacing w:after="0" w:line="338" w:lineRule="auto"/>
        <w:rPr>
          <w:sz w:val="20"/>
          <w:szCs w:val="20"/>
          <w:color w:val="auto"/>
        </w:rPr>
      </w:pPr>
      <w:r>
        <w:rPr>
          <w:rFonts w:ascii="Arial" w:cs="Arial" w:eastAsia="Arial" w:hAnsi="Arial"/>
          <w:sz w:val="15"/>
          <w:szCs w:val="15"/>
          <w:color w:val="auto"/>
        </w:rPr>
        <w:t>As of March 12, 2014, TWC’s non-employee directors held an aggregate of 32,874 deferred stock units, 286,364 restricted stock units and 872,268 options, which were granted pursuant to the 2006 Plan and the 2011 Plan, including the amendments thereto and award agreements thereunder, which are referred to in this joint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400"/>
          </w:cols>
          <w:pgMar w:left="240" w:top="439" w:right="2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proxy statement/prospectus as the Director Equity Arrangements. Glenn A. Britt is the only director who holds options, which were granted to him when he served as TWC’s Chairman and Chief Executive Officer until his retirement on December 31, 2013, all of which are fully vested. In addition, Mr. Britt currently holds 105,519 restricted stock units that were also granted to him when he was in such position and which will be settled on July 1, 2014 (the six-month anniversary of Mr. Britt’s retirement as TWC’s Chairman and Chief Executive Officer), regardless of whether the merger closes or is terminated. Only 1,120 restricted stock units have been granted to Mr. Britt under the Director Equity Arrangements in his capacity as a non-employee director.</w:t>
      </w:r>
    </w:p>
    <w:p>
      <w:pPr>
        <w:spacing w:after="0" w:line="168"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41"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 (b) 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March 12, 2014, the latest practicable date prior to the filing of this joint proxy statement/prospectus, no equity awards held by any of the non-employee directors would be cut back.</w:t>
      </w:r>
    </w:p>
    <w:p>
      <w:pPr>
        <w:spacing w:after="0" w:line="187"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aggregate cash-out value of all deferred stock units, restricted stock units and (as applicable) options, for all non-employee directors other than Glenn Britt would be approximately $32.0 million in the aggregate and, for Mr. Britt, would be approximately $87.5 million (calculated as required under the merger agreement and using the average closing market price of a share of Comcast Class A common stock on NASDAQ over the first five business days following the first public announcement of the merger agreement).</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Beneficial Ownership of Officers and Directors</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 In addition, one of TWC’s independent directors, David Chang, may be deemed to beneficially own shares of Comcast stock, held in a revocable trust, with a current market value of approximately $100,000.</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Indemnification; Directors and Officers Insurance</w:t>
      </w:r>
    </w:p>
    <w:p>
      <w:pPr>
        <w:spacing w:after="0" w:line="107"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 of this joint proxy statement/prospectus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Quantification of Potential Payments to TWC Named Executive Officers in Connection with the Merger</w:t>
      </w:r>
    </w:p>
    <w:p>
      <w:pPr>
        <w:spacing w:after="0" w:line="111"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The information below is intended to comply with Item 402(t) of Regulation S-K, which requires disclosure of information about compensation for each TWC “named executive officer” that is based on or otherwise relates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380"/>
          </w:cols>
          <w:pgMar w:left="240" w:top="439" w:right="27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300"/>
        <w:spacing w:after="0" w:line="258" w:lineRule="auto"/>
        <w:rPr>
          <w:sz w:val="20"/>
          <w:szCs w:val="20"/>
          <w:color w:val="auto"/>
        </w:rPr>
      </w:pPr>
      <w:r>
        <w:rPr>
          <w:rFonts w:ascii="Arial" w:cs="Arial" w:eastAsia="Arial" w:hAnsi="Arial"/>
          <w:sz w:val="17"/>
          <w:szCs w:val="17"/>
          <w:color w:val="auto"/>
        </w:rPr>
        <w:t>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the named executive officers were:</w:t>
      </w:r>
    </w:p>
    <w:p>
      <w:pPr>
        <w:spacing w:after="0" w:line="88" w:lineRule="exact"/>
        <w:rPr>
          <w:sz w:val="20"/>
          <w:szCs w:val="20"/>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Glenn A. Britt, who served as TWC’s Chairman and Chief Executive Officer during 2013 until his retirement on December 31, 2013;</w:t>
      </w:r>
    </w:p>
    <w:p>
      <w:pPr>
        <w:spacing w:after="0" w:line="119" w:lineRule="exact"/>
        <w:rPr>
          <w:rFonts w:ascii="Arial" w:cs="Arial" w:eastAsia="Arial" w:hAnsi="Arial"/>
          <w:sz w:val="17"/>
          <w:szCs w:val="17"/>
          <w:color w:val="auto"/>
        </w:rPr>
      </w:pPr>
    </w:p>
    <w:p>
      <w:pPr>
        <w:ind w:left="900" w:right="380" w:hanging="445"/>
        <w:spacing w:after="0" w:line="270"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Robert D. Marcus, who served as President and Chief Operating Officer during 2013 and became TWC’s Chairman and Chief Executive Officer upon Mr. Britt’s retirement;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Irene M. Esteves, who served as TWC’s Executive Vice President and Chief Financial Officer until May 1, 2013;</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Arthur T. Minson, Jr., who served as Executive Vice President and Chief Financial Officer from May 2, 2013;</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08"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49"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To the extent that any of TWC’s named executive officers’ compensation arrangements are described in “—Interests of Directors and Executive Officers of TWC in the Merger” beginning on page [—] of this joint proxy statement/prospectus, these are incorporated herein by reference. The amounts set forth in the table below, which represent an estimate of each named executive officer’s golden parachute compensation, assume the following:</w:t>
      </w:r>
    </w:p>
    <w:p>
      <w:pPr>
        <w:spacing w:after="0" w:line="70" w:lineRule="exact"/>
        <w:rPr>
          <w:sz w:val="20"/>
          <w:szCs w:val="20"/>
          <w:color w:val="auto"/>
        </w:rPr>
      </w:pPr>
    </w:p>
    <w:p>
      <w:pPr>
        <w:ind w:left="900" w:hanging="445"/>
        <w:spacing w:after="0"/>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That consummation of the merger constitutes a change in control for purpose of the applicable compensation plan or agreement;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That the change in control was consummated on March 12, 2014, the latest practicable date prior to the filing of this joint proxy statement/prospectus;</w:t>
      </w:r>
    </w:p>
    <w:p>
      <w:pPr>
        <w:spacing w:after="0" w:line="142" w:lineRule="exact"/>
        <w:rPr>
          <w:rFonts w:ascii="Arial" w:cs="Arial" w:eastAsia="Arial" w:hAnsi="Arial"/>
          <w:sz w:val="15"/>
          <w:szCs w:val="15"/>
          <w:color w:val="auto"/>
        </w:rPr>
      </w:pPr>
    </w:p>
    <w:p>
      <w:pPr>
        <w:ind w:left="900" w:hanging="445"/>
        <w:spacing w:after="0"/>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Each named executive officer’s employment is terminated without “cause” or with “good reason” immediately following the change in control; and</w:t>
      </w:r>
    </w:p>
    <w:p>
      <w:pPr>
        <w:spacing w:after="0" w:line="131" w:lineRule="exact"/>
        <w:rPr>
          <w:rFonts w:ascii="Arial" w:cs="Arial" w:eastAsia="Arial" w:hAnsi="Arial"/>
          <w:sz w:val="16"/>
          <w:szCs w:val="16"/>
          <w:color w:val="auto"/>
        </w:rPr>
      </w:pPr>
    </w:p>
    <w:p>
      <w:pPr>
        <w:ind w:left="900" w:right="100" w:hanging="445"/>
        <w:spacing w:after="0" w:line="258"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380"/>
          </w:cols>
          <w:pgMar w:left="240" w:top="439" w:right="27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260" w:firstLine="457"/>
        <w:spacing w:after="0" w:line="258" w:lineRule="auto"/>
        <w:rPr>
          <w:sz w:val="20"/>
          <w:szCs w:val="20"/>
          <w:color w:val="auto"/>
        </w:rPr>
      </w:pPr>
      <w:r>
        <w:rPr>
          <w:rFonts w:ascii="Arial" w:cs="Arial" w:eastAsia="Arial" w:hAnsi="Arial"/>
          <w:sz w:val="17"/>
          <w:szCs w:val="17"/>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Golden Parachute Compensation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Cash</w:t>
            </w: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Equity</w:t>
            </w: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Perquisites/</w:t>
            </w: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Other</w:t>
            </w: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5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Benefits</w:t>
            </w:r>
          </w:p>
        </w:tc>
        <w:tc>
          <w:tcPr>
            <w:tcW w:w="11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514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($)(1)(2)</w:t>
            </w:r>
          </w:p>
        </w:tc>
        <w:tc>
          <w:tcPr>
            <w:tcW w:w="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($)(3)</w:t>
            </w:r>
          </w:p>
        </w:tc>
        <w:tc>
          <w:tcPr>
            <w:tcW w:w="3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3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($)(5)</w:t>
            </w:r>
          </w:p>
        </w:tc>
        <w:tc>
          <w:tcPr>
            <w:tcW w:w="3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8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Robert D. Marcus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w w:val="91"/>
              </w:rPr>
              <w:t>Chairman and Chief Executive Officer (former President and Chief Operating</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20,458,904</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56,506,890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399,838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79,865,632</w:t>
            </w:r>
          </w:p>
        </w:tc>
        <w:tc>
          <w:tcPr>
            <w:tcW w:w="0" w:type="dxa"/>
            <w:vAlign w:val="bottom"/>
          </w:tcPr>
          <w:p>
            <w:pPr>
              <w:spacing w:after="0"/>
              <w:rPr>
                <w:sz w:val="1"/>
                <w:szCs w:val="1"/>
                <w:color w:val="auto"/>
              </w:rPr>
            </w:pP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Glenn A. Britt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ind w:left="160"/>
              <w:spacing w:after="0"/>
              <w:rPr>
                <w:sz w:val="20"/>
                <w:szCs w:val="20"/>
                <w:color w:val="auto"/>
              </w:rPr>
            </w:pPr>
            <w:r>
              <w:rPr>
                <w:rFonts w:ascii="Arial" w:cs="Arial" w:eastAsia="Arial" w:hAnsi="Arial"/>
                <w:sz w:val="17"/>
                <w:szCs w:val="17"/>
                <w:color w:val="auto"/>
              </w:rPr>
              <w:t>Retired Chairman and Chief Executive Officer(6)</w:t>
            </w:r>
          </w:p>
        </w:tc>
        <w:tc>
          <w:tcPr>
            <w:tcW w:w="22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Arthur T. Minson, Jr.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7,008,904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19,327,402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80,132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675,000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27,091,438</w:t>
            </w:r>
          </w:p>
        </w:tc>
        <w:tc>
          <w:tcPr>
            <w:tcW w:w="0" w:type="dxa"/>
            <w:vAlign w:val="bottom"/>
          </w:tcPr>
          <w:p>
            <w:pPr>
              <w:spacing w:after="0"/>
              <w:rPr>
                <w:sz w:val="1"/>
                <w:szCs w:val="1"/>
                <w:color w:val="auto"/>
              </w:rPr>
            </w:pP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Michael LaJoie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gridSpan w:val="2"/>
          </w:tcPr>
          <w:p>
            <w:pPr>
              <w:ind w:left="160"/>
              <w:spacing w:after="0"/>
              <w:rPr>
                <w:sz w:val="20"/>
                <w:szCs w:val="20"/>
                <w:color w:val="auto"/>
              </w:rPr>
            </w:pPr>
            <w:r>
              <w:rPr>
                <w:rFonts w:ascii="Arial" w:cs="Arial" w:eastAsia="Arial" w:hAnsi="Arial"/>
                <w:sz w:val="17"/>
                <w:szCs w:val="17"/>
                <w:color w:val="auto"/>
                <w:w w:val="97"/>
              </w:rPr>
              <w:t>Executive Vice President and Chief Technology and Network Operations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ind w:left="160"/>
              <w:spacing w:after="0"/>
              <w:rPr>
                <w:sz w:val="20"/>
                <w:szCs w:val="20"/>
                <w:color w:val="auto"/>
              </w:rPr>
            </w:pPr>
            <w:r>
              <w:rPr>
                <w:rFonts w:ascii="Arial" w:cs="Arial" w:eastAsia="Arial" w:hAnsi="Arial"/>
                <w:sz w:val="17"/>
                <w:szCs w:val="17"/>
                <w:color w:val="auto"/>
              </w:rPr>
              <w:t>Officer</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3,374,658</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12,539,053</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72,164</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325,000</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16,310,875</w:t>
            </w:r>
          </w:p>
        </w:tc>
        <w:tc>
          <w:tcPr>
            <w:tcW w:w="0" w:type="dxa"/>
            <w:vAlign w:val="bottom"/>
          </w:tcPr>
          <w:p>
            <w:pPr>
              <w:spacing w:after="0"/>
              <w:rPr>
                <w:sz w:val="1"/>
                <w:szCs w:val="1"/>
                <w:color w:val="auto"/>
              </w:rPr>
            </w:pPr>
          </w:p>
        </w:tc>
      </w:tr>
      <w:tr>
        <w:trPr>
          <w:trHeight w:val="202"/>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Philip G. Meeks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6"/>
              </w:rPr>
              <w:t>Executive Vice President and Chief Operating Officer, Business Services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3,715,068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7,622,524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58,751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11,696,343</w:t>
            </w:r>
          </w:p>
        </w:tc>
        <w:tc>
          <w:tcPr>
            <w:tcW w:w="0" w:type="dxa"/>
            <w:vAlign w:val="bottom"/>
          </w:tcPr>
          <w:p>
            <w:pPr>
              <w:spacing w:after="0"/>
              <w:rPr>
                <w:sz w:val="1"/>
                <w:szCs w:val="1"/>
                <w:color w:val="auto"/>
              </w:rPr>
            </w:pP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Irene M. Esteves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ind w:left="160"/>
              <w:spacing w:after="0"/>
              <w:rPr>
                <w:sz w:val="20"/>
                <w:szCs w:val="20"/>
                <w:color w:val="auto"/>
              </w:rPr>
            </w:pPr>
            <w:r>
              <w:rPr>
                <w:rFonts w:ascii="Arial" w:cs="Arial" w:eastAsia="Arial" w:hAnsi="Arial"/>
                <w:sz w:val="17"/>
                <w:szCs w:val="17"/>
                <w:color w:val="auto"/>
              </w:rPr>
              <w:t>Former Executive Vice President and Chief Financial Officer</w:t>
            </w:r>
          </w:p>
        </w:tc>
        <w:tc>
          <w:tcPr>
            <w:tcW w:w="22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left="460" w:right="60" w:hanging="459"/>
        <w:spacing w:after="0" w:line="282" w:lineRule="auto"/>
        <w:tabs>
          <w:tab w:leader="none" w:pos="4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amounts in this column reflect continuation of annual base salary and target bonus in effect on the assumed date of termination for a 36-month period for Messrs. Marcus, Minson, and Meeks and for a 30-month period for Mr. LaJoie. Base salaries as of the effective time of the transaction are as follows: Mr. Marcus ($1,500,000), Mr. Minson ($900,000), Mr. LaJoie ($650,000) and Mr. Meeks ($600,000). The most recent target annual bonuses as of the effective time of the transaction are as follows: Mr. Marcus ($5,000,000), Mr. Minson ($1,350,000), Mr. LaJoie ($650,000) and Mr. Meeks ($600,000). These severance amounts are “double trigger” payments, payable if the executive resigns for “good reason” (see discussion below) or is terminated by TWC without cause within (i) 24 months following the effective date of a change in control or (ii) following TWC’s execution of an agreement contemplating a change in control but before the date that is 24 months after a change in control (or, if earlier, the expiration or termination of such change in control agreement without a change in control). Assuming a termination on March 12, 2014, the amounts also include a pro-rata target bonus for the year of termination which are as follows: Mr. Marcus ($958,904),</w:t>
      </w:r>
    </w:p>
    <w:p>
      <w:pPr>
        <w:spacing w:after="0" w:line="4" w:lineRule="exact"/>
        <w:rPr>
          <w:rFonts w:ascii="Arial" w:cs="Arial" w:eastAsia="Arial" w:hAnsi="Arial"/>
          <w:sz w:val="15"/>
          <w:szCs w:val="15"/>
          <w:color w:val="auto"/>
        </w:rPr>
      </w:pPr>
    </w:p>
    <w:p>
      <w:pPr>
        <w:ind w:left="460" w:right="200"/>
        <w:spacing w:after="0" w:line="247" w:lineRule="auto"/>
        <w:rPr>
          <w:rFonts w:ascii="Arial" w:cs="Arial" w:eastAsia="Arial" w:hAnsi="Arial"/>
          <w:sz w:val="15"/>
          <w:szCs w:val="15"/>
          <w:color w:val="auto"/>
        </w:rPr>
      </w:pPr>
      <w:r>
        <w:rPr>
          <w:rFonts w:ascii="Arial" w:cs="Arial" w:eastAsia="Arial" w:hAnsi="Arial"/>
          <w:sz w:val="17"/>
          <w:szCs w:val="17"/>
          <w:color w:val="auto"/>
        </w:rPr>
        <w:t>Mr. Minson ($258,904), Mr. LaJoie ($124,658) and Mr. Meeks ($115,068).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from what it would have been had no change in control occurred.</w:t>
      </w:r>
    </w:p>
    <w:p>
      <w:pPr>
        <w:spacing w:after="0" w:line="2" w:lineRule="exact"/>
        <w:rPr>
          <w:rFonts w:ascii="Arial" w:cs="Arial" w:eastAsia="Arial" w:hAnsi="Arial"/>
          <w:sz w:val="15"/>
          <w:szCs w:val="15"/>
          <w:color w:val="auto"/>
        </w:rPr>
      </w:pPr>
    </w:p>
    <w:p>
      <w:pPr>
        <w:ind w:left="460" w:right="240" w:hanging="459"/>
        <w:spacing w:after="0" w:line="251" w:lineRule="auto"/>
        <w:tabs>
          <w:tab w:leader="none" w:pos="4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420"/>
          </w:cols>
          <w:pgMar w:left="240" w:top="439" w:right="2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40" w:hanging="459"/>
        <w:spacing w:after="0" w:line="284" w:lineRule="auto"/>
        <w:tabs>
          <w:tab w:leader="none" w:pos="4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amounts in this column reflect the value (spread value in the case of options) in respect of restricted stock units and unvested options,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$5,502,731 for 100,262 unvested options; Mr. LaJoie $8,236,842 for 54,760 restricted stock units and $4,302,211 for 62,654 unvested options; and Mr. Meeks: $6,178,573 for 41,077 restricted stock units and $1,443,951 for 44,134 unvested options.</w:t>
      </w:r>
    </w:p>
    <w:p>
      <w:pPr>
        <w:ind w:left="460" w:hanging="459"/>
        <w:spacing w:after="0" w:line="247" w:lineRule="auto"/>
        <w:tabs>
          <w:tab w:leader="none" w:pos="4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 (x) executive level outplacement services and (y) one year of office space. The total aggregate value of these perquisites for each of Messrs. Marcus, Minson, LaJoie and Meeks is $399,838, $80,132, $72,164 and $58,751, respectively.</w:t>
      </w:r>
    </w:p>
    <w:p>
      <w:pPr>
        <w:spacing w:after="0" w:line="3" w:lineRule="exact"/>
        <w:rPr>
          <w:rFonts w:ascii="Arial" w:cs="Arial" w:eastAsia="Arial" w:hAnsi="Arial"/>
          <w:sz w:val="17"/>
          <w:szCs w:val="17"/>
          <w:color w:val="auto"/>
        </w:rPr>
      </w:pPr>
    </w:p>
    <w:p>
      <w:pPr>
        <w:ind w:left="460" w:right="420" w:hanging="459"/>
        <w:spacing w:after="0" w:line="247" w:lineRule="auto"/>
        <w:tabs>
          <w:tab w:leader="none" w:pos="4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amounts in this column reflect the 2014 supplemental bonus opportunity, assuming that 2014 performance through March 12, 2014, the assumed date of completion of the merger, is at target. These supplemental bonus opportunities are “single trigger.”</w:t>
      </w:r>
    </w:p>
    <w:p>
      <w:pPr>
        <w:spacing w:after="0" w:line="1" w:lineRule="exact"/>
        <w:rPr>
          <w:rFonts w:ascii="Arial" w:cs="Arial" w:eastAsia="Arial" w:hAnsi="Arial"/>
          <w:sz w:val="17"/>
          <w:szCs w:val="17"/>
          <w:color w:val="auto"/>
        </w:rPr>
      </w:pPr>
    </w:p>
    <w:p>
      <w:pPr>
        <w:ind w:left="460" w:right="100" w:hanging="459"/>
        <w:spacing w:after="0" w:line="251" w:lineRule="auto"/>
        <w:tabs>
          <w:tab w:leader="none" w:pos="4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All of Mr. Britt’s equity awards are currently vested. If the merger had closed on March 12, 2014, then his 1,120 restricted stock units granted to him as a director would have been immediately settled and cashed-out. All of Mr. Britt’s restricted stock units received while an employee will be settled on July 1, 2014 (the six-month anniversary of his retirement as TWC’s Chairman and Chief Executive Officer).</w:t>
      </w:r>
    </w:p>
    <w:p>
      <w:pPr>
        <w:spacing w:after="0" w:line="182"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 of this joint proxy statement/prospectus, which is incorporated herein by reference.</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TWC’s Employment Agreements with its Named Executive Officers</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77"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Pursuant to each named executive officer’s employment agreement, if the officer resigns for “good reason” (see discussion below) or is terminated by TWC without cause, the officer is entitled to the payments and benefits described below:</w:t>
      </w:r>
    </w:p>
    <w:p>
      <w:pPr>
        <w:spacing w:after="0" w:line="77" w:lineRule="exact"/>
        <w:rPr>
          <w:sz w:val="20"/>
          <w:szCs w:val="20"/>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accrued but unpaid bonus for the preceding fiscal year,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pro rata bonus for service during the year of termination,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continued salary and target bonus payments, paid on TWC’s normal payment dates for salary:</w:t>
      </w:r>
    </w:p>
    <w:p>
      <w:pPr>
        <w:spacing w:after="0" w:line="119" w:lineRule="exact"/>
        <w:rPr>
          <w:rFonts w:ascii="Arial" w:cs="Arial" w:eastAsia="Arial" w:hAnsi="Arial"/>
          <w:sz w:val="17"/>
          <w:szCs w:val="17"/>
          <w:color w:val="auto"/>
        </w:rPr>
      </w:pPr>
    </w:p>
    <w:p>
      <w:pPr>
        <w:ind w:left="1480" w:right="280" w:hanging="571"/>
        <w:spacing w:after="0" w:line="270" w:lineRule="auto"/>
        <w:tabs>
          <w:tab w:leader="none" w:pos="148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 (i) amounts effective at termination, and (ii) amounts effective on effective date of the officer’s employment agreement;</w:t>
      </w:r>
    </w:p>
    <w:p>
      <w:pPr>
        <w:spacing w:after="0" w:line="77" w:lineRule="exact"/>
        <w:rPr>
          <w:rFonts w:ascii="Arial" w:cs="Arial" w:eastAsia="Arial" w:hAnsi="Arial"/>
          <w:sz w:val="17"/>
          <w:szCs w:val="17"/>
          <w:color w:val="auto"/>
        </w:rPr>
      </w:pPr>
    </w:p>
    <w:p>
      <w:pPr>
        <w:ind w:left="1480" w:right="380" w:hanging="571"/>
        <w:spacing w:after="0" w:line="270" w:lineRule="auto"/>
        <w:tabs>
          <w:tab w:leader="none" w:pos="148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for 30 months for Mr. LaJoie, where the bonus component is the greater of (i) the target bonus at termination and (ii) the average of his annual bonus for the two years immediately preceding the year of termination;</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continued participation in TWC’s health and welfare benefits for the applicable 30 or 36 month severance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420"/>
          </w:cols>
          <w:pgMar w:left="240" w:top="439"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for Mr. LaJoie, (i) executive level outplacement and (ii) one year of office space.</w:t>
      </w:r>
    </w:p>
    <w:p>
      <w:pPr>
        <w:spacing w:after="0" w:line="208"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 month period versus a 36 month period). For Mr. LaJoie, the above severance payments and benefits are triggered upon the termination, regardless of whether there is also a change in control.</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generally means any of the following occurrences without the officer’s consent:</w:t>
      </w:r>
    </w:p>
    <w:p>
      <w:pPr>
        <w:spacing w:after="0" w:line="120" w:lineRule="exact"/>
        <w:rPr>
          <w:sz w:val="20"/>
          <w:szCs w:val="20"/>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material violation with respect to such officer’s authority, functions, duties, powers, responsibilities or place of employment;</w:t>
      </w:r>
    </w:p>
    <w:p>
      <w:pPr>
        <w:spacing w:after="0" w:line="119" w:lineRule="exact"/>
        <w:rPr>
          <w:rFonts w:ascii="Arial" w:cs="Arial" w:eastAsia="Arial" w:hAnsi="Arial"/>
          <w:sz w:val="17"/>
          <w:szCs w:val="17"/>
          <w:color w:val="auto"/>
        </w:rPr>
      </w:pPr>
    </w:p>
    <w:p>
      <w:pPr>
        <w:ind w:left="900" w:right="340" w:hanging="445"/>
        <w:spacing w:after="0" w:line="270" w:lineRule="auto"/>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failure to cause any successor to all or substantially all of the business and assets of the company expressly to assume the obligations of the company under the employment agreement;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material breach of the employer’s obligations under the employment agreement;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Mr. Minson, a material violation with respect to his reporting relationship.</w:t>
      </w:r>
    </w:p>
    <w:p>
      <w:pPr>
        <w:spacing w:after="0" w:line="20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6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66" w:lineRule="exact"/>
        <w:rPr>
          <w:sz w:val="20"/>
          <w:szCs w:val="20"/>
          <w:color w:val="auto"/>
        </w:rPr>
      </w:pPr>
    </w:p>
    <w:p>
      <w:pPr>
        <w:jc w:val="both"/>
        <w:ind w:right="420" w:firstLine="457"/>
        <w:spacing w:after="0" w:line="309" w:lineRule="auto"/>
        <w:rPr>
          <w:sz w:val="20"/>
          <w:szCs w:val="20"/>
          <w:color w:val="auto"/>
        </w:rPr>
      </w:pPr>
      <w:r>
        <w:rPr>
          <w:rFonts w:ascii="Arial" w:cs="Arial" w:eastAsia="Arial" w:hAnsi="Arial"/>
          <w:sz w:val="15"/>
          <w:szCs w:val="15"/>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condition to receiving these severance payments and benefits, the named executive officer must (i) execute, deliver and not revoke a release of claims and</w:t>
      </w:r>
    </w:p>
    <w:p>
      <w:pPr>
        <w:spacing w:after="0" w:line="41" w:lineRule="exact"/>
        <w:rPr>
          <w:sz w:val="20"/>
          <w:szCs w:val="20"/>
          <w:color w:val="auto"/>
        </w:rPr>
      </w:pPr>
    </w:p>
    <w:p>
      <w:pPr>
        <w:ind w:right="20" w:firstLine="1"/>
        <w:spacing w:after="0" w:line="280" w:lineRule="auto"/>
        <w:tabs>
          <w:tab w:leader="none" w:pos="247"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w:t>
      </w:r>
    </w:p>
    <w:p>
      <w:pPr>
        <w:spacing w:after="0" w:line="1" w:lineRule="exact"/>
        <w:rPr>
          <w:rFonts w:ascii="Arial" w:cs="Arial" w:eastAsia="Arial" w:hAnsi="Arial"/>
          <w:sz w:val="15"/>
          <w:szCs w:val="15"/>
          <w:color w:val="auto"/>
        </w:rPr>
      </w:pPr>
    </w:p>
    <w:p>
      <w:pPr>
        <w:ind w:left="280" w:hanging="279"/>
        <w:spacing w:after="0"/>
        <w:tabs>
          <w:tab w:leader="none" w:pos="28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covenants relating to non-competition during their employment terms and for 24 months (12 months for Mr. LaJoie) following the end of their employment terms.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380"/>
          </w:cols>
          <w:pgMar w:left="240" w:top="439" w:right="2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TWC PROPOSAL II: ADVISORY VOTE ON GOLDEN PARACHUTE COMPENSATION</w:t>
      </w:r>
    </w:p>
    <w:p>
      <w:pPr>
        <w:spacing w:after="0" w:line="212"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80"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 of this joint proxy statement/prospectus. That summary includes all compensation and benefits that will or may be paid by TWC to its named executive officers in connection with the merger.</w:t>
      </w:r>
    </w:p>
    <w:p>
      <w:pPr>
        <w:spacing w:after="0" w:line="178" w:lineRule="exact"/>
        <w:rPr>
          <w:sz w:val="20"/>
          <w:szCs w:val="20"/>
          <w:color w:val="auto"/>
        </w:rPr>
      </w:pPr>
    </w:p>
    <w:p>
      <w:pPr>
        <w:ind w:right="1320" w:firstLine="457"/>
        <w:spacing w:after="0" w:line="270" w:lineRule="auto"/>
        <w:rPr>
          <w:sz w:val="20"/>
          <w:szCs w:val="20"/>
          <w:color w:val="auto"/>
        </w:rPr>
      </w:pPr>
      <w:r>
        <w:rPr>
          <w:rFonts w:ascii="Arial" w:cs="Arial" w:eastAsia="Arial" w:hAnsi="Arial"/>
          <w:sz w:val="17"/>
          <w:szCs w:val="17"/>
          <w:color w:val="auto"/>
        </w:rPr>
        <w:t>The TWC board of directors encourages you to review carefully the “golden parachute” compensation information disclosed in this joint proxy statement/prospectus.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TWC board of directors unanimously recommends that the stockholders of TWC approve the following resolution:</w:t>
      </w:r>
    </w:p>
    <w:p>
      <w:pPr>
        <w:spacing w:after="0" w:line="107" w:lineRule="exact"/>
        <w:rPr>
          <w:sz w:val="20"/>
          <w:szCs w:val="20"/>
          <w:color w:val="auto"/>
        </w:rPr>
      </w:pPr>
    </w:p>
    <w:p>
      <w:pPr>
        <w:ind w:right="320" w:firstLine="457"/>
        <w:spacing w:after="0" w:line="258" w:lineRule="auto"/>
        <w:rPr>
          <w:sz w:val="20"/>
          <w:szCs w:val="20"/>
          <w:color w:val="auto"/>
        </w:rPr>
      </w:pPr>
      <w:r>
        <w:rPr>
          <w:rFonts w:ascii="Arial" w:cs="Arial" w:eastAsia="Arial" w:hAnsi="Arial"/>
          <w:sz w:val="17"/>
          <w:szCs w:val="17"/>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77"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5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2" w:lineRule="exact"/>
        <w:rPr>
          <w:sz w:val="20"/>
          <w:szCs w:val="20"/>
          <w:color w:val="auto"/>
        </w:rPr>
      </w:pPr>
    </w:p>
    <w:p>
      <w:pPr>
        <w:jc w:val="center"/>
        <w:ind w:right="420"/>
        <w:spacing w:after="0" w:line="445" w:lineRule="auto"/>
        <w:rPr>
          <w:sz w:val="20"/>
          <w:szCs w:val="20"/>
          <w:color w:val="auto"/>
        </w:rPr>
      </w:pPr>
      <w:r>
        <w:rPr>
          <w:rFonts w:ascii="Arial" w:cs="Arial" w:eastAsia="Arial" w:hAnsi="Arial"/>
          <w:sz w:val="17"/>
          <w:szCs w:val="17"/>
          <w:b w:val="1"/>
          <w:bCs w:val="1"/>
          <w:color w:val="auto"/>
        </w:rPr>
        <w:t xml:space="preserve">The TWC board of directors unanimously recommends that TWC stockholders vote “FOR” the “golden parachute” compensation proposal. </w:t>
      </w:r>
      <w:r>
        <w:rPr>
          <w:rFonts w:ascii="Arial" w:cs="Arial" w:eastAsia="Arial" w:hAnsi="Arial"/>
          <w:sz w:val="17"/>
          <w:szCs w:val="17"/>
          <w:color w:val="auto"/>
        </w:rPr>
        <w:t>177</w:t>
      </w:r>
    </w:p>
    <w:p>
      <w:pPr>
        <w:sectPr>
          <w:pgSz w:w="11900" w:h="16838" w:orient="portrait"/>
          <w:cols w:equalWidth="0" w:num="1">
            <w:col w:w="11400"/>
          </w:cols>
          <w:pgMar w:left="240" w:top="439"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COMCAST PROPOSAL II: ADJOURNMENT OF THE COMCAST SPECIAL MEETING</w:t>
      </w:r>
    </w:p>
    <w:p>
      <w:pPr>
        <w:spacing w:after="0" w:line="212"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71"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2" w:lineRule="exact"/>
        <w:rPr>
          <w:sz w:val="20"/>
          <w:szCs w:val="20"/>
          <w:color w:val="auto"/>
        </w:rPr>
      </w:pPr>
    </w:p>
    <w:p>
      <w:pPr>
        <w:ind w:right="220" w:firstLine="457"/>
        <w:spacing w:after="0" w:line="343" w:lineRule="auto"/>
        <w:rPr>
          <w:sz w:val="20"/>
          <w:szCs w:val="20"/>
          <w:color w:val="auto"/>
        </w:rPr>
      </w:pPr>
      <w:r>
        <w:rPr>
          <w:rFonts w:ascii="Arial" w:cs="Arial" w:eastAsia="Arial" w:hAnsi="Arial"/>
          <w:sz w:val="15"/>
          <w:szCs w:val="15"/>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400"/>
          </w:cols>
          <w:pgMar w:left="240" w:top="439" w:right="25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CERTAIN BENEFICIAL OWNERS OF TWC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by the TWC Board of Directors and Executive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as of the close of business on February 28, 2014 as to the number of shares of TWC common stock beneficially owned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08" w:lineRule="exact"/>
        <w:rPr>
          <w:sz w:val="20"/>
          <w:szCs w:val="20"/>
          <w:color w:val="auto"/>
        </w:rPr>
      </w:pPr>
    </w:p>
    <w:p>
      <w:pPr>
        <w:ind w:left="900" w:hanging="445"/>
        <w:spacing w:after="0"/>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each TWC named executive officer;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each current TWC director;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all current TWC executive officers and directors, as a group.</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3"/>
          <w:szCs w:val="13"/>
          <w:b w:val="1"/>
          <w:bCs w:val="1"/>
          <w:color w:val="auto"/>
        </w:rPr>
        <w:t>TWC Common Stock</w:t>
      </w:r>
    </w:p>
    <w:p>
      <w:pPr>
        <w:ind w:left="9340"/>
        <w:spacing w:after="0" w:line="237" w:lineRule="auto"/>
        <w:rPr>
          <w:sz w:val="20"/>
          <w:szCs w:val="20"/>
          <w:color w:val="auto"/>
        </w:rPr>
      </w:pPr>
      <w:r>
        <w:rPr>
          <w:rFonts w:ascii="Arial" w:cs="Arial" w:eastAsia="Arial" w:hAnsi="Arial"/>
          <w:sz w:val="13"/>
          <w:szCs w:val="13"/>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340" w:type="dxa"/>
            <w:vAlign w:val="bottom"/>
          </w:tcPr>
          <w:p>
            <w:pPr>
              <w:spacing w:after="0"/>
              <w:rPr>
                <w:sz w:val="9"/>
                <w:szCs w:val="9"/>
                <w:color w:val="auto"/>
              </w:rPr>
            </w:pPr>
          </w:p>
        </w:tc>
        <w:tc>
          <w:tcPr>
            <w:tcW w:w="8320" w:type="dxa"/>
            <w:vAlign w:val="bottom"/>
          </w:tcPr>
          <w:p>
            <w:pPr>
              <w:spacing w:after="0"/>
              <w:rPr>
                <w:sz w:val="9"/>
                <w:szCs w:val="9"/>
                <w:color w:val="auto"/>
              </w:rPr>
            </w:pPr>
          </w:p>
        </w:tc>
        <w:tc>
          <w:tcPr>
            <w:tcW w:w="10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7"/>
              </w:rPr>
              <w:t>Number</w:t>
            </w:r>
          </w:p>
        </w:tc>
        <w:tc>
          <w:tcPr>
            <w:tcW w:w="1160" w:type="dxa"/>
            <w:vAlign w:val="bottom"/>
            <w:tcBorders>
              <w:top w:val="single" w:sz="8" w:color="auto"/>
            </w:tcBorders>
            <w:gridSpan w:val="2"/>
          </w:tcPr>
          <w:p>
            <w:pPr>
              <w:ind w:left="140"/>
              <w:spacing w:after="0" w:line="111" w:lineRule="exact"/>
              <w:rPr>
                <w:sz w:val="20"/>
                <w:szCs w:val="20"/>
                <w:color w:val="auto"/>
              </w:rPr>
            </w:pPr>
            <w:r>
              <w:rPr>
                <w:rFonts w:ascii="Arial" w:cs="Arial" w:eastAsia="Arial" w:hAnsi="Arial"/>
                <w:sz w:val="12"/>
                <w:szCs w:val="12"/>
                <w:b w:val="1"/>
                <w:bCs w:val="1"/>
                <w:color w:val="auto"/>
              </w:rPr>
              <w:t>Right to</w:t>
            </w:r>
          </w:p>
        </w:tc>
        <w:tc>
          <w:tcPr>
            <w:tcW w:w="4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w w:val="87"/>
              </w:rPr>
              <w:t>Percent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8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gridSpan w:val="2"/>
            <w:vMerge w:val="continue"/>
          </w:tcPr>
          <w:p>
            <w:pPr>
              <w:spacing w:after="0"/>
              <w:rPr>
                <w:sz w:val="12"/>
                <w:szCs w:val="12"/>
                <w:color w:val="auto"/>
              </w:rPr>
            </w:pPr>
          </w:p>
        </w:tc>
        <w:tc>
          <w:tcPr>
            <w:tcW w:w="1160" w:type="dxa"/>
            <w:vAlign w:val="bottom"/>
            <w:gridSpan w:val="2"/>
          </w:tcPr>
          <w:p>
            <w:pPr>
              <w:ind w:left="140"/>
              <w:spacing w:after="0" w:line="139" w:lineRule="exact"/>
              <w:rPr>
                <w:sz w:val="20"/>
                <w:szCs w:val="20"/>
                <w:color w:val="auto"/>
              </w:rPr>
            </w:pPr>
            <w:r>
              <w:rPr>
                <w:rFonts w:ascii="Arial" w:cs="Arial" w:eastAsia="Arial" w:hAnsi="Arial"/>
                <w:sz w:val="13"/>
                <w:szCs w:val="13"/>
                <w:b w:val="1"/>
                <w:bCs w:val="1"/>
                <w:color w:val="auto"/>
              </w:rPr>
              <w:t>Acquire</w:t>
            </w:r>
          </w:p>
        </w:tc>
        <w:tc>
          <w:tcPr>
            <w:tcW w:w="4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60" w:type="dxa"/>
            <w:vAlign w:val="bottom"/>
            <w:gridSpan w:val="2"/>
            <w:vMerge w:val="continue"/>
          </w:tcPr>
          <w:p>
            <w:pPr>
              <w:spacing w:after="0"/>
              <w:rPr>
                <w:sz w:val="13"/>
                <w:szCs w:val="13"/>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of Shares</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Shares(2)</w:t>
            </w: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194"/>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2"/>
              </w:rPr>
              <w:t>Carole</w:t>
            </w:r>
          </w:p>
        </w:tc>
        <w:tc>
          <w:tcPr>
            <w:tcW w:w="8320" w:type="dxa"/>
            <w:vAlign w:val="bottom"/>
            <w:tcBorders>
              <w:top w:val="single" w:sz="8" w:color="CCEEFF"/>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Black</w:t>
            </w: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w:t>
            </w:r>
          </w:p>
        </w:tc>
        <w:tc>
          <w:tcPr>
            <w:tcW w:w="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6,361</w:t>
            </w:r>
          </w:p>
        </w:tc>
        <w:tc>
          <w:tcPr>
            <w:tcW w:w="4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9"/>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Glenn A. Britt(3)</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178,799</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5"/>
              </w:rPr>
              <w:t>1,008,907</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Thomas H. Castro</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David C. Chang</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2,443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E. Copeland, Jr.</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Irene M. Esteves</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6,638</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26,979</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R. Haje(4)</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15,622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Donna A. James</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150</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LaJoie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11,807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64,341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Don Logan</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D. Marcus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61,281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315,339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Philip G. Meeks</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Arthur T. Minson, Jr.</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N.J. Nicholas, Jr.</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2,333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Wayne H. Pace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24,754</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Edward D. Shirley</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1,333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E. Sununu</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660" w:type="dxa"/>
            <w:vAlign w:val="bottom"/>
            <w:gridSpan w:val="2"/>
          </w:tcPr>
          <w:p>
            <w:pPr>
              <w:spacing w:after="0"/>
              <w:rPr>
                <w:sz w:val="20"/>
                <w:szCs w:val="20"/>
                <w:color w:val="auto"/>
              </w:rPr>
            </w:pPr>
            <w:r>
              <w:rPr>
                <w:rFonts w:ascii="Arial" w:cs="Arial" w:eastAsia="Arial" w:hAnsi="Arial"/>
                <w:sz w:val="17"/>
                <w:szCs w:val="17"/>
                <w:color w:val="auto"/>
              </w:rPr>
              <w:t>All current directors and executive officers as a group (19 persons)(3)-(5)</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325,627</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5"/>
              </w:rPr>
              <w:t>1,574,350</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hanging="459"/>
        <w:spacing w:after="0"/>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the issued and outstanding TWC common stock on February 28, 2014.</w:t>
      </w:r>
    </w:p>
    <w:p>
      <w:pPr>
        <w:spacing w:after="0" w:line="18" w:lineRule="exact"/>
        <w:rPr>
          <w:sz w:val="20"/>
          <w:szCs w:val="20"/>
          <w:color w:val="auto"/>
        </w:rPr>
      </w:pPr>
    </w:p>
    <w:p>
      <w:pPr>
        <w:ind w:left="460" w:right="120" w:hanging="459"/>
        <w:spacing w:after="0" w:line="280" w:lineRule="auto"/>
        <w:tabs>
          <w:tab w:leader="none" w:pos="4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February 28, 2014, the only equity securities of TWC beneficially owned by the named persons or group were (i) shares of TWC common stock, (ii) options to purchase shares of TWC common stock and (iii) restricted stock units and deferred stock units reflecting the contingent right to receive shares of TWC common stock. None of these shares of TWC common stock was pledged as security.</w:t>
      </w:r>
    </w:p>
    <w:p>
      <w:pPr>
        <w:spacing w:after="0" w:line="3" w:lineRule="exact"/>
        <w:rPr>
          <w:rFonts w:ascii="Arial" w:cs="Arial" w:eastAsia="Arial" w:hAnsi="Arial"/>
          <w:sz w:val="15"/>
          <w:szCs w:val="15"/>
          <w:color w:val="auto"/>
        </w:rPr>
      </w:pPr>
    </w:p>
    <w:p>
      <w:pPr>
        <w:ind w:left="460" w:hanging="459"/>
        <w:spacing w:after="0" w:line="267" w:lineRule="auto"/>
        <w:tabs>
          <w:tab w:leader="none" w:pos="4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February 28, 2014, were unexercised, but were exercisable on or within 60 days after that date and (ii) restricted stock units that, on February 28,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 (i) 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420"/>
          </w:cols>
          <w:pgMar w:left="240" w:top="439"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February 28, 2014 are set forth below. The directors do not have voting rights with respect to these restricted stock units and deferred stock units, but they represent an economic interest in the shares of TWC common stock.</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5"/>
              </w:rPr>
              <w:t>Pre-2011</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Deferred</w:t>
            </w:r>
          </w:p>
        </w:tc>
      </w:tr>
      <w:tr>
        <w:trPr>
          <w:trHeight w:val="139"/>
        </w:trPr>
        <w:tc>
          <w:tcPr>
            <w:tcW w:w="6700" w:type="dxa"/>
            <w:vAlign w:val="bottom"/>
          </w:tcPr>
          <w:p>
            <w:pPr>
              <w:spacing w:after="0"/>
              <w:rPr>
                <w:sz w:val="12"/>
                <w:szCs w:val="12"/>
                <w:color w:val="auto"/>
              </w:rPr>
            </w:pPr>
          </w:p>
        </w:tc>
        <w:tc>
          <w:tcPr>
            <w:tcW w:w="136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4"/>
              </w:rPr>
              <w:t>Restricted</w:t>
            </w:r>
          </w:p>
        </w:tc>
        <w:tc>
          <w:tcPr>
            <w:tcW w:w="6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0"/>
              </w:rPr>
              <w:t>Stock</w:t>
            </w:r>
          </w:p>
        </w:tc>
      </w:tr>
      <w:tr>
        <w:trPr>
          <w:trHeight w:val="159"/>
        </w:trPr>
        <w:tc>
          <w:tcPr>
            <w:tcW w:w="6700" w:type="dxa"/>
            <w:vAlign w:val="bottom"/>
          </w:tcPr>
          <w:p>
            <w:pPr>
              <w:spacing w:after="0"/>
              <w:rPr>
                <w:sz w:val="13"/>
                <w:szCs w:val="13"/>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Stock Units</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Units</w:t>
            </w:r>
          </w:p>
        </w:tc>
      </w:tr>
      <w:tr>
        <w:trPr>
          <w:trHeight w:val="194"/>
        </w:trPr>
        <w:tc>
          <w:tcPr>
            <w:tcW w:w="6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Carole Black</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12,409</w:t>
            </w:r>
          </w:p>
        </w:tc>
        <w:tc>
          <w:tcPr>
            <w:tcW w:w="6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center"/>
              <w:ind w:left="120"/>
              <w:spacing w:after="0" w:line="194" w:lineRule="exact"/>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Thomas H. Castro</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David C. Chang</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11,113</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6,832</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James E. Copeland, Jr.</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9"/>
              </w:rPr>
              <w:t>6,126</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Peter R. Haje</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7,532</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Donna A. James</w:t>
            </w:r>
          </w:p>
        </w:tc>
        <w:tc>
          <w:tcPr>
            <w:tcW w:w="680" w:type="dxa"/>
            <w:vAlign w:val="bottom"/>
          </w:tcPr>
          <w:p>
            <w:pPr>
              <w:jc w:val="right"/>
              <w:spacing w:after="0"/>
              <w:rPr>
                <w:sz w:val="20"/>
                <w:szCs w:val="20"/>
                <w:color w:val="auto"/>
              </w:rPr>
            </w:pPr>
            <w:r>
              <w:rPr>
                <w:rFonts w:ascii="Arial" w:cs="Arial" w:eastAsia="Arial" w:hAnsi="Arial"/>
                <w:sz w:val="17"/>
                <w:szCs w:val="17"/>
                <w:color w:val="auto"/>
              </w:rPr>
              <w:t>5,912</w:t>
            </w:r>
          </w:p>
        </w:tc>
        <w:tc>
          <w:tcPr>
            <w:tcW w:w="680" w:type="dxa"/>
            <w:vAlign w:val="bottom"/>
          </w:tcPr>
          <w:p>
            <w:pPr>
              <w:spacing w:after="0"/>
              <w:rPr>
                <w:sz w:val="17"/>
                <w:szCs w:val="17"/>
                <w:color w:val="auto"/>
              </w:rPr>
            </w:pP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Don Logan</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shd w:val="clear" w:color="auto" w:fill="CCEEFF"/>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N.J. Nicholas, Jr.</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9"/>
              </w:rPr>
              <w:t>6,598</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Wayne H. Pace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5,783</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Edward D. Shirley</w:t>
            </w:r>
          </w:p>
        </w:tc>
        <w:tc>
          <w:tcPr>
            <w:tcW w:w="680" w:type="dxa"/>
            <w:vAlign w:val="bottom"/>
          </w:tcPr>
          <w:p>
            <w:pPr>
              <w:jc w:val="right"/>
              <w:spacing w:after="0"/>
              <w:rPr>
                <w:sz w:val="20"/>
                <w:szCs w:val="20"/>
                <w:color w:val="auto"/>
              </w:rPr>
            </w:pPr>
            <w:r>
              <w:rPr>
                <w:rFonts w:ascii="Arial" w:cs="Arial" w:eastAsia="Arial" w:hAnsi="Arial"/>
                <w:sz w:val="17"/>
                <w:szCs w:val="17"/>
                <w:color w:val="auto"/>
              </w:rPr>
              <w:t>5,912</w:t>
            </w:r>
          </w:p>
        </w:tc>
        <w:tc>
          <w:tcPr>
            <w:tcW w:w="680" w:type="dxa"/>
            <w:vAlign w:val="bottom"/>
          </w:tcPr>
          <w:p>
            <w:pPr>
              <w:spacing w:after="0"/>
              <w:rPr>
                <w:sz w:val="17"/>
                <w:szCs w:val="17"/>
                <w:color w:val="auto"/>
              </w:rPr>
            </w:pP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John E. Sununu</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5,912</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left="20"/>
              <w:spacing w:after="0"/>
              <w:rPr>
                <w:sz w:val="20"/>
                <w:szCs w:val="20"/>
                <w:color w:val="auto"/>
              </w:rPr>
            </w:pPr>
            <w:r>
              <w:rPr>
                <w:rFonts w:ascii="Arial" w:cs="Arial" w:eastAsia="Arial" w:hAnsi="Arial"/>
                <w:sz w:val="17"/>
                <w:szCs w:val="17"/>
                <w:color w:val="auto"/>
                <w:w w:val="93"/>
              </w:rPr>
              <w:t>—</w:t>
            </w:r>
          </w:p>
        </w:tc>
      </w:tr>
    </w:tbl>
    <w:p>
      <w:pPr>
        <w:spacing w:after="0" w:line="215" w:lineRule="exact"/>
        <w:rPr>
          <w:sz w:val="20"/>
          <w:szCs w:val="20"/>
          <w:color w:val="auto"/>
        </w:rPr>
      </w:pPr>
    </w:p>
    <w:p>
      <w:pPr>
        <w:ind w:left="460" w:right="240" w:hanging="459"/>
        <w:spacing w:after="0" w:line="271" w:lineRule="auto"/>
        <w:tabs>
          <w:tab w:leader="none" w:pos="4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Includes (i) 29 shares of TWC common stock owned by Mr. Britt’s spouse, as to which Mr. Britt disclaims beneficial ownership and (ii) 1,288 shares of TWC common stock owned by the Glenn and Barbara Britt Foundation, as to which Mr. Britt and his spouse share voting and investment power.</w:t>
      </w:r>
    </w:p>
    <w:p>
      <w:pPr>
        <w:ind w:left="460" w:right="20" w:hanging="459"/>
        <w:spacing w:after="0" w:line="247" w:lineRule="auto"/>
        <w:tabs>
          <w:tab w:leader="none" w:pos="4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Includes 666 shares of TWC common stock owned by the Peter and Helen Haje Foundation, as to which Mr. Haje and his spouse share voting power but have no investment power.</w:t>
      </w:r>
    </w:p>
    <w:p>
      <w:pPr>
        <w:spacing w:after="0" w:line="1" w:lineRule="exact"/>
        <w:rPr>
          <w:rFonts w:ascii="Arial" w:cs="Arial" w:eastAsia="Arial" w:hAnsi="Arial"/>
          <w:sz w:val="17"/>
          <w:szCs w:val="17"/>
          <w:color w:val="auto"/>
        </w:rPr>
      </w:pPr>
    </w:p>
    <w:p>
      <w:pPr>
        <w:ind w:left="460" w:right="480" w:hanging="459"/>
        <w:spacing w:after="0" w:line="255" w:lineRule="auto"/>
        <w:tabs>
          <w:tab w:leader="none" w:pos="4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Includes an aggregate of approximately 1,009 shares of TWC common stock held by a trust under the TWC Savings Plan for the benefit of TWC’s current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Based on a review of filings with the SEC, as of February 28, 2014, TWC has determined that each of the persons listed below is a beneficial holder of more than 5% of the outstanding shares of TWC common stock as of the date indicated.</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w w:val="92"/>
              </w:rPr>
              <w:t>Shares of TWC</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gridSpan w:val="2"/>
          </w:tcPr>
          <w:p>
            <w:pPr>
              <w:jc w:val="right"/>
              <w:ind w:right="780"/>
              <w:spacing w:after="0" w:line="139" w:lineRule="exact"/>
              <w:rPr>
                <w:sz w:val="20"/>
                <w:szCs w:val="20"/>
                <w:color w:val="auto"/>
              </w:rPr>
            </w:pPr>
            <w:r>
              <w:rPr>
                <w:rFonts w:ascii="Arial" w:cs="Arial" w:eastAsia="Arial" w:hAnsi="Arial"/>
                <w:sz w:val="13"/>
                <w:szCs w:val="13"/>
                <w:b w:val="1"/>
                <w:bCs w:val="1"/>
                <w:color w:val="auto"/>
                <w:w w:val="90"/>
              </w:rPr>
              <w:t>Common Stock</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660" w:type="dxa"/>
            <w:vAlign w:val="bottom"/>
          </w:tcPr>
          <w:p>
            <w:pPr>
              <w:spacing w:after="0"/>
              <w:rPr>
                <w:sz w:val="12"/>
                <w:szCs w:val="12"/>
                <w:color w:val="auto"/>
              </w:rPr>
            </w:pPr>
          </w:p>
        </w:tc>
        <w:tc>
          <w:tcPr>
            <w:tcW w:w="1660" w:type="dxa"/>
            <w:vAlign w:val="bottom"/>
            <w:gridSpan w:val="2"/>
          </w:tcPr>
          <w:p>
            <w:pPr>
              <w:jc w:val="center"/>
              <w:ind w:right="760"/>
              <w:spacing w:after="0" w:line="139" w:lineRule="exact"/>
              <w:rPr>
                <w:sz w:val="20"/>
                <w:szCs w:val="20"/>
                <w:color w:val="auto"/>
              </w:rPr>
            </w:pPr>
            <w:r>
              <w:rPr>
                <w:rFonts w:ascii="Arial" w:cs="Arial" w:eastAsia="Arial" w:hAnsi="Arial"/>
                <w:sz w:val="13"/>
                <w:szCs w:val="13"/>
                <w:b w:val="1"/>
                <w:bCs w:val="1"/>
                <w:color w:val="auto"/>
                <w:w w:val="91"/>
              </w:rPr>
              <w:t>Beneficially</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88"/>
              </w:rPr>
              <w:t>Percent of Class</w:t>
            </w:r>
          </w:p>
        </w:tc>
        <w:tc>
          <w:tcPr>
            <w:tcW w:w="0" w:type="dxa"/>
            <w:vAlign w:val="bottom"/>
          </w:tcPr>
          <w:p>
            <w:pPr>
              <w:spacing w:after="0"/>
              <w:rPr>
                <w:sz w:val="1"/>
                <w:szCs w:val="1"/>
                <w:color w:val="auto"/>
              </w:rPr>
            </w:pPr>
          </w:p>
        </w:tc>
      </w:tr>
      <w:tr>
        <w:trPr>
          <w:trHeight w:val="159"/>
        </w:trPr>
        <w:tc>
          <w:tcPr>
            <w:tcW w:w="53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6"/>
              </w:rPr>
              <w:t>Owned</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Dodge &amp; Cox(1)</w:t>
            </w:r>
          </w:p>
        </w:tc>
        <w:tc>
          <w:tcPr>
            <w:tcW w:w="30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15,524,188</w:t>
            </w:r>
          </w:p>
        </w:tc>
        <w:tc>
          <w:tcPr>
            <w:tcW w:w="7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555 California Street, 40th Floor</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San Francisco, CA 94104</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340" w:type="dxa"/>
            <w:vAlign w:val="bottom"/>
            <w:gridSpan w:val="2"/>
          </w:tcPr>
          <w:p>
            <w:pPr>
              <w:spacing w:after="0"/>
              <w:rPr>
                <w:sz w:val="20"/>
                <w:szCs w:val="20"/>
                <w:color w:val="auto"/>
              </w:rPr>
            </w:pPr>
            <w:r>
              <w:rPr>
                <w:rFonts w:ascii="Arial" w:cs="Arial" w:eastAsia="Arial" w:hAnsi="Arial"/>
                <w:sz w:val="17"/>
                <w:szCs w:val="17"/>
                <w:color w:val="auto"/>
              </w:rPr>
              <w:t>The Vanguard Group Inc.(2)</w:t>
            </w:r>
          </w:p>
        </w:tc>
        <w:tc>
          <w:tcPr>
            <w:tcW w:w="2320" w:type="dxa"/>
            <w:vAlign w:val="bottom"/>
            <w:gridSpan w:val="3"/>
          </w:tcPr>
          <w:p>
            <w:pPr>
              <w:jc w:val="right"/>
              <w:ind w:right="760"/>
              <w:spacing w:after="0"/>
              <w:rPr>
                <w:sz w:val="20"/>
                <w:szCs w:val="20"/>
                <w:color w:val="auto"/>
              </w:rPr>
            </w:pPr>
            <w:r>
              <w:rPr>
                <w:rFonts w:ascii="Arial" w:cs="Arial" w:eastAsia="Arial" w:hAnsi="Arial"/>
                <w:sz w:val="17"/>
                <w:szCs w:val="17"/>
                <w:color w:val="auto"/>
              </w:rPr>
              <w:t>14,222,130</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2"/>
        </w:trPr>
        <w:tc>
          <w:tcPr>
            <w:tcW w:w="5340" w:type="dxa"/>
            <w:vAlign w:val="bottom"/>
            <w:gridSpan w:val="2"/>
          </w:tcPr>
          <w:p>
            <w:pPr>
              <w:ind w:left="160"/>
              <w:spacing w:after="0"/>
              <w:rPr>
                <w:sz w:val="20"/>
                <w:szCs w:val="20"/>
                <w:color w:val="auto"/>
              </w:rPr>
            </w:pPr>
            <w:r>
              <w:rPr>
                <w:rFonts w:ascii="Arial" w:cs="Arial" w:eastAsia="Arial" w:hAnsi="Arial"/>
                <w:sz w:val="17"/>
                <w:szCs w:val="17"/>
                <w:color w:val="auto"/>
              </w:rPr>
              <w:t>100 Vanguard Boulevard</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40" w:type="dxa"/>
            <w:vAlign w:val="bottom"/>
            <w:gridSpan w:val="2"/>
          </w:tcPr>
          <w:p>
            <w:pPr>
              <w:ind w:left="160"/>
              <w:spacing w:after="0"/>
              <w:rPr>
                <w:sz w:val="20"/>
                <w:szCs w:val="20"/>
                <w:color w:val="auto"/>
              </w:rPr>
            </w:pPr>
            <w:r>
              <w:rPr>
                <w:rFonts w:ascii="Arial" w:cs="Arial" w:eastAsia="Arial" w:hAnsi="Arial"/>
                <w:sz w:val="17"/>
                <w:szCs w:val="17"/>
                <w:color w:val="auto"/>
              </w:rPr>
              <w:t>Malvern, PA 19355</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left="460" w:right="320" w:hanging="459"/>
        <w:spacing w:after="0" w:line="255" w:lineRule="auto"/>
        <w:tabs>
          <w:tab w:leader="none" w:pos="4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ind w:left="460" w:right="20" w:hanging="459"/>
        <w:spacing w:after="0" w:line="251" w:lineRule="auto"/>
        <w:tabs>
          <w:tab w:leader="none" w:pos="4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320"/>
          </w:cols>
          <w:pgMar w:left="240" w:top="439" w:right="3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CERTAIN BENEFICIAL OWNERS OF COMCAST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by the Comcast Board of Directors and Executive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as of the close of business on March 1, 2014 as to the number of shares of Comcast common stock beneficially owned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08" w:lineRule="exact"/>
        <w:rPr>
          <w:sz w:val="20"/>
          <w:szCs w:val="20"/>
          <w:color w:val="auto"/>
        </w:rPr>
      </w:pPr>
    </w:p>
    <w:p>
      <w:pPr>
        <w:ind w:left="900" w:hanging="445"/>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each Comcast named executive officer;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each current Comcast director;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all current Comcast executive officers and directors, as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3"/>
                <w:szCs w:val="13"/>
                <w:b w:val="1"/>
                <w:bCs w:val="1"/>
                <w:color w:val="auto"/>
              </w:rPr>
              <w:t>Amount Beneficially Owned(1)</w:t>
            </w:r>
          </w:p>
        </w:tc>
        <w:tc>
          <w:tcPr>
            <w:tcW w:w="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Percent of Class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vMerge w:val="restart"/>
          </w:tcPr>
          <w:p>
            <w:pPr>
              <w:jc w:val="center"/>
              <w:ind w:left="473"/>
              <w:spacing w:after="0"/>
              <w:rPr>
                <w:sz w:val="20"/>
                <w:szCs w:val="20"/>
                <w:color w:val="auto"/>
              </w:rPr>
            </w:pPr>
            <w:r>
              <w:rPr>
                <w:rFonts w:ascii="Arial" w:cs="Arial" w:eastAsia="Arial" w:hAnsi="Arial"/>
                <w:sz w:val="13"/>
                <w:szCs w:val="13"/>
                <w:b w:val="1"/>
                <w:bCs w:val="1"/>
                <w:color w:val="auto"/>
                <w:w w:val="90"/>
              </w:rPr>
              <w:t>Comcast</w:t>
            </w: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20" w:type="dxa"/>
            <w:vAlign w:val="bottom"/>
            <w:gridSpan w:val="2"/>
            <w:vMerge w:val="restart"/>
          </w:tcPr>
          <w:p>
            <w:pPr>
              <w:jc w:val="center"/>
              <w:ind w:right="1140"/>
              <w:spacing w:after="0"/>
              <w:rPr>
                <w:sz w:val="20"/>
                <w:szCs w:val="20"/>
                <w:color w:val="auto"/>
              </w:rPr>
            </w:pPr>
            <w:r>
              <w:rPr>
                <w:rFonts w:ascii="Arial" w:cs="Arial" w:eastAsia="Arial" w:hAnsi="Arial"/>
                <w:sz w:val="13"/>
                <w:szCs w:val="13"/>
                <w:b w:val="1"/>
                <w:bCs w:val="1"/>
                <w:color w:val="auto"/>
                <w:w w:val="90"/>
              </w:rPr>
              <w:t>Comcast Class A</w:t>
            </w: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Comcast</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Comcast</w:t>
            </w:r>
          </w:p>
        </w:tc>
        <w:tc>
          <w:tcPr>
            <w:tcW w:w="680" w:type="dxa"/>
            <w:vAlign w:val="bottom"/>
            <w:gridSpan w:val="2"/>
          </w:tcPr>
          <w:p>
            <w:pPr>
              <w:jc w:val="center"/>
              <w:ind w:right="180"/>
              <w:spacing w:after="0" w:line="111" w:lineRule="exact"/>
              <w:rPr>
                <w:sz w:val="20"/>
                <w:szCs w:val="20"/>
                <w:color w:val="auto"/>
              </w:rPr>
            </w:pPr>
            <w:r>
              <w:rPr>
                <w:rFonts w:ascii="Arial" w:cs="Arial" w:eastAsia="Arial" w:hAnsi="Arial"/>
                <w:sz w:val="12"/>
                <w:szCs w:val="12"/>
                <w:b w:val="1"/>
                <w:bCs w:val="1"/>
                <w:color w:val="auto"/>
                <w:w w:val="98"/>
              </w:rPr>
              <w:t>Comcast</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Comcast</w:t>
            </w:r>
          </w:p>
        </w:tc>
        <w:tc>
          <w:tcPr>
            <w:tcW w:w="0" w:type="dxa"/>
            <w:vAlign w:val="bottom"/>
          </w:tcPr>
          <w:p>
            <w:pPr>
              <w:spacing w:after="0"/>
              <w:rPr>
                <w:sz w:val="1"/>
                <w:szCs w:val="1"/>
                <w:color w:val="auto"/>
              </w:rPr>
            </w:pPr>
          </w:p>
        </w:tc>
      </w:tr>
      <w:tr>
        <w:trPr>
          <w:trHeight w:val="139"/>
        </w:trPr>
        <w:tc>
          <w:tcPr>
            <w:tcW w:w="2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2"/>
              </w:rPr>
              <w:t>Class A</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20" w:type="dxa"/>
            <w:vAlign w:val="bottom"/>
            <w:gridSpan w:val="2"/>
            <w:vMerge w:val="continue"/>
          </w:tcPr>
          <w:p>
            <w:pPr>
              <w:spacing w:after="0"/>
              <w:rPr>
                <w:sz w:val="13"/>
                <w:szCs w:val="13"/>
                <w:color w:val="auto"/>
              </w:rPr>
            </w:pPr>
          </w:p>
        </w:tc>
        <w:tc>
          <w:tcPr>
            <w:tcW w:w="1160" w:type="dxa"/>
            <w:vAlign w:val="bottom"/>
          </w:tcPr>
          <w:p>
            <w:pPr>
              <w:jc w:val="center"/>
              <w:ind w:left="453"/>
              <w:spacing w:after="0"/>
              <w:rPr>
                <w:sz w:val="20"/>
                <w:szCs w:val="20"/>
                <w:color w:val="auto"/>
              </w:rPr>
            </w:pPr>
            <w:r>
              <w:rPr>
                <w:rFonts w:ascii="Arial" w:cs="Arial" w:eastAsia="Arial" w:hAnsi="Arial"/>
                <w:sz w:val="13"/>
                <w:szCs w:val="13"/>
                <w:b w:val="1"/>
                <w:bCs w:val="1"/>
                <w:color w:val="auto"/>
                <w:w w:val="94"/>
              </w:rPr>
              <w:t>Class A(2)</w:t>
            </w: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2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7"/>
              </w:rPr>
              <w:t>Special</w:t>
            </w:r>
          </w:p>
        </w:tc>
        <w:tc>
          <w:tcPr>
            <w:tcW w:w="1200" w:type="dxa"/>
            <w:vAlign w:val="bottom"/>
            <w:gridSpan w:val="2"/>
          </w:tcPr>
          <w:p>
            <w:pPr>
              <w:ind w:left="260"/>
              <w:spacing w:after="0"/>
              <w:rPr>
                <w:sz w:val="20"/>
                <w:szCs w:val="20"/>
                <w:color w:val="auto"/>
              </w:rPr>
            </w:pPr>
            <w:r>
              <w:rPr>
                <w:rFonts w:ascii="Arial" w:cs="Arial" w:eastAsia="Arial" w:hAnsi="Arial"/>
                <w:sz w:val="13"/>
                <w:szCs w:val="13"/>
                <w:b w:val="1"/>
                <w:bCs w:val="1"/>
                <w:color w:val="auto"/>
              </w:rPr>
              <w:t>Class B</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Class A(2)</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Special</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Class B</w:t>
            </w:r>
          </w:p>
        </w:tc>
        <w:tc>
          <w:tcPr>
            <w:tcW w:w="0" w:type="dxa"/>
            <w:vAlign w:val="bottom"/>
          </w:tcPr>
          <w:p>
            <w:pPr>
              <w:spacing w:after="0"/>
              <w:rPr>
                <w:sz w:val="1"/>
                <w:szCs w:val="1"/>
                <w:color w:val="auto"/>
              </w:rPr>
            </w:pPr>
          </w:p>
        </w:tc>
      </w:tr>
      <w:tr>
        <w:trPr>
          <w:trHeight w:val="119"/>
        </w:trPr>
        <w:tc>
          <w:tcPr>
            <w:tcW w:w="152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2"/>
                <w:szCs w:val="12"/>
                <w:color w:val="auto"/>
              </w:rPr>
              <w:t>Michael J. Angelakis</w:t>
            </w:r>
          </w:p>
        </w:tc>
        <w:tc>
          <w:tcPr>
            <w:tcW w:w="13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w w:val="97"/>
              </w:rPr>
              <w:t>2,371,079</w:t>
            </w:r>
          </w:p>
        </w:tc>
        <w:tc>
          <w:tcPr>
            <w:tcW w:w="1000" w:type="dxa"/>
            <w:vAlign w:val="bottom"/>
            <w:tcBorders>
              <w:top w:val="single" w:sz="8" w:color="CCEEFF"/>
            </w:tcBorders>
            <w:shd w:val="clear" w:color="auto" w:fill="CCEEFF"/>
          </w:tcPr>
          <w:p>
            <w:pPr>
              <w:jc w:val="right"/>
              <w:ind w:right="821"/>
              <w:spacing w:after="0" w:line="111" w:lineRule="exact"/>
              <w:rPr>
                <w:sz w:val="20"/>
                <w:szCs w:val="20"/>
                <w:color w:val="auto"/>
              </w:rPr>
            </w:pPr>
            <w:r>
              <w:rPr>
                <w:rFonts w:ascii="Arial" w:cs="Arial" w:eastAsia="Arial" w:hAnsi="Arial"/>
                <w:sz w:val="10"/>
                <w:szCs w:val="10"/>
                <w:color w:val="auto"/>
                <w:w w:val="81"/>
              </w:rPr>
              <w:t>(3)</w:t>
            </w:r>
          </w:p>
        </w:tc>
        <w:tc>
          <w:tcPr>
            <w:tcW w:w="1480" w:type="dxa"/>
            <w:vAlign w:val="bottom"/>
            <w:tcBorders>
              <w:top w:val="single" w:sz="8" w:color="auto"/>
            </w:tcBorders>
            <w:shd w:val="clear" w:color="auto" w:fill="CCEEFF"/>
          </w:tcPr>
          <w:p>
            <w:pPr>
              <w:ind w:left="1300"/>
              <w:spacing w:after="0" w:line="119" w:lineRule="exact"/>
              <w:rPr>
                <w:sz w:val="20"/>
                <w:szCs w:val="20"/>
                <w:color w:val="auto"/>
              </w:rPr>
            </w:pPr>
            <w:r>
              <w:rPr>
                <w:rFonts w:ascii="Arial" w:cs="Arial" w:eastAsia="Arial" w:hAnsi="Arial"/>
                <w:sz w:val="12"/>
                <w:szCs w:val="12"/>
                <w:color w:val="auto"/>
              </w:rPr>
              <w:t>—</w:t>
            </w:r>
          </w:p>
        </w:tc>
        <w:tc>
          <w:tcPr>
            <w:tcW w:w="1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ind w:left="800"/>
              <w:spacing w:after="0" w:line="11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Kenneth J. Bacon</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36,046</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Sheldon M. Bonovitz</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1"/>
              <w:spacing w:after="0" w:line="126" w:lineRule="exact"/>
              <w:rPr>
                <w:sz w:val="20"/>
                <w:szCs w:val="20"/>
                <w:color w:val="auto"/>
              </w:rPr>
            </w:pPr>
            <w:r>
              <w:rPr>
                <w:rFonts w:ascii="Arial" w:cs="Arial" w:eastAsia="Arial" w:hAnsi="Arial"/>
                <w:sz w:val="12"/>
                <w:szCs w:val="12"/>
                <w:color w:val="auto"/>
              </w:rPr>
              <w:t>44,649</w:t>
            </w:r>
            <w:r>
              <w:rPr>
                <w:rFonts w:ascii="Arial" w:cs="Arial" w:eastAsia="Arial" w:hAnsi="Arial"/>
                <w:sz w:val="10"/>
                <w:szCs w:val="10"/>
                <w:color w:val="auto"/>
              </w:rPr>
              <w:t>(4)</w:t>
            </w:r>
          </w:p>
        </w:tc>
        <w:tc>
          <w:tcPr>
            <w:tcW w:w="2620" w:type="dxa"/>
            <w:vAlign w:val="bottom"/>
            <w:gridSpan w:val="2"/>
            <w:shd w:val="clear" w:color="auto" w:fill="CCEEFF"/>
          </w:tcPr>
          <w:p>
            <w:pPr>
              <w:jc w:val="right"/>
              <w:ind w:right="1020"/>
              <w:spacing w:after="0" w:line="126" w:lineRule="exact"/>
              <w:rPr>
                <w:sz w:val="20"/>
                <w:szCs w:val="20"/>
                <w:color w:val="auto"/>
              </w:rPr>
            </w:pPr>
            <w:r>
              <w:rPr>
                <w:rFonts w:ascii="Arial" w:cs="Arial" w:eastAsia="Arial" w:hAnsi="Arial"/>
                <w:sz w:val="12"/>
                <w:szCs w:val="12"/>
                <w:color w:val="auto"/>
              </w:rPr>
              <w:t>116,952</w:t>
            </w:r>
            <w:r>
              <w:rPr>
                <w:rFonts w:ascii="Arial" w:cs="Arial" w:eastAsia="Arial" w:hAnsi="Arial"/>
                <w:sz w:val="10"/>
                <w:szCs w:val="10"/>
                <w:color w:val="auto"/>
              </w:rPr>
              <w:t>(5)</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Edward D. Breen</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50,587</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Stephen B. Burke</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w w:val="97"/>
              </w:rPr>
              <w:t>2,285,224</w:t>
            </w:r>
          </w:p>
        </w:tc>
        <w:tc>
          <w:tcPr>
            <w:tcW w:w="2620" w:type="dxa"/>
            <w:vAlign w:val="bottom"/>
            <w:gridSpan w:val="2"/>
            <w:shd w:val="clear" w:color="auto" w:fill="CCEEFF"/>
          </w:tcPr>
          <w:p>
            <w:pPr>
              <w:jc w:val="right"/>
              <w:ind w:right="1140"/>
              <w:spacing w:after="0" w:line="126" w:lineRule="exact"/>
              <w:rPr>
                <w:sz w:val="20"/>
                <w:szCs w:val="20"/>
                <w:color w:val="auto"/>
              </w:rPr>
            </w:pPr>
            <w:r>
              <w:rPr>
                <w:rFonts w:ascii="Arial" w:cs="Arial" w:eastAsia="Arial" w:hAnsi="Arial"/>
                <w:sz w:val="12"/>
                <w:szCs w:val="12"/>
                <w:color w:val="auto"/>
              </w:rPr>
              <w:t>3,718</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David L. Cohen</w:t>
            </w:r>
          </w:p>
        </w:tc>
        <w:tc>
          <w:tcPr>
            <w:tcW w:w="1160" w:type="dxa"/>
            <w:vAlign w:val="bottom"/>
          </w:tcPr>
          <w:p>
            <w:pPr>
              <w:spacing w:after="0"/>
              <w:rPr>
                <w:sz w:val="10"/>
                <w:szCs w:val="10"/>
                <w:color w:val="auto"/>
              </w:rPr>
            </w:pPr>
          </w:p>
        </w:tc>
        <w:tc>
          <w:tcPr>
            <w:tcW w:w="1540" w:type="dxa"/>
            <w:vAlign w:val="bottom"/>
            <w:gridSpan w:val="2"/>
          </w:tcPr>
          <w:p>
            <w:pPr>
              <w:jc w:val="right"/>
              <w:ind w:right="821"/>
              <w:spacing w:after="0" w:line="126" w:lineRule="exact"/>
              <w:rPr>
                <w:sz w:val="20"/>
                <w:szCs w:val="20"/>
                <w:color w:val="auto"/>
              </w:rPr>
            </w:pPr>
            <w:r>
              <w:rPr>
                <w:rFonts w:ascii="Arial" w:cs="Arial" w:eastAsia="Arial" w:hAnsi="Arial"/>
                <w:sz w:val="12"/>
                <w:szCs w:val="12"/>
                <w:color w:val="auto"/>
                <w:w w:val="97"/>
              </w:rPr>
              <w:t>3,094,053</w:t>
            </w:r>
            <w:r>
              <w:rPr>
                <w:rFonts w:ascii="Arial" w:cs="Arial" w:eastAsia="Arial" w:hAnsi="Arial"/>
                <w:sz w:val="10"/>
                <w:szCs w:val="10"/>
                <w:color w:val="auto"/>
                <w:w w:val="97"/>
              </w:rPr>
              <w:t>(6)</w:t>
            </w:r>
          </w:p>
        </w:tc>
        <w:tc>
          <w:tcPr>
            <w:tcW w:w="2620" w:type="dxa"/>
            <w:vAlign w:val="bottom"/>
            <w:gridSpan w:val="2"/>
          </w:tcPr>
          <w:p>
            <w:pPr>
              <w:jc w:val="right"/>
              <w:ind w:right="1020"/>
              <w:spacing w:after="0" w:line="126" w:lineRule="exact"/>
              <w:rPr>
                <w:sz w:val="20"/>
                <w:szCs w:val="20"/>
                <w:color w:val="auto"/>
              </w:rPr>
            </w:pPr>
            <w:r>
              <w:rPr>
                <w:rFonts w:ascii="Arial" w:cs="Arial" w:eastAsia="Arial" w:hAnsi="Arial"/>
                <w:sz w:val="12"/>
                <w:szCs w:val="12"/>
                <w:color w:val="auto"/>
              </w:rPr>
              <w:t>53,731</w:t>
            </w:r>
            <w:r>
              <w:rPr>
                <w:rFonts w:ascii="Arial" w:cs="Arial" w:eastAsia="Arial" w:hAnsi="Arial"/>
                <w:sz w:val="10"/>
                <w:szCs w:val="10"/>
                <w:color w:val="auto"/>
              </w:rPr>
              <w:t>(7)</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Joseph J. Collins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1"/>
              <w:spacing w:after="0" w:line="126" w:lineRule="exact"/>
              <w:rPr>
                <w:sz w:val="20"/>
                <w:szCs w:val="20"/>
                <w:color w:val="auto"/>
              </w:rPr>
            </w:pPr>
            <w:r>
              <w:rPr>
                <w:rFonts w:ascii="Arial" w:cs="Arial" w:eastAsia="Arial" w:hAnsi="Arial"/>
                <w:sz w:val="12"/>
                <w:szCs w:val="12"/>
                <w:color w:val="auto"/>
              </w:rPr>
              <w:t>182,469</w:t>
            </w:r>
            <w:r>
              <w:rPr>
                <w:rFonts w:ascii="Arial" w:cs="Arial" w:eastAsia="Arial" w:hAnsi="Arial"/>
                <w:sz w:val="10"/>
                <w:szCs w:val="10"/>
                <w:color w:val="auto"/>
              </w:rPr>
              <w:t>(8)</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 Michael Cook</w:t>
            </w:r>
          </w:p>
        </w:tc>
        <w:tc>
          <w:tcPr>
            <w:tcW w:w="1160" w:type="dxa"/>
            <w:vAlign w:val="bottom"/>
          </w:tcPr>
          <w:p>
            <w:pPr>
              <w:spacing w:after="0"/>
              <w:rPr>
                <w:sz w:val="10"/>
                <w:szCs w:val="10"/>
                <w:color w:val="auto"/>
              </w:rPr>
            </w:pPr>
          </w:p>
        </w:tc>
        <w:tc>
          <w:tcPr>
            <w:tcW w:w="1540" w:type="dxa"/>
            <w:vAlign w:val="bottom"/>
            <w:gridSpan w:val="2"/>
          </w:tcPr>
          <w:p>
            <w:pPr>
              <w:jc w:val="right"/>
              <w:ind w:right="821"/>
              <w:spacing w:after="0" w:line="126" w:lineRule="exact"/>
              <w:rPr>
                <w:sz w:val="20"/>
                <w:szCs w:val="20"/>
                <w:color w:val="auto"/>
              </w:rPr>
            </w:pPr>
            <w:r>
              <w:rPr>
                <w:rFonts w:ascii="Arial" w:cs="Arial" w:eastAsia="Arial" w:hAnsi="Arial"/>
                <w:sz w:val="12"/>
                <w:szCs w:val="12"/>
                <w:color w:val="auto"/>
              </w:rPr>
              <w:t>62,356</w:t>
            </w:r>
            <w:r>
              <w:rPr>
                <w:rFonts w:ascii="Arial" w:cs="Arial" w:eastAsia="Arial" w:hAnsi="Arial"/>
                <w:sz w:val="10"/>
                <w:szCs w:val="10"/>
                <w:color w:val="auto"/>
              </w:rPr>
              <w:t>(9)</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3,450</w:t>
            </w:r>
            <w:r>
              <w:rPr>
                <w:rFonts w:ascii="Arial" w:cs="Arial" w:eastAsia="Arial" w:hAnsi="Arial"/>
                <w:sz w:val="10"/>
                <w:szCs w:val="10"/>
                <w:color w:val="auto"/>
              </w:rPr>
              <w:t>(10)</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Gerald L. Hassell</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50,713</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Jeffrey A. Honickman</w:t>
            </w:r>
          </w:p>
        </w:tc>
        <w:tc>
          <w:tcPr>
            <w:tcW w:w="1160" w:type="dxa"/>
            <w:vAlign w:val="bottom"/>
          </w:tcPr>
          <w:p>
            <w:pPr>
              <w:spacing w:after="0"/>
              <w:rPr>
                <w:sz w:val="10"/>
                <w:szCs w:val="10"/>
                <w:color w:val="auto"/>
              </w:rPr>
            </w:pPr>
          </w:p>
        </w:tc>
        <w:tc>
          <w:tcPr>
            <w:tcW w:w="1540" w:type="dxa"/>
            <w:vAlign w:val="bottom"/>
            <w:gridSpan w:val="2"/>
          </w:tcPr>
          <w:p>
            <w:pPr>
              <w:jc w:val="right"/>
              <w:ind w:right="761"/>
              <w:spacing w:after="0" w:line="126" w:lineRule="exact"/>
              <w:rPr>
                <w:sz w:val="20"/>
                <w:szCs w:val="20"/>
                <w:color w:val="auto"/>
              </w:rPr>
            </w:pPr>
            <w:r>
              <w:rPr>
                <w:rFonts w:ascii="Arial" w:cs="Arial" w:eastAsia="Arial" w:hAnsi="Arial"/>
                <w:sz w:val="12"/>
                <w:szCs w:val="12"/>
                <w:color w:val="auto"/>
              </w:rPr>
              <w:t>116,039</w:t>
            </w:r>
            <w:r>
              <w:rPr>
                <w:rFonts w:ascii="Arial" w:cs="Arial" w:eastAsia="Arial" w:hAnsi="Arial"/>
                <w:sz w:val="10"/>
                <w:szCs w:val="10"/>
                <w:color w:val="auto"/>
              </w:rPr>
              <w:t>(11)</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10,217</w:t>
            </w:r>
            <w:r>
              <w:rPr>
                <w:rFonts w:ascii="Arial" w:cs="Arial" w:eastAsia="Arial" w:hAnsi="Arial"/>
                <w:sz w:val="10"/>
                <w:szCs w:val="10"/>
                <w:color w:val="auto"/>
              </w:rPr>
              <w:t>(12)</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Eduardo G. Mestre</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43,701</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Brian L. Roberts</w:t>
            </w:r>
          </w:p>
        </w:tc>
        <w:tc>
          <w:tcPr>
            <w:tcW w:w="1160" w:type="dxa"/>
            <w:vAlign w:val="bottom"/>
          </w:tcPr>
          <w:p>
            <w:pPr>
              <w:spacing w:after="0"/>
              <w:rPr>
                <w:sz w:val="10"/>
                <w:szCs w:val="10"/>
                <w:color w:val="auto"/>
              </w:rPr>
            </w:pPr>
          </w:p>
        </w:tc>
        <w:tc>
          <w:tcPr>
            <w:tcW w:w="1540" w:type="dxa"/>
            <w:vAlign w:val="bottom"/>
            <w:gridSpan w:val="2"/>
          </w:tcPr>
          <w:p>
            <w:pPr>
              <w:jc w:val="right"/>
              <w:ind w:right="761"/>
              <w:spacing w:after="0" w:line="126" w:lineRule="exact"/>
              <w:rPr>
                <w:sz w:val="20"/>
                <w:szCs w:val="20"/>
                <w:color w:val="auto"/>
              </w:rPr>
            </w:pPr>
            <w:r>
              <w:rPr>
                <w:rFonts w:ascii="Arial" w:cs="Arial" w:eastAsia="Arial" w:hAnsi="Arial"/>
                <w:sz w:val="12"/>
                <w:szCs w:val="12"/>
                <w:color w:val="auto"/>
                <w:w w:val="98"/>
              </w:rPr>
              <w:t>5,747,890</w:t>
            </w:r>
            <w:r>
              <w:rPr>
                <w:rFonts w:ascii="Arial" w:cs="Arial" w:eastAsia="Arial" w:hAnsi="Arial"/>
                <w:sz w:val="10"/>
                <w:szCs w:val="10"/>
                <w:color w:val="auto"/>
                <w:w w:val="98"/>
              </w:rPr>
              <w:t>(13)</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8,254,762</w:t>
            </w:r>
            <w:r>
              <w:rPr>
                <w:rFonts w:ascii="Arial" w:cs="Arial" w:eastAsia="Arial" w:hAnsi="Arial"/>
                <w:sz w:val="10"/>
                <w:szCs w:val="10"/>
                <w:color w:val="auto"/>
              </w:rPr>
              <w:t>(14)</w:t>
            </w:r>
          </w:p>
        </w:tc>
        <w:tc>
          <w:tcPr>
            <w:tcW w:w="1200" w:type="dxa"/>
            <w:vAlign w:val="bottom"/>
            <w:gridSpan w:val="2"/>
          </w:tcPr>
          <w:p>
            <w:pPr>
              <w:ind w:left="500"/>
              <w:spacing w:after="0" w:line="126" w:lineRule="exact"/>
              <w:rPr>
                <w:sz w:val="20"/>
                <w:szCs w:val="20"/>
                <w:color w:val="auto"/>
              </w:rPr>
            </w:pPr>
            <w:r>
              <w:rPr>
                <w:rFonts w:ascii="Arial" w:cs="Arial" w:eastAsia="Arial" w:hAnsi="Arial"/>
                <w:sz w:val="12"/>
                <w:szCs w:val="12"/>
                <w:color w:val="auto"/>
                <w:w w:val="95"/>
              </w:rPr>
              <w:t>9,444,375</w:t>
            </w:r>
            <w:r>
              <w:rPr>
                <w:rFonts w:ascii="Arial" w:cs="Arial" w:eastAsia="Arial" w:hAnsi="Arial"/>
                <w:sz w:val="10"/>
                <w:szCs w:val="10"/>
                <w:color w:val="auto"/>
                <w:w w:val="95"/>
              </w:rPr>
              <w:t>(15)</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1.8%</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w w:val="94"/>
              </w:rPr>
              <w:t>100%</w:t>
            </w:r>
            <w:r>
              <w:rPr>
                <w:rFonts w:ascii="Arial" w:cs="Arial" w:eastAsia="Arial" w:hAnsi="Arial"/>
                <w:sz w:val="10"/>
                <w:szCs w:val="10"/>
                <w:color w:val="auto"/>
                <w:w w:val="94"/>
              </w:rPr>
              <w:t>(15)</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Ralph J. Roberts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w w:val="97"/>
              </w:rPr>
              <w:t>2,395,796</w:t>
            </w:r>
          </w:p>
        </w:tc>
        <w:tc>
          <w:tcPr>
            <w:tcW w:w="2620" w:type="dxa"/>
            <w:vAlign w:val="bottom"/>
            <w:gridSpan w:val="2"/>
            <w:shd w:val="clear" w:color="auto" w:fill="CCEEFF"/>
          </w:tcPr>
          <w:p>
            <w:pPr>
              <w:jc w:val="right"/>
              <w:ind w:right="980"/>
              <w:spacing w:after="0" w:line="126" w:lineRule="exact"/>
              <w:rPr>
                <w:sz w:val="20"/>
                <w:szCs w:val="20"/>
                <w:color w:val="auto"/>
              </w:rPr>
            </w:pPr>
            <w:r>
              <w:rPr>
                <w:rFonts w:ascii="Arial" w:cs="Arial" w:eastAsia="Arial" w:hAnsi="Arial"/>
                <w:sz w:val="12"/>
                <w:szCs w:val="12"/>
                <w:color w:val="auto"/>
              </w:rPr>
              <w:t>1,578,318</w:t>
            </w:r>
            <w:r>
              <w:rPr>
                <w:rFonts w:ascii="Arial" w:cs="Arial" w:eastAsia="Arial" w:hAnsi="Arial"/>
                <w:sz w:val="10"/>
                <w:szCs w:val="10"/>
                <w:color w:val="auto"/>
              </w:rPr>
              <w:t>(16)</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Johnathan A. Rodgers</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18,921</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Dr. Judith Rodin</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78,564</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Neil Smit</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829,403</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w w:val="89"/>
              </w:rPr>
              <w:t>All directors and executive officers as a group (18 persons)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w w:val="91"/>
              </w:rPr>
              <w:t>17,769,752</w:t>
            </w:r>
            <w:r>
              <w:rPr>
                <w:rFonts w:ascii="Arial" w:cs="Arial" w:eastAsia="Arial" w:hAnsi="Arial"/>
                <w:sz w:val="10"/>
                <w:szCs w:val="10"/>
                <w:color w:val="auto"/>
                <w:w w:val="91"/>
              </w:rPr>
              <w:t>(3)(4)(6)(8)(9)(11)(13)</w:t>
            </w:r>
          </w:p>
        </w:tc>
        <w:tc>
          <w:tcPr>
            <w:tcW w:w="262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10,064,677</w:t>
            </w:r>
            <w:r>
              <w:rPr>
                <w:rFonts w:ascii="Arial" w:cs="Arial" w:eastAsia="Arial" w:hAnsi="Arial"/>
                <w:sz w:val="10"/>
                <w:szCs w:val="10"/>
                <w:color w:val="auto"/>
              </w:rPr>
              <w:t>(5)(7)(10)(12)(14)(16)(17)</w:t>
            </w:r>
          </w:p>
        </w:tc>
        <w:tc>
          <w:tcPr>
            <w:tcW w:w="1200" w:type="dxa"/>
            <w:vAlign w:val="bottom"/>
            <w:gridSpan w:val="2"/>
            <w:shd w:val="clear" w:color="auto" w:fill="CCEEFF"/>
          </w:tcPr>
          <w:p>
            <w:pPr>
              <w:ind w:left="500"/>
              <w:spacing w:after="0" w:line="126" w:lineRule="exact"/>
              <w:rPr>
                <w:sz w:val="20"/>
                <w:szCs w:val="20"/>
                <w:color w:val="auto"/>
              </w:rPr>
            </w:pPr>
            <w:r>
              <w:rPr>
                <w:rFonts w:ascii="Arial" w:cs="Arial" w:eastAsia="Arial" w:hAnsi="Arial"/>
                <w:sz w:val="12"/>
                <w:szCs w:val="12"/>
                <w:color w:val="auto"/>
                <w:w w:val="95"/>
              </w:rPr>
              <w:t>9,444,375</w:t>
            </w:r>
            <w:r>
              <w:rPr>
                <w:rFonts w:ascii="Arial" w:cs="Arial" w:eastAsia="Arial" w:hAnsi="Arial"/>
                <w:sz w:val="10"/>
                <w:szCs w:val="10"/>
                <w:color w:val="auto"/>
                <w:w w:val="95"/>
              </w:rPr>
              <w:t>(15)</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2.3%</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w w:val="94"/>
              </w:rPr>
              <w:t>100%</w:t>
            </w:r>
            <w:r>
              <w:rPr>
                <w:rFonts w:ascii="Arial" w:cs="Arial" w:eastAsia="Arial" w:hAnsi="Arial"/>
                <w:sz w:val="10"/>
                <w:szCs w:val="10"/>
                <w:color w:val="auto"/>
                <w:w w:val="94"/>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560" w:hanging="559"/>
        <w:spacing w:after="0"/>
        <w:tabs>
          <w:tab w:leader="none" w:pos="5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Less than 1% of the outstanding shares of the applicable class.</w:t>
      </w:r>
    </w:p>
    <w:p>
      <w:pPr>
        <w:spacing w:after="0" w:line="18" w:lineRule="exact"/>
        <w:rPr>
          <w:sz w:val="20"/>
          <w:szCs w:val="20"/>
          <w:color w:val="auto"/>
        </w:rPr>
      </w:pPr>
    </w:p>
    <w:p>
      <w:pPr>
        <w:ind w:left="560" w:hanging="559"/>
        <w:spacing w:after="0"/>
        <w:tabs>
          <w:tab w:leader="none" w:pos="5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Exchange Act.</w:t>
      </w:r>
    </w:p>
    <w:p>
      <w:pPr>
        <w:spacing w:after="0" w:line="6" w:lineRule="exact"/>
        <w:rPr>
          <w:rFonts w:ascii="Arial" w:cs="Arial" w:eastAsia="Arial" w:hAnsi="Arial"/>
          <w:sz w:val="17"/>
          <w:szCs w:val="17"/>
          <w:color w:val="auto"/>
        </w:rPr>
      </w:pPr>
    </w:p>
    <w:p>
      <w:pPr>
        <w:ind w:left="560" w:right="140" w:hanging="559"/>
        <w:spacing w:after="0" w:line="250" w:lineRule="auto"/>
        <w:tabs>
          <w:tab w:leader="none" w:pos="5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for which the following persons hold options exercisable on or within 60 days of March 1, 2014: Mr. Angelakis, 1,921,504; Mr. Bonovitz, 11,250; Mr. Burke, 1,295,117; Mr. Cohen, 2,485,875 (597,015 of which are held by family trusts); Mr. Collins, 14,062; Mr. Cook, 11,250; Mr. Brian L. Roberts, 4,921,825; Mr. Ralph J. Roberts, 1,429,940; Dr. Rodin, 11,250; Mr. Smit, 592,170; and all directors and executive officers as a group, 12,919,025.</w:t>
      </w:r>
    </w:p>
    <w:p>
      <w:pPr>
        <w:spacing w:after="0" w:line="81" w:lineRule="exact"/>
        <w:rPr>
          <w:rFonts w:ascii="Arial" w:cs="Arial" w:eastAsia="Arial" w:hAnsi="Arial"/>
          <w:sz w:val="17"/>
          <w:szCs w:val="17"/>
          <w:color w:val="auto"/>
        </w:rPr>
      </w:pPr>
    </w:p>
    <w:p>
      <w:pPr>
        <w:jc w:val="both"/>
        <w:ind w:left="580" w:right="500"/>
        <w:spacing w:after="0" w:line="258" w:lineRule="auto"/>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underlying restricted stock units held by the following persons that vest on or within 60 days of March 1, 2014: Mr. Angelakis, 203,325; Mr. Burke, 232,950; Mr. Cohen, 151,475; Mr. Brian L. Roberts, 333,205; Mr. Smit, 125,335; and all directors and executive officers as a group, 1,134,305.</w:t>
      </w:r>
    </w:p>
    <w:p>
      <w:pPr>
        <w:spacing w:after="0" w:line="75" w:lineRule="exact"/>
        <w:rPr>
          <w:rFonts w:ascii="Arial" w:cs="Arial" w:eastAsia="Arial" w:hAnsi="Arial"/>
          <w:sz w:val="17"/>
          <w:szCs w:val="17"/>
          <w:color w:val="auto"/>
        </w:rPr>
      </w:pPr>
    </w:p>
    <w:p>
      <w:pPr>
        <w:ind w:left="580" w:right="380"/>
        <w:spacing w:after="0" w:line="255" w:lineRule="auto"/>
        <w:rPr>
          <w:rFonts w:ascii="Arial" w:cs="Arial" w:eastAsia="Arial" w:hAnsi="Arial"/>
          <w:sz w:val="17"/>
          <w:szCs w:val="17"/>
          <w:color w:val="auto"/>
        </w:rPr>
      </w:pPr>
      <w:r>
        <w:rPr>
          <w:rFonts w:ascii="Arial" w:cs="Arial" w:eastAsia="Arial" w:hAnsi="Arial"/>
          <w:sz w:val="17"/>
          <w:szCs w:val="17"/>
          <w:color w:val="auto"/>
        </w:rPr>
        <w:t>Includes the following number of share equivalents that will be paid at a future date in cash and/or in Comcast Class A common stock pursuant to an election made under Comcast’s restricted stock plan for the following persons: Mr. Bacon, 13,059; Mr. Bonovitz, 15,777; Mr. Breen, 11,504; Mr. Collins, 53,519; Mr. Cook, 35,119; Mr. Hassell, 42,030; Mr. Honickman, 53,622; Mr. Mestre, 17,832; Mr. Ralph J. Roberts, 748,270; Mr. Rodgers, 14,091; and Dr. Rodin, 53,516.</w:t>
      </w:r>
    </w:p>
    <w:p>
      <w:pPr>
        <w:spacing w:after="0" w:line="77" w:lineRule="exact"/>
        <w:rPr>
          <w:rFonts w:ascii="Arial" w:cs="Arial" w:eastAsia="Arial" w:hAnsi="Arial"/>
          <w:sz w:val="17"/>
          <w:szCs w:val="17"/>
          <w:color w:val="auto"/>
        </w:rPr>
      </w:pPr>
    </w:p>
    <w:p>
      <w:pPr>
        <w:ind w:left="580" w:right="180"/>
        <w:spacing w:after="0" w:line="289" w:lineRule="auto"/>
        <w:rPr>
          <w:rFonts w:ascii="Arial" w:cs="Arial" w:eastAsia="Arial" w:hAnsi="Arial"/>
          <w:sz w:val="17"/>
          <w:szCs w:val="17"/>
          <w:color w:val="auto"/>
        </w:rPr>
      </w:pPr>
      <w:r>
        <w:rPr>
          <w:rFonts w:ascii="Arial" w:cs="Arial" w:eastAsia="Arial" w:hAnsi="Arial"/>
          <w:sz w:val="15"/>
          <w:szCs w:val="15"/>
          <w:color w:val="auto"/>
        </w:rPr>
        <w:t>Includes the following number of share equivalents that will be paid at a future date in Comcast Class A common stock under Comcast’s deferred compensation plans for the following persons: Mr. Breen, 6,165; Mr. Collins, 12,889; Mr. Cook, 5,718; Mr. Hassell, 8,683; Mr. Honickman, 11,915; Mr. Mestre, 3,369;</w:t>
      </w:r>
    </w:p>
    <w:p>
      <w:pPr>
        <w:ind w:left="580"/>
        <w:spacing w:after="0"/>
        <w:rPr>
          <w:rFonts w:ascii="Arial" w:cs="Arial" w:eastAsia="Arial" w:hAnsi="Arial"/>
          <w:sz w:val="17"/>
          <w:szCs w:val="17"/>
          <w:color w:val="auto"/>
        </w:rPr>
      </w:pPr>
      <w:r>
        <w:rPr>
          <w:rFonts w:ascii="Arial" w:cs="Arial" w:eastAsia="Arial" w:hAnsi="Arial"/>
          <w:sz w:val="17"/>
          <w:szCs w:val="17"/>
          <w:color w:val="auto"/>
        </w:rPr>
        <w:t>Mr. Rodgers, 1,886; and Dr. Rodin, 7,409.</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520"/>
          </w:cols>
          <w:pgMar w:left="240" w:top="439" w:right="1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560" w:right="220" w:hanging="559"/>
        <w:spacing w:after="0" w:line="255" w:lineRule="auto"/>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168,242 shares of Comcast Class A common stock held jointly by him and his wife; 48,551 shares held by a family trust of which he is a trustee; and 29,074 shares owned by a charitable foundation of which he and his wife are trustees.</w:t>
      </w:r>
    </w:p>
    <w:p>
      <w:pPr>
        <w:ind w:left="560" w:hanging="559"/>
        <w:spacing w:after="0"/>
        <w:tabs>
          <w:tab w:leader="none" w:pos="56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Includes 72 shares of Comcast Class A common stock held by a testamentary trust of which he is a trustee and 2,992 shares owned by family partnerships.</w:t>
      </w:r>
    </w:p>
    <w:p>
      <w:pPr>
        <w:spacing w:after="0" w:line="29" w:lineRule="exact"/>
        <w:rPr>
          <w:rFonts w:ascii="Arial" w:cs="Arial" w:eastAsia="Arial" w:hAnsi="Arial"/>
          <w:sz w:val="15"/>
          <w:szCs w:val="15"/>
          <w:color w:val="auto"/>
        </w:rPr>
      </w:pPr>
    </w:p>
    <w:p>
      <w:pPr>
        <w:ind w:left="560" w:right="400" w:hanging="559"/>
        <w:spacing w:after="0" w:line="247" w:lineRule="auto"/>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15,714 shares of Comcast Class A Special common stock owned by a charitable foundation of which his wife is a trustee; 97,891 shares owned by family partnerships; and 3,000 shares owned by a family trust of which he is a trustee.</w:t>
      </w:r>
    </w:p>
    <w:p>
      <w:pPr>
        <w:spacing w:after="0" w:line="1" w:lineRule="exact"/>
        <w:rPr>
          <w:rFonts w:ascii="Arial" w:cs="Arial" w:eastAsia="Arial" w:hAnsi="Arial"/>
          <w:sz w:val="17"/>
          <w:szCs w:val="17"/>
          <w:color w:val="auto"/>
        </w:rPr>
      </w:pPr>
    </w:p>
    <w:p>
      <w:pPr>
        <w:ind w:left="560" w:right="500" w:hanging="559"/>
        <w:spacing w:after="0" w:line="247" w:lineRule="auto"/>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spacing w:after="0" w:line="1" w:lineRule="exact"/>
        <w:rPr>
          <w:rFonts w:ascii="Arial" w:cs="Arial" w:eastAsia="Arial" w:hAnsi="Arial"/>
          <w:sz w:val="17"/>
          <w:szCs w:val="17"/>
          <w:color w:val="auto"/>
        </w:rPr>
      </w:pPr>
    </w:p>
    <w:p>
      <w:pPr>
        <w:ind w:left="560" w:right="140" w:hanging="559"/>
        <w:spacing w:after="0" w:line="247" w:lineRule="auto"/>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spacing w:after="0" w:line="1" w:lineRule="exact"/>
        <w:rPr>
          <w:rFonts w:ascii="Arial" w:cs="Arial" w:eastAsia="Arial" w:hAnsi="Arial"/>
          <w:sz w:val="17"/>
          <w:szCs w:val="17"/>
          <w:color w:val="auto"/>
        </w:rPr>
      </w:pPr>
    </w:p>
    <w:p>
      <w:pPr>
        <w:ind w:left="560" w:hanging="559"/>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102,000 shares of Comcast Class A common stock held by grantor retained annuity trusts of which he is a trustee.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2,425 shares of Comcast Class A common stock owned by his wife and 1,455 shares held jointly by him and his wife.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Represents 3,450 shares of Comcast Class A Special common stock held jointly by him and his wife.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10,000 shares of Comcast Class A common stock held by a grantor trust of which he is a trustee.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Includes 77 shares of Comcast Class A Special common stock owned by his daughters.</w:t>
      </w:r>
    </w:p>
    <w:p>
      <w:pPr>
        <w:spacing w:after="0" w:line="6" w:lineRule="exact"/>
        <w:rPr>
          <w:rFonts w:ascii="Arial" w:cs="Arial" w:eastAsia="Arial" w:hAnsi="Arial"/>
          <w:sz w:val="17"/>
          <w:szCs w:val="17"/>
          <w:color w:val="auto"/>
        </w:rPr>
      </w:pPr>
    </w:p>
    <w:p>
      <w:pPr>
        <w:ind w:left="560" w:hanging="559"/>
        <w:spacing w:after="0" w:line="263" w:lineRule="auto"/>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Includes 19,000 shares of Comcast Class A common stock held by a family trust; 15,825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15,192,265 shares of Comcast Class A common stock, representing less than 1% of the Comcast Class A common stock.</w:t>
      </w:r>
    </w:p>
    <w:p>
      <w:pPr>
        <w:ind w:left="560" w:right="120" w:hanging="559"/>
        <w:spacing w:after="0" w:line="280" w:lineRule="auto"/>
        <w:tabs>
          <w:tab w:leader="none" w:pos="56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Includes 68,909 shares of Comcast Class A Special common stock owned in Comcast’s retirement-investment plan. Also includes 269,835 shares owned by his wife; 240 shares owned by his daughter; and 327,365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17,699,137 shares of Comcast Class A Special common stock, representing approximately 3.9% of the Comcast Class A Special common stock.</w:t>
      </w:r>
    </w:p>
    <w:p>
      <w:pPr>
        <w:spacing w:after="0" w:line="3" w:lineRule="exact"/>
        <w:rPr>
          <w:rFonts w:ascii="Arial" w:cs="Arial" w:eastAsia="Arial" w:hAnsi="Arial"/>
          <w:sz w:val="15"/>
          <w:szCs w:val="15"/>
          <w:color w:val="auto"/>
        </w:rPr>
      </w:pPr>
    </w:p>
    <w:p>
      <w:pPr>
        <w:ind w:left="560" w:hanging="559"/>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See footnote (3) under “—Security Ownership of Certain Beneficial Owners” below.</w:t>
      </w:r>
    </w:p>
    <w:p>
      <w:pPr>
        <w:spacing w:after="0" w:line="6" w:lineRule="exact"/>
        <w:rPr>
          <w:rFonts w:ascii="Arial" w:cs="Arial" w:eastAsia="Arial" w:hAnsi="Arial"/>
          <w:sz w:val="17"/>
          <w:szCs w:val="17"/>
          <w:color w:val="auto"/>
        </w:rPr>
      </w:pPr>
    </w:p>
    <w:p>
      <w:pPr>
        <w:ind w:left="560" w:right="140" w:hanging="559"/>
        <w:spacing w:after="0" w:line="280" w:lineRule="auto"/>
        <w:tabs>
          <w:tab w:leader="none" w:pos="56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Includes 278,346 shares of Comcast Class A Special common stock owned by family partnerships, the general partner of which is controlled by him; 248,768 shares held by grantor retained annuity trusts of which he is a trustee; and 69,875 shares owned by a family charitable foundation of which his wife is a trustee.</w:t>
      </w:r>
    </w:p>
    <w:p>
      <w:pPr>
        <w:spacing w:after="0" w:line="1" w:lineRule="exact"/>
        <w:rPr>
          <w:rFonts w:ascii="Arial" w:cs="Arial" w:eastAsia="Arial" w:hAnsi="Arial"/>
          <w:sz w:val="15"/>
          <w:szCs w:val="15"/>
          <w:color w:val="auto"/>
        </w:rPr>
      </w:pPr>
    </w:p>
    <w:p>
      <w:pPr>
        <w:ind w:left="560" w:hanging="559"/>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Includes 21,473 shares of Comcast Class A Special common stock owned by the children of an executive officer, other than those named above.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420"/>
          </w:cols>
          <w:pgMar w:left="240" w:top="439"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Based on a review of filings with the SEC, Comcast has determined that each of the persons listed below is a beneficial holder of more than 5% of the outstanding shares of Comcast common stock as of March 1, 2014.</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Title of Voting Class</w:t>
            </w:r>
          </w:p>
        </w:tc>
        <w:tc>
          <w:tcPr>
            <w:tcW w:w="1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2"/>
              </w:rPr>
              <w:t>Name and Address of</w:t>
            </w:r>
          </w:p>
        </w:tc>
        <w:tc>
          <w:tcPr>
            <w:tcW w:w="3000" w:type="dxa"/>
            <w:vAlign w:val="bottom"/>
            <w:gridSpan w:val="3"/>
            <w:vMerge w:val="restart"/>
          </w:tcPr>
          <w:p>
            <w:pPr>
              <w:jc w:val="right"/>
              <w:ind w:right="516"/>
              <w:spacing w:after="0"/>
              <w:rPr>
                <w:sz w:val="20"/>
                <w:szCs w:val="20"/>
                <w:color w:val="auto"/>
              </w:rPr>
            </w:pPr>
            <w:r>
              <w:rPr>
                <w:rFonts w:ascii="Arial" w:cs="Arial" w:eastAsia="Arial" w:hAnsi="Arial"/>
                <w:sz w:val="13"/>
                <w:szCs w:val="13"/>
                <w:b w:val="1"/>
                <w:bCs w:val="1"/>
                <w:color w:val="auto"/>
              </w:rPr>
              <w:t>Amount Beneficially Owned</w:t>
            </w:r>
          </w:p>
        </w:tc>
        <w:tc>
          <w:tcPr>
            <w:tcW w:w="1540" w:type="dxa"/>
            <w:vAlign w:val="bottom"/>
            <w:gridSpan w:val="3"/>
            <w:vMerge w:val="restart"/>
          </w:tcPr>
          <w:p>
            <w:pPr>
              <w:jc w:val="right"/>
              <w:ind w:right="116"/>
              <w:spacing w:after="0"/>
              <w:rPr>
                <w:sz w:val="20"/>
                <w:szCs w:val="20"/>
                <w:color w:val="auto"/>
              </w:rPr>
            </w:pPr>
            <w:r>
              <w:rPr>
                <w:rFonts w:ascii="Arial" w:cs="Arial" w:eastAsia="Arial" w:hAnsi="Arial"/>
                <w:sz w:val="13"/>
                <w:szCs w:val="13"/>
                <w:b w:val="1"/>
                <w:bCs w:val="1"/>
                <w:color w:val="auto"/>
              </w:rPr>
              <w:t>Percent of Class</w:t>
            </w:r>
          </w:p>
        </w:tc>
        <w:tc>
          <w:tcPr>
            <w:tcW w:w="0" w:type="dxa"/>
            <w:vAlign w:val="bottom"/>
          </w:tcPr>
          <w:p>
            <w:pPr>
              <w:spacing w:after="0"/>
              <w:rPr>
                <w:sz w:val="1"/>
                <w:szCs w:val="1"/>
                <w:color w:val="auto"/>
              </w:rPr>
            </w:pPr>
          </w:p>
        </w:tc>
      </w:tr>
      <w:tr>
        <w:trPr>
          <w:trHeight w:val="159"/>
        </w:trPr>
        <w:tc>
          <w:tcPr>
            <w:tcW w:w="286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4"/>
              </w:rPr>
              <w:t>Beneficial Owner</w:t>
            </w:r>
          </w:p>
        </w:tc>
        <w:tc>
          <w:tcPr>
            <w:tcW w:w="3000" w:type="dxa"/>
            <w:vAlign w:val="bottom"/>
            <w:gridSpan w:val="3"/>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w w:val="88"/>
              </w:rPr>
              <w:t>Class A common</w:t>
            </w:r>
          </w:p>
        </w:tc>
        <w:tc>
          <w:tcPr>
            <w:tcW w:w="1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7"/>
                <w:szCs w:val="17"/>
                <w:color w:val="auto"/>
              </w:rPr>
              <w:t>stock</w:t>
            </w:r>
          </w:p>
        </w:tc>
        <w:tc>
          <w:tcPr>
            <w:tcW w:w="13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BlackRock, Inc.</w:t>
            </w:r>
          </w:p>
        </w:tc>
        <w:tc>
          <w:tcPr>
            <w:tcW w:w="7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146,212,072</w:t>
            </w:r>
          </w:p>
        </w:tc>
        <w:tc>
          <w:tcPr>
            <w:tcW w:w="600" w:type="dxa"/>
            <w:vAlign w:val="bottom"/>
            <w:tcBorders>
              <w:top w:val="single" w:sz="8" w:color="CCEEFF"/>
            </w:tcBorders>
            <w:shd w:val="clear" w:color="auto" w:fill="CCEEFF"/>
          </w:tcPr>
          <w:p>
            <w:pPr>
              <w:jc w:val="right"/>
              <w:ind w:right="316"/>
              <w:spacing w:after="0" w:line="182" w:lineRule="exact"/>
              <w:rPr>
                <w:sz w:val="20"/>
                <w:szCs w:val="20"/>
                <w:color w:val="auto"/>
              </w:rPr>
            </w:pPr>
            <w:r>
              <w:rPr>
                <w:rFonts w:ascii="Arial" w:cs="Arial" w:eastAsia="Arial" w:hAnsi="Arial"/>
                <w:sz w:val="17"/>
                <w:szCs w:val="17"/>
                <w:color w:val="auto"/>
                <w:w w:val="86"/>
              </w:rPr>
              <w:t>(1)</w:t>
            </w:r>
          </w:p>
        </w:tc>
        <w:tc>
          <w:tcPr>
            <w:tcW w:w="4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6.80</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40 East 52nd Street</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New York, NY 10022</w:t>
            </w: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860" w:type="dxa"/>
            <w:vAlign w:val="bottom"/>
            <w:gridSpan w:val="3"/>
          </w:tcPr>
          <w:p>
            <w:pPr>
              <w:spacing w:after="0"/>
              <w:rPr>
                <w:sz w:val="20"/>
                <w:szCs w:val="20"/>
                <w:color w:val="auto"/>
              </w:rPr>
            </w:pPr>
            <w:r>
              <w:rPr>
                <w:rFonts w:ascii="Arial" w:cs="Arial" w:eastAsia="Arial" w:hAnsi="Arial"/>
                <w:sz w:val="17"/>
                <w:szCs w:val="17"/>
                <w:color w:val="auto"/>
              </w:rPr>
              <w:t>Class A common stock</w:t>
            </w: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The Vanguard Group</w:t>
            </w:r>
          </w:p>
        </w:tc>
        <w:tc>
          <w:tcPr>
            <w:tcW w:w="3000" w:type="dxa"/>
            <w:vAlign w:val="bottom"/>
            <w:gridSpan w:val="3"/>
          </w:tcPr>
          <w:p>
            <w:pPr>
              <w:jc w:val="right"/>
              <w:ind w:right="316"/>
              <w:spacing w:after="0"/>
              <w:rPr>
                <w:sz w:val="20"/>
                <w:szCs w:val="20"/>
                <w:color w:val="auto"/>
              </w:rPr>
            </w:pPr>
            <w:r>
              <w:rPr>
                <w:rFonts w:ascii="Arial" w:cs="Arial" w:eastAsia="Arial" w:hAnsi="Arial"/>
                <w:sz w:val="17"/>
                <w:szCs w:val="17"/>
                <w:color w:val="auto"/>
              </w:rPr>
              <w:t>115,773,453(2)</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100 Vanguard Blvd.</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Malvern, PA 19355</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Class B common stock</w:t>
            </w:r>
          </w:p>
        </w:tc>
        <w:tc>
          <w:tcPr>
            <w:tcW w:w="3120" w:type="dxa"/>
            <w:vAlign w:val="bottom"/>
            <w:gridSpan w:val="2"/>
            <w:shd w:val="clear" w:color="auto" w:fill="CCEEFF"/>
          </w:tcPr>
          <w:p>
            <w:pPr>
              <w:ind w:left="1320"/>
              <w:spacing w:after="0" w:line="189" w:lineRule="exact"/>
              <w:rPr>
                <w:sz w:val="20"/>
                <w:szCs w:val="20"/>
                <w:color w:val="auto"/>
              </w:rPr>
            </w:pPr>
            <w:r>
              <w:rPr>
                <w:rFonts w:ascii="Arial" w:cs="Arial" w:eastAsia="Arial" w:hAnsi="Arial"/>
                <w:sz w:val="17"/>
                <w:szCs w:val="17"/>
                <w:color w:val="auto"/>
              </w:rPr>
              <w:t>Brian L. Roberts</w:t>
            </w:r>
          </w:p>
        </w:tc>
        <w:tc>
          <w:tcPr>
            <w:tcW w:w="3000" w:type="dxa"/>
            <w:vAlign w:val="bottom"/>
            <w:gridSpan w:val="3"/>
            <w:shd w:val="clear" w:color="auto" w:fill="CCEEFF"/>
          </w:tcPr>
          <w:p>
            <w:pPr>
              <w:jc w:val="right"/>
              <w:ind w:right="316"/>
              <w:spacing w:after="0" w:line="189" w:lineRule="exact"/>
              <w:rPr>
                <w:sz w:val="20"/>
                <w:szCs w:val="20"/>
                <w:color w:val="auto"/>
              </w:rPr>
            </w:pPr>
            <w:r>
              <w:rPr>
                <w:rFonts w:ascii="Arial" w:cs="Arial" w:eastAsia="Arial" w:hAnsi="Arial"/>
                <w:sz w:val="17"/>
                <w:szCs w:val="17"/>
                <w:color w:val="auto"/>
              </w:rPr>
              <w:t>9,444,375(3)</w:t>
            </w:r>
          </w:p>
        </w:tc>
        <w:tc>
          <w:tcPr>
            <w:tcW w:w="1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One Comcast Center</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Philadelphia, PA</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19103</w:t>
            </w: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460" w:right="200" w:hanging="459"/>
        <w:spacing w:after="0" w:line="255" w:lineRule="auto"/>
        <w:tabs>
          <w:tab w:leader="none" w:pos="4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4, 2014 made by BlackRock, Inc. setting forth information as of December 31, 2013.</w:t>
      </w:r>
    </w:p>
    <w:p>
      <w:pPr>
        <w:ind w:left="460" w:right="780" w:hanging="459"/>
        <w:spacing w:after="0" w:line="247" w:lineRule="auto"/>
        <w:tabs>
          <w:tab w:leader="none" w:pos="4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12, 2014 made by The Vanguard Group setting forth information as of December 31, 2013.</w:t>
      </w:r>
    </w:p>
    <w:p>
      <w:pPr>
        <w:spacing w:after="0" w:line="1" w:lineRule="exact"/>
        <w:rPr>
          <w:rFonts w:ascii="Arial" w:cs="Arial" w:eastAsia="Arial" w:hAnsi="Arial"/>
          <w:sz w:val="17"/>
          <w:szCs w:val="17"/>
          <w:color w:val="auto"/>
        </w:rPr>
      </w:pPr>
    </w:p>
    <w:p>
      <w:pPr>
        <w:ind w:left="460" w:hanging="459"/>
        <w:spacing w:after="0" w:line="258" w:lineRule="auto"/>
        <w:tabs>
          <w:tab w:leader="none" w:pos="46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of the combined voting power of the two classes of the Comcast voting common stock, which percentage is generally non dilutable under the terms of Comcast’s articles. 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400"/>
          </w:cols>
          <w:pgMar w:left="240" w:top="439" w:right="2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COMCAST CAPITAL STOCK</w:t>
      </w:r>
    </w:p>
    <w:p>
      <w:pPr>
        <w:spacing w:after="0" w:line="212" w:lineRule="exact"/>
        <w:rPr>
          <w:sz w:val="20"/>
          <w:szCs w:val="20"/>
          <w:color w:val="auto"/>
        </w:rPr>
      </w:pPr>
    </w:p>
    <w:p>
      <w:pPr>
        <w:ind w:right="140" w:firstLine="457"/>
        <w:spacing w:after="0" w:line="255" w:lineRule="auto"/>
        <w:rPr>
          <w:sz w:val="20"/>
          <w:szCs w:val="20"/>
          <w:color w:val="auto"/>
        </w:rPr>
      </w:pPr>
      <w:r>
        <w:rPr>
          <w:rFonts w:ascii="Arial" w:cs="Arial" w:eastAsia="Arial" w:hAnsi="Arial"/>
          <w:sz w:val="17"/>
          <w:szCs w:val="17"/>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111"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Under Comcast’s articles, as of [—],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Comcast Common Stock</w:t>
      </w:r>
    </w:p>
    <w:p>
      <w:pPr>
        <w:spacing w:after="0" w:line="107"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77" w:lineRule="exact"/>
        <w:rPr>
          <w:sz w:val="20"/>
          <w:szCs w:val="20"/>
          <w:color w:val="auto"/>
        </w:rPr>
      </w:pPr>
    </w:p>
    <w:p>
      <w:pPr>
        <w:ind w:right="40" w:firstLine="457"/>
        <w:spacing w:after="0" w:line="205" w:lineRule="auto"/>
        <w:rPr>
          <w:sz w:val="20"/>
          <w:szCs w:val="20"/>
          <w:color w:val="auto"/>
        </w:rPr>
      </w:pPr>
      <w:r>
        <w:rPr>
          <w:rFonts w:ascii="Arial" w:cs="Arial" w:eastAsia="Arial" w:hAnsi="Arial"/>
          <w:sz w:val="17"/>
          <w:szCs w:val="17"/>
          <w:color w:val="auto"/>
        </w:rPr>
        <w:t xml:space="preserve">As of [—], 2014, on all matters submitted for a vote of holders of all outstanding shares of each class of Comcast’s voting stock, holders of shares of Comcast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the Comcast capital stock. As of [—], 2014, holders of shares of Comcast Class B common stock have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195"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78"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68" w:lineRule="exact"/>
        <w:rPr>
          <w:sz w:val="20"/>
          <w:szCs w:val="20"/>
          <w:color w:val="auto"/>
        </w:rPr>
      </w:pPr>
    </w:p>
    <w:p>
      <w:pPr>
        <w:jc w:val="center"/>
        <w:ind w:right="400"/>
        <w:spacing w:after="0" w:line="440" w:lineRule="auto"/>
        <w:rPr>
          <w:sz w:val="20"/>
          <w:szCs w:val="20"/>
          <w:color w:val="auto"/>
        </w:rPr>
      </w:pPr>
      <w:r>
        <w:rPr>
          <w:rFonts w:ascii="Arial" w:cs="Arial" w:eastAsia="Arial" w:hAnsi="Arial"/>
          <w:sz w:val="17"/>
          <w:szCs w:val="17"/>
          <w:color w:val="auto"/>
        </w:rPr>
        <w:t>The transfer agent and registrar for Comcast Class A common stock and Comcast Class A Special common stock is Wells Fargo Shareowner Services. 184</w:t>
      </w:r>
    </w:p>
    <w:p>
      <w:pPr>
        <w:sectPr>
          <w:pgSz w:w="11900" w:h="16838" w:orient="portrait"/>
          <w:cols w:equalWidth="0" w:num="1">
            <w:col w:w="11420"/>
          </w:cols>
          <w:pgMar w:left="240" w:top="439"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Approval Rights</w:t>
      </w:r>
    </w:p>
    <w:p>
      <w:pPr>
        <w:spacing w:after="0" w:line="107"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Largest Shareholder</w:t>
      </w:r>
    </w:p>
    <w:p>
      <w:pPr>
        <w:spacing w:after="0" w:line="107" w:lineRule="exact"/>
        <w:rPr>
          <w:sz w:val="20"/>
          <w:szCs w:val="20"/>
          <w:color w:val="auto"/>
        </w:rPr>
      </w:pPr>
    </w:p>
    <w:p>
      <w:pPr>
        <w:ind w:firstLine="457"/>
        <w:spacing w:after="0" w:line="241"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 2014, if Mr. Roberts were to convert the Comcast Class B common stock he beneficially owns into Comcast Class A common stock, Mr. Roberts would beneficially own [13,993,718] shares of Comcast Class A common stock, which is less than [1]% of the Comcast Class A common stock that would be outstanding after the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Comcast Shares, Including Preferred Shares</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Preemptive Rights</w:t>
      </w:r>
    </w:p>
    <w:p>
      <w:pPr>
        <w:spacing w:after="0" w:line="111" w:lineRule="exact"/>
        <w:rPr>
          <w:sz w:val="20"/>
          <w:szCs w:val="20"/>
          <w:color w:val="auto"/>
        </w:rPr>
      </w:pPr>
    </w:p>
    <w:p>
      <w:pPr>
        <w:ind w:right="700" w:firstLine="457"/>
        <w:spacing w:after="0" w:line="270" w:lineRule="auto"/>
        <w:rPr>
          <w:sz w:val="20"/>
          <w:szCs w:val="20"/>
          <w:color w:val="auto"/>
        </w:rPr>
      </w:pPr>
      <w:r>
        <w:rPr>
          <w:rFonts w:ascii="Arial" w:cs="Arial" w:eastAsia="Arial" w:hAnsi="Arial"/>
          <w:sz w:val="17"/>
          <w:szCs w:val="17"/>
          <w:color w:val="auto"/>
        </w:rPr>
        <w:t>The holders of shares of Comcast Class A common stock, Comcast Class A Special common stock and Comcast Class B common stock do not have any preemptive rights.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Shareholding</w:t>
      </w:r>
    </w:p>
    <w:p>
      <w:pPr>
        <w:spacing w:after="0" w:line="111"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 Class A common stock have credited to a book-entry account established for them by, and maintained at, the transfer agent and registrar the number of shares of Comcast Class A common stock owned by them. Each holder of record receives an ownership statement from the transfer agent and registrar promptly following each transfer to or from such account.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420"/>
          </w:cols>
          <w:pgMar w:left="240" w:top="439"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Provisions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Special Meetings of Shareholders</w:t>
      </w:r>
    </w:p>
    <w:p>
      <w:pPr>
        <w:spacing w:after="0" w:line="10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Issuances of Comcast Preferred Shares</w:t>
      </w:r>
    </w:p>
    <w:p>
      <w:pPr>
        <w:spacing w:after="0" w:line="107"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77" w:lineRule="exact"/>
        <w:rPr>
          <w:sz w:val="20"/>
          <w:szCs w:val="20"/>
          <w:color w:val="auto"/>
        </w:rPr>
      </w:pPr>
    </w:p>
    <w:p>
      <w:pPr>
        <w:jc w:val="both"/>
        <w:ind w:right="140" w:firstLine="457"/>
        <w:spacing w:after="0" w:line="258"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77" w:lineRule="exact"/>
        <w:rPr>
          <w:sz w:val="20"/>
          <w:szCs w:val="20"/>
          <w:color w:val="auto"/>
        </w:rPr>
      </w:pPr>
    </w:p>
    <w:p>
      <w:pPr>
        <w:jc w:val="both"/>
        <w:ind w:right="80" w:firstLine="457"/>
        <w:spacing w:after="0" w:line="282" w:lineRule="auto"/>
        <w:rPr>
          <w:sz w:val="20"/>
          <w:szCs w:val="20"/>
          <w:color w:val="auto"/>
        </w:rPr>
      </w:pPr>
      <w:r>
        <w:rPr>
          <w:rFonts w:ascii="Arial" w:cs="Arial" w:eastAsia="Arial" w:hAnsi="Arial"/>
          <w:sz w:val="16"/>
          <w:szCs w:val="16"/>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Advance Notice Provisions for Shareholder Nominations and Share Proposals at Annual Meetings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Comcast’s by-laws establish an advance notice procedure for shareholders to nominate candidates for election as directors or to bring other business before annual meetings of shareholders of Comcast.</w:t>
      </w:r>
    </w:p>
    <w:p>
      <w:pPr>
        <w:spacing w:after="0" w:line="166"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77"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8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420"/>
          </w:cols>
          <w:pgMar w:left="240" w:top="439"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71"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Issuances of Rights to Purchase Securities</w:t>
      </w:r>
    </w:p>
    <w:p>
      <w:pPr>
        <w:spacing w:after="0" w:line="10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No Shareholder Action by Written Consent</w:t>
      </w:r>
    </w:p>
    <w:p>
      <w:pPr>
        <w:spacing w:after="0" w:line="107"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 (i) 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Relating to Shareholder Approval of Business Combination and Other Transactions</w:t>
      </w:r>
    </w:p>
    <w:p>
      <w:pPr>
        <w:spacing w:after="0" w:line="111" w:lineRule="exact"/>
        <w:rPr>
          <w:sz w:val="20"/>
          <w:szCs w:val="20"/>
          <w:color w:val="auto"/>
        </w:rPr>
      </w:pPr>
    </w:p>
    <w:p>
      <w:pPr>
        <w:ind w:right="280" w:firstLine="457"/>
        <w:spacing w:after="0" w:line="255" w:lineRule="auto"/>
        <w:rPr>
          <w:sz w:val="20"/>
          <w:szCs w:val="20"/>
          <w:color w:val="auto"/>
        </w:rPr>
      </w:pPr>
      <w:r>
        <w:rPr>
          <w:rFonts w:ascii="Arial" w:cs="Arial" w:eastAsia="Arial" w:hAnsi="Arial"/>
          <w:sz w:val="17"/>
          <w:szCs w:val="17"/>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78"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420"/>
          </w:cols>
          <w:pgMar w:left="240" w:top="439"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Relating to Amendments to Comcast’s Articles and Comcast’s By-laws</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71" w:lineRule="exact"/>
        <w:rPr>
          <w:sz w:val="20"/>
          <w:szCs w:val="20"/>
          <w:color w:val="auto"/>
        </w:rPr>
      </w:pPr>
    </w:p>
    <w:p>
      <w:pPr>
        <w:ind w:right="180" w:firstLine="457"/>
        <w:spacing w:after="0" w:line="338" w:lineRule="auto"/>
        <w:rPr>
          <w:sz w:val="20"/>
          <w:szCs w:val="20"/>
          <w:color w:val="auto"/>
        </w:rPr>
      </w:pPr>
      <w:r>
        <w:rPr>
          <w:rFonts w:ascii="Arial" w:cs="Arial" w:eastAsia="Arial" w:hAnsi="Arial"/>
          <w:sz w:val="15"/>
          <w:szCs w:val="15"/>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Pennsylvania Anti-Takeover Statutes</w:t>
      </w:r>
    </w:p>
    <w:p>
      <w:pPr>
        <w:spacing w:after="0" w:line="111"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65"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81" w:lineRule="exact"/>
        <w:rPr>
          <w:sz w:val="20"/>
          <w:szCs w:val="20"/>
          <w:color w:val="auto"/>
        </w:rPr>
      </w:pPr>
    </w:p>
    <w:p>
      <w:pPr>
        <w:ind w:right="360" w:firstLine="457"/>
        <w:spacing w:after="0" w:line="270" w:lineRule="auto"/>
        <w:rPr>
          <w:sz w:val="20"/>
          <w:szCs w:val="20"/>
          <w:color w:val="auto"/>
        </w:rPr>
      </w:pPr>
      <w:r>
        <w:rPr>
          <w:rFonts w:ascii="Arial" w:cs="Arial" w:eastAsia="Arial" w:hAnsi="Arial"/>
          <w:sz w:val="17"/>
          <w:szCs w:val="17"/>
          <w:color w:val="auto"/>
        </w:rPr>
        <w:t>Comcast has opted out of Subchapters E, F, G, H, I and J and Section 2538 of Subchapter D of the PBCL. Subchapter E of Chapter 25 of the PBCL requires a person who acquires 20% or more of the shares of a publicly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420"/>
          </w:cols>
          <w:pgMar w:left="240" w:top="439" w:right="2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420"/>
          </w:cols>
          <w:pgMar w:left="240" w:top="439"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COMPARISON OF STOCKHOLDER RIGHTS</w:t>
      </w:r>
    </w:p>
    <w:p>
      <w:pPr>
        <w:spacing w:after="0" w:line="21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59" w:lineRule="exact"/>
        <w:rPr>
          <w:sz w:val="20"/>
          <w:szCs w:val="20"/>
          <w:color w:val="auto"/>
        </w:rPr>
      </w:pPr>
    </w:p>
    <w:p>
      <w:pPr>
        <w:jc w:val="both"/>
        <w:ind w:right="260" w:firstLine="457"/>
        <w:spacing w:after="0" w:line="258" w:lineRule="auto"/>
        <w:rPr>
          <w:sz w:val="20"/>
          <w:szCs w:val="20"/>
          <w:color w:val="auto"/>
        </w:rPr>
      </w:pPr>
      <w:r>
        <w:rPr>
          <w:rFonts w:ascii="Arial" w:cs="Arial" w:eastAsia="Arial" w:hAnsi="Arial"/>
          <w:sz w:val="17"/>
          <w:szCs w:val="17"/>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7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 of this joint proxy statement/prospectus.</w:t>
      </w:r>
    </w:p>
    <w:p>
      <w:pPr>
        <w:sectPr>
          <w:pgSz w:w="11900" w:h="16838" w:orient="portrait"/>
          <w:cols w:equalWidth="0" w:num="1">
            <w:col w:w="11400"/>
          </w:cols>
          <w:pgMar w:left="240" w:top="439" w:right="25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Differences in Stockholder Rights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704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4"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120" w:space="720"/>
            <w:col w:w="3540" w:space="300"/>
            <w:col w:w="3720"/>
          </w:cols>
          <w:pgMar w:left="240" w:top="439" w:right="259" w:bottom="1440" w:gutter="0" w:footer="0" w:header="0"/>
          <w:type w:val="continuous"/>
        </w:sectPr>
      </w:pPr>
    </w:p>
    <w:bookmarkStart w:id="200" w:name="page201"/>
    <w:bookmarkEnd w:id="2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00"/>
          </w:cols>
          <w:pgMar w:left="240" w:top="439" w:right="25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2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TWC Stockholder Rights</w:t>
            </w:r>
          </w:p>
        </w:tc>
      </w:tr>
      <w:tr>
        <w:trPr>
          <w:trHeight w:val="182"/>
        </w:trPr>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720" w:type="dxa"/>
            <w:vAlign w:val="bottom"/>
          </w:tcPr>
          <w:p>
            <w:pPr>
              <w:spacing w:after="0" w:line="182" w:lineRule="exact"/>
              <w:rPr>
                <w:sz w:val="20"/>
                <w:szCs w:val="20"/>
                <w:color w:val="auto"/>
              </w:rPr>
            </w:pPr>
            <w:r>
              <w:rPr>
                <w:rFonts w:ascii="Arial" w:cs="Arial" w:eastAsia="Arial" w:hAnsi="Arial"/>
                <w:sz w:val="17"/>
                <w:szCs w:val="17"/>
                <w:color w:val="auto"/>
                <w:w w:val="91"/>
              </w:rPr>
              <w:t>As of [—], 2014, there were outstanding (i) [—] shares</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9"/>
              </w:rPr>
              <w:t>of TWC common stock and (ii) no shares of TWC</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preferred stock.</w:t>
            </w:r>
          </w:p>
        </w:tc>
      </w:tr>
      <w:tr>
        <w:trPr>
          <w:trHeight w:val="694"/>
        </w:trPr>
        <w:tc>
          <w:tcPr>
            <w:tcW w:w="2660" w:type="dxa"/>
            <w:vAlign w:val="bottom"/>
          </w:tcPr>
          <w:p>
            <w:pPr>
              <w:spacing w:after="0"/>
              <w:rPr>
                <w:sz w:val="20"/>
                <w:szCs w:val="20"/>
                <w:color w:val="auto"/>
              </w:rPr>
            </w:pPr>
            <w:r>
              <w:rPr>
                <w:rFonts w:ascii="Arial" w:cs="Arial" w:eastAsia="Arial" w:hAnsi="Arial"/>
                <w:sz w:val="17"/>
                <w:szCs w:val="17"/>
                <w:b w:val="1"/>
                <w:bCs w:val="1"/>
                <w:color w:val="auto"/>
              </w:rPr>
              <w:t>Number of Directors</w:t>
            </w: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The TWC board of directors currently has 13</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members.</w:t>
            </w:r>
          </w:p>
        </w:tc>
      </w:tr>
      <w:tr>
        <w:trPr>
          <w:trHeight w:val="291"/>
        </w:trPr>
        <w:tc>
          <w:tcPr>
            <w:tcW w:w="2660" w:type="dxa"/>
            <w:vAlign w:val="bottom"/>
          </w:tcPr>
          <w:p>
            <w:pPr>
              <w:spacing w:after="0"/>
              <w:rPr>
                <w:sz w:val="24"/>
                <w:szCs w:val="24"/>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Under TWC’s charter and by-laws, the number of</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3"/>
              </w:rPr>
              <w:t>directors shall be as fixed from time to time pursuant</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to the by-laws.</w:t>
            </w:r>
          </w:p>
        </w:tc>
      </w:tr>
      <w:tr>
        <w:trPr>
          <w:trHeight w:val="291"/>
        </w:trPr>
        <w:tc>
          <w:tcPr>
            <w:tcW w:w="2660" w:type="dxa"/>
            <w:vAlign w:val="bottom"/>
          </w:tcPr>
          <w:p>
            <w:pPr>
              <w:spacing w:after="0"/>
              <w:rPr>
                <w:sz w:val="24"/>
                <w:szCs w:val="24"/>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Delaware law permits classified boards of directors,</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but TWC has not adopted one.</w:t>
            </w:r>
          </w:p>
        </w:tc>
      </w:tr>
      <w:tr>
        <w:trPr>
          <w:trHeight w:val="291"/>
        </w:trPr>
        <w:tc>
          <w:tcPr>
            <w:tcW w:w="2660" w:type="dxa"/>
            <w:vAlign w:val="bottom"/>
          </w:tcPr>
          <w:p>
            <w:pPr>
              <w:spacing w:after="0"/>
              <w:rPr>
                <w:sz w:val="20"/>
                <w:szCs w:val="20"/>
                <w:color w:val="auto"/>
              </w:rPr>
            </w:pPr>
            <w:r>
              <w:rPr>
                <w:rFonts w:ascii="Arial" w:cs="Arial" w:eastAsia="Arial" w:hAnsi="Arial"/>
                <w:sz w:val="17"/>
                <w:szCs w:val="17"/>
                <w:b w:val="1"/>
                <w:bCs w:val="1"/>
                <w:color w:val="auto"/>
              </w:rPr>
              <w:t>Election of Directors</w:t>
            </w: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TWC’s by-laws provide that directors are elected by</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the affirmative vote of a majority of the votes cast in</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2"/>
              </w:rPr>
              <w:t>uncontested elections and a plurality of votes cast for</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89"/>
              </w:rPr>
              <w:t>contested elections of directors at a meeting at which a</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quorum is present.</w:t>
            </w: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of [—], 2014, there were outstanding (i) [—] shares of Comcast Class A common stock, (ii) [—] shares of Comcast Class A Special common stock, (iii) 9,444,375 shares of Comcast Class B common stock and (iv) [—] shares of preferred stock.</w:t>
      </w:r>
    </w:p>
    <w:p>
      <w:pPr>
        <w:spacing w:after="0" w:line="65"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The Comcast board of directors currently has 12 members.</w:t>
      </w:r>
    </w:p>
    <w:p>
      <w:pPr>
        <w:spacing w:after="0" w:line="6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Under Comcast’s by-laws, the number of directors shall be as determined by the board of directors from time to time.</w:t>
      </w:r>
    </w:p>
    <w:p>
      <w:pPr>
        <w:spacing w:after="0" w:line="76" w:lineRule="exact"/>
        <w:rPr>
          <w:sz w:val="20"/>
          <w:szCs w:val="20"/>
          <w:color w:val="auto"/>
        </w:rPr>
      </w:pPr>
    </w:p>
    <w:p>
      <w:pPr>
        <w:ind w:right="640"/>
        <w:spacing w:after="0" w:line="338" w:lineRule="auto"/>
        <w:rPr>
          <w:sz w:val="20"/>
          <w:szCs w:val="20"/>
          <w:color w:val="auto"/>
        </w:rPr>
      </w:pPr>
      <w:r>
        <w:rPr>
          <w:rFonts w:ascii="Arial" w:cs="Arial" w:eastAsia="Arial" w:hAnsi="Arial"/>
          <w:sz w:val="15"/>
          <w:szCs w:val="15"/>
          <w:color w:val="auto"/>
        </w:rPr>
        <w:t>Pennsylvania law permits classified boards of directors, but Comcast has not adopted one.</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560" w:space="120"/>
            <w:col w:w="3720"/>
          </w:cols>
          <w:pgMar w:left="240" w:top="439" w:right="25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Removal of Directors</w:t>
      </w:r>
      <w:r>
        <w:rPr>
          <w:sz w:val="20"/>
          <w:szCs w:val="20"/>
          <w:color w:val="auto"/>
        </w:rPr>
        <w:tab/>
      </w:r>
      <w:r>
        <w:rPr>
          <w:rFonts w:ascii="Arial" w:cs="Arial" w:eastAsia="Arial" w:hAnsi="Arial"/>
          <w:sz w:val="15"/>
          <w:szCs w:val="15"/>
          <w:color w:val="auto"/>
        </w:rPr>
        <w:t>TWC’s charter provides that directors may be removed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from office without cause by the affirmative vote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holders of at least a majority of the votes represented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the shares then outstanding and entitled to vote in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election of such directors. Any director may be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removed for cause as provided under Delaware law.</w:t>
      </w: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Under TWC’s charter, each holder of TWC common</w:t>
      </w:r>
    </w:p>
    <w:p>
      <w:pPr>
        <w:spacing w:after="0" w:line="34"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 is entitled to one vote per share of TWC common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br w:type="column"/>
      </w:r>
    </w:p>
    <w:p>
      <w:pPr>
        <w:jc w:val="both"/>
        <w:ind w:right="40"/>
        <w:spacing w:after="0" w:line="255"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81"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Under Comcast’s articles, (i) each share of Comcast Class A common stock shall entitle the holder thereof to the number of votes equal to a quotient the numerator of which is the excess of (x) the Total Number of Votes (as defined below) over (y) 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20"/>
            <w:col w:w="3720"/>
          </w:cols>
          <w:pgMar w:left="240" w:top="439" w:right="259" w:bottom="1440" w:gutter="0" w:footer="0" w:header="0"/>
          <w:type w:val="continuous"/>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 B</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common stock shall entitle the holder thereof to fifteen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(15) votes.</w:t>
      </w:r>
    </w:p>
    <w:p>
      <w:pPr>
        <w:spacing w:after="0" w:line="95"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Holders of shares of Comcast Class A Special common</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shall not be entitled to vote for the election of</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directors or any other matter except as may be required</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by applicable law, in which case each share of Comcast</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Class A Special common stock shall entitle the holder</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thereof to the same number of votes to which each</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 of Comcast Class A common stock is entitled</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for each of such holder’s shares of Comcast Class A</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“Total Number of Votes” on any record date is equal to</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a quotient the numerator of which is the Total Number</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of B Votes on such record date and the denominator of</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which is the B Voting Percentage (as defined below) 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such record date. “Total Number of B Votes” on any</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record date is equal to the product of (i) 15 and (ii) the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outstanding shares of Comcast Class B</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common stock on such record date. “Total Number of</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Other Votes” on any record date means the aggregate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6"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capital stock of Comcast other than Comcast Class A</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and Comcast Class B shareholders are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entitled to cast on such record date in an election of</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directors. “B Voting Percentage” on any record date</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means the portion (expressed as a percentage) of the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total number of votes entitled to be cast in an election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of directors by the holders of capital stock of Comcast</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 which all Comcast Class B shareholders are entitled</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 cast on such record date in an election of directors.</w:t>
      </w:r>
    </w:p>
    <w:p>
      <w:pPr>
        <w:spacing w:after="0" w:line="13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entitled to vote.</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1/3% of the combined voting power of the two classes</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420"/>
          </w:cols>
          <w:pgMar w:left="240" w:top="439"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Comcast voting common stock, which percentage is</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generally non dilutable under Comcast’s articles.</w:t>
      </w:r>
    </w:p>
    <w:p>
      <w:pPr>
        <w:sectPr>
          <w:pgSz w:w="11900" w:h="16838" w:orient="portrait"/>
          <w:cols w:equalWidth="0" w:num="1">
            <w:col w:w="11400"/>
          </w:cols>
          <w:pgMar w:left="240" w:top="439" w:right="259" w:bottom="1440" w:gutter="0" w:footer="0" w:header="0"/>
        </w:sectPr>
      </w:pP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Cumulative Voting</w:t>
      </w:r>
      <w:r>
        <w:rPr>
          <w:sz w:val="20"/>
          <w:szCs w:val="20"/>
          <w:color w:val="auto"/>
        </w:rPr>
        <w:tab/>
      </w:r>
      <w:r>
        <w:rPr>
          <w:rFonts w:ascii="Arial" w:cs="Arial" w:eastAsia="Arial" w:hAnsi="Arial"/>
          <w:sz w:val="15"/>
          <w:szCs w:val="15"/>
          <w:color w:val="auto"/>
        </w:rPr>
        <w:t>Delaware law allows for cumulative voting, but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TWC’s charter and by-laws do not provide for it.</w:t>
      </w:r>
    </w:p>
    <w:p>
      <w:pPr>
        <w:spacing w:after="0" w:line="9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Vacancies on the Board of Directors</w:t>
      </w:r>
      <w:r>
        <w:rPr>
          <w:sz w:val="20"/>
          <w:szCs w:val="20"/>
          <w:color w:val="auto"/>
        </w:rPr>
        <w:tab/>
      </w:r>
      <w:r>
        <w:rPr>
          <w:rFonts w:ascii="Arial" w:cs="Arial" w:eastAsia="Arial" w:hAnsi="Arial"/>
          <w:sz w:val="15"/>
          <w:szCs w:val="15"/>
          <w:color w:val="auto"/>
        </w:rPr>
        <w:t>Under TWC’s charter, vacancies on the board of</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shall be filled by a majority vote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remaining directors, even if less than a quorum, or by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 affirmative vote of the sole remaining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Special Meeting of the Board of Directors</w:t>
      </w:r>
      <w:r>
        <w:rPr>
          <w:sz w:val="20"/>
          <w:szCs w:val="20"/>
          <w:color w:val="auto"/>
        </w:rPr>
        <w:tab/>
      </w:r>
      <w:r>
        <w:rPr>
          <w:rFonts w:ascii="Arial" w:cs="Arial" w:eastAsia="Arial" w:hAnsi="Arial"/>
          <w:sz w:val="15"/>
          <w:szCs w:val="15"/>
          <w:color w:val="auto"/>
        </w:rPr>
        <w:t>Under TWC’s by-laws, special meetings of the board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directors may be called by the Chairman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the Chief Executive Officer or a majority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existing board of directors.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Pennsylvania law allows for cumulative voting, but Comcast’s articles expressly preclude it.</w:t>
      </w:r>
    </w:p>
    <w:p>
      <w:pPr>
        <w:spacing w:after="0" w:line="4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88"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0" w:lineRule="exact"/>
        <w:rPr>
          <w:sz w:val="20"/>
          <w:szCs w:val="20"/>
          <w:color w:val="auto"/>
        </w:rPr>
      </w:pPr>
    </w:p>
    <w:p>
      <w:pPr>
        <w:sectPr>
          <w:pgSz w:w="11900" w:h="16838" w:orient="portrait"/>
          <w:cols w:equalWidth="0" w:num="2">
            <w:col w:w="7520" w:space="160"/>
            <w:col w:w="3720"/>
          </w:cols>
          <w:pgMar w:left="240" w:top="439" w:right="25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Stockholder Action by Written Consent</w:t>
      </w:r>
      <w:r>
        <w:rPr>
          <w:sz w:val="20"/>
          <w:szCs w:val="20"/>
          <w:color w:val="auto"/>
        </w:rPr>
        <w:tab/>
      </w:r>
      <w:r>
        <w:rPr>
          <w:rFonts w:ascii="Arial" w:cs="Arial" w:eastAsia="Arial" w:hAnsi="Arial"/>
          <w:sz w:val="15"/>
          <w:szCs w:val="15"/>
          <w:color w:val="auto"/>
        </w:rPr>
        <w:t>Under TWC’s charter, any action required or permitted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be taken by the stockholders of TWC must be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effected at a duly called annual or special meeting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stockholders of TWC, and the ability of the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40" w:space="140"/>
            <w:col w:w="3720"/>
          </w:cols>
          <w:pgMar w:left="240" w:top="439" w:right="259" w:bottom="1440" w:gutter="0" w:footer="0" w:header="0"/>
          <w:type w:val="continuous"/>
        </w:sectPr>
      </w:pPr>
    </w:p>
    <w:bookmarkStart w:id="203" w:name="page204"/>
    <w:bookmarkEnd w:id="2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39" w:right="239" w:bottom="1440" w:gutter="0" w:footer="0" w:header="0"/>
        </w:sectPr>
      </w:pPr>
    </w:p>
    <w:p>
      <w:pPr>
        <w:spacing w:after="0" w:line="314" w:lineRule="exact"/>
        <w:rPr>
          <w:sz w:val="20"/>
          <w:szCs w:val="20"/>
          <w:color w:val="auto"/>
        </w:rPr>
      </w:pPr>
    </w:p>
    <w:p>
      <w:pPr>
        <w:jc w:val="center"/>
        <w:ind w:left="38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to consent in writing to the taking of any</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action is specifically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Amendment to Certificate of Incorporation</w:t>
      </w:r>
      <w:r>
        <w:rPr>
          <w:sz w:val="20"/>
          <w:szCs w:val="20"/>
          <w:color w:val="auto"/>
        </w:rPr>
        <w:tab/>
      </w:r>
      <w:r>
        <w:rPr>
          <w:rFonts w:ascii="Arial" w:cs="Arial" w:eastAsia="Arial" w:hAnsi="Arial"/>
          <w:sz w:val="15"/>
          <w:szCs w:val="15"/>
          <w:color w:val="auto"/>
        </w:rPr>
        <w:t>Under Delaware law, an amendment to TWC’s charter</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generally requires the approval of the TWC board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directors and a majority of the combined voting power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the then outstanding shares of voting stock, voting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Under TWC’s charter, in addition to any vote required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law or under its charter, both the affirmative vote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 majority of the voting power of the then outstanding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common stock held by persons other than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Time Warner Inc. and its affiliates (other than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its subsidiaries) and the approval of a majority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total number of independent directors then serving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on the TWC board of directors shall be required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amend, alter or repeal, or adopt any provisions</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inconsistent with Section 7 of Article IV (Mergers,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Consolidations, etc.), Section 6 of Article V</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(Independence of Board of Directors), Article VI</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(Amendment of By-laws) or Article IX (Amendment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Certificate of Incorporation).</w:t>
      </w: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83"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20" w:space="160"/>
            <w:col w:w="3740"/>
          </w:cols>
          <w:pgMar w:left="240" w:top="439" w:right="239" w:bottom="1440" w:gutter="0" w:footer="0" w:header="0"/>
          <w:type w:val="continuous"/>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respect to the Comcast capital stock, in which case</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there shall be required the approval of Comcast Class</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B shareholders, voting separately as a class.</w:t>
      </w:r>
    </w:p>
    <w:p>
      <w:pPr>
        <w:sectPr>
          <w:pgSz w:w="11900" w:h="16838" w:orient="portrait"/>
          <w:cols w:equalWidth="0" w:num="1">
            <w:col w:w="11420"/>
          </w:cols>
          <w:pgMar w:left="240" w:top="439" w:right="239" w:bottom="1440" w:gutter="0" w:footer="0" w:header="0"/>
        </w:sectPr>
      </w:pPr>
    </w:p>
    <w:p>
      <w:pPr>
        <w:spacing w:after="0" w:line="9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Amendment of By-laws</w:t>
      </w:r>
      <w:r>
        <w:rPr>
          <w:sz w:val="20"/>
          <w:szCs w:val="20"/>
          <w:color w:val="auto"/>
        </w:rPr>
        <w:tab/>
      </w:r>
      <w:r>
        <w:rPr>
          <w:rFonts w:ascii="Arial" w:cs="Arial" w:eastAsia="Arial" w:hAnsi="Arial"/>
          <w:sz w:val="15"/>
          <w:szCs w:val="15"/>
          <w:color w:val="auto"/>
        </w:rPr>
        <w:t>Under TWC’s charter, the by-laws may be amended by</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TWC board of directors or by the affirmative vote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holders of a majority of the combined voting power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then outstanding shares of the voting stock,</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Special Stockholder Meetings</w:t>
      </w:r>
      <w:r>
        <w:rPr>
          <w:sz w:val="20"/>
          <w:szCs w:val="20"/>
          <w:color w:val="auto"/>
        </w:rPr>
        <w:tab/>
      </w:r>
      <w:r>
        <w:rPr>
          <w:rFonts w:ascii="Arial" w:cs="Arial" w:eastAsia="Arial" w:hAnsi="Arial"/>
          <w:sz w:val="15"/>
          <w:szCs w:val="15"/>
          <w:color w:val="auto"/>
        </w:rPr>
        <w:t>Under TWC’s by-laws, a special meeting of the</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the Chief Executive Officer or a majority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A special meeting of the stockholders shall be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called by the Secretary of TWC at the request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requests of one or more holders of record owning at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least 25% of the voting power of the outstanding</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capital stock of TWC entitled to vote on the matter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matters to be brought before the proposed special</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4"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auto"/>
        </w:rPr>
        <w:t>Under Comcast’s articles and Comcast’s by-laws, a special meeting of the Comcast shareholders may be called by the board of directors. Special meetings of the shareholders may not be called by shareholders.</w:t>
      </w:r>
    </w:p>
    <w:p>
      <w:pPr>
        <w:spacing w:after="0" w:line="1255" w:lineRule="exact"/>
        <w:rPr>
          <w:sz w:val="20"/>
          <w:szCs w:val="20"/>
          <w:color w:val="auto"/>
        </w:rPr>
      </w:pPr>
    </w:p>
    <w:p>
      <w:pPr>
        <w:sectPr>
          <w:pgSz w:w="11900" w:h="16838" w:orient="portrait"/>
          <w:cols w:equalWidth="0" w:num="2">
            <w:col w:w="7540" w:space="140"/>
            <w:col w:w="3740"/>
          </w:cols>
          <w:pgMar w:left="240" w:top="43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Notice of Stockholder Meetings</w:t>
      </w:r>
      <w:r>
        <w:rPr>
          <w:sz w:val="20"/>
          <w:szCs w:val="20"/>
          <w:color w:val="auto"/>
        </w:rPr>
        <w:tab/>
      </w:r>
      <w:r>
        <w:rPr>
          <w:rFonts w:ascii="Arial" w:cs="Arial" w:eastAsia="Arial" w:hAnsi="Arial"/>
          <w:sz w:val="15"/>
          <w:szCs w:val="15"/>
          <w:color w:val="auto"/>
        </w:rPr>
        <w:t>Under TWC’s by-laws, written notice of each</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meeting, whether annual or special, must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be given not less than 10 days nor more than 60 days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before the meeting.</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39" w:right="239" w:bottom="1440" w:gutter="0" w:footer="0" w:header="0"/>
          <w:type w:val="continuous"/>
        </w:sectPr>
      </w:pPr>
    </w:p>
    <w:bookmarkStart w:id="205" w:name="page206"/>
    <w:bookmarkEnd w:id="205"/>
    <w:p>
      <w:pPr>
        <w:spacing w:after="0"/>
        <w:rPr>
          <w:rFonts w:ascii="Arial" w:cs="Arial" w:eastAsia="Arial" w:hAnsi="Arial"/>
          <w:sz w:val="17"/>
          <w:szCs w:val="17"/>
          <w:b w:val="1"/>
          <w:bCs w:val="1"/>
          <w:u w:val="single" w:color="auto"/>
          <w:color w:val="0000EE"/>
        </w:rPr>
      </w:pPr>
      <w:hyperlink w:anchor="page9">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30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-586105</wp:posOffset>
            </wp:positionV>
            <wp:extent cx="729678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23704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Comcast’s by-laws generally permit shareholders to bring business before an annual shareholders’ meeting if the shareholder intending to bring such business gives timely notice thereof in writing in proper form.</w:t>
      </w:r>
    </w:p>
    <w:p>
      <w:pPr>
        <w:spacing w:after="0" w:line="653" w:lineRule="exact"/>
        <w:rPr>
          <w:sz w:val="20"/>
          <w:szCs w:val="20"/>
          <w:color w:val="auto"/>
        </w:rPr>
      </w:pPr>
    </w:p>
    <w:p>
      <w:pPr>
        <w:sectPr>
          <w:pgSz w:w="11900" w:h="16838" w:orient="portrait"/>
          <w:cols w:equalWidth="0" w:num="3">
            <w:col w:w="3580" w:space="260"/>
            <w:col w:w="3660" w:space="180"/>
            <w:col w:w="3740"/>
          </w:cols>
          <w:pgMar w:left="240" w:top="439" w:right="239" w:bottom="1440" w:gutter="0" w:footer="0" w:header="0"/>
        </w:sectPr>
      </w:pPr>
    </w:p>
    <w:p>
      <w:pPr>
        <w:ind w:left="3840"/>
        <w:spacing w:after="0"/>
        <w:rPr>
          <w:sz w:val="20"/>
          <w:szCs w:val="20"/>
          <w:color w:val="auto"/>
        </w:rPr>
      </w:pPr>
      <w:r>
        <w:rPr>
          <w:rFonts w:ascii="Arial" w:cs="Arial" w:eastAsia="Arial" w:hAnsi="Arial"/>
          <w:sz w:val="15"/>
          <w:szCs w:val="15"/>
          <w:color w:val="auto"/>
        </w:rPr>
        <w:t>To be timely, a stockholder’s notice must be delivered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TWC’s principal executive offices not less than 90</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days nor more than 120 days prior to the first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anniversary of the date of the immediately preceding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annual meeting. However, in the event that the date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annual meeting is more than 30 days earlier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more than 60 days later than such anniversary date,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by the stockholder to be timely must be so</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delivered or received no earlier than the 120</w:t>
      </w:r>
      <w:r>
        <w:rPr>
          <w:rFonts w:ascii="Arial" w:cs="Arial" w:eastAsia="Arial" w:hAnsi="Arial"/>
          <w:sz w:val="13"/>
          <w:szCs w:val="13"/>
          <w:color w:val="auto"/>
        </w:rPr>
        <w:t>th</w:t>
      </w:r>
      <w:r>
        <w:rPr>
          <w:rFonts w:ascii="Arial" w:cs="Arial" w:eastAsia="Arial" w:hAnsi="Arial"/>
          <w:sz w:val="16"/>
          <w:szCs w:val="16"/>
          <w:color w:val="auto"/>
        </w:rPr>
        <w:t xml:space="preserve"> day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such annual meeting or the 10th day following the day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on which public announcement of the date of such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meeting is first made.</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be in proper written form, the notice must set forth</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as to each matter the stockholder proposes to bring</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before the meeting: (i) a description in reasonable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detail of the business desired to be brought before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annual meeting and the reasons for conducting such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business at the annual meeting, (ii) the name and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address, as they appear on TWC’s books,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 proposing such business, of the beneficial</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owner, if any, on whose behalf the proposal is made as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well as the name and address of any affiliate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associate of any such person (as such terms are defined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Rule 12b–2 promulgated under the Exchange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5"/>
          <w:szCs w:val="15"/>
          <w:color w:val="auto"/>
        </w:rPr>
        <w:t>To be timely, a shareholder’s notice must be delivered to Comcast’s principal executive offices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notice of the date of the meeting was mailed or public disclosure of the date of the meeting was made, whichever occurs first.</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To be in proper form, each notice must set forth: (i) the name and address of the shareholder who intends to bring the business before the meeting, (ii) 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2">
            <w:col w:w="7540" w:space="140"/>
            <w:col w:w="3740"/>
          </w:cols>
          <w:pgMar w:left="240" w:top="439" w:right="239" w:bottom="1440" w:gutter="0" w:footer="0" w:header="0"/>
          <w:type w:val="continuous"/>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(iii) the classes and number of shares of TWC which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are owned beneficially or of record by each proposing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person, (iv) a description in reasonable detail of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derivative contracts, derivative securities or derivative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transactions as of the date of such stockholder notice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(and if a record date for the meeting has been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established prior to the delivery of such stockholder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notice to TWC, as of the record date) to which each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proposing person is a party and which gives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proposing person the economic equivalent of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ownership of an amount of equity securities of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type or class of TWC, (v) a description in reasonable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detail of any derivative contracts, derivative securities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derivative transactions as of the date of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 notice (and if a record date for the meeting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has been established prior to the delivery of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each proposing person is a party and which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reduces such proposing person’s economic interest in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any voting securities of any type or class of TWC</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it beneficially owns, as well as a description in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reasonable detail of any voting securities of any type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class of TWC which each proposing person owns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has title to as of the date of such stockholder notice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(and if a record date for the meeting has been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established prior to the delivery of such stockholder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notice to TWC, as of the record date) which are subject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a repurchase agreement or arrangement, (vi)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description in reasonable detail of any other proxy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(including any revocable proxy), contract, arrangement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understanding pursuant to which such proposing</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28575</wp:posOffset>
            </wp:positionV>
            <wp:extent cx="23787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ectPr>
          <w:pgSz w:w="11900" w:h="16838" w:orient="portrait"/>
          <w:cols w:equalWidth="0" w:num="2">
            <w:col w:w="8020" w:space="720"/>
            <w:col w:w="1640"/>
          </w:cols>
          <w:pgMar w:left="240" w:top="439" w:right="127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90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280"/>
          </w:cols>
          <w:pgMar w:left="240" w:top="43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Comcast’s by-laws generally permit shareholders to nominate persons for election as directors if the shareholder intending to make such nomination gives timely notice thereof in writing in proper form.</w:t>
      </w:r>
    </w:p>
    <w:p>
      <w:pPr>
        <w:spacing w:after="0" w:line="452" w:lineRule="exact"/>
        <w:rPr>
          <w:sz w:val="20"/>
          <w:szCs w:val="20"/>
          <w:color w:val="auto"/>
        </w:rPr>
      </w:pPr>
    </w:p>
    <w:p>
      <w:pPr>
        <w:sectPr>
          <w:pgSz w:w="11900" w:h="16838" w:orient="portrait"/>
          <w:cols w:equalWidth="0" w:num="3">
            <w:col w:w="3680" w:space="160"/>
            <w:col w:w="3720" w:space="120"/>
            <w:col w:w="3600"/>
          </w:cols>
          <w:pgMar w:left="240" w:top="439" w:right="379" w:bottom="1440" w:gutter="0" w:footer="0" w:header="0"/>
          <w:type w:val="continuous"/>
        </w:sectPr>
      </w:pPr>
    </w:p>
    <w:p>
      <w:pPr>
        <w:ind w:left="3840"/>
        <w:spacing w:after="0"/>
        <w:rPr>
          <w:sz w:val="20"/>
          <w:szCs w:val="20"/>
          <w:color w:val="auto"/>
        </w:rPr>
      </w:pPr>
      <w:r>
        <w:rPr>
          <w:rFonts w:ascii="Arial" w:cs="Arial" w:eastAsia="Arial" w:hAnsi="Arial"/>
          <w:sz w:val="15"/>
          <w:szCs w:val="15"/>
          <w:color w:val="auto"/>
        </w:rPr>
        <w:t>To be timely, a stockholder’s notice must be delivered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TWC’s principal executive offices not less than 90</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days nor more than 120</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2">
            <w:col w:w="7460" w:space="220"/>
            <w:col w:w="3600"/>
          </w:cols>
          <w:pgMar w:left="240" w:top="439" w:right="379" w:bottom="1440" w:gutter="0" w:footer="0" w:header="0"/>
          <w:type w:val="continuous"/>
        </w:sectPr>
      </w:pPr>
    </w:p>
    <w:bookmarkStart w:id="208" w:name="page209"/>
    <w:bookmarkEnd w:id="2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39" w:right="239" w:bottom="1440" w:gutter="0" w:footer="0" w:header="0"/>
        </w:sectPr>
      </w:pPr>
    </w:p>
    <w:p>
      <w:pPr>
        <w:spacing w:after="0" w:line="314"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year’s annual meeting of stockholders. However, if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date of the annual meeting is more than 30 days earlier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or more than 60 days later than such anniversary date,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then to be timely such notice must be received not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earlier than the 120</w:t>
      </w:r>
      <w:r>
        <w:rPr>
          <w:rFonts w:ascii="Arial" w:cs="Arial" w:eastAsia="Arial" w:hAnsi="Arial"/>
          <w:sz w:val="12"/>
          <w:szCs w:val="12"/>
          <w:color w:val="auto"/>
        </w:rPr>
        <w:t>th</w:t>
      </w:r>
      <w:r>
        <w:rPr>
          <w:rFonts w:ascii="Arial" w:cs="Arial" w:eastAsia="Arial" w:hAnsi="Arial"/>
          <w:sz w:val="15"/>
          <w:szCs w:val="15"/>
          <w:color w:val="auto"/>
        </w:rPr>
        <w:t xml:space="preserve"> day prior to such annual meeting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not later than the close of business on the later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90</w:t>
      </w:r>
      <w:r>
        <w:rPr>
          <w:rFonts w:ascii="Arial" w:cs="Arial" w:eastAsia="Arial" w:hAnsi="Arial"/>
          <w:sz w:val="12"/>
          <w:szCs w:val="12"/>
          <w:color w:val="auto"/>
        </w:rPr>
        <w:t>th</w:t>
      </w:r>
      <w:r>
        <w:rPr>
          <w:rFonts w:ascii="Arial" w:cs="Arial" w:eastAsia="Arial" w:hAnsi="Arial"/>
          <w:sz w:val="15"/>
          <w:szCs w:val="15"/>
          <w:color w:val="auto"/>
        </w:rPr>
        <w:t xml:space="preserve"> day prior to such annual meeting or the 10</w:t>
      </w:r>
      <w:r>
        <w:rPr>
          <w:rFonts w:ascii="Arial" w:cs="Arial" w:eastAsia="Arial" w:hAnsi="Arial"/>
          <w:sz w:val="12"/>
          <w:szCs w:val="12"/>
          <w:color w:val="auto"/>
        </w:rPr>
        <w:t>th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day following the day on which public announcement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the date of such meeting is first made. With respect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an election to be held at a special meeting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for the election of directors, not earlier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than the 90</w:t>
      </w:r>
      <w:r>
        <w:rPr>
          <w:rFonts w:ascii="Arial" w:cs="Arial" w:eastAsia="Arial" w:hAnsi="Arial"/>
          <w:sz w:val="12"/>
          <w:szCs w:val="12"/>
          <w:color w:val="auto"/>
        </w:rPr>
        <w:t>th</w:t>
      </w:r>
      <w:r>
        <w:rPr>
          <w:rFonts w:ascii="Arial" w:cs="Arial" w:eastAsia="Arial" w:hAnsi="Arial"/>
          <w:sz w:val="15"/>
          <w:szCs w:val="15"/>
          <w:color w:val="auto"/>
        </w:rPr>
        <w:t xml:space="preserve"> day prior to such special meeting and not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later than the close of business on the later of the 60</w:t>
      </w:r>
      <w:r>
        <w:rPr>
          <w:rFonts w:ascii="Arial" w:cs="Arial" w:eastAsia="Arial" w:hAnsi="Arial"/>
          <w:sz w:val="12"/>
          <w:szCs w:val="12"/>
          <w:color w:val="auto"/>
        </w:rPr>
        <w:t>th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 prior to such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following the day on which public announcement is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first made of the date of the special meeting and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nominees to be elected at such meeting.</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be in proper form, the notice must set forth: (i) the</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intent to nominate one or more persons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for election as a director of TWC, the name of each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such nominee proposed by the stockholder giving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notice, and the reason for making such nomination at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meeting, (ii) the proposal information, (iii)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material interest of the proposing person in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nomination, (iv) a description of all arrangements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understandings between or among any of (A)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proposing person, (B) each nominee and (C) any other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or persons (naming such person or persons)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pursuant to which the nomination or nominations are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be made by a proposing person, (v) such other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information regarding each proposing person and each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nominee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ind w:firstLine="1"/>
        <w:spacing w:after="0" w:line="284" w:lineRule="auto"/>
        <w:tabs>
          <w:tab w:leader="none" w:pos="201" w:val="left"/>
        </w:tabs>
        <w:numPr>
          <w:ilvl w:val="0"/>
          <w:numId w:val="221"/>
        </w:numPr>
        <w:rPr>
          <w:rFonts w:ascii="Arial" w:cs="Arial" w:eastAsia="Arial" w:hAnsi="Arial"/>
          <w:sz w:val="15"/>
          <w:szCs w:val="15"/>
          <w:color w:val="auto"/>
        </w:rPr>
      </w:pPr>
      <w:r>
        <w:rPr>
          <w:rFonts w:ascii="Arial" w:cs="Arial" w:eastAsia="Arial" w:hAnsi="Arial"/>
          <w:sz w:val="15"/>
          <w:szCs w:val="15"/>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(ii)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To be in proper form, the notice must set forth: (i) 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20" w:space="160"/>
            <w:col w:w="3740"/>
          </w:cols>
          <w:pgMar w:left="240" w:top="439" w:right="239" w:bottom="1440" w:gutter="0" w:footer="0" w:header="0"/>
          <w:type w:val="continuous"/>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proposed by the proposing person as would be required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be disclosed in a proxy statement or other filings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made in connection with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solicitations of proxies for election of directors,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would be otherwise required, in each case pursuant to</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14 of the Exchange Act and the rules and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regulations promulgated thereunder, (vi) the signed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consent of each nominee proposed by the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giving the notice to serve as a director of TWC if so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elected and (vii) a representation by the stockholder as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whether or not such stockholder intends to solicit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proxies in support of such stockholder’s nominee(s).</w:t>
      </w: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Limitation of Liability of Directors and Officers</w:t>
      </w:r>
      <w:r>
        <w:rPr>
          <w:sz w:val="20"/>
          <w:szCs w:val="20"/>
          <w:color w:val="auto"/>
        </w:rPr>
        <w:tab/>
      </w:r>
      <w:r>
        <w:rPr>
          <w:rFonts w:ascii="Arial" w:cs="Arial" w:eastAsia="Arial" w:hAnsi="Arial"/>
          <w:sz w:val="15"/>
          <w:szCs w:val="15"/>
          <w:color w:val="auto"/>
        </w:rPr>
        <w:t>TWC’s charter provides that to the fullest extent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permitted by Delaware law, as it may be amended from</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time to time, TWC’s directors will not be personally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liable to TWC or its stockholders for monetary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damages for breach of fiduciary duty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Indemnification of Directors, Officers, Employees</w:t>
      </w:r>
      <w:r>
        <w:rPr>
          <w:sz w:val="20"/>
          <w:szCs w:val="20"/>
          <w:color w:val="auto"/>
        </w:rPr>
        <w:tab/>
      </w:r>
      <w:r>
        <w:rPr>
          <w:rFonts w:ascii="Arial" w:cs="Arial" w:eastAsia="Arial" w:hAnsi="Arial"/>
          <w:sz w:val="15"/>
          <w:szCs w:val="15"/>
          <w:color w:val="auto"/>
        </w:rPr>
        <w:t>Under TWC’s by-laws, to the fullest extent permitted</w:t>
      </w:r>
    </w:p>
    <w:p>
      <w:pPr>
        <w:spacing w:after="0" w:line="22"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and Agents</w:t>
      </w:r>
      <w:r>
        <w:rPr>
          <w:sz w:val="20"/>
          <w:szCs w:val="20"/>
          <w:color w:val="auto"/>
        </w:rPr>
        <w:tab/>
      </w:r>
      <w:r>
        <w:rPr>
          <w:rFonts w:ascii="Arial" w:cs="Arial" w:eastAsia="Arial" w:hAnsi="Arial"/>
          <w:sz w:val="15"/>
          <w:szCs w:val="15"/>
          <w:color w:val="auto"/>
        </w:rPr>
        <w:t>by Delaware or other applicable law, TWC will</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indemnify any person who is or was a director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officer of TWC and who is or was involved in any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proceeding by reason of the fact that such person is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was a director, officer, employee or agent of TWC or is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was serving at the request of TWC as a director,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officer, employee or agent of another corporation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other entity and will advance expenses to such persons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40"/>
          </w:cols>
          <w:pgMar w:left="240" w:top="439" w:right="239" w:bottom="1440" w:gutter="0" w:footer="0" w:header="0"/>
          <w:type w:val="continuous"/>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98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360"/>
          </w:cols>
          <w:pgMar w:left="240" w:top="439" w:right="29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(within 20 days after the receipt of statements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indemnify a director or officer with respect to 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officer unless the proceeding was commenced either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 approval of the board of directors of after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change in control (as defined in Article VII of TWC’s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by-laws). Additionally, under TWC’s by-laws,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will indemnify, under certain circumstances, any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who is or was an employee of TWC and who is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was involved in any proceeding by reason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fact that such employee is or was serving as a director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another corporation and will also advance expenses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advancement provisions for indemnified TWC</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officers.</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Under TWC’s by-laws, TWC may also indemnify any</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person who is or was an employee or agent of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may also advance expenses incurred by any such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consistent with the advancement provisions for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indemnified TWC directors and officers.</w:t>
      </w:r>
    </w:p>
    <w:p>
      <w:pPr>
        <w:spacing w:after="0" w:line="104"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Appraisal Rights or Dissenters’ Rights</w:t>
      </w:r>
      <w:r>
        <w:rPr>
          <w:sz w:val="20"/>
          <w:szCs w:val="20"/>
          <w:color w:val="auto"/>
        </w:rPr>
        <w:tab/>
      </w:r>
      <w:r>
        <w:rPr>
          <w:rFonts w:ascii="Arial" w:cs="Arial" w:eastAsia="Arial" w:hAnsi="Arial"/>
          <w:sz w:val="15"/>
          <w:szCs w:val="15"/>
          <w:color w:val="auto"/>
        </w:rPr>
        <w:t>Under Delaware law, unless the charter or by-laws</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provide otherwise, stockholders of a Delaware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corporation have the right to dissent from any plan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merger or consolidation to which the corporation is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party, and to demand payment for the fair value of their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shares pursuant to, and in compliance with procedures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set forth in, the “appraisal rights” provisions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DGCL, except in connection with a merger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consolidation with respect to shares (i) listed on 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national securities exchange or held of record by more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than 2,000 holders and (ii) for which, pursuant to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 of merger or consolidation,</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680"/>
          </w:cols>
          <w:pgMar w:left="240" w:top="439" w:right="299" w:bottom="1440" w:gutter="0" w:footer="0" w:header="0"/>
          <w:type w:val="continuous"/>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Neither the TWC charter nor the TWC by-laws contain provisions in this regard.</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Neither Comcast’s articles nor Comcast’s by-laws contain provisions in this regard.</w:t>
      </w:r>
    </w:p>
    <w:p>
      <w:pPr>
        <w:spacing w:after="0" w:line="6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720" w:space="120"/>
            <w:col w:w="3740"/>
          </w:cols>
          <w:pgMar w:left="240" w:top="439" w:right="239" w:bottom="1440" w:gutter="0" w:footer="0" w:header="0"/>
          <w:type w:val="continuous"/>
        </w:sectPr>
      </w:pPr>
    </w:p>
    <w:p>
      <w:pPr>
        <w:ind w:right="320"/>
        <w:spacing w:after="0" w:line="343" w:lineRule="auto"/>
        <w:rPr>
          <w:sz w:val="20"/>
          <w:szCs w:val="20"/>
          <w:color w:val="auto"/>
        </w:rPr>
      </w:pPr>
      <w:r>
        <w:rPr>
          <w:rFonts w:ascii="Arial" w:cs="Arial" w:eastAsia="Arial" w:hAnsi="Arial"/>
          <w:sz w:val="15"/>
          <w:szCs w:val="15"/>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5"/>
          <w:szCs w:val="15"/>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2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680" w:space="160"/>
            <w:col w:w="3740"/>
          </w:cols>
          <w:pgMar w:left="240" w:top="439" w:right="239" w:bottom="1440" w:gutter="0" w:footer="0" w:header="0"/>
          <w:type w:val="continuous"/>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2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provides that in addition to any other</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vote required by law, the affirmative vote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holders of a majority of the then outstanding shares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common stock shall be required to approve (i)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merger, consolidation or business combination of TWC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with or into another corporation, whether or not TWC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the surviving corporation or (ii) any sale of all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substantially all of the assets of TWC, in each case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only if such action is otherwise required to be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approved by the stockholders of TWC under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DGCL or any other applicable law or stock exchange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State Anti-Takeover Provisions</w:t>
      </w:r>
      <w:r>
        <w:rPr>
          <w:sz w:val="20"/>
          <w:szCs w:val="20"/>
          <w:color w:val="auto"/>
        </w:rPr>
        <w:tab/>
      </w:r>
      <w:r>
        <w:rPr>
          <w:rFonts w:ascii="Arial" w:cs="Arial" w:eastAsia="Arial" w:hAnsi="Arial"/>
          <w:sz w:val="15"/>
          <w:szCs w:val="15"/>
          <w:color w:val="auto"/>
        </w:rPr>
        <w:t>TWC has expressly elected to be governed by Section</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203 of the DGCL, which provides that, if a person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acquires 15% or more of the stock of a Delaware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without the approval of the board of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of that corporation, thereby becoming an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affirmative vote of a majority of the votes cast in any required class vote. Comcast’s articles provide that the approval of Comcast Class B shareholders, voting separately as a class, shall be necessary to approve</w:t>
      </w:r>
    </w:p>
    <w:p>
      <w:pPr>
        <w:spacing w:after="0" w:line="3" w:lineRule="exact"/>
        <w:rPr>
          <w:sz w:val="20"/>
          <w:szCs w:val="20"/>
          <w:color w:val="auto"/>
        </w:rPr>
      </w:pPr>
    </w:p>
    <w:p>
      <w:pPr>
        <w:ind w:firstLine="1"/>
        <w:spacing w:after="0" w:line="282" w:lineRule="auto"/>
        <w:tabs>
          <w:tab w:leader="none" w:pos="201" w:val="left"/>
        </w:tabs>
        <w:numPr>
          <w:ilvl w:val="0"/>
          <w:numId w:val="222"/>
        </w:numPr>
        <w:rPr>
          <w:rFonts w:ascii="Arial" w:cs="Arial" w:eastAsia="Arial" w:hAnsi="Arial"/>
          <w:sz w:val="15"/>
          <w:szCs w:val="15"/>
          <w:color w:val="auto"/>
        </w:rPr>
      </w:pPr>
      <w:r>
        <w:rPr>
          <w:rFonts w:ascii="Arial" w:cs="Arial" w:eastAsia="Arial" w:hAnsi="Arial"/>
          <w:sz w:val="15"/>
          <w:szCs w:val="15"/>
          <w:color w:val="auto"/>
        </w:rPr>
        <w:t>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20"/>
          </w:cols>
          <w:pgMar w:left="240" w:top="439" w:right="259" w:bottom="1440" w:gutter="0" w:footer="0" w:header="0"/>
          <w:type w:val="continuous"/>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transactions, including mergers, with the corporation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for a period of three years unless one of the following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exceptions applies: (i) the board of directors approved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acquisition of stock or the transaction prior to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time that the person became an interested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(ii) the person became an interested stockholder and an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85% owner of the voting stock of the corporation in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transaction, excluding voting stock owned by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who are also officers and certain employee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 plans, or (iii) the transaction is approved by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by the affirmative vote of two-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thirds of the outstanding voting stock which is not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Stockholder Rights Plan</w:t>
      </w:r>
      <w:r>
        <w:rPr>
          <w:sz w:val="20"/>
          <w:szCs w:val="20"/>
          <w:color w:val="auto"/>
        </w:rPr>
        <w:tab/>
      </w:r>
      <w:r>
        <w:rPr>
          <w:rFonts w:ascii="Arial" w:cs="Arial" w:eastAsia="Arial" w:hAnsi="Arial"/>
          <w:sz w:val="15"/>
          <w:szCs w:val="15"/>
          <w:color w:val="auto"/>
        </w:rPr>
        <w:t>While Delaware law does not include a statutory</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provision expressly validating stockholder rights plans,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plans have generally been upheld by court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decisions applying Delaware law.</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currently has no stockholder rights plan. While</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TWC has no present intention to adopt a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rights plan, the TWC board of directors retains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right to adopt a new plan at a future date.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204</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Pennsylvania law expressly authorizes a corporation to adopt a shareholder rights plan.</w:t>
      </w:r>
    </w:p>
    <w:p>
      <w:pPr>
        <w:spacing w:after="0" w:line="200" w:lineRule="exact"/>
        <w:rPr>
          <w:sz w:val="20"/>
          <w:szCs w:val="20"/>
          <w:color w:val="auto"/>
        </w:rPr>
      </w:pPr>
    </w:p>
    <w:p>
      <w:pPr>
        <w:spacing w:after="0" w:line="268"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560" w:space="120"/>
            <w:col w:w="3740"/>
          </w:cols>
          <w:pgMar w:left="240" w:top="439" w:right="239" w:bottom="1440" w:gutter="0" w:footer="0" w:header="0"/>
          <w:type w:val="continuous"/>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07"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Preemptive Rights</w:t>
      </w:r>
      <w:r>
        <w:rPr>
          <w:sz w:val="20"/>
          <w:szCs w:val="20"/>
          <w:color w:val="auto"/>
        </w:rPr>
        <w:tab/>
      </w:r>
      <w:r>
        <w:rPr>
          <w:rFonts w:ascii="Arial" w:cs="Arial" w:eastAsia="Arial" w:hAnsi="Arial"/>
          <w:sz w:val="15"/>
          <w:szCs w:val="15"/>
          <w:color w:val="auto"/>
        </w:rPr>
        <w:t>Under Delaware law, stockholders of a corporation do</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have preemptive rights to subscribe to an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additional issue of stock or to any security convertible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into such stock, unless such right is expressly included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the charter.</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rights.</w:t>
      </w:r>
    </w:p>
    <w:p>
      <w:pPr>
        <w:spacing w:after="0" w:line="104"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Duties of Directors</w:t>
      </w:r>
      <w:r>
        <w:rPr>
          <w:sz w:val="20"/>
          <w:szCs w:val="20"/>
          <w:color w:val="auto"/>
        </w:rPr>
        <w:tab/>
      </w:r>
      <w:r>
        <w:rPr>
          <w:rFonts w:ascii="Arial" w:cs="Arial" w:eastAsia="Arial" w:hAnsi="Arial"/>
          <w:sz w:val="15"/>
          <w:szCs w:val="15"/>
          <w:color w:val="auto"/>
        </w:rPr>
        <w:t>Under Delaware law, the standards of conduct for</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directors have developed through Delaware court case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law. Generally, directors of Delaware corporations are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subject to a duty of loyalty and a duty of care. The duty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loyalty requires directors to refrain from self-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dealing, and the duty of care requires directors in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managing the corporation’s affairs to use that level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 which ordinarily careful and prudent persons</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would use in similar circumstances. When directors act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consistently with their duties of loyalty and care, their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decisions generally are presumed to be valid under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right="20"/>
        <w:spacing w:after="0" w:line="338" w:lineRule="auto"/>
        <w:rPr>
          <w:sz w:val="20"/>
          <w:szCs w:val="20"/>
          <w:color w:val="auto"/>
        </w:rPr>
      </w:pPr>
      <w:r>
        <w:rPr>
          <w:rFonts w:ascii="Arial" w:cs="Arial" w:eastAsia="Arial" w:hAnsi="Arial"/>
          <w:sz w:val="15"/>
          <w:szCs w:val="15"/>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Under Pennsylvania law, the standard of conduct for directors is governed by statute and case law. The PBCL requires that a director of a Pennsylvania corporation perform his or her duties: (i) in good faith,</w:t>
      </w:r>
    </w:p>
    <w:p>
      <w:pPr>
        <w:spacing w:after="0" w:line="3" w:lineRule="exact"/>
        <w:rPr>
          <w:sz w:val="20"/>
          <w:szCs w:val="20"/>
          <w:color w:val="auto"/>
        </w:rPr>
      </w:pPr>
    </w:p>
    <w:p>
      <w:pPr>
        <w:ind w:right="60" w:firstLine="1"/>
        <w:spacing w:after="0" w:line="269" w:lineRule="auto"/>
        <w:tabs>
          <w:tab w:leader="none" w:pos="2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a manner he or she reasonably believes to be in the best interests of the corporation, and (iii) with such care, including reasonable inquiry, skill and diligence, as a person of ordinary prudence would use under similar circumstances.</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60" w:space="120"/>
            <w:col w:w="3740"/>
          </w:cols>
          <w:pgMar w:left="240" w:top="439" w:right="239" w:bottom="1440" w:gutter="0" w:footer="0" w:header="0"/>
          <w:type w:val="continuous"/>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1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12" w:lineRule="exact"/>
        <w:rPr>
          <w:sz w:val="20"/>
          <w:szCs w:val="20"/>
          <w:color w:val="auto"/>
        </w:rPr>
      </w:pPr>
    </w:p>
    <w:p>
      <w:pPr>
        <w:ind w:right="240" w:firstLine="457"/>
        <w:spacing w:after="0" w:line="272"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68" w:lineRule="exact"/>
        <w:rPr>
          <w:sz w:val="20"/>
          <w:szCs w:val="20"/>
          <w:color w:val="auto"/>
        </w:rPr>
      </w:pPr>
    </w:p>
    <w:p>
      <w:pPr>
        <w:ind w:right="180" w:firstLine="457"/>
        <w:spacing w:after="0" w:line="299" w:lineRule="auto"/>
        <w:rPr>
          <w:sz w:val="20"/>
          <w:szCs w:val="20"/>
          <w:color w:val="auto"/>
        </w:rPr>
      </w:pPr>
      <w:r>
        <w:rPr>
          <w:rFonts w:ascii="Arial" w:cs="Arial" w:eastAsia="Arial" w:hAnsi="Arial"/>
          <w:sz w:val="15"/>
          <w:szCs w:val="15"/>
          <w:color w:val="auto"/>
        </w:rPr>
        <w:t>The consolidated financial statements of Time Warner Cable Inc. incorporated herein by reference from Time Warner Cable Inc.’s Annual Report on Form 10-K for the year ended December 31, 2013 and the effectiveness of Time Warner Cable Inc.’s internal control over financial reporting as of December 31, 2013 have been audited by Ernst &amp; Young LLP, independent registered public accounting firm, as set forth in their reports thereon and incorporated herein by reference. Such financial statements have been incorporated herein by reference in reliance upon such reports given on the authority of such firm as experts in accounting and auditing.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420"/>
          </w:cols>
          <w:pgMar w:left="240" w:top="439" w:right="23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FUTURE SHAREHOLDER PROPOSALS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will hold an annual meeting in 2014 regardless of whether the merger has been completed.</w:t>
      </w:r>
    </w:p>
    <w:p>
      <w:pPr>
        <w:spacing w:after="0" w:line="208"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Any shareholder proposals intended to be presented at Comcast’s 2014 annual meeting of shareholders and considered for inclusion in Comcast’s proxy materials must have been received by December 6, 2013 and must have complied with the procedures of Rule 14a-8 under the Exchange Act. Shareholder proposals failing to comply with the procedures of Rule 14a-8 under the Exchange Act will be excluded. If the date of Comcast’s 2014 annual meeting is more than 30 days from May 15, 2014, Comcast will publicly announce a different submission deadline from that set forth above, in compliance with SEC rules.</w:t>
      </w:r>
    </w:p>
    <w:p>
      <w:pPr>
        <w:spacing w:after="0" w:line="163"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Any shareholder proposals (other than those proposals seeking to nominate directors) that are intended to be presented at Comcast’s annual meeting of shareholders in 2014 but are not included in Comcast’s proxy materials must comply with the advance notice provision in Section 2.09 of Comcast’s by-laws. If Comcast calls the 2014 annual meeting of shareholders for a date between April 15, 2014 and June 14, 2014, Comcast must have received notice of the proposal on or after February 14, 2014 and on or before March 16, 2014. If Comcast calls the 2014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16, 2014 (or the tenth day following the day Comcast mailed notice of, or announced publicly, the date of Comcast’s 2014 annual meeting of shareholders, if such meeting is not called for a date between April 15, 2014 and June 14, 2014), the shareholder proposals will be deemed “untimely.”</w:t>
      </w:r>
    </w:p>
    <w:p>
      <w:pPr>
        <w:spacing w:after="0" w:line="155"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49"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Any shareholder proposals seeking to nominate directors that are intended to be presented at Comcast’s annual meeting of shareholders in 2014 but are not included in Comcast’s proxy materials must comply with the advance notice provisions in Section 3.10 of Comcast’s by-laws. If Comcast calls the 2014 annual meeting of shareholders for a date between April 15, 2014 and June 14, 2014, Comcast must have received notice of the proposal on or after January 15, 2014 and on or before February 14, 2014. If Comcast calls the 2014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14, 2014 (or the tenth day following the day Comcast mailed notice of, or announced publicly, the date of Comcast’s 2014 annual meeting of shareholders, if such meeting is not called for a date between April 15, 2014 and June 14, 2014), the shareholder proposals will be deemed “untimely.”</w:t>
      </w:r>
    </w:p>
    <w:p>
      <w:pPr>
        <w:spacing w:after="0" w:line="155" w:lineRule="exact"/>
        <w:rPr>
          <w:sz w:val="20"/>
          <w:szCs w:val="20"/>
          <w:color w:val="auto"/>
        </w:rPr>
      </w:pPr>
    </w:p>
    <w:p>
      <w:pPr>
        <w:ind w:right="80" w:firstLine="457"/>
        <w:spacing w:after="0" w:line="251" w:lineRule="auto"/>
        <w:rPr>
          <w:sz w:val="20"/>
          <w:szCs w:val="20"/>
          <w:color w:val="auto"/>
        </w:rPr>
      </w:pPr>
      <w:r>
        <w:rPr>
          <w:rFonts w:ascii="Arial" w:cs="Arial" w:eastAsia="Arial" w:hAnsi="Arial"/>
          <w:sz w:val="17"/>
          <w:szCs w:val="17"/>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420"/>
          </w:cols>
          <w:pgMar w:left="240" w:top="439" w:right="23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shareholder proposals should be directed to Arthur R. Block, Secretary, Comcast Corporation, One Comcast Center, Philadelphia, Pennsylvania 19103-2838.</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w:t>
      </w:r>
    </w:p>
    <w:p>
      <w:pPr>
        <w:spacing w:after="0" w:line="111" w:lineRule="exact"/>
        <w:rPr>
          <w:sz w:val="20"/>
          <w:szCs w:val="20"/>
          <w:color w:val="auto"/>
        </w:rPr>
      </w:pPr>
    </w:p>
    <w:p>
      <w:pPr>
        <w:ind w:right="140" w:firstLine="457"/>
        <w:spacing w:after="0" w:line="292" w:lineRule="auto"/>
        <w:rPr>
          <w:sz w:val="20"/>
          <w:szCs w:val="20"/>
          <w:color w:val="auto"/>
        </w:rPr>
      </w:pPr>
      <w:r>
        <w:rPr>
          <w:rFonts w:ascii="Arial" w:cs="Arial" w:eastAsia="Arial" w:hAnsi="Arial"/>
          <w:sz w:val="15"/>
          <w:szCs w:val="15"/>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 The deadline for submitting stockholder proposals for TWC’s 2014 annual meeting of stockholders has passed. Those deadlines were as follows: with respect to proposals submitted for inclusion in the proxy materials for TWC’s 2014 annual meeting of stockholders pursuant to Rule 14a-8 of the Exchange Act, December 6, 2013, and with respect to nomination of persons for election as directors or introduction of an item of business at the annual meeting pursuant to TWC’s by-laws, between January 16, 2014 and February 15, 2014.</w:t>
      </w:r>
    </w:p>
    <w:p>
      <w:pPr>
        <w:spacing w:after="0" w:line="153"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 201[—].</w:t>
      </w:r>
    </w:p>
    <w:p>
      <w:pPr>
        <w:spacing w:after="0" w:line="178"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 201[—] but no later than [—], 201[—].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55"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360"/>
          </w:cols>
          <w:pgMar w:left="240" w:top="439" w:right="29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2"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6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5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incorporates by reference the documents set forth below previously filed with the SEC:</w:t>
      </w:r>
    </w:p>
    <w:p>
      <w:pPr>
        <w:spacing w:after="0" w:line="120" w:lineRule="exact"/>
        <w:rPr>
          <w:sz w:val="20"/>
          <w:szCs w:val="20"/>
          <w:color w:val="auto"/>
        </w:rPr>
      </w:pPr>
    </w:p>
    <w:p>
      <w:pPr>
        <w:ind w:left="900" w:right="280" w:hanging="445"/>
        <w:spacing w:after="0" w:line="309" w:lineRule="auto"/>
        <w:tabs>
          <w:tab w:leader="none" w:pos="90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52" w:lineRule="exact"/>
        <w:rPr>
          <w:rFonts w:ascii="Arial" w:cs="Arial" w:eastAsia="Arial" w:hAnsi="Arial"/>
          <w:sz w:val="15"/>
          <w:szCs w:val="15"/>
          <w:color w:val="auto"/>
        </w:rPr>
      </w:pPr>
    </w:p>
    <w:p>
      <w:pPr>
        <w:ind w:left="900" w:right="40" w:hanging="445"/>
        <w:spacing w:after="0" w:line="270" w:lineRule="auto"/>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Comcast’s Current Reports on Form 8-K filed on February 13, 2014, February 14, 2014 and February 25, 2014 (other than the portions of those documents not deemed to be filed).</w:t>
      </w:r>
    </w:p>
    <w:p>
      <w:pPr>
        <w:spacing w:after="0" w:line="77"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8"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Comcast’s Proxy Statement for the 2013 annual meeting, filed on April 5, 2013, and Current Reports on Form 8-K filed on July 24, 2013, August 16, 2013 and February 14, 2014.</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TWC’s Annual Report on Form 10-K for the year ended December 31, 2013, filed on February 18, 2014.</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380"/>
          </w:cols>
          <w:pgMar w:left="240" w:top="439" w:right="27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00" w:hanging="445"/>
        <w:spacing w:after="0" w:line="270" w:lineRule="auto"/>
        <w:tabs>
          <w:tab w:leader="none" w:pos="9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TWC’s Proxy Statement for the 2013 annual meeting, filed on April 4, 2013, and Current Reports on Form 8-K filed on April 30, 2013, July 29, 2013 and December 6, 2013.</w:t>
      </w:r>
    </w:p>
    <w:p>
      <w:pPr>
        <w:spacing w:after="0" w:line="166"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6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(866) 281-2100</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Email: ir@twcable.com</w:t>
      </w:r>
    </w:p>
    <w:p>
      <w:pPr>
        <w:spacing w:after="0" w:line="192" w:lineRule="exact"/>
        <w:rPr>
          <w:sz w:val="20"/>
          <w:szCs w:val="20"/>
          <w:color w:val="auto"/>
        </w:rPr>
      </w:pPr>
    </w:p>
    <w:p>
      <w:pPr>
        <w:ind w:right="280" w:firstLine="457"/>
        <w:spacing w:after="0" w:line="275" w:lineRule="auto"/>
        <w:rPr>
          <w:sz w:val="20"/>
          <w:szCs w:val="20"/>
          <w:color w:val="auto"/>
        </w:rPr>
      </w:pPr>
      <w:r>
        <w:rPr>
          <w:rFonts w:ascii="Arial" w:cs="Arial" w:eastAsia="Arial" w:hAnsi="Arial"/>
          <w:sz w:val="17"/>
          <w:szCs w:val="17"/>
          <w:b w:val="1"/>
          <w:bCs w:val="1"/>
          <w:color w:val="auto"/>
        </w:rPr>
        <w:t>If you would like to request documents, please do so by no later than five business days before the date of the Comcast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or five business days before the date of the TWC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as applicable.</w:t>
      </w:r>
    </w:p>
    <w:p>
      <w:pPr>
        <w:spacing w:after="0" w:line="161"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63"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77" w:lineRule="exact"/>
        <w:rPr>
          <w:sz w:val="20"/>
          <w:szCs w:val="20"/>
          <w:color w:val="auto"/>
        </w:rPr>
      </w:pPr>
    </w:p>
    <w:p>
      <w:pPr>
        <w:ind w:right="60" w:firstLine="457"/>
        <w:spacing w:after="0" w:line="302" w:lineRule="auto"/>
        <w:rPr>
          <w:sz w:val="20"/>
          <w:szCs w:val="20"/>
          <w:color w:val="auto"/>
        </w:rPr>
      </w:pPr>
      <w:r>
        <w:rPr>
          <w:rFonts w:ascii="Arial" w:cs="Arial" w:eastAsia="Arial" w:hAnsi="Arial"/>
          <w:sz w:val="16"/>
          <w:szCs w:val="16"/>
          <w:color w:val="auto"/>
        </w:rPr>
        <w:t>This joint proxy statement/prospectus is dated [—].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360"/>
          </w:cols>
          <w:pgMar w:left="240" w:top="439" w:right="29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A</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TANGO ACQUISITION SUB, INC.</w:t>
      </w:r>
    </w:p>
    <w:p>
      <w:pPr>
        <w:sectPr>
          <w:pgSz w:w="11900" w:h="16838" w:orient="portrait"/>
          <w:cols w:equalWidth="0" w:num="1">
            <w:col w:w="11420"/>
          </w:cols>
          <w:pgMar w:left="240" w:top="439" w:right="23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P</w:t>
            </w:r>
            <w:r>
              <w:rPr>
                <w:rFonts w:ascii="Arial" w:cs="Arial" w:eastAsia="Arial" w:hAnsi="Arial"/>
                <w:sz w:val="16"/>
                <w:szCs w:val="16"/>
                <w:color w:val="auto"/>
                <w:w w:val="93"/>
              </w:rPr>
              <w:t>AGE</w:t>
            </w:r>
          </w:p>
        </w:tc>
      </w:tr>
      <w:tr>
        <w:trPr>
          <w:trHeight w:val="488"/>
        </w:trPr>
        <w:tc>
          <w:tcPr>
            <w:tcW w:w="2080" w:type="dxa"/>
            <w:vAlign w:val="bottom"/>
          </w:tcPr>
          <w:p>
            <w:pPr>
              <w:spacing w:after="0"/>
              <w:rPr>
                <w:sz w:val="20"/>
                <w:szCs w:val="20"/>
                <w:color w:val="auto"/>
              </w:rPr>
            </w:pPr>
            <w:r>
              <w:rPr>
                <w:rFonts w:ascii="Arial" w:cs="Arial" w:eastAsia="Arial" w:hAnsi="Arial"/>
                <w:sz w:val="20"/>
                <w:szCs w:val="20"/>
                <w:color w:val="auto"/>
              </w:rPr>
              <w:t>ARTICLE 1 Definitions</w:t>
            </w:r>
          </w:p>
        </w:tc>
        <w:tc>
          <w:tcPr>
            <w:tcW w:w="7380" w:type="dxa"/>
            <w:vAlign w:val="bottom"/>
          </w:tcPr>
          <w:p>
            <w:pPr>
              <w:spacing w:after="0"/>
              <w:rPr>
                <w:sz w:val="24"/>
                <w:szCs w:val="24"/>
                <w:color w:val="auto"/>
              </w:rPr>
            </w:pPr>
          </w:p>
        </w:tc>
        <w:tc>
          <w:tcPr>
            <w:tcW w:w="1960" w:type="dxa"/>
            <w:vAlign w:val="bottom"/>
            <w:gridSpan w:val="2"/>
          </w:tcPr>
          <w:p>
            <w:pPr>
              <w:jc w:val="right"/>
              <w:ind w:right="159"/>
              <w:spacing w:after="0"/>
              <w:rPr>
                <w:sz w:val="20"/>
                <w:szCs w:val="20"/>
                <w:color w:val="auto"/>
              </w:rPr>
            </w:pPr>
            <w:r>
              <w:rPr>
                <w:rFonts w:ascii="Arial" w:cs="Arial" w:eastAsia="Arial" w:hAnsi="Arial"/>
                <w:sz w:val="20"/>
                <w:szCs w:val="20"/>
                <w:color w:val="auto"/>
              </w:rPr>
              <w:t>2</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1.01.</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Definitions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1.02.</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Other Definitional and Interpretative Provisions</w:t>
            </w:r>
          </w:p>
        </w:tc>
        <w:tc>
          <w:tcPr>
            <w:tcW w:w="1960" w:type="dxa"/>
            <w:vAlign w:val="bottom"/>
            <w:gridSpan w:val="2"/>
          </w:tcPr>
          <w:p>
            <w:pPr>
              <w:ind w:left="1500"/>
              <w:spacing w:after="0" w:line="227" w:lineRule="exact"/>
              <w:rPr>
                <w:sz w:val="20"/>
                <w:szCs w:val="20"/>
                <w:color w:val="auto"/>
              </w:rPr>
            </w:pPr>
            <w:r>
              <w:rPr>
                <w:rFonts w:ascii="Arial" w:cs="Arial" w:eastAsia="Arial" w:hAnsi="Arial"/>
                <w:sz w:val="20"/>
                <w:szCs w:val="20"/>
                <w:color w:val="auto"/>
              </w:rPr>
              <w:t>11</w:t>
            </w:r>
          </w:p>
        </w:tc>
      </w:tr>
      <w:tr>
        <w:trPr>
          <w:trHeight w:val="227"/>
        </w:trPr>
        <w:tc>
          <w:tcPr>
            <w:tcW w:w="2080" w:type="dxa"/>
            <w:vAlign w:val="bottom"/>
          </w:tcPr>
          <w:p>
            <w:pPr>
              <w:spacing w:after="0" w:line="227" w:lineRule="exact"/>
              <w:rPr>
                <w:sz w:val="20"/>
                <w:szCs w:val="20"/>
                <w:color w:val="auto"/>
              </w:rPr>
            </w:pPr>
            <w:r>
              <w:rPr>
                <w:rFonts w:ascii="Arial" w:cs="Arial" w:eastAsia="Arial" w:hAnsi="Arial"/>
                <w:sz w:val="20"/>
                <w:szCs w:val="20"/>
                <w:color w:val="auto"/>
                <w:w w:val="98"/>
              </w:rPr>
              <w:t>ARTICLE 2 The Merger</w:t>
            </w:r>
          </w:p>
        </w:tc>
        <w:tc>
          <w:tcPr>
            <w:tcW w:w="7380" w:type="dxa"/>
            <w:vAlign w:val="bottom"/>
          </w:tcPr>
          <w:p>
            <w:pPr>
              <w:spacing w:after="0"/>
              <w:rPr>
                <w:sz w:val="19"/>
                <w:szCs w:val="19"/>
                <w:color w:val="auto"/>
              </w:rPr>
            </w:pP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12</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2.01.</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The Merger</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12</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2.02.</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Conversion of Shares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12</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2.03.</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Surrender and Payment</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13</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2.04.</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Equity-Based Awards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15</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2.05.</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Adjustments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17</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2.06.</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Fractional Shares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17</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2.07.</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Withholding</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2.08.</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Lost Certificates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9460" w:type="dxa"/>
            <w:vAlign w:val="bottom"/>
            <w:gridSpan w:val="2"/>
          </w:tcPr>
          <w:p>
            <w:pPr>
              <w:spacing w:after="0" w:line="227" w:lineRule="exact"/>
              <w:rPr>
                <w:sz w:val="20"/>
                <w:szCs w:val="20"/>
                <w:color w:val="auto"/>
              </w:rPr>
            </w:pPr>
            <w:r>
              <w:rPr>
                <w:rFonts w:ascii="Arial" w:cs="Arial" w:eastAsia="Arial" w:hAnsi="Arial"/>
                <w:sz w:val="20"/>
                <w:szCs w:val="20"/>
                <w:color w:val="auto"/>
              </w:rPr>
              <w:t>ARTICLE 3 The Surviving Corporation</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3.01.</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Certificate of Incorporation</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3.02.</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Bylaws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3.03.</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Directors and Officers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9460" w:type="dxa"/>
            <w:vAlign w:val="bottom"/>
            <w:gridSpan w:val="2"/>
          </w:tcPr>
          <w:p>
            <w:pPr>
              <w:spacing w:after="0" w:line="227" w:lineRule="exact"/>
              <w:rPr>
                <w:sz w:val="20"/>
                <w:szCs w:val="20"/>
                <w:color w:val="auto"/>
              </w:rPr>
            </w:pPr>
            <w:r>
              <w:rPr>
                <w:rFonts w:ascii="Arial" w:cs="Arial" w:eastAsia="Arial" w:hAnsi="Arial"/>
                <w:sz w:val="20"/>
                <w:szCs w:val="20"/>
                <w:color w:val="auto"/>
              </w:rPr>
              <w:t>ARTICLE 4 Representations and Warranties of the Company</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18</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4.01.</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Corporate Existence and Power</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19</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4.02.</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Corporate Authorization</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19</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4.03.</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Governmental Authorization</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19</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4.04.</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Non-contravention</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20</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4.05.</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Capitalization</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20</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4.06.</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Subsidiaries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21</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4.07.</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SEC Filings and the Sarbanes-Oxley Act</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22</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4.08.</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Financial Statements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24</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4.09.</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Disclosure Documents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24</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4.10.</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Absence of Certain Changes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25</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4.11.</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No Undisclosed Material Liabilities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25</w:t>
            </w:r>
          </w:p>
        </w:tc>
      </w:tr>
      <w:tr>
        <w:trPr>
          <w:trHeight w:val="227"/>
        </w:trPr>
        <w:tc>
          <w:tcPr>
            <w:tcW w:w="2080" w:type="dxa"/>
            <w:vAlign w:val="bottom"/>
          </w:tcPr>
          <w:p>
            <w:pPr>
              <w:ind w:left="200"/>
              <w:spacing w:after="0" w:line="227" w:lineRule="exact"/>
              <w:rPr>
                <w:sz w:val="20"/>
                <w:szCs w:val="20"/>
                <w:color w:val="auto"/>
              </w:rPr>
            </w:pPr>
            <w:r>
              <w:rPr>
                <w:rFonts w:ascii="Arial" w:cs="Arial" w:eastAsia="Arial" w:hAnsi="Arial"/>
                <w:sz w:val="20"/>
                <w:szCs w:val="20"/>
                <w:color w:val="auto"/>
              </w:rPr>
              <w:t>Section 4.12.</w:t>
            </w:r>
          </w:p>
        </w:tc>
        <w:tc>
          <w:tcPr>
            <w:tcW w:w="7380" w:type="dxa"/>
            <w:vAlign w:val="bottom"/>
          </w:tcPr>
          <w:p>
            <w:pPr>
              <w:ind w:left="60"/>
              <w:spacing w:after="0" w:line="227" w:lineRule="exact"/>
              <w:rPr>
                <w:sz w:val="20"/>
                <w:szCs w:val="20"/>
                <w:color w:val="auto"/>
              </w:rPr>
            </w:pPr>
            <w:r>
              <w:rPr>
                <w:rFonts w:ascii="Arial" w:cs="Arial" w:eastAsia="Arial" w:hAnsi="Arial"/>
                <w:sz w:val="20"/>
                <w:szCs w:val="20"/>
                <w:color w:val="auto"/>
              </w:rPr>
              <w:t>Compliance with Laws and Court Orders; Governmental Authorizations</w:t>
            </w:r>
          </w:p>
        </w:tc>
        <w:tc>
          <w:tcPr>
            <w:tcW w:w="1960" w:type="dxa"/>
            <w:vAlign w:val="bottom"/>
            <w:gridSpan w:val="2"/>
          </w:tcPr>
          <w:p>
            <w:pPr>
              <w:jc w:val="right"/>
              <w:ind w:right="159"/>
              <w:spacing w:after="0" w:line="227" w:lineRule="exact"/>
              <w:rPr>
                <w:sz w:val="20"/>
                <w:szCs w:val="20"/>
                <w:color w:val="auto"/>
              </w:rPr>
            </w:pPr>
            <w:r>
              <w:rPr>
                <w:rFonts w:ascii="Arial" w:cs="Arial" w:eastAsia="Arial" w:hAnsi="Arial"/>
                <w:sz w:val="20"/>
                <w:szCs w:val="20"/>
                <w:color w:val="auto"/>
              </w:rPr>
              <w:t>26</w:t>
            </w:r>
          </w:p>
        </w:tc>
      </w:tr>
      <w:tr>
        <w:trPr>
          <w:trHeight w:val="258"/>
        </w:trPr>
        <w:tc>
          <w:tcPr>
            <w:tcW w:w="2080" w:type="dxa"/>
            <w:vAlign w:val="bottom"/>
          </w:tcPr>
          <w:p>
            <w:pPr>
              <w:ind w:left="200"/>
              <w:spacing w:after="0"/>
              <w:rPr>
                <w:sz w:val="20"/>
                <w:szCs w:val="20"/>
                <w:color w:val="auto"/>
              </w:rPr>
            </w:pPr>
            <w:r>
              <w:rPr>
                <w:rFonts w:ascii="Arial" w:cs="Arial" w:eastAsia="Arial" w:hAnsi="Arial"/>
                <w:sz w:val="20"/>
                <w:szCs w:val="20"/>
                <w:color w:val="auto"/>
              </w:rPr>
              <w:t>Section 4.13.</w:t>
            </w:r>
          </w:p>
        </w:tc>
        <w:tc>
          <w:tcPr>
            <w:tcW w:w="7380" w:type="dxa"/>
            <w:vAlign w:val="bottom"/>
          </w:tcPr>
          <w:p>
            <w:pPr>
              <w:ind w:left="60"/>
              <w:spacing w:after="0"/>
              <w:rPr>
                <w:sz w:val="20"/>
                <w:szCs w:val="20"/>
                <w:color w:val="auto"/>
              </w:rPr>
            </w:pPr>
            <w:r>
              <w:rPr>
                <w:rFonts w:ascii="Arial" w:cs="Arial" w:eastAsia="Arial" w:hAnsi="Arial"/>
                <w:sz w:val="20"/>
                <w:szCs w:val="20"/>
                <w:color w:val="auto"/>
              </w:rPr>
              <w:t>Litigation</w:t>
            </w:r>
          </w:p>
        </w:tc>
        <w:tc>
          <w:tcPr>
            <w:tcW w:w="1960" w:type="dxa"/>
            <w:vAlign w:val="bottom"/>
            <w:gridSpan w:val="2"/>
          </w:tcPr>
          <w:p>
            <w:pPr>
              <w:jc w:val="right"/>
              <w:ind w:right="159"/>
              <w:spacing w:after="0"/>
              <w:rPr>
                <w:sz w:val="20"/>
                <w:szCs w:val="20"/>
                <w:color w:val="auto"/>
              </w:rPr>
            </w:pPr>
            <w:r>
              <w:rPr>
                <w:rFonts w:ascii="Arial" w:cs="Arial" w:eastAsia="Arial" w:hAnsi="Arial"/>
                <w:sz w:val="20"/>
                <w:szCs w:val="20"/>
                <w:color w:val="auto"/>
              </w:rPr>
              <w:t>26</w:t>
            </w: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A-i</w:t>
      </w:r>
    </w:p>
    <w:p>
      <w:pPr>
        <w:sectPr>
          <w:pgSz w:w="11900" w:h="16838" w:orient="portrait"/>
          <w:cols w:equalWidth="0" w:num="1">
            <w:col w:w="11420"/>
          </w:cols>
          <w:pgMar w:left="240" w:top="439" w:right="2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jc w:val="right"/>
              <w:spacing w:after="0"/>
              <w:rPr>
                <w:rFonts w:ascii="Arial" w:cs="Arial" w:eastAsia="Arial" w:hAnsi="Arial"/>
                <w:sz w:val="17"/>
                <w:szCs w:val="17"/>
                <w:b w:val="1"/>
                <w:bCs w:val="1"/>
                <w:color w:val="0000EE"/>
                <w:w w:val="86"/>
              </w:rPr>
            </w:pPr>
            <w:hyperlink w:anchor="page9">
              <w:r>
                <w:rPr>
                  <w:rFonts w:ascii="Arial" w:cs="Arial" w:eastAsia="Arial" w:hAnsi="Arial"/>
                  <w:sz w:val="17"/>
                  <w:szCs w:val="17"/>
                  <w:b w:val="1"/>
                  <w:bCs w:val="1"/>
                  <w:color w:val="0000EE"/>
                  <w:w w:val="86"/>
                </w:rPr>
                <w:t>Table of Contents</w:t>
              </w:r>
            </w:hyperlink>
          </w:p>
        </w:tc>
        <w:tc>
          <w:tcPr>
            <w:tcW w:w="4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501"/>
        </w:trPr>
        <w:tc>
          <w:tcPr>
            <w:tcW w:w="1660" w:type="dxa"/>
            <w:vAlign w:val="bottom"/>
            <w:gridSpan w:val="2"/>
          </w:tcPr>
          <w:p>
            <w:pPr>
              <w:jc w:val="right"/>
              <w:ind w:right="400"/>
              <w:spacing w:after="0"/>
              <w:rPr>
                <w:sz w:val="20"/>
                <w:szCs w:val="20"/>
                <w:color w:val="auto"/>
              </w:rPr>
            </w:pPr>
            <w:r>
              <w:rPr>
                <w:rFonts w:ascii="Arial" w:cs="Arial" w:eastAsia="Arial" w:hAnsi="Arial"/>
                <w:sz w:val="20"/>
                <w:szCs w:val="20"/>
                <w:color w:val="auto"/>
              </w:rPr>
              <w:t>Section 4.14.</w:t>
            </w:r>
          </w:p>
        </w:tc>
        <w:tc>
          <w:tcPr>
            <w:tcW w:w="7880" w:type="dxa"/>
            <w:vAlign w:val="bottom"/>
          </w:tcPr>
          <w:p>
            <w:pPr>
              <w:ind w:left="400"/>
              <w:spacing w:after="0"/>
              <w:rPr>
                <w:sz w:val="20"/>
                <w:szCs w:val="20"/>
                <w:color w:val="auto"/>
              </w:rPr>
            </w:pPr>
            <w:r>
              <w:rPr>
                <w:rFonts w:ascii="Arial" w:cs="Arial" w:eastAsia="Arial" w:hAnsi="Arial"/>
                <w:sz w:val="20"/>
                <w:szCs w:val="20"/>
                <w:color w:val="auto"/>
              </w:rPr>
              <w:t>Properties</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4.15.</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Intellectual Property</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27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4.16.</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Taxes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28</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4.17.</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Employees and Employee Benefit Plans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29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4.18.</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Environmental Matters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32</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4.19.</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Material Contracts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4.20.</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Cable System and Subscriber Information</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4.21.</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Franchises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4.22.</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Tax Treatment</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4.23.</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Finders’ Fees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4.24.</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Opinion of Financial Advisor</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4.25.</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Antitakeover Statutes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4.26.</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No Additional Representations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36</w:t>
            </w:r>
          </w:p>
        </w:tc>
      </w:tr>
      <w:tr>
        <w:trPr>
          <w:trHeight w:val="227"/>
        </w:trPr>
        <w:tc>
          <w:tcPr>
            <w:tcW w:w="9540" w:type="dxa"/>
            <w:vAlign w:val="bottom"/>
            <w:gridSpan w:val="3"/>
          </w:tcPr>
          <w:p>
            <w:pPr>
              <w:spacing w:after="0" w:line="227" w:lineRule="exact"/>
              <w:rPr>
                <w:sz w:val="20"/>
                <w:szCs w:val="20"/>
                <w:color w:val="auto"/>
              </w:rPr>
            </w:pPr>
            <w:r>
              <w:rPr>
                <w:rFonts w:ascii="Arial" w:cs="Arial" w:eastAsia="Arial" w:hAnsi="Arial"/>
                <w:sz w:val="20"/>
                <w:szCs w:val="20"/>
                <w:color w:val="auto"/>
              </w:rPr>
              <w:t>ARTICLE 5 Representations and Warranties of Parent</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5.01.</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Corporate Existence and Power</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5.02.</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Corporate Authorization</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5.03.</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Governmental Authorization</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38</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5.04.</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Non-contravention</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5.05.</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Capitalization</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39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5.06.</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Subsidiaries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40</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5.07.</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SEC Filings and the Sarbanes-Oxley Act</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41</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5.08.</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Financial Statements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42</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5.09.</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Disclosure Documents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5.10.</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Absence of Certain Changes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5.11.</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No Undisclosed Material Liabilities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5.12.</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Compliance with Laws and Court Orders; Governmental Authorizations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5.13.</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Litigation</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5.14.</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Taxes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5.15.</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Franchises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5.16.</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Tax Treatment</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5.17.</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NBCUniversal Agreement</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5.18.</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Finders’ Fees</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5.19.</w:t>
            </w:r>
          </w:p>
        </w:tc>
        <w:tc>
          <w:tcPr>
            <w:tcW w:w="7880" w:type="dxa"/>
            <w:vAlign w:val="bottom"/>
          </w:tcPr>
          <w:p>
            <w:pPr>
              <w:ind w:left="400"/>
              <w:spacing w:after="0" w:line="227" w:lineRule="exact"/>
              <w:rPr>
                <w:sz w:val="20"/>
                <w:szCs w:val="20"/>
                <w:color w:val="auto"/>
              </w:rPr>
            </w:pPr>
            <w:r>
              <w:rPr>
                <w:rFonts w:ascii="Arial" w:cs="Arial" w:eastAsia="Arial" w:hAnsi="Arial"/>
                <w:sz w:val="20"/>
                <w:szCs w:val="20"/>
                <w:color w:val="auto"/>
              </w:rPr>
              <w:t>Opinion of Financial Advisor</w:t>
            </w:r>
          </w:p>
        </w:tc>
        <w:tc>
          <w:tcPr>
            <w:tcW w:w="1840" w:type="dxa"/>
            <w:vAlign w:val="bottom"/>
          </w:tcPr>
          <w:p>
            <w:pPr>
              <w:jc w:val="right"/>
              <w:spacing w:after="0" w:line="227" w:lineRule="exact"/>
              <w:rPr>
                <w:sz w:val="20"/>
                <w:szCs w:val="20"/>
                <w:color w:val="auto"/>
              </w:rPr>
            </w:pPr>
            <w:r>
              <w:rPr>
                <w:rFonts w:ascii="Arial" w:cs="Arial" w:eastAsia="Arial" w:hAnsi="Arial"/>
                <w:sz w:val="20"/>
                <w:szCs w:val="20"/>
                <w:color w:val="auto"/>
              </w:rPr>
              <w:t>46</w:t>
            </w:r>
          </w:p>
        </w:tc>
      </w:tr>
      <w:tr>
        <w:trPr>
          <w:trHeight w:val="258"/>
        </w:trPr>
        <w:tc>
          <w:tcPr>
            <w:tcW w:w="1660" w:type="dxa"/>
            <w:vAlign w:val="bottom"/>
            <w:gridSpan w:val="2"/>
          </w:tcPr>
          <w:p>
            <w:pPr>
              <w:jc w:val="right"/>
              <w:ind w:right="400"/>
              <w:spacing w:after="0"/>
              <w:rPr>
                <w:sz w:val="20"/>
                <w:szCs w:val="20"/>
                <w:color w:val="auto"/>
              </w:rPr>
            </w:pPr>
            <w:r>
              <w:rPr>
                <w:rFonts w:ascii="Arial" w:cs="Arial" w:eastAsia="Arial" w:hAnsi="Arial"/>
                <w:sz w:val="20"/>
                <w:szCs w:val="20"/>
                <w:color w:val="auto"/>
              </w:rPr>
              <w:t>Section 5.20.</w:t>
            </w:r>
          </w:p>
        </w:tc>
        <w:tc>
          <w:tcPr>
            <w:tcW w:w="7880" w:type="dxa"/>
            <w:vAlign w:val="bottom"/>
          </w:tcPr>
          <w:p>
            <w:pPr>
              <w:ind w:left="400"/>
              <w:spacing w:after="0"/>
              <w:rPr>
                <w:sz w:val="20"/>
                <w:szCs w:val="20"/>
                <w:color w:val="auto"/>
              </w:rPr>
            </w:pPr>
            <w:r>
              <w:rPr>
                <w:rFonts w:ascii="Arial" w:cs="Arial" w:eastAsia="Arial" w:hAnsi="Arial"/>
                <w:sz w:val="20"/>
                <w:szCs w:val="20"/>
                <w:color w:val="auto"/>
              </w:rPr>
              <w:t>No Additional Representations</w:t>
            </w:r>
          </w:p>
        </w:tc>
        <w:tc>
          <w:tcPr>
            <w:tcW w:w="1840" w:type="dxa"/>
            <w:vAlign w:val="bottom"/>
          </w:tcPr>
          <w:p>
            <w:pPr>
              <w:jc w:val="right"/>
              <w:spacing w:after="0"/>
              <w:rPr>
                <w:sz w:val="20"/>
                <w:szCs w:val="20"/>
                <w:color w:val="auto"/>
              </w:rPr>
            </w:pPr>
            <w:r>
              <w:rPr>
                <w:rFonts w:ascii="Arial" w:cs="Arial" w:eastAsia="Arial" w:hAnsi="Arial"/>
                <w:sz w:val="20"/>
                <w:szCs w:val="20"/>
                <w:color w:val="auto"/>
              </w:rPr>
              <w:t>46</w:t>
            </w: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A-ii</w:t>
      </w:r>
    </w:p>
    <w:p>
      <w:pPr>
        <w:sectPr>
          <w:pgSz w:w="11900" w:h="16838" w:orient="portrait"/>
          <w:cols w:equalWidth="0" w:num="1">
            <w:col w:w="11380"/>
          </w:cols>
          <w:pgMar w:left="240" w:top="423" w:right="27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9">
              <w:r>
                <w:rPr>
                  <w:rFonts w:ascii="Arial" w:cs="Arial" w:eastAsia="Arial" w:hAnsi="Arial"/>
                  <w:sz w:val="17"/>
                  <w:szCs w:val="17"/>
                  <w:b w:val="1"/>
                  <w:bCs w:val="1"/>
                  <w:color w:val="0000EE"/>
                  <w:w w:val="86"/>
                </w:rPr>
                <w:t>Table of Contents</w:t>
              </w:r>
            </w:hyperlink>
          </w:p>
        </w:tc>
        <w:tc>
          <w:tcPr>
            <w:tcW w:w="44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501"/>
        </w:trPr>
        <w:tc>
          <w:tcPr>
            <w:tcW w:w="9120" w:type="dxa"/>
            <w:vAlign w:val="bottom"/>
            <w:gridSpan w:val="3"/>
          </w:tcPr>
          <w:p>
            <w:pPr>
              <w:spacing w:after="0"/>
              <w:rPr>
                <w:sz w:val="20"/>
                <w:szCs w:val="20"/>
                <w:color w:val="auto"/>
              </w:rPr>
            </w:pPr>
            <w:r>
              <w:rPr>
                <w:rFonts w:ascii="Arial" w:cs="Arial" w:eastAsia="Arial" w:hAnsi="Arial"/>
                <w:sz w:val="20"/>
                <w:szCs w:val="20"/>
                <w:color w:val="auto"/>
              </w:rPr>
              <w:t>ARTICLE 6 Covenants of the Company</w:t>
            </w:r>
          </w:p>
        </w:tc>
        <w:tc>
          <w:tcPr>
            <w:tcW w:w="22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6.01.</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Conduct of the Company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46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6.02.</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Company Stockholder Meeting</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6.03.</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No Solicitation; Other Offers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6.04.</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Tax Matters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6.05.</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Voting of Shares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56</w:t>
            </w:r>
          </w:p>
        </w:tc>
      </w:tr>
      <w:tr>
        <w:trPr>
          <w:trHeight w:val="227"/>
        </w:trPr>
        <w:tc>
          <w:tcPr>
            <w:tcW w:w="9120" w:type="dxa"/>
            <w:vAlign w:val="bottom"/>
            <w:gridSpan w:val="3"/>
          </w:tcPr>
          <w:p>
            <w:pPr>
              <w:spacing w:after="0" w:line="227" w:lineRule="exact"/>
              <w:rPr>
                <w:sz w:val="20"/>
                <w:szCs w:val="20"/>
                <w:color w:val="auto"/>
              </w:rPr>
            </w:pPr>
            <w:r>
              <w:rPr>
                <w:rFonts w:ascii="Arial" w:cs="Arial" w:eastAsia="Arial" w:hAnsi="Arial"/>
                <w:sz w:val="20"/>
                <w:szCs w:val="20"/>
                <w:color w:val="auto"/>
              </w:rPr>
              <w:t>ARTICLE 7 Covenants of Parent</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7.01.</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Conduct of Parent</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7.02.</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Obligations of Merger Subsidiary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7.03.</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Parent Shareholder Meeting</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7.04.</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Certain Prohibitions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7.05.</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Approval by Sole Stockholder of Merger Subsidiary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7.06.</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Voting of Shares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7.07.</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Director and Officer Indemnification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59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7.08.</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Stock Exchange Listing</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7.09.</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Employee Matters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60</w:t>
            </w:r>
          </w:p>
        </w:tc>
      </w:tr>
      <w:tr>
        <w:trPr>
          <w:trHeight w:val="227"/>
        </w:trPr>
        <w:tc>
          <w:tcPr>
            <w:tcW w:w="9120" w:type="dxa"/>
            <w:vAlign w:val="bottom"/>
            <w:gridSpan w:val="3"/>
          </w:tcPr>
          <w:p>
            <w:pPr>
              <w:spacing w:after="0" w:line="227" w:lineRule="exact"/>
              <w:rPr>
                <w:sz w:val="20"/>
                <w:szCs w:val="20"/>
                <w:color w:val="auto"/>
              </w:rPr>
            </w:pPr>
            <w:r>
              <w:rPr>
                <w:rFonts w:ascii="Arial" w:cs="Arial" w:eastAsia="Arial" w:hAnsi="Arial"/>
                <w:sz w:val="20"/>
                <w:szCs w:val="20"/>
                <w:color w:val="auto"/>
              </w:rPr>
              <w:t>ARTICLE 8 Covenants of Parent and the Company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8.01.</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Reasonable Best Efforts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8.02.</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Joint Proxy Statement/Prospectus; Registration Statement</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8.03.</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Public Announcements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8.04.</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Further Assurances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8.05.</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Notices of Certain Events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8.06.</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Access to Information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8.07.</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Tax-free Reorganization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69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8.08.</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Section 16 Matters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8.09.</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Stock Exchange De-listing; 1934 Act Deregistration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8.10.</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Dividends</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8.11.</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Stockholder Litigation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70</w:t>
            </w:r>
          </w:p>
        </w:tc>
      </w:tr>
      <w:tr>
        <w:trPr>
          <w:trHeight w:val="227"/>
        </w:trPr>
        <w:tc>
          <w:tcPr>
            <w:tcW w:w="9120" w:type="dxa"/>
            <w:vAlign w:val="bottom"/>
            <w:gridSpan w:val="3"/>
          </w:tcPr>
          <w:p>
            <w:pPr>
              <w:spacing w:after="0" w:line="227" w:lineRule="exact"/>
              <w:rPr>
                <w:sz w:val="20"/>
                <w:szCs w:val="20"/>
                <w:color w:val="auto"/>
              </w:rPr>
            </w:pPr>
            <w:r>
              <w:rPr>
                <w:rFonts w:ascii="Arial" w:cs="Arial" w:eastAsia="Arial" w:hAnsi="Arial"/>
                <w:sz w:val="20"/>
                <w:szCs w:val="20"/>
                <w:color w:val="auto"/>
              </w:rPr>
              <w:t>ARTICLE 9 Conditions to the Merger</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9.01.</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Conditions to the Obligations of Each Party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9.02.</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Conditions to the Obligations of Parent and Merger Subsidiary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9.03.</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Conditions to the Obligations of the Company</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73</w:t>
            </w:r>
          </w:p>
        </w:tc>
      </w:tr>
      <w:tr>
        <w:trPr>
          <w:trHeight w:val="227"/>
        </w:trPr>
        <w:tc>
          <w:tcPr>
            <w:tcW w:w="9120" w:type="dxa"/>
            <w:vAlign w:val="bottom"/>
            <w:gridSpan w:val="3"/>
          </w:tcPr>
          <w:p>
            <w:pPr>
              <w:spacing w:after="0" w:line="227" w:lineRule="exact"/>
              <w:rPr>
                <w:sz w:val="20"/>
                <w:szCs w:val="20"/>
                <w:color w:val="auto"/>
              </w:rPr>
            </w:pPr>
            <w:r>
              <w:rPr>
                <w:rFonts w:ascii="Arial" w:cs="Arial" w:eastAsia="Arial" w:hAnsi="Arial"/>
                <w:sz w:val="20"/>
                <w:szCs w:val="20"/>
                <w:color w:val="auto"/>
              </w:rPr>
              <w:t>ARTICLE 10 Termination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74</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10.01.</w:t>
            </w:r>
          </w:p>
        </w:tc>
        <w:tc>
          <w:tcPr>
            <w:tcW w:w="7420" w:type="dxa"/>
            <w:vAlign w:val="bottom"/>
          </w:tcPr>
          <w:p>
            <w:pPr>
              <w:ind w:left="340"/>
              <w:spacing w:after="0" w:line="227" w:lineRule="exact"/>
              <w:rPr>
                <w:sz w:val="20"/>
                <w:szCs w:val="20"/>
                <w:color w:val="auto"/>
              </w:rPr>
            </w:pPr>
            <w:r>
              <w:rPr>
                <w:rFonts w:ascii="Arial" w:cs="Arial" w:eastAsia="Arial" w:hAnsi="Arial"/>
                <w:sz w:val="20"/>
                <w:szCs w:val="20"/>
                <w:color w:val="auto"/>
              </w:rPr>
              <w:t>Termination</w:t>
            </w:r>
          </w:p>
        </w:tc>
        <w:tc>
          <w:tcPr>
            <w:tcW w:w="2200" w:type="dxa"/>
            <w:vAlign w:val="bottom"/>
          </w:tcPr>
          <w:p>
            <w:pPr>
              <w:jc w:val="right"/>
              <w:spacing w:after="0" w:line="227" w:lineRule="exact"/>
              <w:rPr>
                <w:sz w:val="20"/>
                <w:szCs w:val="20"/>
                <w:color w:val="auto"/>
              </w:rPr>
            </w:pPr>
            <w:r>
              <w:rPr>
                <w:rFonts w:ascii="Arial" w:cs="Arial" w:eastAsia="Arial" w:hAnsi="Arial"/>
                <w:sz w:val="20"/>
                <w:szCs w:val="20"/>
                <w:color w:val="auto"/>
              </w:rPr>
              <w:t>74</w:t>
            </w:r>
          </w:p>
        </w:tc>
      </w:tr>
      <w:tr>
        <w:trPr>
          <w:trHeight w:val="258"/>
        </w:trPr>
        <w:tc>
          <w:tcPr>
            <w:tcW w:w="1700" w:type="dxa"/>
            <w:vAlign w:val="bottom"/>
            <w:gridSpan w:val="2"/>
          </w:tcPr>
          <w:p>
            <w:pPr>
              <w:ind w:left="200"/>
              <w:spacing w:after="0"/>
              <w:rPr>
                <w:sz w:val="20"/>
                <w:szCs w:val="20"/>
                <w:color w:val="auto"/>
              </w:rPr>
            </w:pPr>
            <w:r>
              <w:rPr>
                <w:rFonts w:ascii="Arial" w:cs="Arial" w:eastAsia="Arial" w:hAnsi="Arial"/>
                <w:sz w:val="20"/>
                <w:szCs w:val="20"/>
                <w:color w:val="auto"/>
              </w:rPr>
              <w:t>Section 10.02.</w:t>
            </w:r>
          </w:p>
        </w:tc>
        <w:tc>
          <w:tcPr>
            <w:tcW w:w="7420" w:type="dxa"/>
            <w:vAlign w:val="bottom"/>
          </w:tcPr>
          <w:p>
            <w:pPr>
              <w:ind w:left="340"/>
              <w:spacing w:after="0"/>
              <w:rPr>
                <w:sz w:val="20"/>
                <w:szCs w:val="20"/>
                <w:color w:val="auto"/>
              </w:rPr>
            </w:pPr>
            <w:r>
              <w:rPr>
                <w:rFonts w:ascii="Arial" w:cs="Arial" w:eastAsia="Arial" w:hAnsi="Arial"/>
                <w:sz w:val="20"/>
                <w:szCs w:val="20"/>
                <w:color w:val="auto"/>
              </w:rPr>
              <w:t>Effect of Termination</w:t>
            </w:r>
          </w:p>
        </w:tc>
        <w:tc>
          <w:tcPr>
            <w:tcW w:w="2200" w:type="dxa"/>
            <w:vAlign w:val="bottom"/>
          </w:tcPr>
          <w:p>
            <w:pPr>
              <w:jc w:val="right"/>
              <w:spacing w:after="0"/>
              <w:rPr>
                <w:sz w:val="20"/>
                <w:szCs w:val="20"/>
                <w:color w:val="auto"/>
              </w:rPr>
            </w:pPr>
            <w:r>
              <w:rPr>
                <w:rFonts w:ascii="Arial" w:cs="Arial" w:eastAsia="Arial" w:hAnsi="Arial"/>
                <w:sz w:val="20"/>
                <w:szCs w:val="20"/>
                <w:color w:val="auto"/>
              </w:rPr>
              <w:t>76</w:t>
            </w: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A-iii</w:t>
      </w:r>
    </w:p>
    <w:p>
      <w:pPr>
        <w:sectPr>
          <w:pgSz w:w="11900" w:h="16838" w:orient="portrait"/>
          <w:cols w:equalWidth="0" w:num="1">
            <w:col w:w="11320"/>
          </w:cols>
          <w:pgMar w:left="240" w:top="424" w:right="3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9">
              <w:r>
                <w:rPr>
                  <w:rFonts w:ascii="Arial" w:cs="Arial" w:eastAsia="Arial" w:hAnsi="Arial"/>
                  <w:sz w:val="17"/>
                  <w:szCs w:val="17"/>
                  <w:b w:val="1"/>
                  <w:bCs w:val="1"/>
                  <w:color w:val="0000EE"/>
                  <w:w w:val="86"/>
                </w:rPr>
                <w:t>Table of Contents</w:t>
              </w:r>
            </w:hyperlink>
          </w:p>
        </w:tc>
        <w:tc>
          <w:tcPr>
            <w:tcW w:w="44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501"/>
        </w:trPr>
        <w:tc>
          <w:tcPr>
            <w:tcW w:w="8720" w:type="dxa"/>
            <w:vAlign w:val="bottom"/>
            <w:gridSpan w:val="3"/>
          </w:tcPr>
          <w:p>
            <w:pPr>
              <w:spacing w:after="0"/>
              <w:rPr>
                <w:sz w:val="20"/>
                <w:szCs w:val="20"/>
                <w:color w:val="auto"/>
              </w:rPr>
            </w:pPr>
            <w:r>
              <w:rPr>
                <w:rFonts w:ascii="Arial" w:cs="Arial" w:eastAsia="Arial" w:hAnsi="Arial"/>
                <w:sz w:val="20"/>
                <w:szCs w:val="20"/>
                <w:color w:val="auto"/>
              </w:rPr>
              <w:t>ARTICLE 11 Miscellaneous</w:t>
            </w:r>
          </w:p>
        </w:tc>
        <w:tc>
          <w:tcPr>
            <w:tcW w:w="26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11.01.</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Notices</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11.02.</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Survival of Representations and Warranties</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11.03.</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Amendments and Waivers</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11.04.</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Expenses</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11.05.</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Disclosure Schedule and SEC Document References</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11.06.</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Binding Effect; Benefit; Assignment</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11.07.</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Governing Law</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11.08.</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Jurisdiction</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11.09.</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WAIVER OF JURY TRIAL</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11.10.</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Counterparts; Effectiveness</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11.11.</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Entire Agreement</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11.12.</w:t>
            </w:r>
          </w:p>
        </w:tc>
        <w:tc>
          <w:tcPr>
            <w:tcW w:w="7020" w:type="dxa"/>
            <w:vAlign w:val="bottom"/>
          </w:tcPr>
          <w:p>
            <w:pPr>
              <w:ind w:left="340"/>
              <w:spacing w:after="0" w:line="227" w:lineRule="exact"/>
              <w:rPr>
                <w:sz w:val="20"/>
                <w:szCs w:val="20"/>
                <w:color w:val="auto"/>
              </w:rPr>
            </w:pPr>
            <w:r>
              <w:rPr>
                <w:rFonts w:ascii="Arial" w:cs="Arial" w:eastAsia="Arial" w:hAnsi="Arial"/>
                <w:sz w:val="20"/>
                <w:szCs w:val="20"/>
                <w:color w:val="auto"/>
              </w:rPr>
              <w:t>Severability</w:t>
            </w:r>
          </w:p>
        </w:tc>
        <w:tc>
          <w:tcPr>
            <w:tcW w:w="2600" w:type="dxa"/>
            <w:vAlign w:val="bottom"/>
          </w:tcPr>
          <w:p>
            <w:pPr>
              <w:jc w:val="right"/>
              <w:spacing w:after="0" w:line="227" w:lineRule="exact"/>
              <w:rPr>
                <w:sz w:val="20"/>
                <w:szCs w:val="20"/>
                <w:color w:val="auto"/>
              </w:rPr>
            </w:pPr>
            <w:r>
              <w:rPr>
                <w:rFonts w:ascii="Arial" w:cs="Arial" w:eastAsia="Arial" w:hAnsi="Arial"/>
                <w:sz w:val="20"/>
                <w:szCs w:val="20"/>
                <w:color w:val="auto"/>
              </w:rPr>
              <w:t>80</w:t>
            </w:r>
          </w:p>
        </w:tc>
      </w:tr>
      <w:tr>
        <w:trPr>
          <w:trHeight w:val="258"/>
        </w:trPr>
        <w:tc>
          <w:tcPr>
            <w:tcW w:w="1700" w:type="dxa"/>
            <w:vAlign w:val="bottom"/>
            <w:gridSpan w:val="2"/>
          </w:tcPr>
          <w:p>
            <w:pPr>
              <w:ind w:left="200"/>
              <w:spacing w:after="0"/>
              <w:rPr>
                <w:sz w:val="20"/>
                <w:szCs w:val="20"/>
                <w:color w:val="auto"/>
              </w:rPr>
            </w:pPr>
            <w:r>
              <w:rPr>
                <w:rFonts w:ascii="Arial" w:cs="Arial" w:eastAsia="Arial" w:hAnsi="Arial"/>
                <w:sz w:val="20"/>
                <w:szCs w:val="20"/>
                <w:color w:val="auto"/>
              </w:rPr>
              <w:t>Section 11.13.</w:t>
            </w:r>
          </w:p>
        </w:tc>
        <w:tc>
          <w:tcPr>
            <w:tcW w:w="7020" w:type="dxa"/>
            <w:vAlign w:val="bottom"/>
          </w:tcPr>
          <w:p>
            <w:pPr>
              <w:ind w:left="340"/>
              <w:spacing w:after="0"/>
              <w:rPr>
                <w:sz w:val="20"/>
                <w:szCs w:val="20"/>
                <w:color w:val="auto"/>
              </w:rPr>
            </w:pPr>
            <w:r>
              <w:rPr>
                <w:rFonts w:ascii="Arial" w:cs="Arial" w:eastAsia="Arial" w:hAnsi="Arial"/>
                <w:sz w:val="20"/>
                <w:szCs w:val="20"/>
                <w:color w:val="auto"/>
              </w:rPr>
              <w:t>Specific Performance</w:t>
            </w:r>
          </w:p>
        </w:tc>
        <w:tc>
          <w:tcPr>
            <w:tcW w:w="2600" w:type="dxa"/>
            <w:vAlign w:val="bottom"/>
          </w:tcPr>
          <w:p>
            <w:pPr>
              <w:jc w:val="right"/>
              <w:spacing w:after="0"/>
              <w:rPr>
                <w:sz w:val="20"/>
                <w:szCs w:val="20"/>
                <w:color w:val="auto"/>
              </w:rPr>
            </w:pPr>
            <w:r>
              <w:rPr>
                <w:rFonts w:ascii="Arial" w:cs="Arial" w:eastAsia="Arial" w:hAnsi="Arial"/>
                <w:sz w:val="20"/>
                <w:szCs w:val="20"/>
                <w:color w:val="auto"/>
              </w:rPr>
              <w:t>80</w:t>
            </w:r>
          </w:p>
        </w:tc>
      </w:tr>
    </w:tbl>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SCHEDULES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Schedule</w:t>
      </w:r>
    </w:p>
    <w:p>
      <w:pPr>
        <w:spacing w:after="0"/>
        <w:rPr>
          <w:sz w:val="20"/>
          <w:szCs w:val="20"/>
          <w:color w:val="auto"/>
        </w:rPr>
      </w:pPr>
      <w:r>
        <w:rPr>
          <w:rFonts w:ascii="Arial" w:cs="Arial" w:eastAsia="Arial" w:hAnsi="Arial"/>
          <w:sz w:val="20"/>
          <w:szCs w:val="20"/>
          <w:color w:val="auto"/>
        </w:rPr>
        <w:t>Parent Disclosure Schedule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A-iv</w:t>
      </w:r>
    </w:p>
    <w:p>
      <w:pPr>
        <w:sectPr>
          <w:pgSz w:w="11900" w:h="16838" w:orient="portrait"/>
          <w:cols w:equalWidth="0" w:num="1">
            <w:col w:w="11320"/>
          </w:cols>
          <w:pgMar w:left="240" w:top="424" w:right="33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AGREEMENT AND PLAN OF MERGER</w:t>
      </w:r>
    </w:p>
    <w:p>
      <w:pPr>
        <w:spacing w:after="0" w:line="199" w:lineRule="exact"/>
        <w:rPr>
          <w:sz w:val="20"/>
          <w:szCs w:val="20"/>
          <w:color w:val="auto"/>
        </w:rPr>
      </w:pPr>
    </w:p>
    <w:p>
      <w:pPr>
        <w:jc w:val="both"/>
        <w:ind w:right="120" w:firstLine="800"/>
        <w:spacing w:after="0" w:line="253" w:lineRule="auto"/>
        <w:rPr>
          <w:sz w:val="20"/>
          <w:szCs w:val="20"/>
          <w:color w:val="auto"/>
        </w:rPr>
      </w:pPr>
      <w:r>
        <w:rPr>
          <w:rFonts w:ascii="Arial" w:cs="Arial" w:eastAsia="Arial" w:hAnsi="Arial"/>
          <w:sz w:val="20"/>
          <w:szCs w:val="20"/>
          <w:color w:val="auto"/>
        </w:rPr>
        <w:t>AGREEMENT AND PLAN OF MERGER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12, 2014, among Time Warner Cable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Comcast Corporation, a Pennsylvania corporation (“</w:t>
      </w:r>
      <w:r>
        <w:rPr>
          <w:rFonts w:ascii="Arial" w:cs="Arial" w:eastAsia="Arial" w:hAnsi="Arial"/>
          <w:sz w:val="20"/>
          <w:szCs w:val="20"/>
          <w:b w:val="1"/>
          <w:bCs w:val="1"/>
          <w:color w:val="auto"/>
        </w:rPr>
        <w:t>Parent</w:t>
      </w:r>
      <w:r>
        <w:rPr>
          <w:rFonts w:ascii="Arial" w:cs="Arial" w:eastAsia="Arial" w:hAnsi="Arial"/>
          <w:sz w:val="20"/>
          <w:szCs w:val="20"/>
          <w:color w:val="auto"/>
        </w:rPr>
        <w:t>”), and Tango Acquisition Sub, Inc., a Delaware corporation and a wholly-owned subsidiary of Parent (“</w:t>
      </w:r>
      <w:r>
        <w:rPr>
          <w:rFonts w:ascii="Arial" w:cs="Arial" w:eastAsia="Arial" w:hAnsi="Arial"/>
          <w:sz w:val="20"/>
          <w:szCs w:val="20"/>
          <w:b w:val="1"/>
          <w:bCs w:val="1"/>
          <w:color w:val="auto"/>
        </w:rPr>
        <w:t>Merger Subsidiary</w:t>
      </w:r>
      <w:r>
        <w:rPr>
          <w:rFonts w:ascii="Arial" w:cs="Arial" w:eastAsia="Arial" w:hAnsi="Arial"/>
          <w:sz w:val="20"/>
          <w:szCs w:val="20"/>
          <w:color w:val="auto"/>
        </w:rPr>
        <w: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 I T N E S S E T H :</w:t>
      </w:r>
    </w:p>
    <w:p>
      <w:pPr>
        <w:spacing w:after="0" w:line="203"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3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52" w:lineRule="exact"/>
        <w:rPr>
          <w:sz w:val="20"/>
          <w:szCs w:val="20"/>
          <w:color w:val="auto"/>
        </w:rPr>
      </w:pPr>
    </w:p>
    <w:p>
      <w:pPr>
        <w:ind w:right="40" w:firstLine="800"/>
        <w:spacing w:after="0" w:line="257"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9"/>
          <w:szCs w:val="19"/>
          <w:b w:val="1"/>
          <w:bCs w:val="1"/>
          <w:color w:val="auto"/>
        </w:rPr>
        <w:t>Principal Parent Stockholders</w:t>
      </w:r>
      <w:r>
        <w:rPr>
          <w:rFonts w:ascii="Arial" w:cs="Arial" w:eastAsia="Arial" w:hAnsi="Arial"/>
          <w:sz w:val="19"/>
          <w:szCs w:val="19"/>
          <w:color w:val="auto"/>
        </w:rPr>
        <w:t>”) are entering into a voting agreement (the “</w:t>
      </w:r>
      <w:r>
        <w:rPr>
          <w:rFonts w:ascii="Arial" w:cs="Arial" w:eastAsia="Arial" w:hAnsi="Arial"/>
          <w:sz w:val="19"/>
          <w:szCs w:val="19"/>
          <w:b w:val="1"/>
          <w:bCs w:val="1"/>
          <w:color w:val="auto"/>
        </w:rPr>
        <w:t>Voting Agreement</w:t>
      </w:r>
      <w:r>
        <w:rPr>
          <w:rFonts w:ascii="Arial" w:cs="Arial" w:eastAsia="Arial" w:hAnsi="Arial"/>
          <w:sz w:val="19"/>
          <w:szCs w:val="19"/>
          <w:color w:val="auto"/>
        </w:rPr>
        <w:t>”) with the Company pursuant to which the Principal Parent Stockholders have agreed, on the terms and subject to the conditions set forth in the 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160" w:lineRule="exact"/>
        <w:rPr>
          <w:sz w:val="20"/>
          <w:szCs w:val="20"/>
          <w:color w:val="auto"/>
        </w:rPr>
      </w:pPr>
    </w:p>
    <w:p>
      <w:pPr>
        <w:ind w:right="40" w:firstLine="800"/>
        <w:spacing w:after="0" w:line="292" w:lineRule="auto"/>
        <w:rPr>
          <w:sz w:val="20"/>
          <w:szCs w:val="20"/>
          <w:color w:val="auto"/>
        </w:rPr>
      </w:pPr>
      <w:r>
        <w:rPr>
          <w:rFonts w:ascii="Arial" w:cs="Arial" w:eastAsia="Arial" w:hAnsi="Arial"/>
          <w:sz w:val="18"/>
          <w:szCs w:val="18"/>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27" w:lineRule="exact"/>
        <w:rPr>
          <w:sz w:val="20"/>
          <w:szCs w:val="20"/>
          <w:color w:val="auto"/>
        </w:rPr>
      </w:pPr>
    </w:p>
    <w:p>
      <w:pPr>
        <w:ind w:right="140" w:firstLine="800"/>
        <w:spacing w:after="0" w:line="251" w:lineRule="auto"/>
        <w:rPr>
          <w:sz w:val="20"/>
          <w:szCs w:val="20"/>
          <w:color w:val="auto"/>
        </w:rPr>
      </w:pPr>
      <w:r>
        <w:rPr>
          <w:rFonts w:ascii="Arial" w:cs="Arial" w:eastAsia="Arial" w:hAnsi="Arial"/>
          <w:sz w:val="20"/>
          <w:szCs w:val="20"/>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439" w:right="23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40" w:firstLine="800"/>
        <w:spacing w:after="0" w:line="265" w:lineRule="auto"/>
        <w:rPr>
          <w:sz w:val="20"/>
          <w:szCs w:val="20"/>
          <w:color w:val="auto"/>
        </w:rPr>
      </w:pPr>
      <w:r>
        <w:rPr>
          <w:rFonts w:ascii="Arial" w:cs="Arial" w:eastAsia="Arial" w:hAnsi="Arial"/>
          <w:sz w:val="20"/>
          <w:szCs w:val="20"/>
          <w:color w:val="auto"/>
        </w:rPr>
        <w:t>NOW, THEREFORE, in consideration of the foregoing and the representations, warranties, covenants and agreements contained herein, the parties hereto agree as follows:</w:t>
      </w:r>
    </w:p>
    <w:p>
      <w:pPr>
        <w:spacing w:after="0" w:line="144" w:lineRule="exact"/>
        <w:rPr>
          <w:sz w:val="20"/>
          <w:szCs w:val="20"/>
          <w:color w:val="auto"/>
        </w:rPr>
      </w:pPr>
    </w:p>
    <w:p>
      <w:pPr>
        <w:jc w:val="right"/>
        <w:ind w:right="5200"/>
        <w:spacing w:after="0"/>
        <w:rPr>
          <w:sz w:val="20"/>
          <w:szCs w:val="20"/>
          <w:color w:val="auto"/>
        </w:rPr>
      </w:pPr>
      <w:r>
        <w:rPr>
          <w:rFonts w:ascii="Arial" w:cs="Arial" w:eastAsia="Arial" w:hAnsi="Arial"/>
          <w:sz w:val="20"/>
          <w:szCs w:val="20"/>
          <w:b w:val="1"/>
          <w:bCs w:val="1"/>
          <w:color w:val="auto"/>
        </w:rPr>
        <w:t>ARTICLE 1</w:t>
      </w:r>
    </w:p>
    <w:p>
      <w:pPr>
        <w:spacing w:after="0" w:line="19" w:lineRule="exact"/>
        <w:rPr>
          <w:sz w:val="20"/>
          <w:szCs w:val="20"/>
          <w:color w:val="auto"/>
        </w:rPr>
      </w:pPr>
    </w:p>
    <w:p>
      <w:pPr>
        <w:jc w:val="right"/>
        <w:ind w:right="5240"/>
        <w:spacing w:after="0"/>
        <w:rPr>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Definitions</w:t>
      </w:r>
      <w:r>
        <w:rPr>
          <w:rFonts w:ascii="Arial" w:cs="Arial" w:eastAsia="Arial" w:hAnsi="Arial"/>
          <w:sz w:val="20"/>
          <w:szCs w:val="20"/>
          <w:color w:val="auto"/>
        </w:rPr>
        <w:t>. (a) As used herein, the following terms have the following meanings:</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1933 Act</w:t>
      </w:r>
      <w:r>
        <w:rPr>
          <w:rFonts w:ascii="Arial" w:cs="Arial" w:eastAsia="Arial" w:hAnsi="Arial"/>
          <w:sz w:val="20"/>
          <w:szCs w:val="20"/>
          <w:color w:val="auto"/>
        </w:rPr>
        <w:t>” means the Securities Act of 1933.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1934 Act</w:t>
      </w:r>
      <w:r>
        <w:rPr>
          <w:rFonts w:ascii="Arial" w:cs="Arial" w:eastAsia="Arial" w:hAnsi="Arial"/>
          <w:sz w:val="20"/>
          <w:szCs w:val="20"/>
          <w:color w:val="auto"/>
        </w:rPr>
        <w:t>” means the Securities Exchange Act of 1934.</w:t>
      </w:r>
    </w:p>
    <w:p>
      <w:pPr>
        <w:spacing w:after="0" w:line="199" w:lineRule="exact"/>
        <w:rPr>
          <w:sz w:val="20"/>
          <w:szCs w:val="20"/>
          <w:color w:val="auto"/>
        </w:rPr>
      </w:pPr>
    </w:p>
    <w:p>
      <w:pPr>
        <w:ind w:right="1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Person.</w:t>
      </w:r>
    </w:p>
    <w:p>
      <w:pPr>
        <w:spacing w:after="0" w:line="138" w:lineRule="exact"/>
        <w:rPr>
          <w:sz w:val="20"/>
          <w:szCs w:val="20"/>
          <w:color w:val="auto"/>
        </w:rPr>
      </w:pPr>
    </w:p>
    <w:p>
      <w:pPr>
        <w:ind w:right="38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22" w:lineRule="exact"/>
        <w:rPr>
          <w:sz w:val="20"/>
          <w:szCs w:val="20"/>
          <w:color w:val="auto"/>
        </w:rPr>
      </w:pPr>
    </w:p>
    <w:p>
      <w:pPr>
        <w:ind w:right="2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Saturday, Sunday or other day on which commercial banks in New York, New York are authorized or required by Applicable Law to close.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Cable System</w:t>
      </w:r>
      <w:r>
        <w:rPr>
          <w:rFonts w:ascii="Arial" w:cs="Arial" w:eastAsia="Arial" w:hAnsi="Arial"/>
          <w:sz w:val="20"/>
          <w:szCs w:val="20"/>
          <w:color w:val="auto"/>
        </w:rPr>
        <w:t>” means a cable system, as such term is defined in 47 U.S.C. § 522(7).</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the Closing.</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w:t>
      </w:r>
    </w:p>
    <w:p>
      <w:pPr>
        <w:spacing w:after="0" w:line="199" w:lineRule="exact"/>
        <w:rPr>
          <w:sz w:val="20"/>
          <w:szCs w:val="20"/>
          <w:color w:val="auto"/>
        </w:rPr>
      </w:pPr>
    </w:p>
    <w:p>
      <w:pPr>
        <w:ind w:firstLine="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Collective Bargaining Agreements</w:t>
      </w:r>
      <w:r>
        <w:rPr>
          <w:rFonts w:ascii="Arial" w:cs="Arial" w:eastAsia="Arial" w:hAnsi="Arial"/>
          <w:sz w:val="19"/>
          <w:szCs w:val="19"/>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together with the written orders, policies and decisions of the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FCC.</w:t>
      </w:r>
    </w:p>
    <w:p>
      <w:pPr>
        <w:spacing w:after="0" w:line="177" w:lineRule="exact"/>
        <w:rPr>
          <w:sz w:val="20"/>
          <w:szCs w:val="20"/>
          <w:color w:val="auto"/>
        </w:rPr>
      </w:pPr>
    </w:p>
    <w:p>
      <w:pPr>
        <w:ind w:right="8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Adverse Recommendation Change</w:t>
      </w:r>
      <w:r>
        <w:rPr>
          <w:rFonts w:ascii="Arial" w:cs="Arial" w:eastAsia="Arial" w:hAnsi="Arial"/>
          <w:sz w:val="18"/>
          <w:szCs w:val="18"/>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439" w:right="2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40" w:firstLine="8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41" w:lineRule="exact"/>
        <w:rPr>
          <w:sz w:val="20"/>
          <w:szCs w:val="20"/>
          <w:color w:val="auto"/>
        </w:rPr>
      </w:pPr>
    </w:p>
    <w:p>
      <w:pPr>
        <w:ind w:right="4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w:t>
      </w:r>
      <w:r>
        <w:rPr>
          <w:rFonts w:ascii="Arial" w:cs="Arial" w:eastAsia="Arial" w:hAnsi="Arial"/>
          <w:sz w:val="20"/>
          <w:szCs w:val="20"/>
          <w:color w:val="auto"/>
        </w:rPr>
        <w:t>” means the consolidated balance sheet of the Company as of December 31, 2013 and the footnotes thereto set forth in the Company 10-K.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 Date</w:t>
      </w:r>
      <w:r>
        <w:rPr>
          <w:rFonts w:ascii="Arial" w:cs="Arial" w:eastAsia="Arial" w:hAnsi="Arial"/>
          <w:sz w:val="20"/>
          <w:szCs w:val="20"/>
          <w:color w:val="auto"/>
        </w:rPr>
        <w:t>” means December 31, 2013.</w:t>
      </w:r>
    </w:p>
    <w:p>
      <w:pPr>
        <w:spacing w:after="0" w:line="199" w:lineRule="exact"/>
        <w:rPr>
          <w:sz w:val="20"/>
          <w:szCs w:val="20"/>
          <w:color w:val="auto"/>
        </w:rPr>
      </w:pPr>
    </w:p>
    <w:p>
      <w:pPr>
        <w:ind w:right="3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Disclosure Schedule</w:t>
      </w:r>
      <w:r>
        <w:rPr>
          <w:rFonts w:ascii="Arial" w:cs="Arial" w:eastAsia="Arial" w:hAnsi="Arial"/>
          <w:sz w:val="20"/>
          <w:szCs w:val="20"/>
          <w:color w:val="auto"/>
        </w:rPr>
        <w:t>” means the disclosure schedule dated the date hereof regarding this Agreement that has been provided by the Company to Parent and Merger Subsidiary.</w:t>
      </w:r>
    </w:p>
    <w:p>
      <w:pPr>
        <w:spacing w:after="0" w:line="138" w:lineRule="exact"/>
        <w:rPr>
          <w:sz w:val="20"/>
          <w:szCs w:val="20"/>
          <w:color w:val="auto"/>
        </w:rPr>
      </w:pPr>
    </w:p>
    <w:p>
      <w:pPr>
        <w:ind w:firstLine="800"/>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Intervening Event</w:t>
      </w:r>
      <w:r>
        <w:rPr>
          <w:rFonts w:ascii="Arial" w:cs="Arial" w:eastAsia="Arial" w:hAnsi="Arial"/>
          <w:sz w:val="19"/>
          <w:szCs w:val="19"/>
          <w:color w:val="auto"/>
        </w:rPr>
        <w:t>” means any material event, change, effect, development or occurrence occurring or arising after the date of this Agreement that (i) 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 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9"/>
          <w:szCs w:val="19"/>
          <w:b w:val="1"/>
          <w:bCs w:val="1"/>
          <w:color w:val="auto"/>
        </w:rPr>
        <w:t>Parent Material Adverse Effect</w:t>
      </w:r>
      <w:r>
        <w:rPr>
          <w:rFonts w:ascii="Arial" w:cs="Arial" w:eastAsia="Arial" w:hAnsi="Arial"/>
          <w:sz w:val="19"/>
          <w:szCs w:val="19"/>
          <w:color w:val="auto"/>
        </w:rPr>
        <w:t>” constitute, be deemed to contribute to or otherwise be taken into account in determining whether there has been a Company Intervening Event.</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Licenses</w:t>
      </w:r>
      <w:r>
        <w:rPr>
          <w:rFonts w:ascii="Arial" w:cs="Arial" w:eastAsia="Arial" w:hAnsi="Arial"/>
          <w:sz w:val="19"/>
          <w:szCs w:val="19"/>
          <w:color w:val="auto"/>
        </w:rPr>
        <w:t>” means Governmental Authorizations issued by the FCC to the Company or any of its Subsidiaries 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Affiliates</w:t>
      </w:r>
    </w:p>
    <w:p>
      <w:pPr>
        <w:spacing w:after="0" w:line="177" w:lineRule="exact"/>
        <w:rPr>
          <w:sz w:val="20"/>
          <w:szCs w:val="20"/>
          <w:color w:val="auto"/>
        </w:rPr>
      </w:pPr>
    </w:p>
    <w:p>
      <w:pPr>
        <w:ind w:right="140" w:firstLine="80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Material Adverse Effect</w:t>
      </w:r>
      <w:r>
        <w:rPr>
          <w:rFonts w:ascii="Arial" w:cs="Arial" w:eastAsia="Arial" w:hAnsi="Arial"/>
          <w:sz w:val="20"/>
          <w:szCs w:val="20"/>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439" w:right="2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w:t>
      </w:r>
    </w:p>
    <w:p>
      <w:pPr>
        <w:spacing w:after="0" w:line="4" w:lineRule="exact"/>
        <w:rPr>
          <w:sz w:val="20"/>
          <w:szCs w:val="20"/>
          <w:color w:val="auto"/>
        </w:rPr>
      </w:pPr>
    </w:p>
    <w:p>
      <w:pPr>
        <w:ind w:firstLine="1"/>
        <w:spacing w:after="0" w:line="251" w:lineRule="auto"/>
        <w:tabs>
          <w:tab w:leader="none" w:pos="32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 (F) 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63" w:lineRule="exact"/>
        <w:rPr>
          <w:sz w:val="20"/>
          <w:szCs w:val="20"/>
          <w:color w:val="auto"/>
        </w:rPr>
      </w:pPr>
    </w:p>
    <w:p>
      <w:pPr>
        <w:ind w:right="7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Operating Plan</w:t>
      </w:r>
      <w:r>
        <w:rPr>
          <w:rFonts w:ascii="Arial" w:cs="Arial" w:eastAsia="Arial" w:hAnsi="Arial"/>
          <w:sz w:val="20"/>
          <w:szCs w:val="20"/>
          <w:color w:val="auto"/>
        </w:rPr>
        <w:t>” means the Operating Plan of the Company and its Subsidiaries for fiscal years 2014 to 2016 previously disclosed to Parent.</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Stock</w:t>
      </w:r>
      <w:r>
        <w:rPr>
          <w:rFonts w:ascii="Arial" w:cs="Arial" w:eastAsia="Arial" w:hAnsi="Arial"/>
          <w:sz w:val="20"/>
          <w:szCs w:val="20"/>
          <w:color w:val="auto"/>
        </w:rPr>
        <w:t>” means the common stock, $0.01 par value, of the Company.</w:t>
      </w:r>
    </w:p>
    <w:p>
      <w:pPr>
        <w:spacing w:after="0" w:line="199" w:lineRule="exact"/>
        <w:rPr>
          <w:sz w:val="20"/>
          <w:szCs w:val="20"/>
          <w:color w:val="auto"/>
        </w:rPr>
      </w:pPr>
    </w:p>
    <w:p>
      <w:pPr>
        <w:ind w:right="3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10-K</w:t>
      </w:r>
      <w:r>
        <w:rPr>
          <w:rFonts w:ascii="Arial" w:cs="Arial" w:eastAsia="Arial" w:hAnsi="Arial"/>
          <w:sz w:val="20"/>
          <w:szCs w:val="20"/>
          <w:color w:val="auto"/>
        </w:rPr>
        <w:t>” means the Company’s annual report on Form 10-K for the fiscal year ended December 31, 2013, in the form previously delivered to Parent.</w:t>
      </w:r>
    </w:p>
    <w:p>
      <w:pPr>
        <w:spacing w:after="0" w:line="138" w:lineRule="exact"/>
        <w:rPr>
          <w:sz w:val="20"/>
          <w:szCs w:val="20"/>
          <w:color w:val="auto"/>
        </w:rPr>
      </w:pPr>
    </w:p>
    <w:p>
      <w:pPr>
        <w:jc w:val="both"/>
        <w:ind w:right="14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Competition Laws</w:t>
      </w:r>
      <w:r>
        <w:rPr>
          <w:rFonts w:ascii="Arial" w:cs="Arial" w:eastAsia="Arial" w:hAnsi="Arial"/>
          <w:sz w:val="20"/>
          <w:szCs w:val="20"/>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Law</w:t>
      </w:r>
      <w:r>
        <w:rPr>
          <w:rFonts w:ascii="Arial" w:cs="Arial" w:eastAsia="Arial" w:hAnsi="Arial"/>
          <w:sz w:val="20"/>
          <w:szCs w:val="20"/>
          <w:color w:val="auto"/>
        </w:rPr>
        <w:t>” means the General Corporation Law of the State of Delaware.</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400"/>
          </w:cols>
          <w:pgMar w:left="240" w:top="439" w:right="25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4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Applicable Law or any agreement with any Person relating to human health and safety, the environment or any pollutants, contaminants or hazardous or toxic substances, materials or wastes.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Permits</w:t>
      </w:r>
      <w:r>
        <w:rPr>
          <w:rFonts w:ascii="Arial" w:cs="Arial" w:eastAsia="Arial" w:hAnsi="Arial"/>
          <w:sz w:val="20"/>
          <w:szCs w:val="20"/>
          <w:color w:val="auto"/>
        </w:rPr>
        <w:t>” means all Governmental Authorizations relating to or required by Environmental Laws.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w:t>
      </w:r>
    </w:p>
    <w:p>
      <w:pPr>
        <w:spacing w:after="0" w:line="199" w:lineRule="exact"/>
        <w:rPr>
          <w:sz w:val="20"/>
          <w:szCs w:val="20"/>
          <w:color w:val="auto"/>
        </w:rPr>
      </w:pPr>
    </w:p>
    <w:p>
      <w:pPr>
        <w:ind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of any entity means any other entity that, together with such entity, would be treated as a single employer under Section 414 of the Code.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FCC</w:t>
      </w:r>
      <w:r>
        <w:rPr>
          <w:rFonts w:ascii="Arial" w:cs="Arial" w:eastAsia="Arial" w:hAnsi="Arial"/>
          <w:sz w:val="20"/>
          <w:szCs w:val="20"/>
          <w:color w:val="auto"/>
        </w:rPr>
        <w:t>” means the Federal Communications Commission.</w:t>
      </w:r>
    </w:p>
    <w:p>
      <w:pPr>
        <w:spacing w:after="0" w:line="199" w:lineRule="exact"/>
        <w:rPr>
          <w:sz w:val="20"/>
          <w:szCs w:val="20"/>
          <w:color w:val="auto"/>
        </w:rPr>
      </w:pPr>
    </w:p>
    <w:p>
      <w:pPr>
        <w:ind w:right="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FCC Order</w:t>
      </w:r>
      <w:r>
        <w:rPr>
          <w:rFonts w:ascii="Arial" w:cs="Arial" w:eastAsia="Arial" w:hAnsi="Arial"/>
          <w:sz w:val="20"/>
          <w:szCs w:val="20"/>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156" w:lineRule="exact"/>
        <w:rPr>
          <w:sz w:val="20"/>
          <w:szCs w:val="20"/>
          <w:color w:val="auto"/>
        </w:rPr>
      </w:pPr>
    </w:p>
    <w:p>
      <w:pPr>
        <w:ind w:right="1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Franchise</w:t>
      </w:r>
      <w:r>
        <w:rPr>
          <w:rFonts w:ascii="Arial" w:cs="Arial" w:eastAsia="Arial" w:hAnsi="Arial"/>
          <w:sz w:val="20"/>
          <w:szCs w:val="20"/>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w:t>
      </w:r>
    </w:p>
    <w:p>
      <w:pPr>
        <w:spacing w:after="0" w:line="199" w:lineRule="exact"/>
        <w:rPr>
          <w:sz w:val="20"/>
          <w:szCs w:val="20"/>
          <w:color w:val="auto"/>
        </w:rPr>
      </w:pPr>
    </w:p>
    <w:p>
      <w:pPr>
        <w:ind w:right="540" w:firstLine="800"/>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commission or official, including any political subdivision thereof.</w:t>
      </w:r>
    </w:p>
    <w:p>
      <w:pPr>
        <w:spacing w:after="0" w:line="94" w:lineRule="exact"/>
        <w:rPr>
          <w:sz w:val="20"/>
          <w:szCs w:val="20"/>
          <w:color w:val="auto"/>
        </w:rPr>
      </w:pPr>
    </w:p>
    <w:p>
      <w:pPr>
        <w:ind w:right="20" w:firstLine="80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Authorization</w:t>
      </w:r>
      <w:r>
        <w:rPr>
          <w:rFonts w:ascii="Arial" w:cs="Arial" w:eastAsia="Arial" w:hAnsi="Arial"/>
          <w:sz w:val="20"/>
          <w:szCs w:val="20"/>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63" w:lineRule="exact"/>
        <w:rPr>
          <w:sz w:val="20"/>
          <w:szCs w:val="20"/>
          <w:color w:val="auto"/>
        </w:rPr>
      </w:pPr>
    </w:p>
    <w:p>
      <w:pPr>
        <w:ind w:right="80" w:firstLine="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w:t>
      </w:r>
      <w:r>
        <w:rPr>
          <w:rFonts w:ascii="Arial" w:cs="Arial" w:eastAsia="Arial" w:hAnsi="Arial"/>
          <w:sz w:val="19"/>
          <w:szCs w:val="19"/>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HSR Act</w:t>
      </w:r>
      <w:r>
        <w:rPr>
          <w:rFonts w:ascii="Arial" w:cs="Arial" w:eastAsia="Arial" w:hAnsi="Arial"/>
          <w:sz w:val="20"/>
          <w:szCs w:val="20"/>
          <w:color w:val="auto"/>
        </w:rPr>
        <w:t>” means the Hart-Scott-Rodino Antitrust Improvements Act of 1976.</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00"/>
          </w:cols>
          <w:pgMar w:left="240" w:top="439" w:right="25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firstLine="8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and all intellectual property rights or similar proprietary rights throughout the world, including all (i)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47" w:lineRule="exact"/>
        <w:rPr>
          <w:sz w:val="20"/>
          <w:szCs w:val="20"/>
          <w:color w:val="auto"/>
        </w:rPr>
      </w:pPr>
    </w:p>
    <w:p>
      <w:pPr>
        <w:jc w:val="both"/>
        <w:ind w:right="56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22" w:lineRule="exact"/>
        <w:rPr>
          <w:sz w:val="20"/>
          <w:szCs w:val="20"/>
          <w:color w:val="auto"/>
        </w:rPr>
      </w:pPr>
    </w:p>
    <w:p>
      <w:pPr>
        <w:ind w:right="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knowledge</w:t>
      </w:r>
      <w:r>
        <w:rPr>
          <w:rFonts w:ascii="Arial" w:cs="Arial" w:eastAsia="Arial" w:hAnsi="Arial"/>
          <w:sz w:val="20"/>
          <w:szCs w:val="20"/>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56" w:lineRule="exact"/>
        <w:rPr>
          <w:sz w:val="20"/>
          <w:szCs w:val="20"/>
          <w:color w:val="auto"/>
        </w:rPr>
      </w:pPr>
    </w:p>
    <w:p>
      <w:pPr>
        <w:ind w:right="2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Intellectual Property Rights</w:t>
      </w:r>
      <w:r>
        <w:rPr>
          <w:rFonts w:ascii="Arial" w:cs="Arial" w:eastAsia="Arial" w:hAnsi="Arial"/>
          <w:sz w:val="20"/>
          <w:szCs w:val="20"/>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56" w:lineRule="exact"/>
        <w:rPr>
          <w:sz w:val="20"/>
          <w:szCs w:val="20"/>
          <w:color w:val="auto"/>
        </w:rPr>
      </w:pPr>
    </w:p>
    <w:p>
      <w:pPr>
        <w:ind w:right="20" w:firstLine="8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NASDAQ</w:t>
      </w:r>
      <w:r>
        <w:rPr>
          <w:rFonts w:ascii="Arial" w:cs="Arial" w:eastAsia="Arial" w:hAnsi="Arial"/>
          <w:sz w:val="20"/>
          <w:szCs w:val="20"/>
          <w:color w:val="auto"/>
        </w:rPr>
        <w:t>” means the NASDAQ Global Select Market.</w:t>
      </w:r>
    </w:p>
    <w:p>
      <w:pPr>
        <w:spacing w:after="0" w:line="199" w:lineRule="exact"/>
        <w:rPr>
          <w:sz w:val="20"/>
          <w:szCs w:val="20"/>
          <w:color w:val="auto"/>
        </w:rPr>
      </w:pPr>
    </w:p>
    <w:p>
      <w:pPr>
        <w:ind w:right="18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NBCUniversal Agreement</w:t>
      </w:r>
      <w:r>
        <w:rPr>
          <w:rFonts w:ascii="Arial" w:cs="Arial" w:eastAsia="Arial" w:hAnsi="Arial"/>
          <w:sz w:val="20"/>
          <w:szCs w:val="20"/>
          <w:color w:val="auto"/>
        </w:rPr>
        <w:t>” means the Transaction Agreement, dated as of February 12, 2013, by and among General Electric Company, Parent, National Broadcasting Company Holding, Inc., Navy Holdings, Inc., NBCUniversal, LLC and NBCUniversal Media, LLC.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340"/>
          </w:cols>
          <w:pgMar w:left="240" w:top="439" w:right="31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3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 Rights</w:t>
      </w:r>
      <w:r>
        <w:rPr>
          <w:rFonts w:ascii="Arial" w:cs="Arial" w:eastAsia="Arial" w:hAnsi="Arial"/>
          <w:sz w:val="20"/>
          <w:szCs w:val="20"/>
          <w:color w:val="auto"/>
        </w:rPr>
        <w:t>” means any and all Intellectual Property Rights owned or purported to be owned by the Company or any of its Subsidiaries.</w:t>
      </w:r>
    </w:p>
    <w:p>
      <w:pPr>
        <w:spacing w:after="0" w:line="138" w:lineRule="exact"/>
        <w:rPr>
          <w:sz w:val="20"/>
          <w:szCs w:val="20"/>
          <w:color w:val="auto"/>
        </w:rPr>
      </w:pPr>
    </w:p>
    <w:p>
      <w:pPr>
        <w:ind w:right="2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Balance Sheet</w:t>
      </w:r>
      <w:r>
        <w:rPr>
          <w:rFonts w:ascii="Arial" w:cs="Arial" w:eastAsia="Arial" w:hAnsi="Arial"/>
          <w:sz w:val="20"/>
          <w:szCs w:val="20"/>
          <w:color w:val="auto"/>
        </w:rPr>
        <w:t>” means the consolidated balance sheet of Parent as of December 31, 2013, and the footnotes thereto set forth in the Parent 10-K.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Balance Sheet Date</w:t>
      </w:r>
      <w:r>
        <w:rPr>
          <w:rFonts w:ascii="Arial" w:cs="Arial" w:eastAsia="Arial" w:hAnsi="Arial"/>
          <w:sz w:val="20"/>
          <w:szCs w:val="20"/>
          <w:color w:val="auto"/>
        </w:rPr>
        <w:t>” means December 31, 2013.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Class A Common Stock</w:t>
      </w:r>
      <w:r>
        <w:rPr>
          <w:rFonts w:ascii="Arial" w:cs="Arial" w:eastAsia="Arial" w:hAnsi="Arial"/>
          <w:sz w:val="20"/>
          <w:szCs w:val="20"/>
          <w:color w:val="auto"/>
        </w:rPr>
        <w:t>” means the Class A Common Stock, par value $0.01 per share, of Parent.</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Parent Class A Special Common Stock</w:t>
      </w:r>
      <w:r>
        <w:rPr>
          <w:rFonts w:ascii="Arial" w:cs="Arial" w:eastAsia="Arial" w:hAnsi="Arial"/>
          <w:sz w:val="19"/>
          <w:szCs w:val="19"/>
          <w:color w:val="auto"/>
        </w:rPr>
        <w:t>” means the Class A Special Common Stock, par value $0.01 per share, of Parent.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Class B Common Stock</w:t>
      </w:r>
      <w:r>
        <w:rPr>
          <w:rFonts w:ascii="Arial" w:cs="Arial" w:eastAsia="Arial" w:hAnsi="Arial"/>
          <w:sz w:val="20"/>
          <w:szCs w:val="20"/>
          <w:color w:val="auto"/>
        </w:rPr>
        <w:t>” means the Class B Common Stock, par value $0.01 per share, of Parent.</w:t>
      </w:r>
    </w:p>
    <w:p>
      <w:pPr>
        <w:spacing w:after="0" w:line="199" w:lineRule="exact"/>
        <w:rPr>
          <w:sz w:val="20"/>
          <w:szCs w:val="20"/>
          <w:color w:val="auto"/>
        </w:rPr>
      </w:pPr>
    </w:p>
    <w:p>
      <w:pPr>
        <w:ind w:right="6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Disclosure Schedule</w:t>
      </w:r>
      <w:r>
        <w:rPr>
          <w:rFonts w:ascii="Arial" w:cs="Arial" w:eastAsia="Arial" w:hAnsi="Arial"/>
          <w:sz w:val="20"/>
          <w:szCs w:val="20"/>
          <w:color w:val="auto"/>
        </w:rPr>
        <w:t>” means the disclosure schedule dated the date hereof regarding this Agreement that has been provided by Parent to the Company.</w:t>
      </w:r>
    </w:p>
    <w:p>
      <w:pPr>
        <w:spacing w:after="0" w:line="138"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400"/>
          </w:cols>
          <w:pgMar w:left="240" w:top="439" w:right="25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139" w:lineRule="exact"/>
        <w:rPr>
          <w:sz w:val="20"/>
          <w:szCs w:val="20"/>
          <w:color w:val="auto"/>
        </w:rPr>
      </w:pPr>
    </w:p>
    <w:p>
      <w:pPr>
        <w:ind w:right="2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Stock</w:t>
      </w:r>
      <w:r>
        <w:rPr>
          <w:rFonts w:ascii="Arial" w:cs="Arial" w:eastAsia="Arial" w:hAnsi="Arial"/>
          <w:sz w:val="20"/>
          <w:szCs w:val="20"/>
          <w:color w:val="auto"/>
        </w:rPr>
        <w:t>” means, collectively, Parent Class A Common Stock, Parent Class A Special Common Stock and Parent Class B Common Stock.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10-K</w:t>
      </w:r>
      <w:r>
        <w:rPr>
          <w:rFonts w:ascii="Arial" w:cs="Arial" w:eastAsia="Arial" w:hAnsi="Arial"/>
          <w:sz w:val="20"/>
          <w:szCs w:val="20"/>
          <w:color w:val="auto"/>
        </w:rPr>
        <w:t>” means Parent’s annual report on Form 10-K for the fiscal year ended December 31, 2013.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Pennsylvania Law</w:t>
      </w:r>
      <w:r>
        <w:rPr>
          <w:rFonts w:ascii="Arial" w:cs="Arial" w:eastAsia="Arial" w:hAnsi="Arial"/>
          <w:sz w:val="20"/>
          <w:szCs w:val="20"/>
          <w:color w:val="auto"/>
        </w:rPr>
        <w:t>” means the Pennsylvania Business Corporation law of 1988.</w:t>
      </w:r>
    </w:p>
    <w:p>
      <w:pPr>
        <w:spacing w:after="0" w:line="199" w:lineRule="exact"/>
        <w:rPr>
          <w:sz w:val="20"/>
          <w:szCs w:val="20"/>
          <w:color w:val="auto"/>
        </w:rPr>
      </w:pPr>
    </w:p>
    <w:p>
      <w:pPr>
        <w:ind w:right="100" w:firstLine="8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 (iii) 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w:t>
      </w:r>
    </w:p>
    <w:p>
      <w:pPr>
        <w:spacing w:after="0" w:line="2" w:lineRule="exact"/>
        <w:rPr>
          <w:sz w:val="20"/>
          <w:szCs w:val="20"/>
          <w:color w:val="auto"/>
        </w:rPr>
      </w:pPr>
    </w:p>
    <w:p>
      <w:pPr>
        <w:ind w:right="100" w:firstLine="1"/>
        <w:spacing w:after="0" w:line="275" w:lineRule="auto"/>
        <w:tabs>
          <w:tab w:leader="none" w:pos="39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39" w:lineRule="exact"/>
        <w:rPr>
          <w:sz w:val="20"/>
          <w:szCs w:val="20"/>
          <w:color w:val="auto"/>
        </w:rPr>
      </w:pPr>
    </w:p>
    <w:p>
      <w:pPr>
        <w:ind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corporation, partnership, limited liability company, association, trust or other entity or organization, including a government or political subdivision or an agency or instrumentality thereof.</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Sarbanes-Oxley Act</w:t>
      </w:r>
      <w:r>
        <w:rPr>
          <w:rFonts w:ascii="Arial" w:cs="Arial" w:eastAsia="Arial" w:hAnsi="Arial"/>
          <w:sz w:val="20"/>
          <w:szCs w:val="20"/>
          <w:color w:val="auto"/>
        </w:rPr>
        <w:t>” means the Sarbanes-Oxley Act of 2002.</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Securities and Exchange Commission.</w:t>
      </w:r>
    </w:p>
    <w:p>
      <w:pPr>
        <w:spacing w:after="0" w:line="199" w:lineRule="exact"/>
        <w:rPr>
          <w:sz w:val="20"/>
          <w:szCs w:val="20"/>
          <w:color w:val="auto"/>
        </w:rPr>
      </w:pPr>
    </w:p>
    <w:p>
      <w:pPr>
        <w:ind w:right="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any entity of which securities or other ownership interests having ordinary voting power to elect a majority of the board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400"/>
          </w:cols>
          <w:pgMar w:left="240" w:top="439" w:right="25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directors or other persons performing similar functions are at any time directly or indirectly owned by such Person.</w:t>
      </w:r>
    </w:p>
    <w:p>
      <w:pPr>
        <w:spacing w:after="0" w:line="195" w:lineRule="exact"/>
        <w:rPr>
          <w:sz w:val="20"/>
          <w:szCs w:val="20"/>
          <w:color w:val="auto"/>
        </w:rPr>
      </w:pPr>
    </w:p>
    <w:p>
      <w:pPr>
        <w:ind w:right="240" w:firstLine="8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8"/>
          <w:szCs w:val="18"/>
          <w:b w:val="1"/>
          <w:bCs w:val="1"/>
          <w:color w:val="auto"/>
        </w:rPr>
        <w:t>Taxing Authority</w:t>
      </w:r>
      <w:r>
        <w:rPr>
          <w:rFonts w:ascii="Arial" w:cs="Arial" w:eastAsia="Arial" w:hAnsi="Arial"/>
          <w:sz w:val="18"/>
          <w:szCs w:val="18"/>
          <w:color w:val="auto"/>
        </w:rPr>
        <w:t>”) responsible for the imposition of any such tax (domestic or foreign), and any liability for any of the foregoing as transferee, (ii) liability for the payment of any amount of the type described in clause</w:t>
      </w:r>
    </w:p>
    <w:p>
      <w:pPr>
        <w:spacing w:after="0" w:line="1" w:lineRule="exact"/>
        <w:rPr>
          <w:sz w:val="20"/>
          <w:szCs w:val="20"/>
          <w:color w:val="auto"/>
        </w:rPr>
      </w:pPr>
    </w:p>
    <w:p>
      <w:pPr>
        <w:ind w:right="120" w:firstLine="1"/>
        <w:spacing w:after="0" w:line="239" w:lineRule="auto"/>
        <w:tabs>
          <w:tab w:leader="none" w:pos="241"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0" w:lineRule="exact"/>
        <w:rPr>
          <w:sz w:val="20"/>
          <w:szCs w:val="20"/>
          <w:color w:val="auto"/>
        </w:rPr>
      </w:pPr>
    </w:p>
    <w:p>
      <w:pPr>
        <w:ind w:firstLine="8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Representation Letters</w:t>
      </w:r>
      <w:r>
        <w:rPr>
          <w:rFonts w:ascii="Arial" w:cs="Arial" w:eastAsia="Arial" w:hAnsi="Arial"/>
          <w:sz w:val="19"/>
          <w:szCs w:val="19"/>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49" w:lineRule="exact"/>
        <w:rPr>
          <w:sz w:val="20"/>
          <w:szCs w:val="20"/>
          <w:color w:val="auto"/>
        </w:rPr>
      </w:pPr>
    </w:p>
    <w:p>
      <w:pPr>
        <w:ind w:right="80" w:firstLine="8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Return</w:t>
      </w:r>
      <w:r>
        <w:rPr>
          <w:rFonts w:ascii="Arial" w:cs="Arial" w:eastAsia="Arial" w:hAnsi="Arial"/>
          <w:sz w:val="20"/>
          <w:szCs w:val="20"/>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63" w:lineRule="exact"/>
        <w:rPr>
          <w:sz w:val="20"/>
          <w:szCs w:val="20"/>
          <w:color w:val="auto"/>
        </w:rPr>
      </w:pPr>
    </w:p>
    <w:p>
      <w:pPr>
        <w:ind w:right="120" w:firstLine="8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Sharing Agreements</w:t>
      </w:r>
      <w:r>
        <w:rPr>
          <w:rFonts w:ascii="Arial" w:cs="Arial" w:eastAsia="Arial" w:hAnsi="Arial"/>
          <w:sz w:val="19"/>
          <w:szCs w:val="19"/>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including as defined in Section 13(d) of the 1934 Act, other than Parent or any of its Affiliates.</w:t>
      </w:r>
    </w:p>
    <w:p>
      <w:pPr>
        <w:spacing w:after="0" w:line="163"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420"/>
          </w:cols>
          <w:pgMar w:left="240" w:top="439" w:right="23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Regulations</w:t>
      </w:r>
      <w:r>
        <w:rPr>
          <w:rFonts w:ascii="Arial" w:cs="Arial" w:eastAsia="Arial" w:hAnsi="Arial"/>
          <w:sz w:val="20"/>
          <w:szCs w:val="20"/>
          <w:color w:val="auto"/>
        </w:rPr>
        <w:t>” means the regulations promulgated under the Code.</w:t>
      </w:r>
    </w:p>
    <w:p>
      <w:pPr>
        <w:spacing w:after="0" w:line="203" w:lineRule="exact"/>
        <w:rPr>
          <w:sz w:val="20"/>
          <w:szCs w:val="20"/>
          <w:color w:val="auto"/>
        </w:rPr>
      </w:pPr>
    </w:p>
    <w:p>
      <w:pPr>
        <w:ind w:left="2260" w:hanging="545"/>
        <w:spacing w:after="0"/>
        <w:tabs>
          <w:tab w:leader="none" w:pos="2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20"/>
                <w:szCs w:val="20"/>
                <w:color w:val="auto"/>
              </w:rPr>
              <w:t>Term</w:t>
            </w:r>
          </w:p>
        </w:tc>
        <w:tc>
          <w:tcPr>
            <w:tcW w:w="2780" w:type="dxa"/>
            <w:vAlign w:val="bottom"/>
          </w:tcPr>
          <w:p>
            <w:pPr>
              <w:ind w:left="1900"/>
              <w:spacing w:after="0"/>
              <w:rPr>
                <w:sz w:val="20"/>
                <w:szCs w:val="20"/>
                <w:color w:val="auto"/>
              </w:rPr>
            </w:pPr>
            <w:r>
              <w:rPr>
                <w:rFonts w:ascii="Arial" w:cs="Arial" w:eastAsia="Arial" w:hAnsi="Arial"/>
                <w:sz w:val="20"/>
                <w:szCs w:val="20"/>
                <w:color w:val="auto"/>
              </w:rPr>
              <w:t>Section</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368 Reorganization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4.22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Adjusted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2.04(a)</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Adjusted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Agreement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Preamble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Burdensome Condition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8.01</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Certificates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Closing</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2.01(b)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Preamble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Board Recommendation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4.02(b)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International Plan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4.17(i)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Investment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4.06(c)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Material Contract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w w:val="93"/>
              </w:rPr>
              <w:t>10.01(b)(i)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Plans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SEC Documents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Securities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4.05(b)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Stockholder Approval</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Stockholder Meeting</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Subsidiary Securities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4.06(b)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Superior Proposal</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6.03(e)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Confidentiality Agreement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6.03(b)(i)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Continuing Employee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7.09</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D&amp;O Insurance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7.07(c)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Director</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Director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Effective Time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2.01(c)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End Date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w w:val="93"/>
              </w:rPr>
              <w:t>10.01(b)(i)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Exchange Agent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Exchange Ratio</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2.02(a)</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2.04(d)(ii)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Indemnified Person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internal controls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4.07(f)</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Joint Proxy Statement/Prospectus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4.09</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Lease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4.14(b)</w:t>
            </w:r>
          </w:p>
        </w:tc>
      </w:tr>
      <w:tr>
        <w:trPr>
          <w:trHeight w:val="258"/>
        </w:trPr>
        <w:tc>
          <w:tcPr>
            <w:tcW w:w="4160" w:type="dxa"/>
            <w:vAlign w:val="bottom"/>
          </w:tcPr>
          <w:p>
            <w:pPr>
              <w:spacing w:after="0"/>
              <w:rPr>
                <w:sz w:val="20"/>
                <w:szCs w:val="20"/>
                <w:color w:val="auto"/>
              </w:rPr>
            </w:pPr>
            <w:r>
              <w:rPr>
                <w:rFonts w:ascii="Arial" w:cs="Arial" w:eastAsia="Arial" w:hAnsi="Arial"/>
                <w:sz w:val="20"/>
                <w:szCs w:val="20"/>
                <w:color w:val="auto"/>
              </w:rPr>
              <w:t>Merger</w:t>
            </w:r>
          </w:p>
        </w:tc>
        <w:tc>
          <w:tcPr>
            <w:tcW w:w="2780" w:type="dxa"/>
            <w:vAlign w:val="bottom"/>
          </w:tcPr>
          <w:p>
            <w:pPr>
              <w:ind w:left="1900"/>
              <w:spacing w:after="0"/>
              <w:rPr>
                <w:sz w:val="20"/>
                <w:szCs w:val="20"/>
                <w:color w:val="auto"/>
              </w:rPr>
            </w:pPr>
            <w:r>
              <w:rPr>
                <w:rFonts w:ascii="Arial" w:cs="Arial" w:eastAsia="Arial" w:hAnsi="Arial"/>
                <w:sz w:val="20"/>
                <w:szCs w:val="20"/>
                <w:color w:val="auto"/>
              </w:rPr>
              <w:t>2.01</w:t>
            </w:r>
          </w:p>
        </w:tc>
      </w:tr>
      <w:tr>
        <w:trPr>
          <w:trHeight w:val="366"/>
        </w:trPr>
        <w:tc>
          <w:tcPr>
            <w:tcW w:w="4160" w:type="dxa"/>
            <w:vAlign w:val="bottom"/>
          </w:tcPr>
          <w:p>
            <w:pPr>
              <w:spacing w:after="0"/>
              <w:rPr>
                <w:sz w:val="24"/>
                <w:szCs w:val="24"/>
                <w:color w:val="auto"/>
              </w:rPr>
            </w:pPr>
          </w:p>
        </w:tc>
        <w:tc>
          <w:tcPr>
            <w:tcW w:w="2780" w:type="dxa"/>
            <w:vAlign w:val="bottom"/>
          </w:tcPr>
          <w:p>
            <w:pPr>
              <w:ind w:left="1340"/>
              <w:spacing w:after="0"/>
              <w:rPr>
                <w:sz w:val="20"/>
                <w:szCs w:val="20"/>
                <w:color w:val="auto"/>
              </w:rPr>
            </w:pPr>
            <w:r>
              <w:rPr>
                <w:rFonts w:ascii="Arial" w:cs="Arial" w:eastAsia="Arial" w:hAnsi="Arial"/>
                <w:sz w:val="20"/>
                <w:szCs w:val="20"/>
                <w:color w:val="auto"/>
              </w:rPr>
              <w:t>A-10</w:t>
            </w:r>
          </w:p>
        </w:tc>
      </w:tr>
    </w:tbl>
    <w:p>
      <w:pPr>
        <w:sectPr>
          <w:pgSz w:w="11900" w:h="16838" w:orient="portrait"/>
          <w:cols w:equalWidth="0" w:num="1">
            <w:col w:w="10219"/>
          </w:cols>
          <w:pgMar w:left="240" w:top="439" w:right="1440"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9">
              <w:r>
                <w:rPr>
                  <w:rFonts w:ascii="Arial" w:cs="Arial" w:eastAsia="Arial" w:hAnsi="Arial"/>
                  <w:sz w:val="17"/>
                  <w:szCs w:val="17"/>
                  <w:b w:val="1"/>
                  <w:bCs w:val="1"/>
                  <w:color w:val="0000EE"/>
                  <w:w w:val="86"/>
                </w:rPr>
                <w:t>Table of Contents</w:t>
              </w:r>
            </w:hyperlink>
          </w:p>
        </w:tc>
        <w:tc>
          <w:tcPr>
            <w:tcW w:w="32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501"/>
        </w:trPr>
        <w:tc>
          <w:tcPr>
            <w:tcW w:w="4520" w:type="dxa"/>
            <w:vAlign w:val="bottom"/>
            <w:gridSpan w:val="2"/>
          </w:tcPr>
          <w:p>
            <w:pPr>
              <w:spacing w:after="0"/>
              <w:rPr>
                <w:sz w:val="20"/>
                <w:szCs w:val="20"/>
                <w:color w:val="auto"/>
              </w:rPr>
            </w:pPr>
            <w:r>
              <w:rPr>
                <w:rFonts w:ascii="Arial" w:cs="Arial" w:eastAsia="Arial" w:hAnsi="Arial"/>
                <w:sz w:val="20"/>
                <w:szCs w:val="20"/>
                <w:color w:val="auto"/>
              </w:rPr>
              <w:t>Merger Communication</w:t>
            </w:r>
          </w:p>
        </w:tc>
        <w:tc>
          <w:tcPr>
            <w:tcW w:w="2300" w:type="dxa"/>
            <w:vAlign w:val="bottom"/>
          </w:tcPr>
          <w:p>
            <w:pPr>
              <w:ind w:left="1540"/>
              <w:spacing w:after="0"/>
              <w:rPr>
                <w:sz w:val="20"/>
                <w:szCs w:val="20"/>
                <w:color w:val="auto"/>
              </w:rPr>
            </w:pPr>
            <w:r>
              <w:rPr>
                <w:rFonts w:ascii="Arial" w:cs="Arial" w:eastAsia="Arial" w:hAnsi="Arial"/>
                <w:sz w:val="20"/>
                <w:szCs w:val="20"/>
                <w:color w:val="auto"/>
              </w:rPr>
              <w:t>8.03(b)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Merger Consideration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2.02(a)</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Merger Subsidiary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w w:val="86"/>
              </w:rPr>
              <w:t>Preamble</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Multiemployer Plan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4.17(c)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Notional Adjusted Option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Notional Adjusted RSU</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NYSE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w w:val="86"/>
              </w:rPr>
              <w:t>Preamble</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Board Recommendation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5.02(b)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Plans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7.09(c)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5.07</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Securities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5.05(b)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Shareholder Approval</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5.02</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Shareholder Meeting</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Stock Issuance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Principal Parent Stockholders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Recitals</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Registration Statement</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4.09</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Representatives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6.03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Significant Subsidiary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4.06</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Specified Company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Article 4</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Specified Parent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Article 5</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Surviving Corporation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2.01</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Taxing Authority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1.01</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Title IV Plan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4.17(b)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TWX</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4.16(b)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Uncertificated Shares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Union Employee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7.09</w:t>
            </w:r>
          </w:p>
        </w:tc>
      </w:tr>
      <w:tr>
        <w:trPr>
          <w:trHeight w:val="258"/>
        </w:trPr>
        <w:tc>
          <w:tcPr>
            <w:tcW w:w="4520" w:type="dxa"/>
            <w:vAlign w:val="bottom"/>
            <w:gridSpan w:val="2"/>
          </w:tcPr>
          <w:p>
            <w:pPr>
              <w:spacing w:after="0"/>
              <w:rPr>
                <w:sz w:val="20"/>
                <w:szCs w:val="20"/>
                <w:color w:val="auto"/>
              </w:rPr>
            </w:pPr>
            <w:r>
              <w:rPr>
                <w:rFonts w:ascii="Arial" w:cs="Arial" w:eastAsia="Arial" w:hAnsi="Arial"/>
                <w:sz w:val="20"/>
                <w:szCs w:val="20"/>
                <w:color w:val="auto"/>
              </w:rPr>
              <w:t>Voting Agreement</w:t>
            </w:r>
          </w:p>
        </w:tc>
        <w:tc>
          <w:tcPr>
            <w:tcW w:w="2300" w:type="dxa"/>
            <w:vAlign w:val="bottom"/>
          </w:tcPr>
          <w:p>
            <w:pPr>
              <w:ind w:left="1540"/>
              <w:spacing w:after="0"/>
              <w:rPr>
                <w:sz w:val="20"/>
                <w:szCs w:val="20"/>
                <w:color w:val="auto"/>
              </w:rPr>
            </w:pPr>
            <w:r>
              <w:rPr>
                <w:rFonts w:ascii="Arial" w:cs="Arial" w:eastAsia="Arial" w:hAnsi="Arial"/>
                <w:sz w:val="20"/>
                <w:szCs w:val="20"/>
                <w:color w:val="auto"/>
              </w:rPr>
              <w:t>Recitals</w:t>
            </w:r>
          </w:p>
        </w:tc>
      </w:tr>
    </w:tbl>
    <w:p>
      <w:pPr>
        <w:spacing w:after="0" w:line="167"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The words “</w:t>
      </w:r>
      <w:r>
        <w:rPr>
          <w:rFonts w:ascii="Arial" w:cs="Arial" w:eastAsia="Arial" w:hAnsi="Arial"/>
          <w:sz w:val="19"/>
          <w:szCs w:val="19"/>
          <w:b w:val="1"/>
          <w:bCs w:val="1"/>
          <w:color w:val="auto"/>
        </w:rPr>
        <w:t>hereof</w:t>
      </w:r>
      <w:r>
        <w:rPr>
          <w:rFonts w:ascii="Arial" w:cs="Arial" w:eastAsia="Arial" w:hAnsi="Arial"/>
          <w:sz w:val="19"/>
          <w:szCs w:val="19"/>
          <w:color w:val="auto"/>
        </w:rPr>
        <w:t>”, “</w:t>
      </w:r>
      <w:r>
        <w:rPr>
          <w:rFonts w:ascii="Arial" w:cs="Arial" w:eastAsia="Arial" w:hAnsi="Arial"/>
          <w:sz w:val="19"/>
          <w:szCs w:val="19"/>
          <w:b w:val="1"/>
          <w:bCs w:val="1"/>
          <w:color w:val="auto"/>
        </w:rPr>
        <w:t>herein</w:t>
      </w:r>
      <w:r>
        <w:rPr>
          <w:rFonts w:ascii="Arial" w:cs="Arial" w:eastAsia="Arial" w:hAnsi="Arial"/>
          <w:sz w:val="19"/>
          <w:szCs w:val="19"/>
          <w:color w:val="auto"/>
        </w:rPr>
        <w:t>” and “</w:t>
      </w:r>
      <w:r>
        <w:rPr>
          <w:rFonts w:ascii="Arial" w:cs="Arial" w:eastAsia="Arial" w:hAnsi="Arial"/>
          <w:sz w:val="19"/>
          <w:szCs w:val="19"/>
          <w:b w:val="1"/>
          <w:bCs w:val="1"/>
          <w:color w:val="auto"/>
        </w:rPr>
        <w:t>hereunder</w:t>
      </w:r>
      <w:r>
        <w:rPr>
          <w:rFonts w:ascii="Arial" w:cs="Arial" w:eastAsia="Arial" w:hAnsi="Arial"/>
          <w:sz w:val="19"/>
          <w:szCs w:val="19"/>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9"/>
          <w:szCs w:val="19"/>
          <w:b w:val="1"/>
          <w:bCs w:val="1"/>
          <w:color w:val="auto"/>
        </w:rPr>
        <w:t>include</w:t>
      </w:r>
      <w:r>
        <w:rPr>
          <w:rFonts w:ascii="Arial" w:cs="Arial" w:eastAsia="Arial" w:hAnsi="Arial"/>
          <w:sz w:val="19"/>
          <w:szCs w:val="19"/>
          <w:color w:val="auto"/>
        </w:rPr>
        <w:t>”, “</w:t>
      </w:r>
      <w:r>
        <w:rPr>
          <w:rFonts w:ascii="Arial" w:cs="Arial" w:eastAsia="Arial" w:hAnsi="Arial"/>
          <w:sz w:val="19"/>
          <w:szCs w:val="19"/>
          <w:b w:val="1"/>
          <w:bCs w:val="1"/>
          <w:color w:val="auto"/>
        </w:rPr>
        <w:t>includes</w:t>
      </w:r>
      <w:r>
        <w:rPr>
          <w:rFonts w:ascii="Arial" w:cs="Arial" w:eastAsia="Arial" w:hAnsi="Arial"/>
          <w:sz w:val="19"/>
          <w:szCs w:val="19"/>
          <w:color w:val="auto"/>
        </w:rPr>
        <w:t>” or “</w:t>
      </w:r>
      <w:r>
        <w:rPr>
          <w:rFonts w:ascii="Arial" w:cs="Arial" w:eastAsia="Arial" w:hAnsi="Arial"/>
          <w:sz w:val="19"/>
          <w:szCs w:val="19"/>
          <w:b w:val="1"/>
          <w:bCs w:val="1"/>
          <w:color w:val="auto"/>
        </w:rPr>
        <w:t>including</w:t>
      </w:r>
      <w:r>
        <w:rPr>
          <w:rFonts w:ascii="Arial" w:cs="Arial" w:eastAsia="Arial" w:hAnsi="Arial"/>
          <w:sz w:val="19"/>
          <w:szCs w:val="19"/>
          <w:color w:val="auto"/>
        </w:rPr>
        <w:t>” are used in this Agreement, they shall be deemed to be followed by the words “</w:t>
      </w:r>
      <w:r>
        <w:rPr>
          <w:rFonts w:ascii="Arial" w:cs="Arial" w:eastAsia="Arial" w:hAnsi="Arial"/>
          <w:sz w:val="19"/>
          <w:szCs w:val="19"/>
          <w:b w:val="1"/>
          <w:bCs w:val="1"/>
          <w:color w:val="auto"/>
        </w:rPr>
        <w:t>without limitation</w:t>
      </w:r>
      <w:r>
        <w:rPr>
          <w:rFonts w:ascii="Arial" w:cs="Arial" w:eastAsia="Arial" w:hAnsi="Arial"/>
          <w:sz w:val="19"/>
          <w:szCs w:val="19"/>
          <w:color w:val="auto"/>
        </w:rPr>
        <w:t>”, whether or not they are in fact followed by those words or words of like import. “</w:t>
      </w:r>
      <w:r>
        <w:rPr>
          <w:rFonts w:ascii="Arial" w:cs="Arial" w:eastAsia="Arial" w:hAnsi="Arial"/>
          <w:sz w:val="19"/>
          <w:szCs w:val="19"/>
          <w:b w:val="1"/>
          <w:bCs w:val="1"/>
          <w:color w:val="auto"/>
        </w:rPr>
        <w:t>Writing</w:t>
      </w:r>
      <w:r>
        <w:rPr>
          <w:rFonts w:ascii="Arial" w:cs="Arial" w:eastAsia="Arial" w:hAnsi="Arial"/>
          <w:sz w:val="19"/>
          <w:szCs w:val="19"/>
          <w:color w:val="auto"/>
        </w:rPr>
        <w:t>”, “</w:t>
      </w:r>
      <w:r>
        <w:rPr>
          <w:rFonts w:ascii="Arial" w:cs="Arial" w:eastAsia="Arial" w:hAnsi="Arial"/>
          <w:sz w:val="19"/>
          <w:szCs w:val="19"/>
          <w:b w:val="1"/>
          <w:bCs w:val="1"/>
          <w:color w:val="auto"/>
        </w:rPr>
        <w:t>written</w:t>
      </w:r>
      <w:r>
        <w:rPr>
          <w:rFonts w:ascii="Arial" w:cs="Arial" w:eastAsia="Arial" w:hAnsi="Arial"/>
          <w:sz w:val="19"/>
          <w:szCs w:val="19"/>
          <w:color w:val="auto"/>
        </w:rPr>
        <w:t>” and comparable terms refer to printing, typing and other means of reproducing words (including electronic media) in a visible form. References to any statute shall be deemed to refer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ectPr>
          <w:pgSz w:w="11900" w:h="16838" w:orient="portrait"/>
          <w:cols w:equalWidth="0" w:num="1">
            <w:col w:w="11420"/>
          </w:cols>
          <w:pgMar w:left="240" w:top="423" w:right="23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20"/>
          <w:szCs w:val="20"/>
          <w:b w:val="1"/>
          <w:bCs w:val="1"/>
          <w:color w:val="auto"/>
        </w:rPr>
        <w:t>law</w:t>
      </w:r>
      <w:r>
        <w:rPr>
          <w:rFonts w:ascii="Arial" w:cs="Arial" w:eastAsia="Arial" w:hAnsi="Arial"/>
          <w:sz w:val="20"/>
          <w:szCs w:val="20"/>
          <w:color w:val="auto"/>
        </w:rPr>
        <w:t>”, “</w:t>
      </w:r>
      <w:r>
        <w:rPr>
          <w:rFonts w:ascii="Arial" w:cs="Arial" w:eastAsia="Arial" w:hAnsi="Arial"/>
          <w:sz w:val="20"/>
          <w:szCs w:val="20"/>
          <w:b w:val="1"/>
          <w:bCs w:val="1"/>
          <w:color w:val="auto"/>
        </w:rPr>
        <w:t>laws</w:t>
      </w:r>
      <w:r>
        <w:rPr>
          <w:rFonts w:ascii="Arial" w:cs="Arial" w:eastAsia="Arial" w:hAnsi="Arial"/>
          <w:sz w:val="20"/>
          <w:szCs w:val="20"/>
          <w:color w:val="auto"/>
        </w:rPr>
        <w:t>” or to a particular statute or law shall be deemed also to include any Applicable Law. The phrase “</w:t>
      </w:r>
      <w:r>
        <w:rPr>
          <w:rFonts w:ascii="Arial" w:cs="Arial" w:eastAsia="Arial" w:hAnsi="Arial"/>
          <w:sz w:val="20"/>
          <w:szCs w:val="20"/>
          <w:b w:val="1"/>
          <w:bCs w:val="1"/>
          <w:color w:val="auto"/>
        </w:rPr>
        <w:t>made available</w:t>
      </w:r>
      <w:r>
        <w:rPr>
          <w:rFonts w:ascii="Arial" w:cs="Arial" w:eastAsia="Arial" w:hAnsi="Arial"/>
          <w:sz w:val="20"/>
          <w:szCs w:val="20"/>
          <w:color w:val="auto"/>
        </w:rPr>
        <w:t>” shall be deemed to include any documents filed or furnished with the SEC.</w:t>
      </w:r>
    </w:p>
    <w:p>
      <w:pPr>
        <w:spacing w:after="0" w:line="168"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2</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The Merger</w:t>
      </w:r>
    </w:p>
    <w:p>
      <w:pPr>
        <w:spacing w:after="0" w:line="177" w:lineRule="exact"/>
        <w:rPr>
          <w:sz w:val="20"/>
          <w:szCs w:val="20"/>
          <w:color w:val="auto"/>
        </w:rPr>
      </w:pPr>
    </w:p>
    <w:p>
      <w:pPr>
        <w:ind w:right="140" w:firstLine="800"/>
        <w:spacing w:after="0" w:line="253"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The Merger</w:t>
      </w:r>
      <w:r>
        <w:rPr>
          <w:rFonts w:ascii="Arial" w:cs="Arial" w:eastAsia="Arial" w:hAnsi="Arial"/>
          <w:sz w:val="20"/>
          <w:szCs w:val="20"/>
          <w:color w:val="auto"/>
        </w:rPr>
        <w:t>. (a) At the Effective Time, Merger Subsidiary shall be merged (the “</w:t>
      </w:r>
      <w:r>
        <w:rPr>
          <w:rFonts w:ascii="Arial" w:cs="Arial" w:eastAsia="Arial" w:hAnsi="Arial"/>
          <w:sz w:val="20"/>
          <w:szCs w:val="20"/>
          <w:b w:val="1"/>
          <w:bCs w:val="1"/>
          <w:color w:val="auto"/>
        </w:rPr>
        <w:t>Merger</w:t>
      </w:r>
      <w:r>
        <w:rPr>
          <w:rFonts w:ascii="Arial" w:cs="Arial" w:eastAsia="Arial" w:hAnsi="Arial"/>
          <w:sz w:val="20"/>
          <w:szCs w:val="20"/>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20"/>
          <w:szCs w:val="20"/>
          <w:b w:val="1"/>
          <w:bCs w:val="1"/>
          <w:color w:val="auto"/>
        </w:rPr>
        <w:t>Surviving Corporation</w:t>
      </w:r>
      <w:r>
        <w:rPr>
          <w:rFonts w:ascii="Arial" w:cs="Arial" w:eastAsia="Arial" w:hAnsi="Arial"/>
          <w:sz w:val="20"/>
          <w:szCs w:val="20"/>
          <w:color w:val="auto"/>
        </w:rPr>
        <w:t>”) and a wholly-owned subsidiary of Parent.</w:t>
      </w:r>
    </w:p>
    <w:p>
      <w:pPr>
        <w:spacing w:after="0" w:line="156" w:lineRule="exact"/>
        <w:rPr>
          <w:sz w:val="20"/>
          <w:szCs w:val="20"/>
          <w:color w:val="auto"/>
        </w:rPr>
      </w:pPr>
    </w:p>
    <w:p>
      <w:pPr>
        <w:ind w:right="20" w:firstLine="1715"/>
        <w:spacing w:after="0" w:line="258" w:lineRule="auto"/>
        <w:tabs>
          <w:tab w:leader="none" w:pos="2252" w:val="left"/>
        </w:tabs>
        <w:numPr>
          <w:ilvl w:val="0"/>
          <w:numId w:val="230"/>
        </w:numPr>
        <w:rPr>
          <w:rFonts w:ascii="Arial" w:cs="Arial" w:eastAsia="Arial" w:hAnsi="Arial"/>
          <w:sz w:val="19"/>
          <w:szCs w:val="19"/>
          <w:color w:val="auto"/>
        </w:rPr>
      </w:pPr>
      <w:r>
        <w:rPr>
          <w:rFonts w:ascii="Arial" w:cs="Arial" w:eastAsia="Arial" w:hAnsi="Arial"/>
          <w:sz w:val="19"/>
          <w:szCs w:val="19"/>
          <w:color w:val="auto"/>
        </w:rPr>
        <w:t>Subject to the provisions of Article 9, the closing of the Merger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58" w:lineRule="exact"/>
        <w:rPr>
          <w:rFonts w:ascii="Arial" w:cs="Arial" w:eastAsia="Arial" w:hAnsi="Arial"/>
          <w:sz w:val="19"/>
          <w:szCs w:val="19"/>
          <w:color w:val="auto"/>
        </w:rPr>
      </w:pPr>
    </w:p>
    <w:p>
      <w:pPr>
        <w:ind w:firstLine="1715"/>
        <w:spacing w:after="0" w:line="246" w:lineRule="auto"/>
        <w:tabs>
          <w:tab w:leader="none" w:pos="222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20"/>
          <w:szCs w:val="20"/>
          <w:b w:val="1"/>
          <w:bCs w:val="1"/>
          <w:color w:val="auto"/>
        </w:rPr>
        <w:t>Effective Time</w:t>
      </w:r>
      <w:r>
        <w:rPr>
          <w:rFonts w:ascii="Arial" w:cs="Arial" w:eastAsia="Arial" w:hAnsi="Arial"/>
          <w:sz w:val="20"/>
          <w:szCs w:val="20"/>
          <w:color w:val="auto"/>
        </w:rPr>
        <w:t>”) as the certificate of merger is duly filed with the Delaware Secretary of State (or at such later time as may be agreed to by the parties and specified in the certificate of merger).</w:t>
      </w:r>
    </w:p>
    <w:p>
      <w:pPr>
        <w:spacing w:after="0" w:line="166" w:lineRule="exact"/>
        <w:rPr>
          <w:rFonts w:ascii="Arial" w:cs="Arial" w:eastAsia="Arial" w:hAnsi="Arial"/>
          <w:sz w:val="20"/>
          <w:szCs w:val="20"/>
          <w:color w:val="auto"/>
        </w:rPr>
      </w:pPr>
    </w:p>
    <w:p>
      <w:pPr>
        <w:ind w:right="120" w:firstLine="1715"/>
        <w:spacing w:after="0" w:line="251" w:lineRule="auto"/>
        <w:tabs>
          <w:tab w:leader="none" w:pos="2252" w:val="left"/>
        </w:tabs>
        <w:numPr>
          <w:ilvl w:val="0"/>
          <w:numId w:val="230"/>
        </w:numPr>
        <w:rPr>
          <w:rFonts w:ascii="Arial" w:cs="Arial" w:eastAsia="Arial" w:hAnsi="Arial"/>
          <w:sz w:val="20"/>
          <w:szCs w:val="20"/>
          <w:color w:val="auto"/>
        </w:rPr>
      </w:pPr>
      <w:r>
        <w:rPr>
          <w:rFonts w:ascii="Arial" w:cs="Arial" w:eastAsia="Arial" w:hAnsi="Arial"/>
          <w:sz w:val="20"/>
          <w:szCs w:val="20"/>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62" w:lineRule="exact"/>
        <w:rPr>
          <w:sz w:val="20"/>
          <w:szCs w:val="20"/>
          <w:color w:val="auto"/>
        </w:rPr>
      </w:pPr>
    </w:p>
    <w:p>
      <w:pPr>
        <w:ind w:right="540" w:firstLine="800"/>
        <w:spacing w:after="0" w:line="265"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Conversion of Shares</w:t>
      </w:r>
      <w:r>
        <w:rPr>
          <w:rFonts w:ascii="Arial" w:cs="Arial" w:eastAsia="Arial" w:hAnsi="Arial"/>
          <w:sz w:val="20"/>
          <w:szCs w:val="20"/>
          <w:color w:val="auto"/>
        </w:rPr>
        <w:t>. At the Effective Time by virtue of the Merger and without any action on the part of any holder of shares of Company Stock or any holder of shares of common stock of Merger Subsidiary:</w:t>
      </w:r>
    </w:p>
    <w:p>
      <w:pPr>
        <w:spacing w:after="0" w:line="148" w:lineRule="exact"/>
        <w:rPr>
          <w:sz w:val="20"/>
          <w:szCs w:val="20"/>
          <w:color w:val="auto"/>
        </w:rPr>
      </w:pPr>
    </w:p>
    <w:p>
      <w:pPr>
        <w:ind w:right="100" w:firstLine="1715"/>
        <w:spacing w:after="0" w:line="265" w:lineRule="auto"/>
        <w:tabs>
          <w:tab w:leader="none" w:pos="2241" w:val="left"/>
        </w:tabs>
        <w:numPr>
          <w:ilvl w:val="0"/>
          <w:numId w:val="231"/>
        </w:numPr>
        <w:rPr>
          <w:rFonts w:ascii="Arial" w:cs="Arial" w:eastAsia="Arial" w:hAnsi="Arial"/>
          <w:sz w:val="20"/>
          <w:szCs w:val="20"/>
          <w:color w:val="auto"/>
        </w:rPr>
      </w:pPr>
      <w:r>
        <w:rPr>
          <w:rFonts w:ascii="Arial" w:cs="Arial" w:eastAsia="Arial" w:hAnsi="Arial"/>
          <w:sz w:val="20"/>
          <w:szCs w:val="20"/>
          <w:color w:val="auto"/>
        </w:rPr>
        <w:t>Except as otherwise provided in Section 2.02(c), each share of Company Stock outstanding immediately prior to the Effective Time shall be converted into the right to</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A-12</w:t>
      </w:r>
    </w:p>
    <w:p>
      <w:pPr>
        <w:sectPr>
          <w:pgSz w:w="11900" w:h="16838" w:orient="portrait"/>
          <w:cols w:equalWidth="0" w:num="1">
            <w:col w:w="11420"/>
          </w:cols>
          <w:pgMar w:left="240" w:top="439" w:right="23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receive 2.8750 (the “</w:t>
      </w:r>
      <w:r>
        <w:rPr>
          <w:rFonts w:ascii="Arial" w:cs="Arial" w:eastAsia="Arial" w:hAnsi="Arial"/>
          <w:sz w:val="19"/>
          <w:szCs w:val="19"/>
          <w:b w:val="1"/>
          <w:bCs w:val="1"/>
          <w:color w:val="auto"/>
        </w:rPr>
        <w:t>Exchange Ratio</w:t>
      </w:r>
      <w:r>
        <w:rPr>
          <w:rFonts w:ascii="Arial" w:cs="Arial" w:eastAsia="Arial" w:hAnsi="Arial"/>
          <w:sz w:val="19"/>
          <w:szCs w:val="19"/>
          <w:color w:val="auto"/>
        </w:rPr>
        <w:t>”) shares of Parent Class A Common Stock (together with the cash in lieu of fractional shares of Parent Class A Common Stock as specified below, the “</w:t>
      </w:r>
      <w:r>
        <w:rPr>
          <w:rFonts w:ascii="Arial" w:cs="Arial" w:eastAsia="Arial" w:hAnsi="Arial"/>
          <w:sz w:val="19"/>
          <w:szCs w:val="19"/>
          <w:b w:val="1"/>
          <w:bCs w:val="1"/>
          <w:color w:val="auto"/>
        </w:rPr>
        <w:t>Merger Consideration</w:t>
      </w:r>
      <w:r>
        <w:rPr>
          <w:rFonts w:ascii="Arial" w:cs="Arial" w:eastAsia="Arial" w:hAnsi="Arial"/>
          <w:sz w:val="19"/>
          <w:szCs w:val="19"/>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53" w:lineRule="exact"/>
        <w:rPr>
          <w:sz w:val="20"/>
          <w:szCs w:val="20"/>
          <w:color w:val="auto"/>
        </w:rPr>
      </w:pPr>
    </w:p>
    <w:p>
      <w:pPr>
        <w:ind w:right="140" w:firstLine="1715"/>
        <w:spacing w:after="0" w:line="270" w:lineRule="auto"/>
        <w:tabs>
          <w:tab w:leader="none" w:pos="225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45" w:lineRule="exact"/>
        <w:rPr>
          <w:rFonts w:ascii="Arial" w:cs="Arial" w:eastAsia="Arial" w:hAnsi="Arial"/>
          <w:sz w:val="19"/>
          <w:szCs w:val="19"/>
          <w:color w:val="auto"/>
        </w:rPr>
      </w:pPr>
    </w:p>
    <w:p>
      <w:pPr>
        <w:ind w:right="220" w:firstLine="1715"/>
        <w:spacing w:after="0" w:line="265" w:lineRule="auto"/>
        <w:tabs>
          <w:tab w:leader="none" w:pos="2241" w:val="left"/>
        </w:tabs>
        <w:numPr>
          <w:ilvl w:val="0"/>
          <w:numId w:val="232"/>
        </w:numPr>
        <w:rPr>
          <w:rFonts w:ascii="Arial" w:cs="Arial" w:eastAsia="Arial" w:hAnsi="Arial"/>
          <w:sz w:val="20"/>
          <w:szCs w:val="20"/>
          <w:color w:val="auto"/>
        </w:rPr>
      </w:pPr>
      <w:r>
        <w:rPr>
          <w:rFonts w:ascii="Arial" w:cs="Arial" w:eastAsia="Arial" w:hAnsi="Arial"/>
          <w:sz w:val="20"/>
          <w:szCs w:val="20"/>
          <w:color w:val="auto"/>
        </w:rPr>
        <w:t>Each share of Company Stock held by the Company as treasury stock or owned by Parent immediately prior to the Effective Time shall be canceled, and no payment shall be made with respect thereto.</w:t>
      </w:r>
    </w:p>
    <w:p>
      <w:pPr>
        <w:spacing w:after="0" w:line="249" w:lineRule="exact"/>
        <w:rPr>
          <w:sz w:val="20"/>
          <w:szCs w:val="20"/>
          <w:color w:val="auto"/>
        </w:rPr>
      </w:pPr>
    </w:p>
    <w:p>
      <w:pPr>
        <w:ind w:firstLine="800"/>
        <w:spacing w:after="0" w:line="26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Surrender and Payment</w:t>
      </w:r>
      <w:r>
        <w:rPr>
          <w:rFonts w:ascii="Arial" w:cs="Arial" w:eastAsia="Arial" w:hAnsi="Arial"/>
          <w:sz w:val="18"/>
          <w:szCs w:val="18"/>
          <w:color w:val="auto"/>
        </w:rPr>
        <w:t>. (a) Prior to the Effective Time, Parent shall appoint an agent reasonably acceptable to the Company (the “</w:t>
      </w:r>
      <w:r>
        <w:rPr>
          <w:rFonts w:ascii="Arial" w:cs="Arial" w:eastAsia="Arial" w:hAnsi="Arial"/>
          <w:sz w:val="18"/>
          <w:szCs w:val="18"/>
          <w:b w:val="1"/>
          <w:bCs w:val="1"/>
          <w:color w:val="auto"/>
        </w:rPr>
        <w:t>Exchange Agent</w:t>
      </w:r>
      <w:r>
        <w:rPr>
          <w:rFonts w:ascii="Arial" w:cs="Arial" w:eastAsia="Arial" w:hAnsi="Arial"/>
          <w:sz w:val="18"/>
          <w:szCs w:val="18"/>
          <w:color w:val="auto"/>
        </w:rPr>
        <w:t>”) for the purpose of exchanging for the Merger Consideration (i) certificates representing shares of Company Stock (the “</w:t>
      </w:r>
      <w:r>
        <w:rPr>
          <w:rFonts w:ascii="Arial" w:cs="Arial" w:eastAsia="Arial" w:hAnsi="Arial"/>
          <w:sz w:val="18"/>
          <w:szCs w:val="18"/>
          <w:b w:val="1"/>
          <w:bCs w:val="1"/>
          <w:color w:val="auto"/>
        </w:rPr>
        <w:t>Certificates</w:t>
      </w:r>
      <w:r>
        <w:rPr>
          <w:rFonts w:ascii="Arial" w:cs="Arial" w:eastAsia="Arial" w:hAnsi="Arial"/>
          <w:sz w:val="18"/>
          <w:szCs w:val="18"/>
          <w:color w:val="auto"/>
        </w:rPr>
        <w:t>”) and (ii) uncertificated shares of Company Stock (the “</w:t>
      </w:r>
      <w:r>
        <w:rPr>
          <w:rFonts w:ascii="Arial" w:cs="Arial" w:eastAsia="Arial" w:hAnsi="Arial"/>
          <w:sz w:val="18"/>
          <w:szCs w:val="18"/>
          <w:b w:val="1"/>
          <w:bCs w:val="1"/>
          <w:color w:val="auto"/>
        </w:rPr>
        <w:t>Uncertificated Shares</w:t>
      </w:r>
      <w:r>
        <w:rPr>
          <w:rFonts w:ascii="Arial" w:cs="Arial" w:eastAsia="Arial" w:hAnsi="Arial"/>
          <w:sz w:val="18"/>
          <w:szCs w:val="18"/>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8"/>
          <w:szCs w:val="18"/>
          <w:b w:val="1"/>
          <w:bCs w:val="1"/>
          <w:color w:val="auto"/>
        </w:rPr>
        <w:t>agent’s message</w:t>
      </w:r>
      <w:r>
        <w:rPr>
          <w:rFonts w:ascii="Arial" w:cs="Arial" w:eastAsia="Arial" w:hAnsi="Arial"/>
          <w:sz w:val="18"/>
          <w:szCs w:val="18"/>
          <w:color w:val="auto"/>
        </w:rPr>
        <w:t>” regarding the book-entry transfer of Uncertificated Shares) for use in such exchange.</w:t>
      </w:r>
    </w:p>
    <w:p>
      <w:pPr>
        <w:spacing w:after="0" w:line="147" w:lineRule="exact"/>
        <w:rPr>
          <w:sz w:val="20"/>
          <w:szCs w:val="20"/>
          <w:color w:val="auto"/>
        </w:rPr>
      </w:pPr>
    </w:p>
    <w:p>
      <w:pPr>
        <w:ind w:firstLine="1715"/>
        <w:spacing w:after="0" w:line="242" w:lineRule="auto"/>
        <w:tabs>
          <w:tab w:leader="none" w:pos="2252" w:val="left"/>
        </w:tabs>
        <w:numPr>
          <w:ilvl w:val="0"/>
          <w:numId w:val="233"/>
        </w:numPr>
        <w:rPr>
          <w:rFonts w:ascii="Arial" w:cs="Arial" w:eastAsia="Arial" w:hAnsi="Arial"/>
          <w:sz w:val="20"/>
          <w:szCs w:val="20"/>
          <w:color w:val="auto"/>
        </w:rPr>
      </w:pPr>
      <w:r>
        <w:rPr>
          <w:rFonts w:ascii="Arial" w:cs="Arial" w:eastAsia="Arial" w:hAnsi="Arial"/>
          <w:sz w:val="20"/>
          <w:szCs w:val="20"/>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20"/>
          <w:szCs w:val="20"/>
          <w:b w:val="1"/>
          <w:bCs w:val="1"/>
          <w:color w:val="auto"/>
        </w:rPr>
        <w:t>agent’s message</w:t>
      </w:r>
      <w:r>
        <w:rPr>
          <w:rFonts w:ascii="Arial" w:cs="Arial" w:eastAsia="Arial" w:hAnsi="Arial"/>
          <w:sz w:val="20"/>
          <w:szCs w:val="20"/>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ectPr>
          <w:pgSz w:w="11900" w:h="16838" w:orient="portrait"/>
          <w:cols w:equalWidth="0" w:num="1">
            <w:col w:w="11420"/>
          </w:cols>
          <w:pgMar w:left="240" w:top="439" w:right="23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45" w:lineRule="exact"/>
        <w:rPr>
          <w:sz w:val="20"/>
          <w:szCs w:val="20"/>
          <w:color w:val="auto"/>
        </w:rPr>
      </w:pPr>
    </w:p>
    <w:p>
      <w:pPr>
        <w:ind w:right="320" w:firstLine="1715"/>
        <w:spacing w:after="0" w:line="257" w:lineRule="auto"/>
        <w:tabs>
          <w:tab w:leader="none" w:pos="2241" w:val="left"/>
        </w:tabs>
        <w:numPr>
          <w:ilvl w:val="0"/>
          <w:numId w:val="234"/>
        </w:numPr>
        <w:rPr>
          <w:rFonts w:ascii="Arial" w:cs="Arial" w:eastAsia="Arial" w:hAnsi="Arial"/>
          <w:sz w:val="19"/>
          <w:szCs w:val="19"/>
          <w:color w:val="auto"/>
        </w:rPr>
      </w:pPr>
      <w:r>
        <w:rPr>
          <w:rFonts w:ascii="Arial" w:cs="Arial" w:eastAsia="Arial" w:hAnsi="Arial"/>
          <w:sz w:val="19"/>
          <w:szCs w:val="19"/>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60" w:lineRule="exact"/>
        <w:rPr>
          <w:rFonts w:ascii="Arial" w:cs="Arial" w:eastAsia="Arial" w:hAnsi="Arial"/>
          <w:sz w:val="19"/>
          <w:szCs w:val="19"/>
          <w:color w:val="auto"/>
        </w:rPr>
      </w:pPr>
    </w:p>
    <w:p>
      <w:pPr>
        <w:ind w:right="200" w:firstLine="1715"/>
        <w:spacing w:after="0" w:line="292" w:lineRule="auto"/>
        <w:tabs>
          <w:tab w:leader="none" w:pos="224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27" w:lineRule="exact"/>
        <w:rPr>
          <w:rFonts w:ascii="Arial" w:cs="Arial" w:eastAsia="Arial" w:hAnsi="Arial"/>
          <w:sz w:val="18"/>
          <w:szCs w:val="18"/>
          <w:color w:val="auto"/>
        </w:rPr>
      </w:pPr>
    </w:p>
    <w:p>
      <w:pPr>
        <w:ind w:firstLine="1715"/>
        <w:spacing w:after="0" w:line="254" w:lineRule="auto"/>
        <w:tabs>
          <w:tab w:leader="none" w:pos="222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59" w:lineRule="exact"/>
        <w:rPr>
          <w:rFonts w:ascii="Arial" w:cs="Arial" w:eastAsia="Arial" w:hAnsi="Arial"/>
          <w:sz w:val="19"/>
          <w:szCs w:val="19"/>
          <w:color w:val="auto"/>
        </w:rPr>
      </w:pPr>
    </w:p>
    <w:p>
      <w:pPr>
        <w:ind w:right="40" w:firstLine="1715"/>
        <w:spacing w:after="0" w:line="242" w:lineRule="auto"/>
        <w:tabs>
          <w:tab w:leader="none" w:pos="2218" w:val="left"/>
        </w:tabs>
        <w:numPr>
          <w:ilvl w:val="0"/>
          <w:numId w:val="234"/>
        </w:numPr>
        <w:rPr>
          <w:rFonts w:ascii="Arial" w:cs="Arial" w:eastAsia="Arial" w:hAnsi="Arial"/>
          <w:sz w:val="20"/>
          <w:szCs w:val="20"/>
          <w:color w:val="auto"/>
        </w:rPr>
      </w:pPr>
      <w:r>
        <w:rPr>
          <w:rFonts w:ascii="Arial" w:cs="Arial" w:eastAsia="Arial" w:hAnsi="Arial"/>
          <w:sz w:val="20"/>
          <w:szCs w:val="20"/>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ectPr>
          <w:pgSz w:w="11900" w:h="16838" w:orient="portrait"/>
          <w:cols w:equalWidth="0" w:num="1">
            <w:col w:w="11420"/>
          </w:cols>
          <w:pgMar w:left="240" w:top="439" w:right="23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7" w:lineRule="exact"/>
        <w:rPr>
          <w:sz w:val="20"/>
          <w:szCs w:val="20"/>
          <w:color w:val="auto"/>
        </w:rPr>
      </w:pPr>
    </w:p>
    <w:p>
      <w:pPr>
        <w:ind w:right="120" w:firstLine="1715"/>
        <w:spacing w:after="0" w:line="246" w:lineRule="auto"/>
        <w:tabs>
          <w:tab w:leader="none" w:pos="224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67" w:lineRule="exact"/>
        <w:rPr>
          <w:sz w:val="20"/>
          <w:szCs w:val="20"/>
          <w:color w:val="auto"/>
        </w:rPr>
      </w:pPr>
    </w:p>
    <w:p>
      <w:pPr>
        <w:ind w:right="20" w:firstLine="800"/>
        <w:spacing w:after="0" w:line="26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Equity-Based Awards</w:t>
      </w:r>
      <w:r>
        <w:rPr>
          <w:rFonts w:ascii="Arial" w:cs="Arial" w:eastAsia="Arial" w:hAnsi="Arial"/>
          <w:sz w:val="18"/>
          <w:szCs w:val="18"/>
          <w:color w:val="auto"/>
        </w:rPr>
        <w:t>. (a) Except as provided in Section 2.04(d), the terms of each outstanding compensatory option to purchase shares of Company Stock (a “</w:t>
      </w:r>
      <w:r>
        <w:rPr>
          <w:rFonts w:ascii="Arial" w:cs="Arial" w:eastAsia="Arial" w:hAnsi="Arial"/>
          <w:sz w:val="18"/>
          <w:szCs w:val="18"/>
          <w:b w:val="1"/>
          <w:bCs w:val="1"/>
          <w:color w:val="auto"/>
        </w:rPr>
        <w:t>Company Stock Option</w:t>
      </w:r>
      <w:r>
        <w:rPr>
          <w:rFonts w:ascii="Arial" w:cs="Arial" w:eastAsia="Arial" w:hAnsi="Arial"/>
          <w:sz w:val="18"/>
          <w:szCs w:val="18"/>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8"/>
          <w:szCs w:val="18"/>
          <w:b w:val="1"/>
          <w:bCs w:val="1"/>
          <w:color w:val="auto"/>
        </w:rPr>
        <w:t>Adjusted Option</w:t>
      </w:r>
      <w:r>
        <w:rPr>
          <w:rFonts w:ascii="Arial" w:cs="Arial" w:eastAsia="Arial" w:hAnsi="Arial"/>
          <w:sz w:val="18"/>
          <w:szCs w:val="18"/>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w:t>
      </w:r>
    </w:p>
    <w:p>
      <w:pPr>
        <w:spacing w:after="0" w:line="6" w:lineRule="exact"/>
        <w:rPr>
          <w:sz w:val="20"/>
          <w:szCs w:val="20"/>
          <w:color w:val="auto"/>
        </w:rPr>
      </w:pPr>
    </w:p>
    <w:p>
      <w:pPr>
        <w:ind w:right="40" w:firstLine="1"/>
        <w:spacing w:after="0" w:line="270" w:lineRule="auto"/>
        <w:tabs>
          <w:tab w:leader="none" w:pos="33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48" w:lineRule="exact"/>
        <w:rPr>
          <w:rFonts w:ascii="Arial" w:cs="Arial" w:eastAsia="Arial" w:hAnsi="Arial"/>
          <w:sz w:val="18"/>
          <w:szCs w:val="18"/>
          <w:color w:val="auto"/>
        </w:rPr>
      </w:pPr>
    </w:p>
    <w:p>
      <w:pPr>
        <w:ind w:firstLine="1715"/>
        <w:spacing w:after="0" w:line="242" w:lineRule="auto"/>
        <w:tabs>
          <w:tab w:leader="none" w:pos="2252" w:val="left"/>
        </w:tabs>
        <w:numPr>
          <w:ilvl w:val="1"/>
          <w:numId w:val="236"/>
        </w:numPr>
        <w:rPr>
          <w:rFonts w:ascii="Arial" w:cs="Arial" w:eastAsia="Arial" w:hAnsi="Arial"/>
          <w:sz w:val="20"/>
          <w:szCs w:val="20"/>
          <w:color w:val="auto"/>
        </w:rPr>
      </w:pPr>
      <w:r>
        <w:rPr>
          <w:rFonts w:ascii="Arial" w:cs="Arial" w:eastAsia="Arial" w:hAnsi="Arial"/>
          <w:sz w:val="20"/>
          <w:szCs w:val="20"/>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20"/>
          <w:szCs w:val="20"/>
          <w:b w:val="1"/>
          <w:bCs w:val="1"/>
          <w:color w:val="auto"/>
        </w:rPr>
        <w:t>Company RSU</w:t>
      </w:r>
      <w:r>
        <w:rPr>
          <w:rFonts w:ascii="Arial" w:cs="Arial" w:eastAsia="Arial" w:hAnsi="Arial"/>
          <w:sz w:val="20"/>
          <w:szCs w:val="20"/>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20"/>
          <w:szCs w:val="20"/>
          <w:b w:val="1"/>
          <w:bCs w:val="1"/>
          <w:color w:val="auto"/>
        </w:rPr>
        <w:t>Adjusted RSU</w:t>
      </w:r>
      <w:r>
        <w:rPr>
          <w:rFonts w:ascii="Arial" w:cs="Arial" w:eastAsia="Arial" w:hAnsi="Arial"/>
          <w:sz w:val="20"/>
          <w:szCs w:val="20"/>
          <w:color w:val="auto"/>
        </w:rPr>
        <w:t>”) to acquire, on the same terms and conditions as were applicable under such Company RSU immediately prior to the Effective Time, the number of shares of Parent Class A Common Stock equal to the product of (i) the number of shares of Company Stock subject to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420"/>
          </w:cols>
          <w:pgMar w:left="240" w:top="439" w:right="23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80"/>
        <w:spacing w:after="0" w:line="265" w:lineRule="auto"/>
        <w:rPr>
          <w:sz w:val="20"/>
          <w:szCs w:val="20"/>
          <w:color w:val="auto"/>
        </w:rPr>
      </w:pPr>
      <w:r>
        <w:rPr>
          <w:rFonts w:ascii="Arial" w:cs="Arial" w:eastAsia="Arial" w:hAnsi="Arial"/>
          <w:sz w:val="20"/>
          <w:szCs w:val="20"/>
          <w:color w:val="auto"/>
        </w:rPr>
        <w:t>Company RSU immediately prior to the Effective Time multiplied by (ii) the Exchange Ratio, with any fractional shares rounded down to the next lower whole number of shares.</w:t>
      </w:r>
    </w:p>
    <w:p>
      <w:pPr>
        <w:spacing w:after="0" w:line="144" w:lineRule="exact"/>
        <w:rPr>
          <w:sz w:val="20"/>
          <w:szCs w:val="20"/>
          <w:color w:val="auto"/>
        </w:rPr>
      </w:pPr>
    </w:p>
    <w:p>
      <w:pPr>
        <w:ind w:right="60" w:firstLine="1715"/>
        <w:spacing w:after="0" w:line="267" w:lineRule="auto"/>
        <w:tabs>
          <w:tab w:leader="none" w:pos="222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At or promptly after the Effective Time, each outstanding Company RSU (each, a “</w:t>
      </w:r>
      <w:r>
        <w:rPr>
          <w:rFonts w:ascii="Arial" w:cs="Arial" w:eastAsia="Arial" w:hAnsi="Arial"/>
          <w:sz w:val="18"/>
          <w:szCs w:val="18"/>
          <w:b w:val="1"/>
          <w:bCs w:val="1"/>
          <w:color w:val="auto"/>
        </w:rPr>
        <w:t>Director RSU</w:t>
      </w:r>
      <w:r>
        <w:rPr>
          <w:rFonts w:ascii="Arial" w:cs="Arial" w:eastAsia="Arial" w:hAnsi="Arial"/>
          <w:sz w:val="18"/>
          <w:szCs w:val="18"/>
          <w:color w:val="auto"/>
        </w:rPr>
        <w:t>”) held by a non-employee director or former non-employee director of the Company (each, a “</w:t>
      </w:r>
      <w:r>
        <w:rPr>
          <w:rFonts w:ascii="Arial" w:cs="Arial" w:eastAsia="Arial" w:hAnsi="Arial"/>
          <w:sz w:val="18"/>
          <w:szCs w:val="18"/>
          <w:b w:val="1"/>
          <w:bCs w:val="1"/>
          <w:color w:val="auto"/>
        </w:rPr>
        <w:t>Director</w:t>
      </w:r>
      <w:r>
        <w:rPr>
          <w:rFonts w:ascii="Arial" w:cs="Arial" w:eastAsia="Arial" w:hAnsi="Arial"/>
          <w:sz w:val="18"/>
          <w:szCs w:val="18"/>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8"/>
          <w:szCs w:val="18"/>
          <w:b w:val="1"/>
          <w:bCs w:val="1"/>
          <w:color w:val="auto"/>
        </w:rPr>
        <w:t>Notional Adjusted RSU</w:t>
      </w:r>
      <w:r>
        <w:rPr>
          <w:rFonts w:ascii="Arial" w:cs="Arial" w:eastAsia="Arial" w:hAnsi="Arial"/>
          <w:sz w:val="18"/>
          <w:szCs w:val="18"/>
          <w:color w:val="auto"/>
        </w:rPr>
        <w:t>”) and then multiplying (i) the closing sale price of a share of Parent Class A Common Stock on NASDAQ on the trading day immediately preceding the Effective Time by</w:t>
      </w:r>
    </w:p>
    <w:p>
      <w:pPr>
        <w:spacing w:after="0" w:line="2" w:lineRule="exact"/>
        <w:rPr>
          <w:rFonts w:ascii="Arial" w:cs="Arial" w:eastAsia="Arial" w:hAnsi="Arial"/>
          <w:sz w:val="18"/>
          <w:szCs w:val="18"/>
          <w:color w:val="auto"/>
        </w:rPr>
      </w:pPr>
    </w:p>
    <w:p>
      <w:pPr>
        <w:ind w:left="300" w:hanging="299"/>
        <w:spacing w:after="0"/>
        <w:tabs>
          <w:tab w:leader="none" w:pos="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number of shares of Parent Class A Common Stock with respect to the Notional Adjusted RSUs.</w:t>
      </w:r>
    </w:p>
    <w:p>
      <w:pPr>
        <w:spacing w:after="0" w:line="176" w:lineRule="exact"/>
        <w:rPr>
          <w:rFonts w:ascii="Arial" w:cs="Arial" w:eastAsia="Arial" w:hAnsi="Arial"/>
          <w:sz w:val="20"/>
          <w:szCs w:val="20"/>
          <w:color w:val="auto"/>
        </w:rPr>
      </w:pPr>
    </w:p>
    <w:p>
      <w:pPr>
        <w:ind w:firstLine="1715"/>
        <w:spacing w:after="0" w:line="253" w:lineRule="auto"/>
        <w:tabs>
          <w:tab w:leader="none" w:pos="2252" w:val="left"/>
        </w:tabs>
        <w:numPr>
          <w:ilvl w:val="1"/>
          <w:numId w:val="238"/>
        </w:numPr>
        <w:rPr>
          <w:rFonts w:ascii="Arial" w:cs="Arial" w:eastAsia="Arial" w:hAnsi="Arial"/>
          <w:sz w:val="19"/>
          <w:szCs w:val="19"/>
          <w:color w:val="auto"/>
        </w:rPr>
      </w:pPr>
      <w:r>
        <w:rPr>
          <w:rFonts w:ascii="Arial" w:cs="Arial" w:eastAsia="Arial" w:hAnsi="Arial"/>
          <w:sz w:val="19"/>
          <w:szCs w:val="19"/>
          <w:color w:val="auto"/>
        </w:rPr>
        <w:t>(i) At or promptly after the Effective Time, each outstanding Company Stock Option (each, a “</w:t>
      </w:r>
      <w:r>
        <w:rPr>
          <w:rFonts w:ascii="Arial" w:cs="Arial" w:eastAsia="Arial" w:hAnsi="Arial"/>
          <w:sz w:val="19"/>
          <w:szCs w:val="19"/>
          <w:b w:val="1"/>
          <w:bCs w:val="1"/>
          <w:color w:val="auto"/>
        </w:rPr>
        <w:t>Former</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Option</w:t>
      </w:r>
      <w:r>
        <w:rPr>
          <w:rFonts w:ascii="Arial" w:cs="Arial" w:eastAsia="Arial" w:hAnsi="Arial"/>
          <w:sz w:val="19"/>
          <w:szCs w:val="19"/>
          <w:color w:val="auto"/>
        </w:rPr>
        <w:t>”) held by a former employee or individual contractor of the Company (each, a “</w:t>
      </w:r>
      <w:r>
        <w:rPr>
          <w:rFonts w:ascii="Arial" w:cs="Arial" w:eastAsia="Arial" w:hAnsi="Arial"/>
          <w:sz w:val="19"/>
          <w:szCs w:val="19"/>
          <w:b w:val="1"/>
          <w:bCs w:val="1"/>
          <w:color w:val="auto"/>
        </w:rPr>
        <w:t>Former Employee</w:t>
      </w:r>
      <w:r>
        <w:rPr>
          <w:rFonts w:ascii="Arial" w:cs="Arial" w:eastAsia="Arial" w:hAnsi="Arial"/>
          <w:sz w:val="19"/>
          <w:szCs w:val="19"/>
          <w:color w:val="auto"/>
        </w:rPr>
        <w:t>”), whether or not</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9"/>
          <w:szCs w:val="19"/>
          <w:b w:val="1"/>
          <w:bCs w:val="1"/>
          <w:color w:val="auto"/>
        </w:rPr>
        <w:t>Notional Adjusted Option</w:t>
      </w:r>
      <w:r>
        <w:rPr>
          <w:rFonts w:ascii="Arial" w:cs="Arial" w:eastAsia="Arial" w:hAnsi="Arial"/>
          <w:sz w:val="19"/>
          <w:szCs w:val="19"/>
          <w:color w:val="auto"/>
        </w:rPr>
        <w:t>”) and then multiplying (A) 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2" w:lineRule="exact"/>
        <w:rPr>
          <w:rFonts w:ascii="Arial" w:cs="Arial" w:eastAsia="Arial" w:hAnsi="Arial"/>
          <w:sz w:val="19"/>
          <w:szCs w:val="19"/>
          <w:color w:val="auto"/>
        </w:rPr>
      </w:pPr>
    </w:p>
    <w:p>
      <w:pPr>
        <w:ind w:left="1720" w:right="180" w:firstLine="675"/>
        <w:spacing w:after="0" w:line="242" w:lineRule="auto"/>
        <w:tabs>
          <w:tab w:leader="none" w:pos="2938" w:val="left"/>
        </w:tabs>
        <w:numPr>
          <w:ilvl w:val="2"/>
          <w:numId w:val="238"/>
        </w:numPr>
        <w:rPr>
          <w:rFonts w:ascii="Arial" w:cs="Arial" w:eastAsia="Arial" w:hAnsi="Arial"/>
          <w:sz w:val="20"/>
          <w:szCs w:val="20"/>
          <w:color w:val="auto"/>
        </w:rPr>
      </w:pPr>
      <w:r>
        <w:rPr>
          <w:rFonts w:ascii="Arial" w:cs="Arial" w:eastAsia="Arial" w:hAnsi="Arial"/>
          <w:sz w:val="20"/>
          <w:szCs w:val="20"/>
          <w:color w:val="auto"/>
        </w:rPr>
        <w:t>At or promptly after the Effective Time, each outstanding Company RSU (each, a “</w:t>
      </w:r>
      <w:r>
        <w:rPr>
          <w:rFonts w:ascii="Arial" w:cs="Arial" w:eastAsia="Arial" w:hAnsi="Arial"/>
          <w:sz w:val="20"/>
          <w:szCs w:val="20"/>
          <w:b w:val="1"/>
          <w:bCs w:val="1"/>
          <w:color w:val="auto"/>
        </w:rPr>
        <w:t>Former Employee</w:t>
      </w:r>
      <w:r>
        <w:rPr>
          <w:rFonts w:ascii="Arial" w:cs="Arial" w:eastAsia="Arial" w:hAnsi="Arial"/>
          <w:sz w:val="20"/>
          <w:szCs w:val="20"/>
          <w:color w:val="auto"/>
        </w:rPr>
        <w:t xml:space="preserve"> </w:t>
      </w:r>
      <w:r>
        <w:rPr>
          <w:rFonts w:ascii="Arial" w:cs="Arial" w:eastAsia="Arial" w:hAnsi="Arial"/>
          <w:sz w:val="20"/>
          <w:szCs w:val="20"/>
          <w:b w:val="1"/>
          <w:bCs w:val="1"/>
          <w:color w:val="auto"/>
        </w:rPr>
        <w:t>RSU</w:t>
      </w:r>
      <w:r>
        <w:rPr>
          <w:rFonts w:ascii="Arial" w:cs="Arial" w:eastAsia="Arial" w:hAnsi="Arial"/>
          <w:sz w:val="20"/>
          <w:szCs w:val="20"/>
          <w:color w:val="auto"/>
        </w:rPr>
        <w:t>”) held by a Former Employee, whether or not vested, shall be canceled, and the Company shall pay each such</w:t>
      </w:r>
      <w:r>
        <w:rPr>
          <w:rFonts w:ascii="Arial" w:cs="Arial" w:eastAsia="Arial" w:hAnsi="Arial"/>
          <w:sz w:val="20"/>
          <w:szCs w:val="20"/>
          <w:b w:val="1"/>
          <w:bCs w:val="1"/>
          <w:color w:val="auto"/>
        </w:rPr>
        <w:t xml:space="preserve"> </w:t>
      </w:r>
      <w:r>
        <w:rPr>
          <w:rFonts w:ascii="Arial" w:cs="Arial" w:eastAsia="Arial" w:hAnsi="Arial"/>
          <w:sz w:val="20"/>
          <w:szCs w:val="20"/>
          <w:color w:val="auto"/>
        </w:rPr>
        <w:t>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A-16</w:t>
      </w:r>
    </w:p>
    <w:p>
      <w:pPr>
        <w:sectPr>
          <w:pgSz w:w="11900" w:h="16838" w:orient="portrait"/>
          <w:cols w:equalWidth="0" w:num="1">
            <w:col w:w="11420"/>
          </w:cols>
          <w:pgMar w:left="240" w:top="439" w:right="23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8" w:lineRule="auto"/>
        <w:tabs>
          <w:tab w:leader="none" w:pos="229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Parent shall take such actions as are necessary for the assumption of the Company Stock Options and Company RSUs pursuant to Sections 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52" w:lineRule="exact"/>
        <w:rPr>
          <w:rFonts w:ascii="Arial" w:cs="Arial" w:eastAsia="Arial" w:hAnsi="Arial"/>
          <w:sz w:val="18"/>
          <w:szCs w:val="18"/>
          <w:color w:val="auto"/>
        </w:rPr>
      </w:pPr>
    </w:p>
    <w:p>
      <w:pPr>
        <w:ind w:right="360" w:firstLine="1715"/>
        <w:spacing w:after="0" w:line="265" w:lineRule="auto"/>
        <w:tabs>
          <w:tab w:leader="none" w:pos="2269" w:val="left"/>
        </w:tabs>
        <w:numPr>
          <w:ilvl w:val="0"/>
          <w:numId w:val="239"/>
        </w:numPr>
        <w:rPr>
          <w:rFonts w:ascii="Arial" w:cs="Arial" w:eastAsia="Arial" w:hAnsi="Arial"/>
          <w:sz w:val="20"/>
          <w:szCs w:val="20"/>
          <w:color w:val="auto"/>
        </w:rPr>
      </w:pPr>
      <w:r>
        <w:rPr>
          <w:rFonts w:ascii="Arial" w:cs="Arial" w:eastAsia="Arial" w:hAnsi="Arial"/>
          <w:sz w:val="20"/>
          <w:szCs w:val="20"/>
          <w:color w:val="auto"/>
        </w:rPr>
        <w:t>Prior to the Effective Time, the Company shall take any actions with respect to equity compensation plans or arrangements that are necessary to give effect to the transactions contemplated by this Section 2.04.</w:t>
      </w:r>
    </w:p>
    <w:p>
      <w:pPr>
        <w:spacing w:after="0" w:line="148"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Adjustments</w:t>
      </w:r>
      <w:r>
        <w:rPr>
          <w:rFonts w:ascii="Arial" w:cs="Arial" w:eastAsia="Arial" w:hAnsi="Arial"/>
          <w:sz w:val="18"/>
          <w:szCs w:val="18"/>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 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w:t>
      </w:r>
    </w:p>
    <w:p>
      <w:pPr>
        <w:spacing w:after="0" w:line="2" w:lineRule="exact"/>
        <w:rPr>
          <w:sz w:val="20"/>
          <w:szCs w:val="20"/>
          <w:color w:val="auto"/>
        </w:rPr>
      </w:pPr>
    </w:p>
    <w:p>
      <w:pPr>
        <w:ind w:right="580" w:firstLine="1"/>
        <w:spacing w:after="0"/>
        <w:tabs>
          <w:tab w:leader="none" w:pos="286"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72" w:lineRule="exact"/>
        <w:rPr>
          <w:sz w:val="20"/>
          <w:szCs w:val="20"/>
          <w:color w:val="auto"/>
        </w:rPr>
      </w:pPr>
    </w:p>
    <w:p>
      <w:pPr>
        <w:ind w:right="60" w:firstLine="800"/>
        <w:spacing w:after="0" w:line="242"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i w:val="1"/>
          <w:iCs w:val="1"/>
          <w:color w:val="auto"/>
        </w:rPr>
        <w:t>Fractional Shares</w:t>
      </w:r>
      <w:r>
        <w:rPr>
          <w:rFonts w:ascii="Arial" w:cs="Arial" w:eastAsia="Arial" w:hAnsi="Arial"/>
          <w:sz w:val="20"/>
          <w:szCs w:val="20"/>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A-17</w:t>
      </w:r>
    </w:p>
    <w:p>
      <w:pPr>
        <w:sectPr>
          <w:pgSz w:w="11900" w:h="16838" w:orient="portrait"/>
          <w:cols w:equalWidth="0" w:num="1">
            <w:col w:w="11420"/>
          </w:cols>
          <w:pgMar w:left="240" w:top="439" w:right="23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firstLine="800"/>
        <w:spacing w:after="0" w:line="27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43" w:lineRule="exact"/>
        <w:rPr>
          <w:sz w:val="20"/>
          <w:szCs w:val="20"/>
          <w:color w:val="auto"/>
        </w:rPr>
      </w:pPr>
    </w:p>
    <w:p>
      <w:pPr>
        <w:ind w:right="80" w:firstLine="800"/>
        <w:spacing w:after="0" w:line="257"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Lost Certificates</w:t>
      </w:r>
      <w:r>
        <w:rPr>
          <w:rFonts w:ascii="Arial" w:cs="Arial" w:eastAsia="Arial" w:hAnsi="Arial"/>
          <w:sz w:val="19"/>
          <w:szCs w:val="19"/>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Surviving Corporation</w:t>
      </w:r>
    </w:p>
    <w:p>
      <w:pPr>
        <w:spacing w:after="0" w:line="181"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Certificate of Incorporation</w:t>
      </w:r>
      <w:r>
        <w:rPr>
          <w:rFonts w:ascii="Arial" w:cs="Arial" w:eastAsia="Arial" w:hAnsi="Arial"/>
          <w:sz w:val="20"/>
          <w:szCs w:val="20"/>
          <w:color w:val="auto"/>
        </w:rPr>
        <w:t>. The certificate of incorporation of the Company shall be the certificate of incorporation of the Surviving Corporation until amended in accordance with Applicable Law.</w:t>
      </w:r>
    </w:p>
    <w:p>
      <w:pPr>
        <w:spacing w:after="0" w:line="148" w:lineRule="exact"/>
        <w:rPr>
          <w:sz w:val="20"/>
          <w:szCs w:val="20"/>
          <w:color w:val="auto"/>
        </w:rPr>
      </w:pPr>
    </w:p>
    <w:p>
      <w:pPr>
        <w:ind w:right="40" w:firstLine="800"/>
        <w:spacing w:after="0" w:line="25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Bylaws</w:t>
      </w:r>
      <w:r>
        <w:rPr>
          <w:rFonts w:ascii="Arial" w:cs="Arial" w:eastAsia="Arial" w:hAnsi="Arial"/>
          <w:sz w:val="20"/>
          <w:szCs w:val="20"/>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61" w:lineRule="exact"/>
        <w:rPr>
          <w:sz w:val="20"/>
          <w:szCs w:val="20"/>
          <w:color w:val="auto"/>
        </w:rPr>
      </w:pPr>
    </w:p>
    <w:p>
      <w:pPr>
        <w:jc w:val="both"/>
        <w:ind w:right="620" w:firstLine="800"/>
        <w:spacing w:after="0" w:line="292"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Directors and Officers</w:t>
      </w:r>
      <w:r>
        <w:rPr>
          <w:rFonts w:ascii="Arial" w:cs="Arial" w:eastAsia="Arial" w:hAnsi="Arial"/>
          <w:sz w:val="18"/>
          <w:szCs w:val="18"/>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181" w:lineRule="exact"/>
        <w:rPr>
          <w:sz w:val="20"/>
          <w:szCs w:val="20"/>
          <w:color w:val="auto"/>
        </w:rPr>
      </w:pPr>
    </w:p>
    <w:p>
      <w:pPr>
        <w:ind w:right="200" w:firstLine="800"/>
        <w:spacing w:after="0" w:line="265" w:lineRule="auto"/>
        <w:rPr>
          <w:sz w:val="20"/>
          <w:szCs w:val="20"/>
          <w:color w:val="auto"/>
        </w:rPr>
      </w:pPr>
      <w:r>
        <w:rPr>
          <w:rFonts w:ascii="Arial" w:cs="Arial" w:eastAsia="Arial" w:hAnsi="Arial"/>
          <w:sz w:val="20"/>
          <w:szCs w:val="20"/>
          <w:color w:val="auto"/>
        </w:rPr>
        <w:t>Subject to Section 11.05, except (a) as disclosed in (i) the Company SEC Documents (as defined below) filed or furnished by the Company with the SEC since January 1, 2013 and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A-18</w:t>
      </w:r>
    </w:p>
    <w:p>
      <w:pPr>
        <w:sectPr>
          <w:pgSz w:w="11900" w:h="16838" w:orient="portrait"/>
          <w:cols w:equalWidth="0" w:num="1">
            <w:col w:w="11420"/>
          </w:cols>
          <w:pgMar w:left="240" w:top="439" w:right="23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before the date of this Agreement or (ii) the Company 10-K (together, the “</w:t>
      </w:r>
      <w:r>
        <w:rPr>
          <w:rFonts w:ascii="Arial" w:cs="Arial" w:eastAsia="Arial" w:hAnsi="Arial"/>
          <w:sz w:val="18"/>
          <w:szCs w:val="18"/>
          <w:b w:val="1"/>
          <w:bCs w:val="1"/>
          <w:color w:val="auto"/>
        </w:rPr>
        <w:t>Specified Company SEC Documents</w:t>
      </w:r>
      <w:r>
        <w:rPr>
          <w:rFonts w:ascii="Arial" w:cs="Arial" w:eastAsia="Arial" w:hAnsi="Arial"/>
          <w:sz w:val="18"/>
          <w:szCs w:val="18"/>
          <w:color w:val="auto"/>
        </w:rPr>
        <w:t>”) or (b) as set forth in the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Schedule, the Company represents and warrants to Parent that:</w:t>
      </w:r>
    </w:p>
    <w:p>
      <w:pPr>
        <w:spacing w:after="0" w:line="181" w:lineRule="exact"/>
        <w:rPr>
          <w:sz w:val="20"/>
          <w:szCs w:val="20"/>
          <w:color w:val="auto"/>
        </w:rPr>
      </w:pPr>
    </w:p>
    <w:p>
      <w:pPr>
        <w:ind w:right="80" w:firstLine="800"/>
        <w:spacing w:after="0" w:line="25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Corporate Existence and Power</w:t>
      </w:r>
      <w:r>
        <w:rPr>
          <w:rFonts w:ascii="Arial" w:cs="Arial" w:eastAsia="Arial" w:hAnsi="Arial"/>
          <w:sz w:val="19"/>
          <w:szCs w:val="19"/>
          <w:color w:val="auto"/>
        </w:rPr>
        <w:t>. The Company is a corporation duly incorporated, validly existing and in good standing under the laws of the State of Delaware and has all corporate powers and all Governmental 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61" w:lineRule="exact"/>
        <w:rPr>
          <w:sz w:val="20"/>
          <w:szCs w:val="20"/>
          <w:color w:val="auto"/>
        </w:rPr>
      </w:pPr>
    </w:p>
    <w:p>
      <w:pPr>
        <w:ind w:right="100" w:firstLine="800"/>
        <w:spacing w:after="0" w:line="254"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Corporate Authorization</w:t>
      </w:r>
      <w:r>
        <w:rPr>
          <w:rFonts w:ascii="Arial" w:cs="Arial" w:eastAsia="Arial" w:hAnsi="Arial"/>
          <w:sz w:val="19"/>
          <w:szCs w:val="19"/>
          <w:color w:val="auto"/>
        </w:rPr>
        <w:t>. (a) The execution, delivery and performance by the Company of this Agreement and the Voting Agreement and the consummation by the Company of the transactions contemplated hereby and thereby are within the Company’s corporate powers and, except for the required approval of the Company’s stockholders in connection with the consummation of the Merger, have been duly authorized by all necessary corporate action on the part of the Company. The affirmative vote of the holders of a majority of the outstanding shares of Company Stock (the “</w:t>
      </w:r>
      <w:r>
        <w:rPr>
          <w:rFonts w:ascii="Arial" w:cs="Arial" w:eastAsia="Arial" w:hAnsi="Arial"/>
          <w:sz w:val="19"/>
          <w:szCs w:val="19"/>
          <w:b w:val="1"/>
          <w:bCs w:val="1"/>
          <w:color w:val="auto"/>
        </w:rPr>
        <w:t>Company Stockholder Approval</w:t>
      </w:r>
      <w:r>
        <w:rPr>
          <w:rFonts w:ascii="Arial" w:cs="Arial" w:eastAsia="Arial" w:hAnsi="Arial"/>
          <w:sz w:val="19"/>
          <w:szCs w:val="19"/>
          <w:color w:val="auto"/>
        </w:rPr>
        <w:t>”) is the only vote of the holders of any of the Company’s capital stock necessary in connection with the consummation of the Merger. This Agreement, assuming due 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160" w:lineRule="exact"/>
        <w:rPr>
          <w:sz w:val="20"/>
          <w:szCs w:val="20"/>
          <w:color w:val="auto"/>
        </w:rPr>
      </w:pPr>
    </w:p>
    <w:p>
      <w:pPr>
        <w:ind w:left="2240" w:hanging="525"/>
        <w:spacing w:after="0"/>
        <w:tabs>
          <w:tab w:leader="none" w:pos="224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At a meeting duly called and held, as of the date of this Agreement, the Company’s Board of Directors has</w:t>
      </w:r>
    </w:p>
    <w:p>
      <w:pPr>
        <w:spacing w:after="0" w:line="26" w:lineRule="exact"/>
        <w:rPr>
          <w:rFonts w:ascii="Arial" w:cs="Arial" w:eastAsia="Arial" w:hAnsi="Arial"/>
          <w:sz w:val="19"/>
          <w:szCs w:val="19"/>
          <w:color w:val="auto"/>
        </w:rPr>
      </w:pPr>
    </w:p>
    <w:p>
      <w:pPr>
        <w:ind w:firstLine="1"/>
        <w:spacing w:after="0"/>
        <w:tabs>
          <w:tab w:leader="none" w:pos="241" w:val="left"/>
        </w:tabs>
        <w:numPr>
          <w:ilvl w:val="0"/>
          <w:numId w:val="242"/>
        </w:numPr>
        <w:rPr>
          <w:rFonts w:ascii="Arial" w:cs="Arial" w:eastAsia="Arial" w:hAnsi="Arial"/>
          <w:sz w:val="20"/>
          <w:szCs w:val="20"/>
          <w:color w:val="auto"/>
        </w:rPr>
      </w:pPr>
      <w:r>
        <w:rPr>
          <w:rFonts w:ascii="Arial" w:cs="Arial" w:eastAsia="Arial" w:hAnsi="Arial"/>
          <w:sz w:val="20"/>
          <w:szCs w:val="20"/>
          <w:color w:val="auto"/>
        </w:rPr>
        <w:t>unanimously determined that this Agreement and the Voting Agreement and the transactions contemplated hereby and thereby are fair to and in the best interests of the Company’s stockholders, (ii) 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20"/>
          <w:szCs w:val="20"/>
          <w:b w:val="1"/>
          <w:bCs w:val="1"/>
          <w:color w:val="auto"/>
        </w:rPr>
        <w:t>Company Board Recommendation</w:t>
      </w:r>
      <w:r>
        <w:rPr>
          <w:rFonts w:ascii="Arial" w:cs="Arial" w:eastAsia="Arial" w:hAnsi="Arial"/>
          <w:sz w:val="20"/>
          <w:szCs w:val="20"/>
          <w:color w:val="auto"/>
        </w:rPr>
        <w:t>”).</w:t>
      </w:r>
    </w:p>
    <w:p>
      <w:pPr>
        <w:spacing w:after="0" w:line="172" w:lineRule="exact"/>
        <w:rPr>
          <w:sz w:val="20"/>
          <w:szCs w:val="20"/>
          <w:color w:val="auto"/>
        </w:rPr>
      </w:pPr>
    </w:p>
    <w:p>
      <w:pPr>
        <w:ind w:right="140" w:firstLine="800"/>
        <w:spacing w:after="0" w:line="251"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i w:val="1"/>
          <w:iCs w:val="1"/>
          <w:color w:val="auto"/>
        </w:rPr>
        <w:t>Governmental Authorization</w:t>
      </w:r>
      <w:r>
        <w:rPr>
          <w:rFonts w:ascii="Arial" w:cs="Arial" w:eastAsia="Arial" w:hAnsi="Arial"/>
          <w:sz w:val="20"/>
          <w:szCs w:val="20"/>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A-19</w:t>
      </w:r>
    </w:p>
    <w:p>
      <w:pPr>
        <w:sectPr>
          <w:pgSz w:w="11900" w:h="16838" w:orient="portrait"/>
          <w:cols w:equalWidth="0" w:num="1">
            <w:col w:w="11420"/>
          </w:cols>
          <w:pgMar w:left="240" w:top="439" w:right="23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 (vii) compliance with any applicable requirements of the New York Stock Exchange (the “</w:t>
      </w:r>
      <w:r>
        <w:rPr>
          <w:rFonts w:ascii="Arial" w:cs="Arial" w:eastAsia="Arial" w:hAnsi="Arial"/>
          <w:sz w:val="19"/>
          <w:szCs w:val="19"/>
          <w:b w:val="1"/>
          <w:bCs w:val="1"/>
          <w:color w:val="auto"/>
        </w:rPr>
        <w:t>NYSE</w:t>
      </w:r>
      <w:r>
        <w:rPr>
          <w:rFonts w:ascii="Arial" w:cs="Arial" w:eastAsia="Arial" w:hAnsi="Arial"/>
          <w:sz w:val="19"/>
          <w:szCs w:val="19"/>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64" w:lineRule="exact"/>
        <w:rPr>
          <w:sz w:val="20"/>
          <w:szCs w:val="20"/>
          <w:color w:val="auto"/>
        </w:rPr>
      </w:pPr>
    </w:p>
    <w:p>
      <w:pPr>
        <w:ind w:right="20" w:firstLine="800"/>
        <w:spacing w:after="0" w:line="268"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w:t>
      </w:r>
    </w:p>
    <w:p>
      <w:pPr>
        <w:spacing w:after="0" w:line="2" w:lineRule="exact"/>
        <w:rPr>
          <w:sz w:val="20"/>
          <w:szCs w:val="20"/>
          <w:color w:val="auto"/>
        </w:rPr>
      </w:pPr>
    </w:p>
    <w:p>
      <w:pPr>
        <w:ind w:firstLine="1"/>
        <w:spacing w:after="0" w:line="238" w:lineRule="auto"/>
        <w:tabs>
          <w:tab w:leader="none" w:pos="35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74" w:lineRule="exact"/>
        <w:rPr>
          <w:sz w:val="20"/>
          <w:szCs w:val="20"/>
          <w:color w:val="auto"/>
        </w:rPr>
      </w:pPr>
    </w:p>
    <w:p>
      <w:pPr>
        <w:ind w:right="20" w:firstLine="800"/>
        <w:spacing w:after="0" w:line="259"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i w:val="1"/>
          <w:iCs w:val="1"/>
          <w:color w:val="auto"/>
        </w:rPr>
        <w:t>Capitalization</w:t>
      </w:r>
      <w:r>
        <w:rPr>
          <w:rFonts w:ascii="Arial" w:cs="Arial" w:eastAsia="Arial" w:hAnsi="Arial"/>
          <w:sz w:val="19"/>
          <w:szCs w:val="19"/>
          <w:color w:val="auto"/>
        </w:rPr>
        <w:t>. (a) The authorized capital stock of the Company consists of 8,333,333,333 shares of Company Stock and 1,000,000,000 shares of preferred stock, par value $0.01, of the Company. As of February 10, 2014, there were outstanding</w:t>
      </w:r>
    </w:p>
    <w:p>
      <w:pPr>
        <w:ind w:right="120" w:firstLine="1"/>
        <w:spacing w:after="0" w:line="239" w:lineRule="auto"/>
        <w:tabs>
          <w:tab w:leader="none" w:pos="331" w:val="left"/>
        </w:tabs>
        <w:numPr>
          <w:ilvl w:val="0"/>
          <w:numId w:val="244"/>
        </w:numPr>
        <w:rPr>
          <w:rFonts w:ascii="Arial" w:cs="Arial" w:eastAsia="Arial" w:hAnsi="Arial"/>
          <w:sz w:val="20"/>
          <w:szCs w:val="20"/>
          <w:color w:val="auto"/>
        </w:rPr>
      </w:pPr>
      <w:r>
        <w:rPr>
          <w:rFonts w:ascii="Arial" w:cs="Arial" w:eastAsia="Arial" w:hAnsi="Arial"/>
          <w:sz w:val="20"/>
          <w:szCs w:val="20"/>
          <w:color w:val="auto"/>
        </w:rPr>
        <w:t>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A-20</w:t>
      </w:r>
    </w:p>
    <w:p>
      <w:pPr>
        <w:sectPr>
          <w:pgSz w:w="11900" w:h="16838" w:orient="portrait"/>
          <w:cols w:equalWidth="0" w:num="1">
            <w:col w:w="11420"/>
          </w:cols>
          <w:pgMar w:left="240" w:top="439" w:right="23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auto"/>
        </w:rPr>
        <w:t>respective terms thereof, duly authorized and validly issued, fully paid and nonassessable and free of preemptive rights. No Subsidiary of the Company owns any shares of capital stock of the Company or any Company Securities.</w:t>
      </w:r>
    </w:p>
    <w:p>
      <w:pPr>
        <w:spacing w:after="0" w:line="148" w:lineRule="exact"/>
        <w:rPr>
          <w:sz w:val="20"/>
          <w:szCs w:val="20"/>
          <w:color w:val="auto"/>
        </w:rPr>
      </w:pPr>
    </w:p>
    <w:p>
      <w:pPr>
        <w:ind w:right="60" w:firstLine="1715"/>
        <w:spacing w:after="0" w:line="267" w:lineRule="auto"/>
        <w:tabs>
          <w:tab w:leader="none" w:pos="224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w:t>
      </w:r>
    </w:p>
    <w:p>
      <w:pPr>
        <w:spacing w:after="0" w:line="1" w:lineRule="exact"/>
        <w:rPr>
          <w:rFonts w:ascii="Arial" w:cs="Arial" w:eastAsia="Arial" w:hAnsi="Arial"/>
          <w:sz w:val="18"/>
          <w:szCs w:val="18"/>
          <w:color w:val="auto"/>
        </w:rPr>
      </w:pPr>
    </w:p>
    <w:p>
      <w:pPr>
        <w:ind w:firstLine="1"/>
        <w:spacing w:after="0" w:line="251" w:lineRule="auto"/>
        <w:tabs>
          <w:tab w:leader="none" w:pos="297" w:val="left"/>
        </w:tabs>
        <w:numPr>
          <w:ilvl w:val="0"/>
          <w:numId w:val="246"/>
        </w:numPr>
        <w:rPr>
          <w:rFonts w:ascii="Arial" w:cs="Arial" w:eastAsia="Arial" w:hAnsi="Arial"/>
          <w:sz w:val="19"/>
          <w:szCs w:val="19"/>
          <w:color w:val="auto"/>
        </w:rPr>
      </w:pPr>
      <w:r>
        <w:rPr>
          <w:rFonts w:ascii="Arial" w:cs="Arial" w:eastAsia="Arial" w:hAnsi="Arial"/>
          <w:sz w:val="19"/>
          <w:szCs w:val="19"/>
          <w:color w:val="auto"/>
        </w:rPr>
        <w:t>securities of the Company convertible into or exchangeable for shares of capital stock or other voting securities of or other ownership interests in the Company, (iii) 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9"/>
          <w:szCs w:val="19"/>
          <w:b w:val="1"/>
          <w:bCs w:val="1"/>
          <w:color w:val="auto"/>
        </w:rPr>
        <w:t>phantom</w:t>
      </w:r>
      <w:r>
        <w:rPr>
          <w:rFonts w:ascii="Arial" w:cs="Arial" w:eastAsia="Arial" w:hAnsi="Arial"/>
          <w:sz w:val="19"/>
          <w:szCs w:val="19"/>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9"/>
          <w:szCs w:val="19"/>
          <w:b w:val="1"/>
          <w:bCs w:val="1"/>
          <w:color w:val="auto"/>
        </w:rPr>
        <w:t>Company Securities</w:t>
      </w:r>
      <w:r>
        <w:rPr>
          <w:rFonts w:ascii="Arial" w:cs="Arial" w:eastAsia="Arial" w:hAnsi="Arial"/>
          <w:sz w:val="19"/>
          <w:szCs w:val="19"/>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i w:val="1"/>
          <w:iCs w:val="1"/>
          <w:color w:val="auto"/>
        </w:rPr>
        <w:t>Subsidiaries</w:t>
      </w:r>
      <w:r>
        <w:rPr>
          <w:rFonts w:ascii="Arial" w:cs="Arial" w:eastAsia="Arial" w:hAnsi="Arial"/>
          <w:sz w:val="19"/>
          <w:szCs w:val="19"/>
          <w:color w:val="auto"/>
        </w:rPr>
        <w:t>.  (a) Each Subsidiary of the Company is an entity duly incorporated or otherwise duly organized,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validly existing and (where applicable) in good standing under the laws of its jurisdiction of incorporation or organization, except where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failure to be so incorporated, organized, existing or in good standing would not reasonably be expected to have, individually or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a Company Material Adverse Effect. Each Subsidiary of the Company has all corporate, limited liability company or comparable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powers and all Governmental Authorizations required to carry on its business as now conducted, except for those powers or Governmental</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Authorizations the absence of which would not reasonably be expected to have, individually or in the aggregate, a Company Material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Each such Subsidiary is duly qualified to do business as a foreign entity and is in good standing in each jurisdiction where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such qualification is necessary, except for those jurisdictions where failure to be so qualified would not reasonably be expected to have,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individually or in the aggregate, a Company Material Adverse Effect. Section 4.06(a) of the Company Disclosure Schedule identifies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subsidiaries</w:t>
      </w:r>
      <w:r>
        <w:rPr>
          <w:rFonts w:ascii="Arial" w:cs="Arial" w:eastAsia="Arial" w:hAnsi="Arial"/>
          <w:sz w:val="18"/>
          <w:szCs w:val="18"/>
          <w:color w:val="auto"/>
        </w:rPr>
        <w:t>” (as defined under Rule 1-02(w) of Regulation S-X promulgated pursuant to the 1934 Act) (each, a “</w:t>
      </w:r>
      <w:r>
        <w:rPr>
          <w:rFonts w:ascii="Arial" w:cs="Arial" w:eastAsia="Arial" w:hAnsi="Arial"/>
          <w:sz w:val="18"/>
          <w:szCs w:val="18"/>
          <w:b w:val="1"/>
          <w:bCs w:val="1"/>
          <w:color w:val="auto"/>
        </w:rPr>
        <w:t>Significant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w:t>
      </w:r>
      <w:r>
        <w:rPr>
          <w:rFonts w:ascii="Arial" w:cs="Arial" w:eastAsia="Arial" w:hAnsi="Arial"/>
          <w:sz w:val="20"/>
          <w:szCs w:val="20"/>
          <w:color w:val="auto"/>
        </w:rPr>
        <w:t>”) of the Company and their respective jurisdictions of organization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A-21</w:t>
      </w:r>
    </w:p>
    <w:p>
      <w:pPr>
        <w:sectPr>
          <w:pgSz w:w="11900" w:h="16838" w:orient="portrait"/>
          <w:cols w:equalWidth="0" w:num="1">
            <w:col w:w="11420"/>
          </w:cols>
          <w:pgMar w:left="240" w:top="439" w:right="23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7" w:lineRule="auto"/>
        <w:tabs>
          <w:tab w:leader="none" w:pos="224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w:t>
      </w:r>
    </w:p>
    <w:p>
      <w:pPr>
        <w:spacing w:after="0" w:line="1" w:lineRule="exact"/>
        <w:rPr>
          <w:rFonts w:ascii="Arial" w:cs="Arial" w:eastAsia="Arial" w:hAnsi="Arial"/>
          <w:sz w:val="18"/>
          <w:szCs w:val="18"/>
          <w:color w:val="auto"/>
        </w:rPr>
      </w:pPr>
    </w:p>
    <w:p>
      <w:pPr>
        <w:ind w:firstLine="1"/>
        <w:spacing w:after="0" w:line="238" w:lineRule="auto"/>
        <w:tabs>
          <w:tab w:leader="none" w:pos="29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 (i) through (iii) being referred to collectively as the “</w:t>
      </w:r>
      <w:r>
        <w:rPr>
          <w:rFonts w:ascii="Arial" w:cs="Arial" w:eastAsia="Arial" w:hAnsi="Arial"/>
          <w:sz w:val="20"/>
          <w:szCs w:val="20"/>
          <w:b w:val="1"/>
          <w:bCs w:val="1"/>
          <w:color w:val="auto"/>
        </w:rPr>
        <w:t>Company Subsidiary Securities</w:t>
      </w:r>
      <w:r>
        <w:rPr>
          <w:rFonts w:ascii="Arial" w:cs="Arial" w:eastAsia="Arial" w:hAnsi="Arial"/>
          <w:sz w:val="20"/>
          <w:szCs w:val="20"/>
          <w:color w:val="auto"/>
        </w:rPr>
        <w:t>”). There are no outstanding obligations of the Company or any of its Subsidiaries to repurchase, redeem or otherwise acquire any of the Company Subsidiary Securities.</w:t>
      </w:r>
    </w:p>
    <w:p>
      <w:pPr>
        <w:spacing w:after="0" w:line="174" w:lineRule="exact"/>
        <w:rPr>
          <w:rFonts w:ascii="Arial" w:cs="Arial" w:eastAsia="Arial" w:hAnsi="Arial"/>
          <w:sz w:val="20"/>
          <w:szCs w:val="20"/>
          <w:color w:val="auto"/>
        </w:rPr>
      </w:pPr>
    </w:p>
    <w:p>
      <w:pPr>
        <w:ind w:firstLine="1715"/>
        <w:spacing w:after="0" w:line="270" w:lineRule="auto"/>
        <w:tabs>
          <w:tab w:leader="none" w:pos="224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8"/>
          <w:szCs w:val="18"/>
          <w:b w:val="1"/>
          <w:bCs w:val="1"/>
          <w:color w:val="auto"/>
        </w:rPr>
        <w:t>Company Investment</w:t>
      </w:r>
      <w:r>
        <w:rPr>
          <w:rFonts w:ascii="Arial" w:cs="Arial" w:eastAsia="Arial" w:hAnsi="Arial"/>
          <w:sz w:val="18"/>
          <w:szCs w:val="18"/>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49" w:lineRule="exact"/>
        <w:rPr>
          <w:sz w:val="20"/>
          <w:szCs w:val="20"/>
          <w:color w:val="auto"/>
        </w:rPr>
      </w:pPr>
    </w:p>
    <w:p>
      <w:pPr>
        <w:ind w:right="420" w:firstLine="800"/>
        <w:spacing w:after="0" w:line="244"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i w:val="1"/>
          <w:iCs w:val="1"/>
          <w:color w:val="auto"/>
        </w:rPr>
        <w:t>SEC Filings and the Sarbanes-Oxley Act</w:t>
      </w:r>
      <w:r>
        <w:rPr>
          <w:rFonts w:ascii="Arial" w:cs="Arial" w:eastAsia="Arial" w:hAnsi="Arial"/>
          <w:sz w:val="20"/>
          <w:szCs w:val="20"/>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20"/>
          <w:szCs w:val="20"/>
          <w:b w:val="1"/>
          <w:bCs w:val="1"/>
          <w:color w:val="auto"/>
        </w:rPr>
        <w:t>Company SEC</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Documents</w:t>
      </w:r>
      <w:r>
        <w:rPr>
          <w:rFonts w:ascii="Arial" w:cs="Arial" w:eastAsia="Arial" w:hAnsi="Arial"/>
          <w:sz w:val="20"/>
          <w:szCs w:val="20"/>
          <w:color w:val="auto"/>
        </w:rPr>
        <w:t>”).</w:t>
      </w:r>
    </w:p>
    <w:p>
      <w:pPr>
        <w:spacing w:after="0" w:line="168" w:lineRule="exact"/>
        <w:rPr>
          <w:sz w:val="20"/>
          <w:szCs w:val="20"/>
          <w:color w:val="auto"/>
        </w:rPr>
      </w:pPr>
    </w:p>
    <w:p>
      <w:pPr>
        <w:ind w:right="540" w:firstLine="1715"/>
        <w:spacing w:after="0" w:line="265" w:lineRule="auto"/>
        <w:tabs>
          <w:tab w:leader="none" w:pos="2241"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As of its filing date (or as of the date of any amendment filed prior to the date hereof), each Company SEC Document complied, and each Company SEC Document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A-22</w:t>
      </w:r>
    </w:p>
    <w:p>
      <w:pPr>
        <w:sectPr>
          <w:pgSz w:w="11900" w:h="16838" w:orient="portrait"/>
          <w:cols w:equalWidth="0" w:num="1">
            <w:col w:w="11420"/>
          </w:cols>
          <w:pgMar w:left="240" w:top="439" w:right="23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auto"/>
        </w:rPr>
        <w:t>filed subsequent to the date hereof will comply, as to form in all material respects with the applicable requirements of the 1933 Act and the 1934 Act and the Sarbanes-Oxley Act, as the case may be.</w:t>
      </w:r>
    </w:p>
    <w:p>
      <w:pPr>
        <w:spacing w:after="0" w:line="148" w:lineRule="exact"/>
        <w:rPr>
          <w:sz w:val="20"/>
          <w:szCs w:val="20"/>
          <w:color w:val="auto"/>
        </w:rPr>
      </w:pPr>
    </w:p>
    <w:p>
      <w:pPr>
        <w:ind w:right="120" w:firstLine="1715"/>
        <w:spacing w:after="0" w:line="244" w:lineRule="auto"/>
        <w:tabs>
          <w:tab w:leader="none" w:pos="2229"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67" w:lineRule="exact"/>
        <w:rPr>
          <w:rFonts w:ascii="Arial" w:cs="Arial" w:eastAsia="Arial" w:hAnsi="Arial"/>
          <w:sz w:val="20"/>
          <w:szCs w:val="20"/>
          <w:color w:val="auto"/>
        </w:rPr>
      </w:pPr>
    </w:p>
    <w:p>
      <w:pPr>
        <w:ind w:firstLine="1715"/>
        <w:spacing w:after="0" w:line="246" w:lineRule="auto"/>
        <w:tabs>
          <w:tab w:leader="none" w:pos="2252" w:val="left"/>
        </w:tabs>
        <w:numPr>
          <w:ilvl w:val="0"/>
          <w:numId w:val="250"/>
        </w:numPr>
        <w:rPr>
          <w:rFonts w:ascii="Arial" w:cs="Arial" w:eastAsia="Arial" w:hAnsi="Arial"/>
          <w:sz w:val="20"/>
          <w:szCs w:val="20"/>
          <w:color w:val="auto"/>
        </w:rPr>
      </w:pPr>
      <w:r>
        <w:rPr>
          <w:rFonts w:ascii="Arial" w:cs="Arial" w:eastAsia="Arial" w:hAnsi="Arial"/>
          <w:sz w:val="20"/>
          <w:szCs w:val="20"/>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66" w:lineRule="exact"/>
        <w:rPr>
          <w:rFonts w:ascii="Arial" w:cs="Arial" w:eastAsia="Arial" w:hAnsi="Arial"/>
          <w:sz w:val="20"/>
          <w:szCs w:val="20"/>
          <w:color w:val="auto"/>
        </w:rPr>
      </w:pPr>
    </w:p>
    <w:p>
      <w:pPr>
        <w:jc w:val="both"/>
        <w:ind w:right="400" w:firstLine="1715"/>
        <w:spacing w:after="0" w:line="268" w:lineRule="auto"/>
        <w:tabs>
          <w:tab w:leader="none" w:pos="22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w:t>
      </w:r>
    </w:p>
    <w:p>
      <w:pPr>
        <w:spacing w:after="0" w:line="1" w:lineRule="exact"/>
        <w:rPr>
          <w:rFonts w:ascii="Arial" w:cs="Arial" w:eastAsia="Arial" w:hAnsi="Arial"/>
          <w:sz w:val="18"/>
          <w:szCs w:val="18"/>
          <w:color w:val="auto"/>
        </w:rPr>
      </w:pPr>
    </w:p>
    <w:p>
      <w:pPr>
        <w:ind w:right="160"/>
        <w:spacing w:after="0"/>
        <w:rPr>
          <w:rFonts w:ascii="Arial" w:cs="Arial" w:eastAsia="Arial" w:hAnsi="Arial"/>
          <w:sz w:val="18"/>
          <w:szCs w:val="18"/>
          <w:color w:val="auto"/>
        </w:rPr>
      </w:pPr>
      <w:r>
        <w:rPr>
          <w:rFonts w:ascii="Arial" w:cs="Arial" w:eastAsia="Arial" w:hAnsi="Arial"/>
          <w:sz w:val="20"/>
          <w:szCs w:val="20"/>
          <w:color w:val="auto"/>
        </w:rPr>
        <w:t>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20"/>
          <w:szCs w:val="20"/>
          <w:b w:val="1"/>
          <w:bCs w:val="1"/>
          <w:color w:val="auto"/>
        </w:rPr>
        <w:t>principal executive officer</w:t>
      </w:r>
      <w:r>
        <w:rPr>
          <w:rFonts w:ascii="Arial" w:cs="Arial" w:eastAsia="Arial" w:hAnsi="Arial"/>
          <w:sz w:val="20"/>
          <w:szCs w:val="20"/>
          <w:color w:val="auto"/>
        </w:rPr>
        <w:t>” and “</w:t>
      </w:r>
      <w:r>
        <w:rPr>
          <w:rFonts w:ascii="Arial" w:cs="Arial" w:eastAsia="Arial" w:hAnsi="Arial"/>
          <w:sz w:val="20"/>
          <w:szCs w:val="20"/>
          <w:b w:val="1"/>
          <w:bCs w:val="1"/>
          <w:color w:val="auto"/>
        </w:rPr>
        <w:t>principal financial officer</w:t>
      </w:r>
      <w:r>
        <w:rPr>
          <w:rFonts w:ascii="Arial" w:cs="Arial" w:eastAsia="Arial" w:hAnsi="Arial"/>
          <w:sz w:val="20"/>
          <w:szCs w:val="20"/>
          <w:color w:val="auto"/>
        </w:rPr>
        <w:t>” shall have the meanings given to such terms in the Sarbanes-Oxley Act.</w:t>
      </w:r>
    </w:p>
    <w:p>
      <w:pPr>
        <w:spacing w:after="0" w:line="171" w:lineRule="exact"/>
        <w:rPr>
          <w:rFonts w:ascii="Arial" w:cs="Arial" w:eastAsia="Arial" w:hAnsi="Arial"/>
          <w:sz w:val="18"/>
          <w:szCs w:val="18"/>
          <w:color w:val="auto"/>
        </w:rPr>
      </w:pPr>
    </w:p>
    <w:p>
      <w:pPr>
        <w:ind w:right="100" w:firstLine="1715"/>
        <w:spacing w:after="0" w:line="254" w:lineRule="auto"/>
        <w:tabs>
          <w:tab w:leader="none" w:pos="2215"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and maintained a system of internal controls over financial reporting (as defined in Rule 13a-15 under the 1934 Act) (“</w:t>
      </w:r>
      <w:r>
        <w:rPr>
          <w:rFonts w:ascii="Arial" w:cs="Arial" w:eastAsia="Arial" w:hAnsi="Arial"/>
          <w:sz w:val="19"/>
          <w:szCs w:val="19"/>
          <w:b w:val="1"/>
          <w:bCs w:val="1"/>
          <w:color w:val="auto"/>
        </w:rPr>
        <w:t>internal controls</w:t>
      </w:r>
      <w:r>
        <w:rPr>
          <w:rFonts w:ascii="Arial" w:cs="Arial" w:eastAsia="Arial" w:hAnsi="Arial"/>
          <w:sz w:val="19"/>
          <w:szCs w:val="19"/>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63" w:lineRule="exact"/>
        <w:rPr>
          <w:rFonts w:ascii="Arial" w:cs="Arial" w:eastAsia="Arial" w:hAnsi="Arial"/>
          <w:sz w:val="19"/>
          <w:szCs w:val="19"/>
          <w:color w:val="auto"/>
        </w:rPr>
      </w:pPr>
    </w:p>
    <w:p>
      <w:pPr>
        <w:ind w:right="60" w:firstLine="1715"/>
        <w:spacing w:after="0" w:line="265" w:lineRule="auto"/>
        <w:tabs>
          <w:tab w:leader="none" w:pos="2252" w:val="left"/>
        </w:tabs>
        <w:numPr>
          <w:ilvl w:val="0"/>
          <w:numId w:val="250"/>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extended or maintained credit, arranged for the extension of credit, or renewed an extension of credit, in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A-23</w:t>
      </w:r>
    </w:p>
    <w:p>
      <w:pPr>
        <w:sectPr>
          <w:pgSz w:w="11900" w:h="16838" w:orient="portrait"/>
          <w:cols w:equalWidth="0" w:num="1">
            <w:col w:w="11420"/>
          </w:cols>
          <w:pgMar w:left="240" w:top="439" w:right="23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60"/>
        <w:spacing w:after="0" w:line="265" w:lineRule="auto"/>
        <w:rPr>
          <w:sz w:val="20"/>
          <w:szCs w:val="20"/>
          <w:color w:val="auto"/>
        </w:rPr>
      </w:pPr>
      <w:r>
        <w:rPr>
          <w:rFonts w:ascii="Arial" w:cs="Arial" w:eastAsia="Arial" w:hAnsi="Arial"/>
          <w:sz w:val="20"/>
          <w:szCs w:val="20"/>
          <w:color w:val="auto"/>
        </w:rPr>
        <w:t>the form of a personal loan to or for any executive officer (as defined in Rule 3b-7 under the 1934 Act) or director of the Company in violation of Section 402 of the Sarbanes-Oxley Act.</w:t>
      </w:r>
    </w:p>
    <w:p>
      <w:pPr>
        <w:spacing w:after="0" w:line="148" w:lineRule="exact"/>
        <w:rPr>
          <w:sz w:val="20"/>
          <w:szCs w:val="20"/>
          <w:color w:val="auto"/>
        </w:rPr>
      </w:pPr>
    </w:p>
    <w:p>
      <w:pPr>
        <w:ind w:right="360" w:firstLine="1715"/>
        <w:spacing w:after="0" w:line="322" w:lineRule="auto"/>
        <w:tabs>
          <w:tab w:leader="none" w:pos="224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00" w:lineRule="exact"/>
        <w:rPr>
          <w:rFonts w:ascii="Arial" w:cs="Arial" w:eastAsia="Arial" w:hAnsi="Arial"/>
          <w:sz w:val="18"/>
          <w:szCs w:val="18"/>
          <w:color w:val="auto"/>
        </w:rPr>
      </w:pPr>
    </w:p>
    <w:p>
      <w:pPr>
        <w:ind w:firstLine="1715"/>
        <w:spacing w:after="0" w:line="263" w:lineRule="auto"/>
        <w:tabs>
          <w:tab w:leader="none" w:pos="2207" w:val="left"/>
        </w:tabs>
        <w:numPr>
          <w:ilvl w:val="0"/>
          <w:numId w:val="251"/>
        </w:numPr>
        <w:rPr>
          <w:rFonts w:ascii="Arial" w:cs="Arial" w:eastAsia="Arial" w:hAnsi="Arial"/>
          <w:sz w:val="19"/>
          <w:szCs w:val="19"/>
          <w:color w:val="auto"/>
        </w:rPr>
      </w:pPr>
      <w:r>
        <w:rPr>
          <w:rFonts w:ascii="Arial" w:cs="Arial" w:eastAsia="Arial" w:hAnsi="Arial"/>
          <w:sz w:val="19"/>
          <w:szCs w:val="19"/>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52" w:lineRule="exact"/>
        <w:rPr>
          <w:rFonts w:ascii="Arial" w:cs="Arial" w:eastAsia="Arial" w:hAnsi="Arial"/>
          <w:sz w:val="19"/>
          <w:szCs w:val="19"/>
          <w:color w:val="auto"/>
        </w:rPr>
      </w:pPr>
    </w:p>
    <w:p>
      <w:pPr>
        <w:ind w:right="240" w:firstLine="1715"/>
        <w:spacing w:after="0" w:line="270" w:lineRule="auto"/>
        <w:tabs>
          <w:tab w:leader="none" w:pos="2203"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45" w:lineRule="exact"/>
        <w:rPr>
          <w:rFonts w:ascii="Arial" w:cs="Arial" w:eastAsia="Arial" w:hAnsi="Arial"/>
          <w:sz w:val="19"/>
          <w:szCs w:val="19"/>
          <w:color w:val="auto"/>
        </w:rPr>
      </w:pPr>
    </w:p>
    <w:p>
      <w:pPr>
        <w:ind w:right="60" w:firstLine="1715"/>
        <w:spacing w:after="0" w:line="260" w:lineRule="auto"/>
        <w:tabs>
          <w:tab w:leader="none" w:pos="2252" w:val="left"/>
        </w:tabs>
        <w:numPr>
          <w:ilvl w:val="0"/>
          <w:numId w:val="251"/>
        </w:numPr>
        <w:rPr>
          <w:rFonts w:ascii="Arial" w:cs="Arial" w:eastAsia="Arial" w:hAnsi="Arial"/>
          <w:sz w:val="19"/>
          <w:szCs w:val="19"/>
          <w:color w:val="auto"/>
        </w:rPr>
      </w:pPr>
      <w:r>
        <w:rPr>
          <w:rFonts w:ascii="Arial" w:cs="Arial" w:eastAsia="Arial" w:hAnsi="Arial"/>
          <w:sz w:val="19"/>
          <w:szCs w:val="19"/>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53" w:lineRule="exact"/>
        <w:rPr>
          <w:rFonts w:ascii="Arial" w:cs="Arial" w:eastAsia="Arial" w:hAnsi="Arial"/>
          <w:sz w:val="19"/>
          <w:szCs w:val="19"/>
          <w:color w:val="auto"/>
        </w:rPr>
      </w:pPr>
    </w:p>
    <w:p>
      <w:pPr>
        <w:ind w:right="300" w:firstLine="1715"/>
        <w:spacing w:after="0" w:line="265" w:lineRule="auto"/>
        <w:tabs>
          <w:tab w:leader="none" w:pos="2203"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Company’s annual report on Form 10-K for the fiscal year ended December 31, 2013, when filed with the SEC, will contain no material differences from the Company 10-K.</w:t>
      </w:r>
    </w:p>
    <w:p>
      <w:pPr>
        <w:spacing w:after="0" w:line="14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i w:val="1"/>
          <w:iCs w:val="1"/>
          <w:color w:val="auto"/>
        </w:rPr>
        <w:t>Financial Statements</w:t>
      </w:r>
      <w:r>
        <w:rPr>
          <w:rFonts w:ascii="Arial" w:cs="Arial" w:eastAsia="Arial" w:hAnsi="Arial"/>
          <w:sz w:val="20"/>
          <w:szCs w:val="20"/>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74" w:lineRule="exact"/>
        <w:rPr>
          <w:sz w:val="20"/>
          <w:szCs w:val="20"/>
          <w:color w:val="auto"/>
        </w:rPr>
      </w:pPr>
    </w:p>
    <w:p>
      <w:pPr>
        <w:jc w:val="both"/>
        <w:ind w:right="440" w:firstLine="800"/>
        <w:spacing w:after="0" w:line="251" w:lineRule="auto"/>
        <w:rPr>
          <w:sz w:val="20"/>
          <w:szCs w:val="20"/>
          <w:color w:val="auto"/>
        </w:rPr>
      </w:pPr>
      <w:r>
        <w:rPr>
          <w:rFonts w:ascii="Arial" w:cs="Arial" w:eastAsia="Arial" w:hAnsi="Arial"/>
          <w:sz w:val="20"/>
          <w:szCs w:val="20"/>
          <w:color w:val="auto"/>
        </w:rPr>
        <w:t xml:space="preserve">Section 4.09. </w:t>
      </w:r>
      <w:r>
        <w:rPr>
          <w:rFonts w:ascii="Arial" w:cs="Arial" w:eastAsia="Arial" w:hAnsi="Arial"/>
          <w:sz w:val="20"/>
          <w:szCs w:val="20"/>
          <w:i w:val="1"/>
          <w:iCs w:val="1"/>
          <w:color w:val="auto"/>
        </w:rPr>
        <w:t>Disclosure Documents</w:t>
      </w:r>
      <w:r>
        <w:rPr>
          <w:rFonts w:ascii="Arial" w:cs="Arial" w:eastAsia="Arial" w:hAnsi="Arial"/>
          <w:sz w:val="20"/>
          <w:szCs w:val="20"/>
          <w:color w:val="auto"/>
        </w:rPr>
        <w:t>. The information supplied by the Company in writing for inclusion or incorporation by reference in the registration statement on Form S-4 or any amendment or supplement thereto pursuant to which shares of Parent Class A Common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A-24</w:t>
      </w:r>
    </w:p>
    <w:p>
      <w:pPr>
        <w:sectPr>
          <w:pgSz w:w="11900" w:h="16838" w:orient="portrait"/>
          <w:cols w:equalWidth="0" w:num="1">
            <w:col w:w="11420"/>
          </w:cols>
          <w:pgMar w:left="240" w:top="439" w:right="23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Stock issuable as part of the Merger Consideration will be registered with the SEC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9"/>
          <w:szCs w:val="19"/>
          <w:b w:val="1"/>
          <w:bCs w:val="1"/>
          <w:color w:val="auto"/>
        </w:rPr>
        <w:t>Joint Proxy Statement/Prospectus</w:t>
      </w:r>
      <w:r>
        <w:rPr>
          <w:rFonts w:ascii="Arial" w:cs="Arial" w:eastAsia="Arial" w:hAnsi="Arial"/>
          <w:sz w:val="19"/>
          <w:szCs w:val="19"/>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59" w:lineRule="exact"/>
        <w:rPr>
          <w:sz w:val="20"/>
          <w:szCs w:val="20"/>
          <w:color w:val="auto"/>
        </w:rPr>
      </w:pPr>
    </w:p>
    <w:p>
      <w:pPr>
        <w:ind w:right="80" w:firstLine="800"/>
        <w:spacing w:after="0" w:line="263"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Absence of Certain Changes</w:t>
      </w:r>
      <w:r>
        <w:rPr>
          <w:rFonts w:ascii="Arial" w:cs="Arial" w:eastAsia="Arial" w:hAnsi="Arial"/>
          <w:sz w:val="19"/>
          <w:szCs w:val="19"/>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152" w:lineRule="exact"/>
        <w:rPr>
          <w:sz w:val="20"/>
          <w:szCs w:val="20"/>
          <w:color w:val="auto"/>
        </w:rPr>
      </w:pPr>
    </w:p>
    <w:p>
      <w:pPr>
        <w:ind w:right="260" w:firstLine="1715"/>
        <w:spacing w:after="0" w:line="246" w:lineRule="auto"/>
        <w:tabs>
          <w:tab w:leader="none" w:pos="2252" w:val="left"/>
        </w:tabs>
        <w:numPr>
          <w:ilvl w:val="0"/>
          <w:numId w:val="252"/>
        </w:numPr>
        <w:rPr>
          <w:rFonts w:ascii="Arial" w:cs="Arial" w:eastAsia="Arial" w:hAnsi="Arial"/>
          <w:sz w:val="20"/>
          <w:szCs w:val="20"/>
          <w:color w:val="auto"/>
        </w:rPr>
      </w:pPr>
      <w:r>
        <w:rPr>
          <w:rFonts w:ascii="Arial" w:cs="Arial" w:eastAsia="Arial" w:hAnsi="Arial"/>
          <w:sz w:val="20"/>
          <w:szCs w:val="20"/>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67" w:lineRule="exact"/>
        <w:rPr>
          <w:sz w:val="20"/>
          <w:szCs w:val="20"/>
          <w:color w:val="auto"/>
        </w:rPr>
      </w:pPr>
    </w:p>
    <w:p>
      <w:pPr>
        <w:ind w:right="20" w:firstLine="800"/>
        <w:spacing w:after="0" w:line="265"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i w:val="1"/>
          <w:iCs w:val="1"/>
          <w:color w:val="auto"/>
        </w:rPr>
        <w:t>No Undisclosed Material Liabilities</w:t>
      </w:r>
      <w:r>
        <w:rPr>
          <w:rFonts w:ascii="Arial" w:cs="Arial" w:eastAsia="Arial" w:hAnsi="Arial"/>
          <w:sz w:val="20"/>
          <w:szCs w:val="20"/>
          <w:color w:val="auto"/>
        </w:rPr>
        <w:t>. There are no liabilities or obligations of the Company or any of its Subsidiaries of any kind whatsoever, whether accrued, contingent, absolute, determined, determinable or otherwise, other than:</w:t>
      </w:r>
    </w:p>
    <w:p>
      <w:pPr>
        <w:spacing w:after="0" w:line="148" w:lineRule="exact"/>
        <w:rPr>
          <w:sz w:val="20"/>
          <w:szCs w:val="20"/>
          <w:color w:val="auto"/>
        </w:rPr>
      </w:pPr>
    </w:p>
    <w:p>
      <w:pPr>
        <w:ind w:right="100" w:firstLine="1715"/>
        <w:spacing w:after="0" w:line="265" w:lineRule="auto"/>
        <w:tabs>
          <w:tab w:leader="none" w:pos="224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liabilities or obligations disclosed, reflected, reserved against or otherwise provided for in the Company Balance Sheet or in the notes thereto;</w:t>
      </w:r>
    </w:p>
    <w:p>
      <w:pPr>
        <w:spacing w:after="0" w:line="147" w:lineRule="exact"/>
        <w:rPr>
          <w:rFonts w:ascii="Arial" w:cs="Arial" w:eastAsia="Arial" w:hAnsi="Arial"/>
          <w:sz w:val="20"/>
          <w:szCs w:val="20"/>
          <w:color w:val="auto"/>
        </w:rPr>
      </w:pPr>
    </w:p>
    <w:p>
      <w:pPr>
        <w:ind w:right="580" w:firstLine="1715"/>
        <w:spacing w:after="0" w:line="265" w:lineRule="auto"/>
        <w:tabs>
          <w:tab w:leader="none" w:pos="2252" w:val="left"/>
        </w:tabs>
        <w:numPr>
          <w:ilvl w:val="0"/>
          <w:numId w:val="253"/>
        </w:numPr>
        <w:rPr>
          <w:rFonts w:ascii="Arial" w:cs="Arial" w:eastAsia="Arial" w:hAnsi="Arial"/>
          <w:sz w:val="20"/>
          <w:szCs w:val="20"/>
          <w:color w:val="auto"/>
        </w:rPr>
      </w:pPr>
      <w:r>
        <w:rPr>
          <w:rFonts w:ascii="Arial" w:cs="Arial" w:eastAsia="Arial" w:hAnsi="Arial"/>
          <w:sz w:val="20"/>
          <w:szCs w:val="20"/>
          <w:color w:val="auto"/>
        </w:rPr>
        <w:t>liabilities or obligations incurred in the ordinary course of business consistent with past practices since the Company Balance Sheet Date;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A-25</w:t>
      </w:r>
    </w:p>
    <w:p>
      <w:pPr>
        <w:sectPr>
          <w:pgSz w:w="11900" w:h="16838" w:orient="portrait"/>
          <w:cols w:equalWidth="0" w:num="1">
            <w:col w:w="11420"/>
          </w:cols>
          <w:pgMar w:left="240" w:top="439" w:right="23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liabilities or obligations arising out of this Agreement or the transactions contemplated hereby; and</w:t>
      </w:r>
    </w:p>
    <w:p>
      <w:pPr>
        <w:spacing w:after="0" w:line="198" w:lineRule="exact"/>
        <w:rPr>
          <w:rFonts w:ascii="Arial" w:cs="Arial" w:eastAsia="Arial" w:hAnsi="Arial"/>
          <w:sz w:val="20"/>
          <w:szCs w:val="20"/>
          <w:color w:val="auto"/>
        </w:rPr>
      </w:pPr>
    </w:p>
    <w:p>
      <w:pPr>
        <w:ind w:right="600" w:firstLine="1715"/>
        <w:spacing w:after="0" w:line="265" w:lineRule="auto"/>
        <w:tabs>
          <w:tab w:leader="none" w:pos="2252" w:val="left"/>
        </w:tabs>
        <w:numPr>
          <w:ilvl w:val="0"/>
          <w:numId w:val="254"/>
        </w:numPr>
        <w:rPr>
          <w:rFonts w:ascii="Arial" w:cs="Arial" w:eastAsia="Arial" w:hAnsi="Arial"/>
          <w:sz w:val="20"/>
          <w:szCs w:val="20"/>
          <w:color w:val="auto"/>
        </w:rPr>
      </w:pPr>
      <w:r>
        <w:rPr>
          <w:rFonts w:ascii="Arial" w:cs="Arial" w:eastAsia="Arial" w:hAnsi="Arial"/>
          <w:sz w:val="20"/>
          <w:szCs w:val="20"/>
          <w:color w:val="auto"/>
        </w:rPr>
        <w:t>liabilities or obligations that would not reasonably be expected to have, individually or in the aggregate, a Company Material Adverse Effect.</w:t>
      </w:r>
    </w:p>
    <w:p>
      <w:pPr>
        <w:spacing w:after="0" w:line="148" w:lineRule="exact"/>
        <w:rPr>
          <w:sz w:val="20"/>
          <w:szCs w:val="20"/>
          <w:color w:val="auto"/>
        </w:rPr>
      </w:pPr>
    </w:p>
    <w:p>
      <w:pPr>
        <w:ind w:right="20" w:firstLine="800"/>
        <w:spacing w:after="0" w:line="255"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i w:val="1"/>
          <w:iCs w:val="1"/>
          <w:color w:val="auto"/>
        </w:rPr>
        <w:t>Compliance with Laws and Court Orders; Governmental Authorizations</w:t>
      </w:r>
      <w:r>
        <w:rPr>
          <w:rFonts w:ascii="Arial" w:cs="Arial" w:eastAsia="Arial" w:hAnsi="Arial"/>
          <w:sz w:val="19"/>
          <w:szCs w:val="19"/>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61" w:lineRule="exact"/>
        <w:rPr>
          <w:sz w:val="20"/>
          <w:szCs w:val="20"/>
          <w:color w:val="auto"/>
        </w:rPr>
      </w:pPr>
    </w:p>
    <w:p>
      <w:pPr>
        <w:ind w:right="20" w:firstLine="1715"/>
        <w:spacing w:after="0" w:line="257" w:lineRule="auto"/>
        <w:tabs>
          <w:tab w:leader="none" w:pos="2252" w:val="left"/>
        </w:tabs>
        <w:numPr>
          <w:ilvl w:val="0"/>
          <w:numId w:val="255"/>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60" w:lineRule="exact"/>
        <w:rPr>
          <w:sz w:val="20"/>
          <w:szCs w:val="20"/>
          <w:color w:val="auto"/>
        </w:rPr>
      </w:pPr>
    </w:p>
    <w:p>
      <w:pPr>
        <w:ind w:right="120" w:firstLine="800"/>
        <w:spacing w:after="0" w:line="27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41" w:lineRule="exact"/>
        <w:rPr>
          <w:sz w:val="20"/>
          <w:szCs w:val="20"/>
          <w:color w:val="auto"/>
        </w:rPr>
      </w:pPr>
    </w:p>
    <w:p>
      <w:pPr>
        <w:ind w:firstLine="800"/>
        <w:spacing w:after="0" w:line="282"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Properties</w:t>
      </w:r>
      <w:r>
        <w:rPr>
          <w:rFonts w:ascii="Arial" w:cs="Arial" w:eastAsia="Arial" w:hAnsi="Arial"/>
          <w:sz w:val="18"/>
          <w:szCs w:val="18"/>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A-26</w:t>
      </w:r>
    </w:p>
    <w:p>
      <w:pPr>
        <w:sectPr>
          <w:pgSz w:w="11900" w:h="16838" w:orient="portrait"/>
          <w:cols w:equalWidth="0" w:num="1">
            <w:col w:w="11380"/>
          </w:cols>
          <w:pgMar w:left="240" w:top="439" w:right="27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firstLine="1715"/>
        <w:spacing w:after="0" w:line="257" w:lineRule="auto"/>
        <w:tabs>
          <w:tab w:leader="none" w:pos="2252" w:val="left"/>
        </w:tabs>
        <w:numPr>
          <w:ilvl w:val="0"/>
          <w:numId w:val="256"/>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(i) each lease, sublease or license (each, a “</w:t>
      </w:r>
      <w:r>
        <w:rPr>
          <w:rFonts w:ascii="Arial" w:cs="Arial" w:eastAsia="Arial" w:hAnsi="Arial"/>
          <w:sz w:val="19"/>
          <w:szCs w:val="19"/>
          <w:b w:val="1"/>
          <w:bCs w:val="1"/>
          <w:color w:val="auto"/>
        </w:rPr>
        <w:t>Lease</w:t>
      </w:r>
      <w:r>
        <w:rPr>
          <w:rFonts w:ascii="Arial" w:cs="Arial" w:eastAsia="Arial" w:hAnsi="Arial"/>
          <w:sz w:val="19"/>
          <w:szCs w:val="19"/>
          <w:color w:val="auto"/>
        </w:rPr>
        <w:t>”) under which the Company or any of its Subsidiaries leases, subleases or licenses any real property is valid and in full force and effect and (ii) neither the Company nor any of its Subsidiaries, nor to the Company’s knowledge any other party to a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60" w:lineRule="exact"/>
        <w:rPr>
          <w:sz w:val="20"/>
          <w:szCs w:val="20"/>
          <w:color w:val="auto"/>
        </w:rPr>
      </w:pPr>
    </w:p>
    <w:p>
      <w:pPr>
        <w:ind w:firstLine="800"/>
        <w:spacing w:after="0" w:line="257"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i w:val="1"/>
          <w:iCs w:val="1"/>
          <w:color w:val="auto"/>
        </w:rPr>
        <w:t>Intellectual Property</w:t>
      </w:r>
      <w:r>
        <w:rPr>
          <w:rFonts w:ascii="Arial" w:cs="Arial" w:eastAsia="Arial" w:hAnsi="Arial"/>
          <w:sz w:val="19"/>
          <w:szCs w:val="19"/>
          <w:color w:val="auto"/>
        </w:rPr>
        <w:t>. (a) Except as would not reasonably be expected to have, individually or in the aggregate, a Company Material Adverse Effect, (i) 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60" w:lineRule="exact"/>
        <w:rPr>
          <w:sz w:val="20"/>
          <w:szCs w:val="20"/>
          <w:color w:val="auto"/>
        </w:rPr>
      </w:pPr>
    </w:p>
    <w:p>
      <w:pPr>
        <w:ind w:right="60" w:firstLine="1715"/>
        <w:spacing w:after="0" w:line="254" w:lineRule="auto"/>
        <w:tabs>
          <w:tab w:leader="none" w:pos="2252" w:val="left"/>
        </w:tabs>
        <w:numPr>
          <w:ilvl w:val="0"/>
          <w:numId w:val="257"/>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59" w:lineRule="exact"/>
        <w:rPr>
          <w:rFonts w:ascii="Arial" w:cs="Arial" w:eastAsia="Arial" w:hAnsi="Arial"/>
          <w:sz w:val="19"/>
          <w:szCs w:val="19"/>
          <w:color w:val="auto"/>
        </w:rPr>
      </w:pPr>
    </w:p>
    <w:p>
      <w:pPr>
        <w:ind w:right="40" w:firstLine="1715"/>
        <w:spacing w:after="0" w:line="241" w:lineRule="auto"/>
        <w:tabs>
          <w:tab w:leader="none" w:pos="224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A-27</w:t>
      </w:r>
    </w:p>
    <w:p>
      <w:pPr>
        <w:sectPr>
          <w:pgSz w:w="11900" w:h="16838" w:orient="portrait"/>
          <w:cols w:equalWidth="0" w:num="1">
            <w:col w:w="11420"/>
          </w:cols>
          <w:pgMar w:left="240" w:top="439" w:right="23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knowledge of the Company, no Person has infringed, misappropriated or otherwise violated any Owned Intellectual Property Right.</w:t>
      </w:r>
    </w:p>
    <w:p>
      <w:pPr>
        <w:spacing w:after="0" w:line="210" w:lineRule="exact"/>
        <w:rPr>
          <w:sz w:val="20"/>
          <w:szCs w:val="20"/>
          <w:color w:val="auto"/>
        </w:rPr>
      </w:pPr>
    </w:p>
    <w:p>
      <w:pPr>
        <w:ind w:firstLine="1715"/>
        <w:spacing w:after="0" w:line="241" w:lineRule="auto"/>
        <w:tabs>
          <w:tab w:leader="none" w:pos="2252"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74" w:lineRule="exact"/>
        <w:rPr>
          <w:rFonts w:ascii="Arial" w:cs="Arial" w:eastAsia="Arial" w:hAnsi="Arial"/>
          <w:sz w:val="20"/>
          <w:szCs w:val="20"/>
          <w:color w:val="auto"/>
        </w:rPr>
      </w:pPr>
    </w:p>
    <w:p>
      <w:pPr>
        <w:ind w:right="80" w:firstLine="1715"/>
        <w:spacing w:after="0" w:line="242" w:lineRule="auto"/>
        <w:tabs>
          <w:tab w:leader="none" w:pos="2241"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72" w:lineRule="exact"/>
        <w:rPr>
          <w:sz w:val="20"/>
          <w:szCs w:val="20"/>
          <w:color w:val="auto"/>
        </w:rPr>
      </w:pPr>
    </w:p>
    <w:p>
      <w:pPr>
        <w:ind w:right="240" w:firstLine="800"/>
        <w:spacing w:after="0" w:line="265" w:lineRule="auto"/>
        <w:rPr>
          <w:sz w:val="20"/>
          <w:szCs w:val="20"/>
          <w:color w:val="auto"/>
        </w:rPr>
      </w:pPr>
      <w:r>
        <w:rPr>
          <w:rFonts w:ascii="Arial" w:cs="Arial" w:eastAsia="Arial" w:hAnsi="Arial"/>
          <w:sz w:val="20"/>
          <w:szCs w:val="20"/>
          <w:color w:val="auto"/>
        </w:rPr>
        <w:t xml:space="preserve">Section 4.16. </w:t>
      </w:r>
      <w:r>
        <w:rPr>
          <w:rFonts w:ascii="Arial" w:cs="Arial" w:eastAsia="Arial" w:hAnsi="Arial"/>
          <w:sz w:val="20"/>
          <w:szCs w:val="20"/>
          <w:i w:val="1"/>
          <w:iCs w:val="1"/>
          <w:color w:val="auto"/>
        </w:rPr>
        <w:t>Taxes</w:t>
      </w:r>
      <w:r>
        <w:rPr>
          <w:rFonts w:ascii="Arial" w:cs="Arial" w:eastAsia="Arial" w:hAnsi="Arial"/>
          <w:sz w:val="20"/>
          <w:szCs w:val="20"/>
          <w:color w:val="auto"/>
        </w:rPr>
        <w:t>. Except as would not reasonably be expected to have, individually or in the aggregate, a Company Material Adverse Effect:</w:t>
      </w:r>
    </w:p>
    <w:p>
      <w:pPr>
        <w:spacing w:after="0" w:line="148" w:lineRule="exact"/>
        <w:rPr>
          <w:sz w:val="20"/>
          <w:szCs w:val="20"/>
          <w:color w:val="auto"/>
        </w:rPr>
      </w:pPr>
    </w:p>
    <w:p>
      <w:pPr>
        <w:ind w:right="180" w:firstLine="801"/>
        <w:spacing w:after="0" w:line="265" w:lineRule="auto"/>
        <w:tabs>
          <w:tab w:leader="none" w:pos="1074" w:val="left"/>
        </w:tabs>
        <w:numPr>
          <w:ilvl w:val="0"/>
          <w:numId w:val="259"/>
        </w:numPr>
        <w:rPr>
          <w:rFonts w:ascii="Arial" w:cs="Arial" w:eastAsia="Arial" w:hAnsi="Arial"/>
          <w:sz w:val="20"/>
          <w:szCs w:val="20"/>
          <w:color w:val="auto"/>
        </w:rPr>
      </w:pPr>
      <w:r>
        <w:rPr>
          <w:rFonts w:ascii="Arial" w:cs="Arial" w:eastAsia="Arial" w:hAnsi="Arial"/>
          <w:sz w:val="20"/>
          <w:szCs w:val="20"/>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47" w:lineRule="exact"/>
        <w:rPr>
          <w:rFonts w:ascii="Arial" w:cs="Arial" w:eastAsia="Arial" w:hAnsi="Arial"/>
          <w:sz w:val="20"/>
          <w:szCs w:val="20"/>
          <w:color w:val="auto"/>
        </w:rPr>
      </w:pPr>
    </w:p>
    <w:p>
      <w:pPr>
        <w:ind w:left="1720" w:right="180" w:firstLine="675"/>
        <w:spacing w:after="0" w:line="265" w:lineRule="auto"/>
        <w:tabs>
          <w:tab w:leader="none" w:pos="2949" w:val="left"/>
        </w:tabs>
        <w:numPr>
          <w:ilvl w:val="1"/>
          <w:numId w:val="259"/>
        </w:numPr>
        <w:rPr>
          <w:rFonts w:ascii="Arial" w:cs="Arial" w:eastAsia="Arial" w:hAnsi="Arial"/>
          <w:sz w:val="20"/>
          <w:szCs w:val="20"/>
          <w:color w:val="auto"/>
        </w:rPr>
      </w:pPr>
      <w:r>
        <w:rPr>
          <w:rFonts w:ascii="Arial" w:cs="Arial" w:eastAsia="Arial" w:hAnsi="Arial"/>
          <w:sz w:val="20"/>
          <w:szCs w:val="20"/>
          <w:color w:val="auto"/>
        </w:rPr>
        <w:t>the Company and each of its Subsidiaries has timely paid to the appropriate Taxing Authority all Taxes shown as due and payable on all Tax Returns that have been so filed;</w:t>
      </w:r>
    </w:p>
    <w:p>
      <w:pPr>
        <w:spacing w:after="0" w:line="147" w:lineRule="exact"/>
        <w:rPr>
          <w:rFonts w:ascii="Arial" w:cs="Arial" w:eastAsia="Arial" w:hAnsi="Arial"/>
          <w:sz w:val="20"/>
          <w:szCs w:val="20"/>
          <w:color w:val="auto"/>
        </w:rPr>
      </w:pPr>
    </w:p>
    <w:p>
      <w:pPr>
        <w:ind w:left="1720" w:right="60" w:firstLine="675"/>
        <w:spacing w:after="0" w:line="265" w:lineRule="auto"/>
        <w:tabs>
          <w:tab w:leader="none" w:pos="3005" w:val="left"/>
        </w:tabs>
        <w:numPr>
          <w:ilvl w:val="1"/>
          <w:numId w:val="259"/>
        </w:numPr>
        <w:rPr>
          <w:rFonts w:ascii="Arial" w:cs="Arial" w:eastAsia="Arial" w:hAnsi="Arial"/>
          <w:sz w:val="20"/>
          <w:szCs w:val="20"/>
          <w:color w:val="auto"/>
        </w:rPr>
      </w:pPr>
      <w:r>
        <w:rPr>
          <w:rFonts w:ascii="Arial" w:cs="Arial" w:eastAsia="Arial" w:hAnsi="Arial"/>
          <w:sz w:val="20"/>
          <w:szCs w:val="20"/>
          <w:color w:val="auto"/>
        </w:rPr>
        <w:t>the accruals and reserves with respect to Taxes as set forth on the Company Balance Sheet are adequate (as determined in accordance with GAAP);</w:t>
      </w:r>
    </w:p>
    <w:p>
      <w:pPr>
        <w:spacing w:after="0" w:line="147" w:lineRule="exact"/>
        <w:rPr>
          <w:rFonts w:ascii="Arial" w:cs="Arial" w:eastAsia="Arial" w:hAnsi="Arial"/>
          <w:sz w:val="20"/>
          <w:szCs w:val="20"/>
          <w:color w:val="auto"/>
        </w:rPr>
      </w:pPr>
    </w:p>
    <w:p>
      <w:pPr>
        <w:ind w:left="1720" w:right="360" w:firstLine="675"/>
        <w:spacing w:after="0" w:line="322" w:lineRule="auto"/>
        <w:tabs>
          <w:tab w:leader="none" w:pos="299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Company Balance Sheet Date;</w:t>
      </w:r>
    </w:p>
    <w:p>
      <w:pPr>
        <w:spacing w:after="0" w:line="100" w:lineRule="exact"/>
        <w:rPr>
          <w:rFonts w:ascii="Arial" w:cs="Arial" w:eastAsia="Arial" w:hAnsi="Arial"/>
          <w:sz w:val="18"/>
          <w:szCs w:val="18"/>
          <w:color w:val="auto"/>
        </w:rPr>
      </w:pPr>
    </w:p>
    <w:p>
      <w:pPr>
        <w:ind w:left="1720" w:right="480" w:firstLine="675"/>
        <w:spacing w:after="0" w:line="322" w:lineRule="auto"/>
        <w:tabs>
          <w:tab w:leader="none" w:pos="293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the Company’s knowledge, threatened against or with respect to the Company or any of its Subsidiaries in respect of any material Tax; and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A-28</w:t>
      </w:r>
    </w:p>
    <w:p>
      <w:pPr>
        <w:sectPr>
          <w:pgSz w:w="11900" w:h="16838" w:orient="portrait"/>
          <w:cols w:equalWidth="0" w:num="1">
            <w:col w:w="11420"/>
          </w:cols>
          <w:pgMar w:left="240" w:top="439" w:right="23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200" w:firstLine="675"/>
        <w:spacing w:after="0" w:line="246" w:lineRule="auto"/>
        <w:tabs>
          <w:tab w:leader="none" w:pos="2994" w:val="left"/>
        </w:tabs>
        <w:numPr>
          <w:ilvl w:val="1"/>
          <w:numId w:val="260"/>
        </w:numPr>
        <w:rPr>
          <w:rFonts w:ascii="Arial" w:cs="Arial" w:eastAsia="Arial" w:hAnsi="Arial"/>
          <w:sz w:val="20"/>
          <w:szCs w:val="20"/>
          <w:color w:val="auto"/>
        </w:rPr>
      </w:pPr>
      <w:r>
        <w:rPr>
          <w:rFonts w:ascii="Arial" w:cs="Arial" w:eastAsia="Arial" w:hAnsi="Arial"/>
          <w:sz w:val="20"/>
          <w:szCs w:val="20"/>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62" w:lineRule="exact"/>
        <w:rPr>
          <w:rFonts w:ascii="Arial" w:cs="Arial" w:eastAsia="Arial" w:hAnsi="Arial"/>
          <w:sz w:val="20"/>
          <w:szCs w:val="20"/>
          <w:color w:val="auto"/>
        </w:rPr>
      </w:pPr>
    </w:p>
    <w:p>
      <w:pPr>
        <w:ind w:right="100" w:firstLine="1715"/>
        <w:spacing w:after="0" w:line="253" w:lineRule="auto"/>
        <w:tabs>
          <w:tab w:leader="none" w:pos="225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Under the Tax Sharing Agreement with Time Warner Inc. (“</w:t>
      </w:r>
      <w:r>
        <w:rPr>
          <w:rFonts w:ascii="Arial" w:cs="Arial" w:eastAsia="Arial" w:hAnsi="Arial"/>
          <w:sz w:val="20"/>
          <w:szCs w:val="20"/>
          <w:b w:val="1"/>
          <w:bCs w:val="1"/>
          <w:color w:val="auto"/>
        </w:rPr>
        <w:t>TWX</w:t>
      </w:r>
      <w:r>
        <w:rPr>
          <w:rFonts w:ascii="Arial" w:cs="Arial" w:eastAsia="Arial" w:hAnsi="Arial"/>
          <w:sz w:val="20"/>
          <w:szCs w:val="20"/>
          <w:color w:val="auto"/>
        </w:rPr>
        <w:t>”), the Company is not responsible for income and franchise taxes for taxable periods prior to and including March 31, 2003. The Company was part of the TWX federal consolidated tax return through March 12, 2009.</w:t>
      </w:r>
    </w:p>
    <w:p>
      <w:pPr>
        <w:spacing w:after="0" w:line="159" w:lineRule="exact"/>
        <w:rPr>
          <w:rFonts w:ascii="Arial" w:cs="Arial" w:eastAsia="Arial" w:hAnsi="Arial"/>
          <w:sz w:val="20"/>
          <w:szCs w:val="20"/>
          <w:color w:val="auto"/>
        </w:rPr>
      </w:pPr>
    </w:p>
    <w:p>
      <w:pPr>
        <w:ind w:firstLine="1715"/>
        <w:spacing w:after="0" w:line="265" w:lineRule="auto"/>
        <w:tabs>
          <w:tab w:leader="none" w:pos="2241" w:val="left"/>
        </w:tabs>
        <w:numPr>
          <w:ilvl w:val="0"/>
          <w:numId w:val="261"/>
        </w:numPr>
        <w:rPr>
          <w:rFonts w:ascii="Arial" w:cs="Arial" w:eastAsia="Arial" w:hAnsi="Arial"/>
          <w:sz w:val="20"/>
          <w:szCs w:val="20"/>
          <w:color w:val="auto"/>
        </w:rPr>
      </w:pPr>
      <w:r>
        <w:rPr>
          <w:rFonts w:ascii="Arial" w:cs="Arial" w:eastAsia="Arial" w:hAnsi="Arial"/>
          <w:sz w:val="20"/>
          <w:szCs w:val="20"/>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47" w:lineRule="exact"/>
        <w:rPr>
          <w:rFonts w:ascii="Arial" w:cs="Arial" w:eastAsia="Arial" w:hAnsi="Arial"/>
          <w:sz w:val="20"/>
          <w:szCs w:val="20"/>
          <w:color w:val="auto"/>
        </w:rPr>
      </w:pPr>
    </w:p>
    <w:p>
      <w:pPr>
        <w:ind w:right="60" w:firstLine="1715"/>
        <w:spacing w:after="0" w:line="244" w:lineRule="auto"/>
        <w:tabs>
          <w:tab w:leader="none" w:pos="225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63" w:lineRule="exact"/>
        <w:rPr>
          <w:rFonts w:ascii="Arial" w:cs="Arial" w:eastAsia="Arial" w:hAnsi="Arial"/>
          <w:sz w:val="20"/>
          <w:szCs w:val="20"/>
          <w:color w:val="auto"/>
        </w:rPr>
      </w:pPr>
    </w:p>
    <w:p>
      <w:pPr>
        <w:ind w:right="600" w:firstLine="1715"/>
        <w:spacing w:after="0" w:line="270" w:lineRule="auto"/>
        <w:tabs>
          <w:tab w:leader="none" w:pos="2241" w:val="left"/>
        </w:tabs>
        <w:numPr>
          <w:ilvl w:val="0"/>
          <w:numId w:val="261"/>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participated in a “</w:t>
      </w:r>
      <w:r>
        <w:rPr>
          <w:rFonts w:ascii="Arial" w:cs="Arial" w:eastAsia="Arial" w:hAnsi="Arial"/>
          <w:sz w:val="20"/>
          <w:szCs w:val="20"/>
          <w:b w:val="1"/>
          <w:bCs w:val="1"/>
          <w:color w:val="auto"/>
        </w:rPr>
        <w:t>reportable transaction</w:t>
      </w:r>
      <w:r>
        <w:rPr>
          <w:rFonts w:ascii="Arial" w:cs="Arial" w:eastAsia="Arial" w:hAnsi="Arial"/>
          <w:sz w:val="20"/>
          <w:szCs w:val="20"/>
          <w:color w:val="auto"/>
        </w:rPr>
        <w:t>” within the meaning of Treasury Regulations Section 1.6011-4(b)(1).</w:t>
      </w:r>
    </w:p>
    <w:p>
      <w:pPr>
        <w:spacing w:after="0" w:line="142" w:lineRule="exact"/>
        <w:rPr>
          <w:rFonts w:ascii="Arial" w:cs="Arial" w:eastAsia="Arial" w:hAnsi="Arial"/>
          <w:sz w:val="20"/>
          <w:szCs w:val="20"/>
          <w:color w:val="auto"/>
        </w:rPr>
      </w:pPr>
    </w:p>
    <w:p>
      <w:pPr>
        <w:ind w:right="300" w:firstLine="1715"/>
        <w:spacing w:after="0" w:line="265" w:lineRule="auto"/>
        <w:tabs>
          <w:tab w:leader="none" w:pos="2218" w:val="left"/>
        </w:tabs>
        <w:numPr>
          <w:ilvl w:val="0"/>
          <w:numId w:val="261"/>
        </w:numPr>
        <w:rPr>
          <w:rFonts w:ascii="Arial" w:cs="Arial" w:eastAsia="Arial" w:hAnsi="Arial"/>
          <w:sz w:val="20"/>
          <w:szCs w:val="20"/>
          <w:color w:val="auto"/>
        </w:rPr>
      </w:pPr>
      <w:r>
        <w:rPr>
          <w:rFonts w:ascii="Arial" w:cs="Arial" w:eastAsia="Arial" w:hAnsi="Arial"/>
          <w:sz w:val="20"/>
          <w:szCs w:val="20"/>
          <w:color w:val="auto"/>
        </w:rPr>
        <w:t>No jurisdiction in which the Company or any of its Subsidiaries does not file Tax Returns has asserted that the Company or any of its Subsidiaries is or may be liable for Tax in that jurisdiction.</w:t>
      </w:r>
    </w:p>
    <w:p>
      <w:pPr>
        <w:spacing w:after="0" w:line="147" w:lineRule="exact"/>
        <w:rPr>
          <w:rFonts w:ascii="Arial" w:cs="Arial" w:eastAsia="Arial" w:hAnsi="Arial"/>
          <w:sz w:val="20"/>
          <w:szCs w:val="20"/>
          <w:color w:val="auto"/>
        </w:rPr>
      </w:pPr>
    </w:p>
    <w:p>
      <w:pPr>
        <w:ind w:left="2260" w:hanging="545"/>
        <w:spacing w:after="0"/>
        <w:tabs>
          <w:tab w:leader="none" w:pos="226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None of the Subsidiaries of the Company owns any Company Stock.</w:t>
      </w:r>
    </w:p>
    <w:p>
      <w:pPr>
        <w:spacing w:after="0" w:line="199" w:lineRule="exact"/>
        <w:rPr>
          <w:sz w:val="20"/>
          <w:szCs w:val="20"/>
          <w:color w:val="auto"/>
        </w:rPr>
      </w:pPr>
    </w:p>
    <w:p>
      <w:pPr>
        <w:ind w:firstLine="800"/>
        <w:spacing w:after="0" w:line="271"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Employees and Employee Benefit Plans</w:t>
      </w:r>
      <w:r>
        <w:rPr>
          <w:rFonts w:ascii="Arial" w:cs="Arial" w:eastAsia="Arial" w:hAnsi="Arial"/>
          <w:sz w:val="18"/>
          <w:szCs w:val="18"/>
          <w:color w:val="auto"/>
        </w:rPr>
        <w:t>. (a) Section 4.17 of the Company Disclosure Schedule contains a correct and complete list identifying each material “</w:t>
      </w:r>
      <w:r>
        <w:rPr>
          <w:rFonts w:ascii="Arial" w:cs="Arial" w:eastAsia="Arial" w:hAnsi="Arial"/>
          <w:sz w:val="18"/>
          <w:szCs w:val="18"/>
          <w:b w:val="1"/>
          <w:bCs w:val="1"/>
          <w:color w:val="auto"/>
        </w:rPr>
        <w:t>employee benefit plan,</w:t>
      </w:r>
      <w:r>
        <w:rPr>
          <w:rFonts w:ascii="Arial" w:cs="Arial" w:eastAsia="Arial" w:hAnsi="Arial"/>
          <w:sz w:val="18"/>
          <w:szCs w:val="18"/>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A-29</w:t>
      </w:r>
    </w:p>
    <w:p>
      <w:pPr>
        <w:sectPr>
          <w:pgSz w:w="11900" w:h="16838" w:orient="portrait"/>
          <w:cols w:equalWidth="0" w:num="1">
            <w:col w:w="11420"/>
          </w:cols>
          <w:pgMar w:left="240" w:top="439" w:right="23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 990) 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8"/>
          <w:szCs w:val="18"/>
          <w:b w:val="1"/>
          <w:bCs w:val="1"/>
          <w:color w:val="auto"/>
        </w:rPr>
        <w:t>Company Plans.</w:t>
      </w:r>
      <w:r>
        <w:rPr>
          <w:rFonts w:ascii="Arial" w:cs="Arial" w:eastAsia="Arial" w:hAnsi="Arial"/>
          <w:sz w:val="18"/>
          <w:szCs w:val="18"/>
          <w:color w:val="auto"/>
        </w:rPr>
        <w:t>”</w:t>
      </w:r>
    </w:p>
    <w:p>
      <w:pPr>
        <w:spacing w:after="0" w:line="141" w:lineRule="exact"/>
        <w:rPr>
          <w:sz w:val="20"/>
          <w:szCs w:val="20"/>
          <w:color w:val="auto"/>
        </w:rPr>
      </w:pPr>
    </w:p>
    <w:p>
      <w:pPr>
        <w:ind w:right="140" w:firstLine="1715"/>
        <w:spacing w:after="0" w:line="257" w:lineRule="auto"/>
        <w:tabs>
          <w:tab w:leader="none" w:pos="2252" w:val="left"/>
        </w:tabs>
        <w:numPr>
          <w:ilvl w:val="0"/>
          <w:numId w:val="262"/>
        </w:numPr>
        <w:rPr>
          <w:rFonts w:ascii="Arial" w:cs="Arial" w:eastAsia="Arial" w:hAnsi="Arial"/>
          <w:sz w:val="19"/>
          <w:szCs w:val="19"/>
          <w:color w:val="auto"/>
        </w:rPr>
      </w:pPr>
      <w:r>
        <w:rPr>
          <w:rFonts w:ascii="Arial" w:cs="Arial" w:eastAsia="Arial" w:hAnsi="Arial"/>
          <w:sz w:val="19"/>
          <w:szCs w:val="19"/>
          <w:color w:val="auto"/>
        </w:rPr>
        <w:t>No Company Plan (for the avoidance of doubt, other than any Multiemployer Plan) that is subject to Title IV of ERISA (each, a “</w:t>
      </w:r>
      <w:r>
        <w:rPr>
          <w:rFonts w:ascii="Arial" w:cs="Arial" w:eastAsia="Arial" w:hAnsi="Arial"/>
          <w:sz w:val="19"/>
          <w:szCs w:val="19"/>
          <w:b w:val="1"/>
          <w:bCs w:val="1"/>
          <w:color w:val="auto"/>
        </w:rPr>
        <w:t>Title IV Plan</w:t>
      </w:r>
      <w:r>
        <w:rPr>
          <w:rFonts w:ascii="Arial" w:cs="Arial" w:eastAsia="Arial" w:hAnsi="Arial"/>
          <w:sz w:val="19"/>
          <w:szCs w:val="19"/>
          <w:color w:val="auto"/>
        </w:rPr>
        <w:t>”) has any unfunded liabilities as of the date of this Agreement. The aggregate underfunded or unfunded, as applicable, liability for all Company Plans that are “</w:t>
      </w:r>
      <w:r>
        <w:rPr>
          <w:rFonts w:ascii="Arial" w:cs="Arial" w:eastAsia="Arial" w:hAnsi="Arial"/>
          <w:sz w:val="19"/>
          <w:szCs w:val="19"/>
          <w:b w:val="1"/>
          <w:bCs w:val="1"/>
          <w:color w:val="auto"/>
        </w:rPr>
        <w:t>excess benefit plans</w:t>
      </w:r>
      <w:r>
        <w:rPr>
          <w:rFonts w:ascii="Arial" w:cs="Arial" w:eastAsia="Arial" w:hAnsi="Arial"/>
          <w:sz w:val="19"/>
          <w:szCs w:val="19"/>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60" w:lineRule="exact"/>
        <w:rPr>
          <w:rFonts w:ascii="Arial" w:cs="Arial" w:eastAsia="Arial" w:hAnsi="Arial"/>
          <w:sz w:val="19"/>
          <w:szCs w:val="19"/>
          <w:color w:val="auto"/>
        </w:rPr>
      </w:pPr>
    </w:p>
    <w:p>
      <w:pPr>
        <w:ind w:right="100" w:firstLine="1715"/>
        <w:spacing w:after="0" w:line="253" w:lineRule="auto"/>
        <w:tabs>
          <w:tab w:leader="none" w:pos="2241" w:val="left"/>
        </w:tabs>
        <w:numPr>
          <w:ilvl w:val="0"/>
          <w:numId w:val="262"/>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9"/>
          <w:szCs w:val="19"/>
          <w:b w:val="1"/>
          <w:bCs w:val="1"/>
          <w:color w:val="auto"/>
        </w:rPr>
        <w:t>complete withdrawal</w:t>
      </w:r>
      <w:r>
        <w:rPr>
          <w:rFonts w:ascii="Arial" w:cs="Arial" w:eastAsia="Arial" w:hAnsi="Arial"/>
          <w:sz w:val="19"/>
          <w:szCs w:val="19"/>
          <w:color w:val="auto"/>
        </w:rPr>
        <w:t>” or a “</w:t>
      </w:r>
      <w:r>
        <w:rPr>
          <w:rFonts w:ascii="Arial" w:cs="Arial" w:eastAsia="Arial" w:hAnsi="Arial"/>
          <w:sz w:val="19"/>
          <w:szCs w:val="19"/>
          <w:b w:val="1"/>
          <w:bCs w:val="1"/>
          <w:color w:val="auto"/>
        </w:rPr>
        <w:t>partial withdrawal</w:t>
      </w:r>
      <w:r>
        <w:rPr>
          <w:rFonts w:ascii="Arial" w:cs="Arial" w:eastAsia="Arial" w:hAnsi="Arial"/>
          <w:sz w:val="19"/>
          <w:szCs w:val="19"/>
          <w:color w:val="auto"/>
        </w:rPr>
        <w:t>” (within the meaning of Sections 4203 and 4205 of ERISA, respectively) from any “</w:t>
      </w:r>
      <w:r>
        <w:rPr>
          <w:rFonts w:ascii="Arial" w:cs="Arial" w:eastAsia="Arial" w:hAnsi="Arial"/>
          <w:sz w:val="19"/>
          <w:szCs w:val="19"/>
          <w:b w:val="1"/>
          <w:bCs w:val="1"/>
          <w:color w:val="auto"/>
        </w:rPr>
        <w:t>multiemployer plan</w:t>
      </w:r>
      <w:r>
        <w:rPr>
          <w:rFonts w:ascii="Arial" w:cs="Arial" w:eastAsia="Arial" w:hAnsi="Arial"/>
          <w:sz w:val="19"/>
          <w:szCs w:val="19"/>
          <w:color w:val="auto"/>
        </w:rPr>
        <w:t>” as defined in Section 3(37) of ERISA (a “</w:t>
      </w:r>
      <w:r>
        <w:rPr>
          <w:rFonts w:ascii="Arial" w:cs="Arial" w:eastAsia="Arial" w:hAnsi="Arial"/>
          <w:sz w:val="19"/>
          <w:szCs w:val="19"/>
          <w:b w:val="1"/>
          <w:bCs w:val="1"/>
          <w:color w:val="auto"/>
        </w:rPr>
        <w:t>Multiemployer Plan</w:t>
      </w:r>
      <w:r>
        <w:rPr>
          <w:rFonts w:ascii="Arial" w:cs="Arial" w:eastAsia="Arial" w:hAnsi="Arial"/>
          <w:sz w:val="19"/>
          <w:szCs w:val="19"/>
          <w:color w:val="auto"/>
        </w:rPr>
        <w:t>”) and, to the Company’s knowledge, no circumstances exist that would reasonably be expected to give rise to any such withdrawal (including as a result of the transactions contemplated by this Agreement). Neither the Company nor any of its ERISA Affiliates has received notice of any Multiemployer Plan’s (i) failure to satisfy the minimum funding requirements of Section 412 of the Code or application for or receipt of a waiver of such minimum funding requirements, (ii) “</w:t>
      </w:r>
      <w:r>
        <w:rPr>
          <w:rFonts w:ascii="Arial" w:cs="Arial" w:eastAsia="Arial" w:hAnsi="Arial"/>
          <w:sz w:val="19"/>
          <w:szCs w:val="19"/>
          <w:b w:val="1"/>
          <w:bCs w:val="1"/>
          <w:color w:val="auto"/>
        </w:rPr>
        <w:t>endangered</w:t>
      </w:r>
      <w:r>
        <w:rPr>
          <w:rFonts w:ascii="Arial" w:cs="Arial" w:eastAsia="Arial" w:hAnsi="Arial"/>
          <w:sz w:val="19"/>
          <w:szCs w:val="19"/>
          <w:color w:val="auto"/>
        </w:rPr>
        <w:t xml:space="preserve"> </w:t>
      </w:r>
      <w:r>
        <w:rPr>
          <w:rFonts w:ascii="Arial" w:cs="Arial" w:eastAsia="Arial" w:hAnsi="Arial"/>
          <w:sz w:val="19"/>
          <w:szCs w:val="19"/>
          <w:b w:val="1"/>
          <w:bCs w:val="1"/>
          <w:color w:val="auto"/>
        </w:rPr>
        <w:t>status</w:t>
      </w:r>
      <w:r>
        <w:rPr>
          <w:rFonts w:ascii="Arial" w:cs="Arial" w:eastAsia="Arial" w:hAnsi="Arial"/>
          <w:sz w:val="19"/>
          <w:szCs w:val="19"/>
          <w:color w:val="auto"/>
        </w:rPr>
        <w:t>” or “</w:t>
      </w:r>
      <w:r>
        <w:rPr>
          <w:rFonts w:ascii="Arial" w:cs="Arial" w:eastAsia="Arial" w:hAnsi="Arial"/>
          <w:sz w:val="19"/>
          <w:szCs w:val="19"/>
          <w:b w:val="1"/>
          <w:bCs w:val="1"/>
          <w:color w:val="auto"/>
        </w:rPr>
        <w:t>critical status</w:t>
      </w:r>
      <w:r>
        <w:rPr>
          <w:rFonts w:ascii="Arial" w:cs="Arial" w:eastAsia="Arial" w:hAnsi="Arial"/>
          <w:sz w:val="19"/>
          <w:szCs w:val="19"/>
          <w:color w:val="auto"/>
        </w:rPr>
        <w:t>” (within the meaning of Section 432 of the Code) or (iii) insolvency, “</w:t>
      </w:r>
      <w:r>
        <w:rPr>
          <w:rFonts w:ascii="Arial" w:cs="Arial" w:eastAsia="Arial" w:hAnsi="Arial"/>
          <w:sz w:val="19"/>
          <w:szCs w:val="19"/>
          <w:b w:val="1"/>
          <w:bCs w:val="1"/>
          <w:color w:val="auto"/>
        </w:rPr>
        <w:t>reorganization</w:t>
      </w:r>
      <w:r>
        <w:rPr>
          <w:rFonts w:ascii="Arial" w:cs="Arial" w:eastAsia="Arial" w:hAnsi="Arial"/>
          <w:sz w:val="19"/>
          <w:szCs w:val="19"/>
          <w:color w:val="auto"/>
        </w:rPr>
        <w:t>” (within the meaning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65" w:lineRule="exact"/>
        <w:rPr>
          <w:rFonts w:ascii="Arial" w:cs="Arial" w:eastAsia="Arial" w:hAnsi="Arial"/>
          <w:sz w:val="19"/>
          <w:szCs w:val="19"/>
          <w:color w:val="auto"/>
        </w:rPr>
      </w:pPr>
    </w:p>
    <w:p>
      <w:pPr>
        <w:ind w:right="60" w:firstLine="1715"/>
        <w:spacing w:after="0" w:line="246" w:lineRule="auto"/>
        <w:tabs>
          <w:tab w:leader="none" w:pos="2252" w:val="left"/>
        </w:tabs>
        <w:numPr>
          <w:ilvl w:val="0"/>
          <w:numId w:val="262"/>
        </w:numPr>
        <w:rPr>
          <w:rFonts w:ascii="Arial" w:cs="Arial" w:eastAsia="Arial" w:hAnsi="Arial"/>
          <w:sz w:val="20"/>
          <w:szCs w:val="20"/>
          <w:color w:val="auto"/>
        </w:rPr>
      </w:pPr>
      <w:r>
        <w:rPr>
          <w:rFonts w:ascii="Arial" w:cs="Arial" w:eastAsia="Arial" w:hAnsi="Arial"/>
          <w:sz w:val="20"/>
          <w:szCs w:val="20"/>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A-30</w:t>
      </w:r>
    </w:p>
    <w:p>
      <w:pPr>
        <w:sectPr>
          <w:pgSz w:w="11900" w:h="16838" w:orient="portrait"/>
          <w:cols w:equalWidth="0" w:num="1">
            <w:col w:w="11420"/>
          </w:cols>
          <w:pgMar w:left="240" w:top="439" w:right="23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73" w:lineRule="auto"/>
        <w:tabs>
          <w:tab w:leader="none" w:pos="224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42" w:lineRule="exact"/>
        <w:rPr>
          <w:rFonts w:ascii="Arial" w:cs="Arial" w:eastAsia="Arial" w:hAnsi="Arial"/>
          <w:sz w:val="18"/>
          <w:szCs w:val="18"/>
          <w:color w:val="auto"/>
        </w:rPr>
      </w:pPr>
    </w:p>
    <w:p>
      <w:pPr>
        <w:ind w:right="20" w:firstLine="1715"/>
        <w:spacing w:after="0" w:line="251" w:lineRule="auto"/>
        <w:tabs>
          <w:tab w:leader="none" w:pos="2218" w:val="left"/>
        </w:tabs>
        <w:numPr>
          <w:ilvl w:val="0"/>
          <w:numId w:val="263"/>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61" w:lineRule="exact"/>
        <w:rPr>
          <w:rFonts w:ascii="Arial" w:cs="Arial" w:eastAsia="Arial" w:hAnsi="Arial"/>
          <w:sz w:val="20"/>
          <w:szCs w:val="20"/>
          <w:color w:val="auto"/>
        </w:rPr>
      </w:pPr>
    </w:p>
    <w:p>
      <w:pPr>
        <w:ind w:right="540" w:firstLine="1715"/>
        <w:spacing w:after="0" w:line="251" w:lineRule="auto"/>
        <w:tabs>
          <w:tab w:leader="none" w:pos="2248"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61" w:lineRule="exact"/>
        <w:rPr>
          <w:rFonts w:ascii="Arial" w:cs="Arial" w:eastAsia="Arial" w:hAnsi="Arial"/>
          <w:sz w:val="20"/>
          <w:szCs w:val="20"/>
          <w:color w:val="auto"/>
        </w:rPr>
      </w:pPr>
    </w:p>
    <w:p>
      <w:pPr>
        <w:ind w:right="200" w:firstLine="1715"/>
        <w:spacing w:after="0" w:line="251" w:lineRule="auto"/>
        <w:tabs>
          <w:tab w:leader="none" w:pos="2248"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61" w:lineRule="exact"/>
        <w:rPr>
          <w:rFonts w:ascii="Arial" w:cs="Arial" w:eastAsia="Arial" w:hAnsi="Arial"/>
          <w:sz w:val="20"/>
          <w:szCs w:val="20"/>
          <w:color w:val="auto"/>
        </w:rPr>
      </w:pPr>
    </w:p>
    <w:p>
      <w:pPr>
        <w:ind w:right="20" w:firstLine="1715"/>
        <w:spacing w:after="0" w:line="273" w:lineRule="auto"/>
        <w:tabs>
          <w:tab w:leader="none" w:pos="22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8"/>
          <w:szCs w:val="18"/>
          <w:b w:val="1"/>
          <w:bCs w:val="1"/>
          <w:color w:val="auto"/>
        </w:rPr>
        <w:t>Company International Plan</w:t>
      </w:r>
      <w:r>
        <w:rPr>
          <w:rFonts w:ascii="Arial" w:cs="Arial" w:eastAsia="Arial" w:hAnsi="Arial"/>
          <w:sz w:val="18"/>
          <w:szCs w:val="18"/>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42" w:lineRule="exact"/>
        <w:rPr>
          <w:rFonts w:ascii="Arial" w:cs="Arial" w:eastAsia="Arial" w:hAnsi="Arial"/>
          <w:sz w:val="18"/>
          <w:szCs w:val="18"/>
          <w:color w:val="auto"/>
        </w:rPr>
      </w:pPr>
    </w:p>
    <w:p>
      <w:pPr>
        <w:ind w:right="260" w:firstLine="1715"/>
        <w:spacing w:after="0" w:line="270" w:lineRule="auto"/>
        <w:tabs>
          <w:tab w:leader="none" w:pos="2207" w:val="left"/>
        </w:tabs>
        <w:numPr>
          <w:ilvl w:val="0"/>
          <w:numId w:val="263"/>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A-31</w:t>
      </w:r>
    </w:p>
    <w:p>
      <w:pPr>
        <w:sectPr>
          <w:pgSz w:w="11900" w:h="16838" w:orient="portrait"/>
          <w:cols w:equalWidth="0" w:num="1">
            <w:col w:w="11400"/>
          </w:cols>
          <w:pgMar w:left="240" w:top="439" w:right="25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firstLine="1715"/>
        <w:spacing w:after="0"/>
        <w:tabs>
          <w:tab w:leader="none" w:pos="2252" w:val="left"/>
        </w:tabs>
        <w:numPr>
          <w:ilvl w:val="0"/>
          <w:numId w:val="264"/>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75" w:lineRule="exact"/>
        <w:rPr>
          <w:rFonts w:ascii="Arial" w:cs="Arial" w:eastAsia="Arial" w:hAnsi="Arial"/>
          <w:sz w:val="20"/>
          <w:szCs w:val="20"/>
          <w:color w:val="auto"/>
        </w:rPr>
      </w:pPr>
    </w:p>
    <w:p>
      <w:pPr>
        <w:ind w:right="360" w:firstLine="1715"/>
        <w:spacing w:after="0" w:line="251" w:lineRule="auto"/>
        <w:tabs>
          <w:tab w:leader="none" w:pos="2207" w:val="left"/>
        </w:tabs>
        <w:numPr>
          <w:ilvl w:val="0"/>
          <w:numId w:val="264"/>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61" w:lineRule="exact"/>
        <w:rPr>
          <w:sz w:val="20"/>
          <w:szCs w:val="20"/>
          <w:color w:val="auto"/>
        </w:rPr>
      </w:pPr>
    </w:p>
    <w:p>
      <w:pPr>
        <w:ind w:firstLine="800"/>
        <w:spacing w:after="0" w:line="244" w:lineRule="auto"/>
        <w:rPr>
          <w:sz w:val="20"/>
          <w:szCs w:val="20"/>
          <w:color w:val="auto"/>
        </w:rPr>
      </w:pPr>
      <w:r>
        <w:rPr>
          <w:rFonts w:ascii="Arial" w:cs="Arial" w:eastAsia="Arial" w:hAnsi="Arial"/>
          <w:sz w:val="20"/>
          <w:szCs w:val="20"/>
          <w:color w:val="auto"/>
        </w:rPr>
        <w:t xml:space="preserve">Section 4.18. </w:t>
      </w:r>
      <w:r>
        <w:rPr>
          <w:rFonts w:ascii="Arial" w:cs="Arial" w:eastAsia="Arial" w:hAnsi="Arial"/>
          <w:sz w:val="20"/>
          <w:szCs w:val="20"/>
          <w:i w:val="1"/>
          <w:iCs w:val="1"/>
          <w:color w:val="auto"/>
        </w:rPr>
        <w:t>Environmental Matters</w:t>
      </w:r>
      <w:r>
        <w:rPr>
          <w:rFonts w:ascii="Arial" w:cs="Arial" w:eastAsia="Arial" w:hAnsi="Arial"/>
          <w:sz w:val="20"/>
          <w:szCs w:val="20"/>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68" w:lineRule="exact"/>
        <w:rPr>
          <w:sz w:val="20"/>
          <w:szCs w:val="20"/>
          <w:color w:val="auto"/>
        </w:rPr>
      </w:pPr>
    </w:p>
    <w:p>
      <w:pPr>
        <w:ind w:right="540" w:firstLine="1715"/>
        <w:spacing w:after="0" w:line="251" w:lineRule="auto"/>
        <w:tabs>
          <w:tab w:leader="none" w:pos="225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61" w:lineRule="exact"/>
        <w:rPr>
          <w:rFonts w:ascii="Arial" w:cs="Arial" w:eastAsia="Arial" w:hAnsi="Arial"/>
          <w:sz w:val="20"/>
          <w:szCs w:val="20"/>
          <w:color w:val="auto"/>
        </w:rPr>
      </w:pPr>
    </w:p>
    <w:p>
      <w:pPr>
        <w:ind w:right="220" w:firstLine="1715"/>
        <w:spacing w:after="0" w:line="282" w:lineRule="auto"/>
        <w:tabs>
          <w:tab w:leader="none" w:pos="224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37" w:lineRule="exact"/>
        <w:rPr>
          <w:rFonts w:ascii="Arial" w:cs="Arial" w:eastAsia="Arial" w:hAnsi="Arial"/>
          <w:sz w:val="18"/>
          <w:szCs w:val="18"/>
          <w:color w:val="auto"/>
        </w:rPr>
      </w:pPr>
    </w:p>
    <w:p>
      <w:pPr>
        <w:jc w:val="both"/>
        <w:ind w:right="100" w:firstLine="1715"/>
        <w:spacing w:after="0" w:line="251" w:lineRule="auto"/>
        <w:tabs>
          <w:tab w:leader="none" w:pos="224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The consummation of the transactions contemplated hereby requires no filings to be made or actions to be taken pursuant to the New Jersey Industrial Site Recovery Act or the “</w:t>
      </w:r>
      <w:r>
        <w:rPr>
          <w:rFonts w:ascii="Arial" w:cs="Arial" w:eastAsia="Arial" w:hAnsi="Arial"/>
          <w:sz w:val="20"/>
          <w:szCs w:val="20"/>
          <w:b w:val="1"/>
          <w:bCs w:val="1"/>
          <w:color w:val="auto"/>
        </w:rPr>
        <w:t>Connecticut Property Transfer Law</w:t>
      </w:r>
      <w:r>
        <w:rPr>
          <w:rFonts w:ascii="Arial" w:cs="Arial" w:eastAsia="Arial" w:hAnsi="Arial"/>
          <w:sz w:val="20"/>
          <w:szCs w:val="20"/>
          <w:color w:val="auto"/>
        </w:rPr>
        <w:t>” (Sections 22a-134 through 22-134e of the Connecticut General Statutes).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A-32</w:t>
      </w:r>
    </w:p>
    <w:p>
      <w:pPr>
        <w:sectPr>
          <w:pgSz w:w="11900" w:h="16838" w:orient="portrait"/>
          <w:cols w:equalWidth="0" w:num="1">
            <w:col w:w="11400"/>
          </w:cols>
          <w:pgMar w:left="240" w:top="439" w:right="25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firstLine="800"/>
        <w:spacing w:after="0" w:line="265" w:lineRule="auto"/>
        <w:rPr>
          <w:sz w:val="20"/>
          <w:szCs w:val="20"/>
          <w:color w:val="auto"/>
        </w:rPr>
      </w:pPr>
      <w:r>
        <w:rPr>
          <w:rFonts w:ascii="Arial" w:cs="Arial" w:eastAsia="Arial" w:hAnsi="Arial"/>
          <w:sz w:val="20"/>
          <w:szCs w:val="20"/>
          <w:color w:val="auto"/>
        </w:rPr>
        <w:t xml:space="preserve">Section 4.19. </w:t>
      </w:r>
      <w:r>
        <w:rPr>
          <w:rFonts w:ascii="Arial" w:cs="Arial" w:eastAsia="Arial" w:hAnsi="Arial"/>
          <w:sz w:val="20"/>
          <w:szCs w:val="20"/>
          <w:i w:val="1"/>
          <w:iCs w:val="1"/>
          <w:color w:val="auto"/>
        </w:rPr>
        <w:t>Material Contracts</w:t>
      </w:r>
      <w:r>
        <w:rPr>
          <w:rFonts w:ascii="Arial" w:cs="Arial" w:eastAsia="Arial" w:hAnsi="Arial"/>
          <w:sz w:val="20"/>
          <w:szCs w:val="20"/>
          <w:color w:val="auto"/>
        </w:rPr>
        <w:t>. (a) As of the date of this Agreement, neither the Company nor any of its Subsidiaries is party to or bound by, whether in writing or not, any contract, arrangement, commitment or understanding that:</w:t>
      </w:r>
    </w:p>
    <w:p>
      <w:pPr>
        <w:spacing w:after="0" w:line="148" w:lineRule="exact"/>
        <w:rPr>
          <w:sz w:val="20"/>
          <w:szCs w:val="20"/>
          <w:color w:val="auto"/>
        </w:rPr>
      </w:pPr>
    </w:p>
    <w:p>
      <w:pPr>
        <w:ind w:left="1720" w:right="140" w:firstLine="675"/>
        <w:spacing w:after="0" w:line="273" w:lineRule="auto"/>
        <w:tabs>
          <w:tab w:leader="none" w:pos="289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 (3) obtaining products or services from any Person;</w:t>
      </w:r>
    </w:p>
    <w:p>
      <w:pPr>
        <w:spacing w:after="0" w:line="138" w:lineRule="exact"/>
        <w:rPr>
          <w:rFonts w:ascii="Arial" w:cs="Arial" w:eastAsia="Arial" w:hAnsi="Arial"/>
          <w:sz w:val="18"/>
          <w:szCs w:val="18"/>
          <w:color w:val="auto"/>
        </w:rPr>
      </w:pPr>
    </w:p>
    <w:p>
      <w:pPr>
        <w:ind w:left="1720" w:firstLine="675"/>
        <w:spacing w:after="0" w:line="257" w:lineRule="auto"/>
        <w:tabs>
          <w:tab w:leader="none" w:pos="2949"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includes (A) any “</w:t>
      </w:r>
      <w:r>
        <w:rPr>
          <w:rFonts w:ascii="Arial" w:cs="Arial" w:eastAsia="Arial" w:hAnsi="Arial"/>
          <w:sz w:val="19"/>
          <w:szCs w:val="19"/>
          <w:b w:val="1"/>
          <w:bCs w:val="1"/>
          <w:color w:val="auto"/>
        </w:rPr>
        <w:t>most favored nations</w:t>
      </w:r>
      <w:r>
        <w:rPr>
          <w:rFonts w:ascii="Arial" w:cs="Arial" w:eastAsia="Arial" w:hAnsi="Arial"/>
          <w:sz w:val="19"/>
          <w:szCs w:val="19"/>
          <w:color w:val="auto"/>
        </w:rPr>
        <w:t>” terms and conditions (including with respect to pricing) granted by the Company to a Third Party, (B) any arrangement whereby the Company grants any right of first refusal or right of first offer or similar right to a Third Party or (C)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57" w:lineRule="exact"/>
        <w:rPr>
          <w:rFonts w:ascii="Arial" w:cs="Arial" w:eastAsia="Arial" w:hAnsi="Arial"/>
          <w:sz w:val="19"/>
          <w:szCs w:val="19"/>
          <w:color w:val="auto"/>
        </w:rPr>
      </w:pPr>
    </w:p>
    <w:p>
      <w:pPr>
        <w:ind w:left="1720" w:right="160" w:firstLine="675"/>
        <w:spacing w:after="0" w:line="282" w:lineRule="auto"/>
        <w:tabs>
          <w:tab w:leader="none" w:pos="30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is a joint venture, alliance or partnership agreement that either (A) is material to the Company and its Subsidiaries, taken as a whole, or (B) would reasonably be expected to require the 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37" w:lineRule="exact"/>
        <w:rPr>
          <w:rFonts w:ascii="Arial" w:cs="Arial" w:eastAsia="Arial" w:hAnsi="Arial"/>
          <w:sz w:val="18"/>
          <w:szCs w:val="18"/>
          <w:color w:val="auto"/>
        </w:rPr>
      </w:pPr>
    </w:p>
    <w:p>
      <w:pPr>
        <w:ind w:left="1720" w:firstLine="675"/>
        <w:spacing w:after="0" w:line="251" w:lineRule="auto"/>
        <w:tabs>
          <w:tab w:leader="none" w:pos="299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61" w:lineRule="exact"/>
        <w:rPr>
          <w:rFonts w:ascii="Arial" w:cs="Arial" w:eastAsia="Arial" w:hAnsi="Arial"/>
          <w:sz w:val="20"/>
          <w:szCs w:val="20"/>
          <w:color w:val="auto"/>
        </w:rPr>
      </w:pPr>
    </w:p>
    <w:p>
      <w:pPr>
        <w:ind w:left="1720" w:right="80" w:firstLine="675"/>
        <w:spacing w:after="0" w:line="265" w:lineRule="auto"/>
        <w:tabs>
          <w:tab w:leader="none" w:pos="2938"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is a material interest, rate, currency or other swap or derivative transaction (other than those entered into in the ordinary course of business solely for hedging purposes);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A-33</w:t>
      </w:r>
    </w:p>
    <w:p>
      <w:pPr>
        <w:sectPr>
          <w:pgSz w:w="11900" w:h="16838" w:orient="portrait"/>
          <w:cols w:equalWidth="0" w:num="1">
            <w:col w:w="11420"/>
          </w:cols>
          <w:pgMar w:left="240" w:top="439" w:right="23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firstLine="675"/>
        <w:spacing w:after="0" w:line="260" w:lineRule="auto"/>
        <w:tabs>
          <w:tab w:leader="none" w:pos="2994"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53" w:lineRule="exact"/>
        <w:rPr>
          <w:rFonts w:ascii="Arial" w:cs="Arial" w:eastAsia="Arial" w:hAnsi="Arial"/>
          <w:sz w:val="19"/>
          <w:szCs w:val="19"/>
          <w:color w:val="auto"/>
        </w:rPr>
      </w:pPr>
    </w:p>
    <w:p>
      <w:pPr>
        <w:ind w:left="1720" w:right="360" w:firstLine="675"/>
        <w:spacing w:after="0" w:line="251" w:lineRule="auto"/>
        <w:tabs>
          <w:tab w:leader="none" w:pos="305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161" w:lineRule="exact"/>
        <w:rPr>
          <w:rFonts w:ascii="Arial" w:cs="Arial" w:eastAsia="Arial" w:hAnsi="Arial"/>
          <w:sz w:val="20"/>
          <w:szCs w:val="20"/>
          <w:color w:val="auto"/>
        </w:rPr>
      </w:pPr>
    </w:p>
    <w:p>
      <w:pPr>
        <w:ind w:left="1720" w:right="60" w:firstLine="675"/>
        <w:spacing w:after="0" w:line="244" w:lineRule="auto"/>
        <w:tabs>
          <w:tab w:leader="none" w:pos="3106"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67" w:lineRule="exact"/>
        <w:rPr>
          <w:rFonts w:ascii="Arial" w:cs="Arial" w:eastAsia="Arial" w:hAnsi="Arial"/>
          <w:sz w:val="20"/>
          <w:szCs w:val="20"/>
          <w:color w:val="auto"/>
        </w:rPr>
      </w:pPr>
    </w:p>
    <w:p>
      <w:pPr>
        <w:ind w:left="1720" w:firstLine="675"/>
        <w:spacing w:after="0" w:line="270" w:lineRule="auto"/>
        <w:tabs>
          <w:tab w:leader="none" w:pos="2994"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45" w:lineRule="exact"/>
        <w:rPr>
          <w:sz w:val="20"/>
          <w:szCs w:val="20"/>
          <w:color w:val="auto"/>
        </w:rPr>
      </w:pPr>
    </w:p>
    <w:p>
      <w:pPr>
        <w:ind w:right="500" w:firstLine="800"/>
        <w:spacing w:after="0" w:line="251" w:lineRule="auto"/>
        <w:rPr>
          <w:sz w:val="20"/>
          <w:szCs w:val="20"/>
          <w:color w:val="auto"/>
        </w:rPr>
      </w:pPr>
      <w:r>
        <w:rPr>
          <w:rFonts w:ascii="Arial" w:cs="Arial" w:eastAsia="Arial" w:hAnsi="Arial"/>
          <w:sz w:val="20"/>
          <w:szCs w:val="20"/>
          <w:color w:val="auto"/>
        </w:rPr>
        <w:t>(each such contract listed in Section 4.19 of the Company Disclosure Schedule and any contract of the Company or any of its Subsidiaries that is a “</w:t>
      </w:r>
      <w:r>
        <w:rPr>
          <w:rFonts w:ascii="Arial" w:cs="Arial" w:eastAsia="Arial" w:hAnsi="Arial"/>
          <w:sz w:val="20"/>
          <w:szCs w:val="20"/>
          <w:b w:val="1"/>
          <w:bCs w:val="1"/>
          <w:color w:val="auto"/>
        </w:rPr>
        <w:t>material contract</w:t>
      </w:r>
      <w:r>
        <w:rPr>
          <w:rFonts w:ascii="Arial" w:cs="Arial" w:eastAsia="Arial" w:hAnsi="Arial"/>
          <w:sz w:val="20"/>
          <w:szCs w:val="20"/>
          <w:color w:val="auto"/>
        </w:rPr>
        <w:t>” (as such term is defined in Item 601(b)(10) of Regulation S-K of the SEC) (other than any Company Plan), a “</w:t>
      </w:r>
      <w:r>
        <w:rPr>
          <w:rFonts w:ascii="Arial" w:cs="Arial" w:eastAsia="Arial" w:hAnsi="Arial"/>
          <w:sz w:val="20"/>
          <w:szCs w:val="20"/>
          <w:b w:val="1"/>
          <w:bCs w:val="1"/>
          <w:color w:val="auto"/>
        </w:rPr>
        <w:t>Company Material Contract</w:t>
      </w:r>
      <w:r>
        <w:rPr>
          <w:rFonts w:ascii="Arial" w:cs="Arial" w:eastAsia="Arial" w:hAnsi="Arial"/>
          <w:sz w:val="20"/>
          <w:szCs w:val="20"/>
          <w:color w:val="auto"/>
        </w:rPr>
        <w:t>”).</w:t>
      </w:r>
    </w:p>
    <w:p>
      <w:pPr>
        <w:spacing w:after="0" w:line="161" w:lineRule="exact"/>
        <w:rPr>
          <w:sz w:val="20"/>
          <w:szCs w:val="20"/>
          <w:color w:val="auto"/>
        </w:rPr>
      </w:pPr>
    </w:p>
    <w:p>
      <w:pPr>
        <w:ind w:firstLine="1715"/>
        <w:spacing w:after="0" w:line="246" w:lineRule="auto"/>
        <w:tabs>
          <w:tab w:leader="none" w:pos="225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20"/>
          <w:szCs w:val="20"/>
          <w:b w:val="1"/>
          <w:bCs w:val="1"/>
          <w:color w:val="auto"/>
        </w:rPr>
        <w:t>material contract</w:t>
      </w:r>
      <w:r>
        <w:rPr>
          <w:rFonts w:ascii="Arial" w:cs="Arial" w:eastAsia="Arial" w:hAnsi="Arial"/>
          <w:sz w:val="20"/>
          <w:szCs w:val="20"/>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66" w:lineRule="exact"/>
        <w:rPr>
          <w:rFonts w:ascii="Arial" w:cs="Arial" w:eastAsia="Arial" w:hAnsi="Arial"/>
          <w:sz w:val="20"/>
          <w:szCs w:val="20"/>
          <w:color w:val="auto"/>
        </w:rPr>
      </w:pPr>
    </w:p>
    <w:p>
      <w:pPr>
        <w:ind w:right="460" w:firstLine="1715"/>
        <w:spacing w:after="0" w:line="246" w:lineRule="auto"/>
        <w:tabs>
          <w:tab w:leader="none" w:pos="2241"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A-34</w:t>
      </w:r>
    </w:p>
    <w:p>
      <w:pPr>
        <w:sectPr>
          <w:pgSz w:w="11900" w:h="16838" w:orient="portrait"/>
          <w:cols w:equalWidth="0" w:num="1">
            <w:col w:w="11420"/>
          </w:cols>
          <w:pgMar w:left="240" w:top="439" w:right="23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60" w:lineRule="exact"/>
        <w:rPr>
          <w:sz w:val="20"/>
          <w:szCs w:val="20"/>
          <w:color w:val="auto"/>
        </w:rPr>
      </w:pPr>
    </w:p>
    <w:p>
      <w:pPr>
        <w:ind w:right="80" w:firstLine="800"/>
        <w:spacing w:after="0" w:line="246" w:lineRule="auto"/>
        <w:rPr>
          <w:sz w:val="20"/>
          <w:szCs w:val="20"/>
          <w:color w:val="auto"/>
        </w:rPr>
      </w:pPr>
      <w:r>
        <w:rPr>
          <w:rFonts w:ascii="Arial" w:cs="Arial" w:eastAsia="Arial" w:hAnsi="Arial"/>
          <w:sz w:val="20"/>
          <w:szCs w:val="20"/>
          <w:color w:val="auto"/>
        </w:rPr>
        <w:t xml:space="preserve">Section 4.20. </w:t>
      </w:r>
      <w:r>
        <w:rPr>
          <w:rFonts w:ascii="Arial" w:cs="Arial" w:eastAsia="Arial" w:hAnsi="Arial"/>
          <w:sz w:val="20"/>
          <w:szCs w:val="20"/>
          <w:i w:val="1"/>
          <w:iCs w:val="1"/>
          <w:color w:val="auto"/>
        </w:rPr>
        <w:t>Cable System and Subscriber Information</w:t>
      </w:r>
      <w:r>
        <w:rPr>
          <w:rFonts w:ascii="Arial" w:cs="Arial" w:eastAsia="Arial" w:hAnsi="Arial"/>
          <w:sz w:val="20"/>
          <w:szCs w:val="20"/>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67" w:lineRule="exact"/>
        <w:rPr>
          <w:sz w:val="20"/>
          <w:szCs w:val="20"/>
          <w:color w:val="auto"/>
        </w:rPr>
      </w:pPr>
    </w:p>
    <w:p>
      <w:pPr>
        <w:ind w:right="40" w:firstLine="1715"/>
        <w:spacing w:after="0" w:line="251" w:lineRule="auto"/>
        <w:tabs>
          <w:tab w:leader="none" w:pos="2252" w:val="left"/>
        </w:tabs>
        <w:numPr>
          <w:ilvl w:val="0"/>
          <w:numId w:val="269"/>
        </w:numPr>
        <w:rPr>
          <w:rFonts w:ascii="Arial" w:cs="Arial" w:eastAsia="Arial" w:hAnsi="Arial"/>
          <w:sz w:val="20"/>
          <w:szCs w:val="20"/>
          <w:color w:val="auto"/>
        </w:rPr>
      </w:pPr>
      <w:r>
        <w:rPr>
          <w:rFonts w:ascii="Arial" w:cs="Arial" w:eastAsia="Arial" w:hAnsi="Arial"/>
          <w:sz w:val="20"/>
          <w:szCs w:val="20"/>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61" w:lineRule="exact"/>
        <w:rPr>
          <w:sz w:val="20"/>
          <w:szCs w:val="20"/>
          <w:color w:val="auto"/>
        </w:rPr>
      </w:pPr>
    </w:p>
    <w:p>
      <w:pPr>
        <w:ind w:firstLine="800"/>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Franchises</w:t>
      </w:r>
      <w:r>
        <w:rPr>
          <w:rFonts w:ascii="Arial" w:cs="Arial" w:eastAsia="Arial" w:hAnsi="Arial"/>
          <w:sz w:val="18"/>
          <w:szCs w:val="18"/>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42" w:lineRule="exact"/>
        <w:rPr>
          <w:sz w:val="20"/>
          <w:szCs w:val="20"/>
          <w:color w:val="auto"/>
        </w:rPr>
      </w:pPr>
    </w:p>
    <w:p>
      <w:pPr>
        <w:ind w:right="60" w:firstLine="1715"/>
        <w:spacing w:after="0" w:line="269" w:lineRule="auto"/>
        <w:tabs>
          <w:tab w:leader="none" w:pos="225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A-35</w:t>
      </w:r>
    </w:p>
    <w:p>
      <w:pPr>
        <w:sectPr>
          <w:pgSz w:w="11900" w:h="16838" w:orient="portrait"/>
          <w:cols w:equalWidth="0" w:num="1">
            <w:col w:w="11400"/>
          </w:cols>
          <w:pgMar w:left="240" w:top="439" w:right="25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80" w:firstLine="1"/>
        <w:spacing w:after="0" w:line="273" w:lineRule="auto"/>
        <w:tabs>
          <w:tab w:leader="none" w:pos="28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Governmental Authority has commenced or requested the commencement of an administrative proceeding concerning the renewal of a material Franchise of the Company or its Subsidiaries as provided in Section 626(c)</w:t>
      </w:r>
    </w:p>
    <w:p>
      <w:pPr>
        <w:spacing w:after="0" w:line="1" w:lineRule="exact"/>
        <w:rPr>
          <w:rFonts w:ascii="Arial" w:cs="Arial" w:eastAsia="Arial" w:hAnsi="Arial"/>
          <w:sz w:val="18"/>
          <w:szCs w:val="18"/>
          <w:color w:val="auto"/>
        </w:rPr>
      </w:pPr>
    </w:p>
    <w:p>
      <w:pPr>
        <w:ind w:right="20"/>
        <w:spacing w:after="0" w:line="242" w:lineRule="auto"/>
        <w:rPr>
          <w:rFonts w:ascii="Arial" w:cs="Arial" w:eastAsia="Arial" w:hAnsi="Arial"/>
          <w:sz w:val="18"/>
          <w:szCs w:val="18"/>
          <w:color w:val="auto"/>
        </w:rPr>
      </w:pPr>
      <w:r>
        <w:rPr>
          <w:rFonts w:ascii="Arial" w:cs="Arial" w:eastAsia="Arial" w:hAnsi="Arial"/>
          <w:sz w:val="20"/>
          <w:szCs w:val="20"/>
          <w:color w:val="auto"/>
        </w:rPr>
        <w:t>(1)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69" w:lineRule="exact"/>
        <w:rPr>
          <w:rFonts w:ascii="Arial" w:cs="Arial" w:eastAsia="Arial" w:hAnsi="Arial"/>
          <w:sz w:val="18"/>
          <w:szCs w:val="18"/>
          <w:color w:val="auto"/>
        </w:rPr>
      </w:pPr>
    </w:p>
    <w:p>
      <w:pPr>
        <w:ind w:right="160" w:firstLine="1715"/>
        <w:spacing w:after="0" w:line="246" w:lineRule="auto"/>
        <w:tabs>
          <w:tab w:leader="none" w:pos="2241" w:val="left"/>
        </w:tabs>
        <w:numPr>
          <w:ilvl w:val="1"/>
          <w:numId w:val="271"/>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167" w:lineRule="exact"/>
        <w:rPr>
          <w:sz w:val="20"/>
          <w:szCs w:val="20"/>
          <w:color w:val="auto"/>
        </w:rPr>
      </w:pPr>
    </w:p>
    <w:p>
      <w:pPr>
        <w:jc w:val="both"/>
        <w:ind w:right="140" w:firstLine="800"/>
        <w:spacing w:after="0" w:line="251" w:lineRule="auto"/>
        <w:rPr>
          <w:sz w:val="20"/>
          <w:szCs w:val="20"/>
          <w:color w:val="auto"/>
        </w:rPr>
      </w:pPr>
      <w:r>
        <w:rPr>
          <w:rFonts w:ascii="Arial" w:cs="Arial" w:eastAsia="Arial" w:hAnsi="Arial"/>
          <w:sz w:val="20"/>
          <w:szCs w:val="20"/>
          <w:color w:val="auto"/>
        </w:rPr>
        <w:t xml:space="preserve">Section 4.22. </w:t>
      </w:r>
      <w:r>
        <w:rPr>
          <w:rFonts w:ascii="Arial" w:cs="Arial" w:eastAsia="Arial" w:hAnsi="Arial"/>
          <w:sz w:val="20"/>
          <w:szCs w:val="20"/>
          <w:i w:val="1"/>
          <w:iCs w:val="1"/>
          <w:color w:val="auto"/>
        </w:rPr>
        <w:t>Tax Treatment</w:t>
      </w:r>
      <w:r>
        <w:rPr>
          <w:rFonts w:ascii="Arial" w:cs="Arial" w:eastAsia="Arial" w:hAnsi="Arial"/>
          <w:sz w:val="20"/>
          <w:szCs w:val="20"/>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20"/>
          <w:szCs w:val="20"/>
          <w:b w:val="1"/>
          <w:bCs w:val="1"/>
          <w:color w:val="auto"/>
        </w:rPr>
        <w:t>368 Reorganization</w:t>
      </w:r>
      <w:r>
        <w:rPr>
          <w:rFonts w:ascii="Arial" w:cs="Arial" w:eastAsia="Arial" w:hAnsi="Arial"/>
          <w:sz w:val="20"/>
          <w:szCs w:val="20"/>
          <w:color w:val="auto"/>
        </w:rPr>
        <w:t>”).</w:t>
      </w:r>
    </w:p>
    <w:p>
      <w:pPr>
        <w:spacing w:after="0" w:line="161" w:lineRule="exact"/>
        <w:rPr>
          <w:sz w:val="20"/>
          <w:szCs w:val="20"/>
          <w:color w:val="auto"/>
        </w:rPr>
      </w:pPr>
    </w:p>
    <w:p>
      <w:pPr>
        <w:ind w:firstLine="800"/>
        <w:spacing w:after="0" w:line="244" w:lineRule="auto"/>
        <w:rPr>
          <w:sz w:val="20"/>
          <w:szCs w:val="20"/>
          <w:color w:val="auto"/>
        </w:rPr>
      </w:pPr>
      <w:r>
        <w:rPr>
          <w:rFonts w:ascii="Arial" w:cs="Arial" w:eastAsia="Arial" w:hAnsi="Arial"/>
          <w:sz w:val="20"/>
          <w:szCs w:val="20"/>
          <w:color w:val="auto"/>
        </w:rPr>
        <w:t xml:space="preserve">Section 4.23. </w:t>
      </w:r>
      <w:r>
        <w:rPr>
          <w:rFonts w:ascii="Arial" w:cs="Arial" w:eastAsia="Arial" w:hAnsi="Arial"/>
          <w:sz w:val="20"/>
          <w:szCs w:val="20"/>
          <w:i w:val="1"/>
          <w:iCs w:val="1"/>
          <w:color w:val="auto"/>
        </w:rPr>
        <w:t>Finders’ Fees.</w:t>
      </w:r>
      <w:r>
        <w:rPr>
          <w:rFonts w:ascii="Arial" w:cs="Arial" w:eastAsia="Arial" w:hAnsi="Arial"/>
          <w:sz w:val="20"/>
          <w:szCs w:val="20"/>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4.24. </w:t>
      </w:r>
      <w:r>
        <w:rPr>
          <w:rFonts w:ascii="Arial" w:cs="Arial" w:eastAsia="Arial" w:hAnsi="Arial"/>
          <w:sz w:val="19"/>
          <w:szCs w:val="19"/>
          <w:i w:val="1"/>
          <w:iCs w:val="1"/>
          <w:color w:val="auto"/>
        </w:rPr>
        <w:t>Opinion of Financial Advisor</w:t>
      </w:r>
      <w:r>
        <w:rPr>
          <w:rFonts w:ascii="Arial" w:cs="Arial" w:eastAsia="Arial" w:hAnsi="Arial"/>
          <w:sz w:val="19"/>
          <w:szCs w:val="19"/>
          <w:color w:val="auto"/>
        </w:rPr>
        <w:t>. The Board of Directors of the Company has received the separate opinions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 Centerview Partners LLC, Citigroup Global Markets Inc. and Morgan Stanley &amp; Co. LLC, each a financial advisor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to the Company (or, in the case of Centerview Partners LLC, to the independent members of the Board of Directors of the Company), to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effect that, as of the date of such opinion, and based upon and subject to the factors and assumptions set forth therein, the Exchange Ratio is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fair from a financial point of view to the holders of Company Stock.</w:t>
      </w:r>
    </w:p>
    <w:p>
      <w:pPr>
        <w:spacing w:after="0" w:line="181" w:lineRule="exact"/>
        <w:rPr>
          <w:sz w:val="20"/>
          <w:szCs w:val="20"/>
          <w:color w:val="auto"/>
        </w:rPr>
      </w:pPr>
    </w:p>
    <w:p>
      <w:pPr>
        <w:ind w:right="180" w:firstLine="800"/>
        <w:spacing w:after="0" w:line="244" w:lineRule="auto"/>
        <w:rPr>
          <w:sz w:val="20"/>
          <w:szCs w:val="20"/>
          <w:color w:val="auto"/>
        </w:rPr>
      </w:pPr>
      <w:r>
        <w:rPr>
          <w:rFonts w:ascii="Arial" w:cs="Arial" w:eastAsia="Arial" w:hAnsi="Arial"/>
          <w:sz w:val="20"/>
          <w:szCs w:val="20"/>
          <w:color w:val="auto"/>
        </w:rPr>
        <w:t xml:space="preserve">Section 4.25. </w:t>
      </w:r>
      <w:r>
        <w:rPr>
          <w:rFonts w:ascii="Arial" w:cs="Arial" w:eastAsia="Arial" w:hAnsi="Arial"/>
          <w:sz w:val="20"/>
          <w:szCs w:val="20"/>
          <w:i w:val="1"/>
          <w:iCs w:val="1"/>
          <w:color w:val="auto"/>
        </w:rPr>
        <w:t>Antitakeover Statutes</w:t>
      </w:r>
      <w:r>
        <w:rPr>
          <w:rFonts w:ascii="Arial" w:cs="Arial" w:eastAsia="Arial" w:hAnsi="Arial"/>
          <w:sz w:val="20"/>
          <w:szCs w:val="20"/>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20"/>
          <w:szCs w:val="20"/>
          <w:b w:val="1"/>
          <w:bCs w:val="1"/>
          <w:color w:val="auto"/>
        </w:rPr>
        <w:t>control share acquisition,</w:t>
      </w:r>
      <w:r>
        <w:rPr>
          <w:rFonts w:ascii="Arial" w:cs="Arial" w:eastAsia="Arial" w:hAnsi="Arial"/>
          <w:sz w:val="20"/>
          <w:szCs w:val="20"/>
          <w:color w:val="auto"/>
        </w:rPr>
        <w:t>” “</w:t>
      </w:r>
      <w:r>
        <w:rPr>
          <w:rFonts w:ascii="Arial" w:cs="Arial" w:eastAsia="Arial" w:hAnsi="Arial"/>
          <w:sz w:val="20"/>
          <w:szCs w:val="20"/>
          <w:b w:val="1"/>
          <w:bCs w:val="1"/>
          <w:color w:val="auto"/>
        </w:rPr>
        <w:t>fair price,</w:t>
      </w:r>
      <w:r>
        <w:rPr>
          <w:rFonts w:ascii="Arial" w:cs="Arial" w:eastAsia="Arial" w:hAnsi="Arial"/>
          <w:sz w:val="20"/>
          <w:szCs w:val="20"/>
          <w:color w:val="auto"/>
        </w:rPr>
        <w:t>” “</w:t>
      </w:r>
      <w:r>
        <w:rPr>
          <w:rFonts w:ascii="Arial" w:cs="Arial" w:eastAsia="Arial" w:hAnsi="Arial"/>
          <w:sz w:val="20"/>
          <w:szCs w:val="20"/>
          <w:b w:val="1"/>
          <w:bCs w:val="1"/>
          <w:color w:val="auto"/>
        </w:rPr>
        <w:t>moratorium</w:t>
      </w:r>
      <w:r>
        <w:rPr>
          <w:rFonts w:ascii="Arial" w:cs="Arial" w:eastAsia="Arial" w:hAnsi="Arial"/>
          <w:sz w:val="20"/>
          <w:szCs w:val="20"/>
          <w:color w:val="auto"/>
        </w:rPr>
        <w:t>” or other antitakeover laws enacted under U.S. state or federal laws apply to this Agreement or any of the transactions contemplated hereby.</w:t>
      </w:r>
    </w:p>
    <w:p>
      <w:pPr>
        <w:spacing w:after="0" w:line="168"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 xml:space="preserve">Section 4.26. </w:t>
      </w:r>
      <w:r>
        <w:rPr>
          <w:rFonts w:ascii="Arial" w:cs="Arial" w:eastAsia="Arial" w:hAnsi="Arial"/>
          <w:sz w:val="20"/>
          <w:szCs w:val="20"/>
          <w:i w:val="1"/>
          <w:iCs w:val="1"/>
          <w:color w:val="auto"/>
        </w:rPr>
        <w:t>No Additional Representations</w:t>
      </w:r>
      <w:r>
        <w:rPr>
          <w:rFonts w:ascii="Arial" w:cs="Arial" w:eastAsia="Arial" w:hAnsi="Arial"/>
          <w:sz w:val="20"/>
          <w:szCs w:val="20"/>
          <w:color w:val="auto"/>
        </w:rPr>
        <w:t>. Except for the representations and warranties made by the Company in this Article 4, neither the Company nor any other Person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A-36</w:t>
      </w:r>
    </w:p>
    <w:p>
      <w:pPr>
        <w:sectPr>
          <w:pgSz w:w="11900" w:h="16838" w:orient="portrait"/>
          <w:cols w:equalWidth="0" w:num="1">
            <w:col w:w="11400"/>
          </w:cols>
          <w:pgMar w:left="240" w:top="439" w:right="25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5</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and Warranties of Parent</w:t>
      </w:r>
    </w:p>
    <w:p>
      <w:pPr>
        <w:spacing w:after="0" w:line="181" w:lineRule="exact"/>
        <w:rPr>
          <w:sz w:val="20"/>
          <w:szCs w:val="20"/>
          <w:color w:val="auto"/>
        </w:rPr>
      </w:pPr>
    </w:p>
    <w:p>
      <w:pPr>
        <w:ind w:right="240" w:firstLine="571"/>
        <w:spacing w:after="0" w:line="251" w:lineRule="auto"/>
        <w:rPr>
          <w:sz w:val="20"/>
          <w:szCs w:val="20"/>
          <w:color w:val="auto"/>
        </w:rPr>
      </w:pPr>
      <w:r>
        <w:rPr>
          <w:rFonts w:ascii="Arial" w:cs="Arial" w:eastAsia="Arial" w:hAnsi="Arial"/>
          <w:sz w:val="20"/>
          <w:szCs w:val="20"/>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20"/>
          <w:szCs w:val="20"/>
          <w:b w:val="1"/>
          <w:bCs w:val="1"/>
          <w:color w:val="auto"/>
        </w:rPr>
        <w:t>Specified Parent SEC Documents</w:t>
      </w:r>
      <w:r>
        <w:rPr>
          <w:rFonts w:ascii="Arial" w:cs="Arial" w:eastAsia="Arial" w:hAnsi="Arial"/>
          <w:sz w:val="20"/>
          <w:szCs w:val="20"/>
          <w:color w:val="auto"/>
        </w:rPr>
        <w:t>”) or (b) as set forth in the Parent Disclosure Schedule, Parent represents and warrants to the Company that:</w:t>
      </w:r>
    </w:p>
    <w:p>
      <w:pPr>
        <w:spacing w:after="0" w:line="161" w:lineRule="exact"/>
        <w:rPr>
          <w:sz w:val="20"/>
          <w:szCs w:val="20"/>
          <w:color w:val="auto"/>
        </w:rPr>
      </w:pPr>
    </w:p>
    <w:p>
      <w:pPr>
        <w:ind w:right="160" w:firstLine="800"/>
        <w:spacing w:after="0" w:line="270"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49"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A-37</w:t>
      </w:r>
    </w:p>
    <w:p>
      <w:pPr>
        <w:sectPr>
          <w:pgSz w:w="11900" w:h="16838" w:orient="portrait"/>
          <w:cols w:equalWidth="0" w:num="1">
            <w:col w:w="11400"/>
          </w:cols>
          <w:pgMar w:left="240" w:top="439" w:right="25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8"/>
          <w:szCs w:val="18"/>
          <w:b w:val="1"/>
          <w:bCs w:val="1"/>
          <w:color w:val="auto"/>
        </w:rPr>
        <w:t>Parent Shareholder Approval</w:t>
      </w:r>
      <w:r>
        <w:rPr>
          <w:rFonts w:ascii="Arial" w:cs="Arial" w:eastAsia="Arial" w:hAnsi="Arial"/>
          <w:sz w:val="18"/>
          <w:szCs w:val="18"/>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147" w:lineRule="exact"/>
        <w:rPr>
          <w:sz w:val="20"/>
          <w:szCs w:val="20"/>
          <w:color w:val="auto"/>
        </w:rPr>
      </w:pPr>
    </w:p>
    <w:p>
      <w:pPr>
        <w:ind w:left="2240" w:hanging="525"/>
        <w:spacing w:after="0"/>
        <w:tabs>
          <w:tab w:leader="none" w:pos="2240" w:val="left"/>
        </w:tabs>
        <w:numPr>
          <w:ilvl w:val="1"/>
          <w:numId w:val="272"/>
        </w:numPr>
        <w:rPr>
          <w:rFonts w:ascii="Arial" w:cs="Arial" w:eastAsia="Arial" w:hAnsi="Arial"/>
          <w:sz w:val="20"/>
          <w:szCs w:val="20"/>
          <w:color w:val="auto"/>
        </w:rPr>
      </w:pPr>
      <w:r>
        <w:rPr>
          <w:rFonts w:ascii="Arial" w:cs="Arial" w:eastAsia="Arial" w:hAnsi="Arial"/>
          <w:sz w:val="20"/>
          <w:szCs w:val="20"/>
          <w:color w:val="auto"/>
        </w:rPr>
        <w:t>At a meeting duly called and held, as of the date of this Agreement, Parent’s Board of Directors has</w:t>
      </w:r>
    </w:p>
    <w:p>
      <w:pPr>
        <w:spacing w:after="0" w:line="15" w:lineRule="exact"/>
        <w:rPr>
          <w:rFonts w:ascii="Arial" w:cs="Arial" w:eastAsia="Arial" w:hAnsi="Arial"/>
          <w:sz w:val="20"/>
          <w:szCs w:val="20"/>
          <w:color w:val="auto"/>
        </w:rPr>
      </w:pPr>
    </w:p>
    <w:p>
      <w:pPr>
        <w:ind w:left="240" w:hanging="239"/>
        <w:spacing w:after="0"/>
        <w:tabs>
          <w:tab w:leader="none" w:pos="24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unanimously determined that this Agreement and the transactions contemplated hereby are fair to and in the best interests of Parent,</w:t>
      </w:r>
    </w:p>
    <w:p>
      <w:pPr>
        <w:spacing w:after="0" w:line="8" w:lineRule="exact"/>
        <w:rPr>
          <w:rFonts w:ascii="Arial" w:cs="Arial" w:eastAsia="Arial" w:hAnsi="Arial"/>
          <w:sz w:val="19"/>
          <w:szCs w:val="19"/>
          <w:color w:val="auto"/>
        </w:rPr>
      </w:pPr>
    </w:p>
    <w:p>
      <w:pPr>
        <w:ind w:right="180" w:firstLine="1"/>
        <w:spacing w:after="0" w:line="242" w:lineRule="auto"/>
        <w:tabs>
          <w:tab w:leader="none" w:pos="297" w:val="left"/>
        </w:tabs>
        <w:numPr>
          <w:ilvl w:val="0"/>
          <w:numId w:val="273"/>
        </w:numPr>
        <w:rPr>
          <w:rFonts w:ascii="Arial" w:cs="Arial" w:eastAsia="Arial" w:hAnsi="Arial"/>
          <w:sz w:val="20"/>
          <w:szCs w:val="20"/>
          <w:color w:val="auto"/>
        </w:rPr>
      </w:pPr>
      <w:r>
        <w:rPr>
          <w:rFonts w:ascii="Arial" w:cs="Arial" w:eastAsia="Arial" w:hAnsi="Arial"/>
          <w:sz w:val="20"/>
          <w:szCs w:val="20"/>
          <w:color w:val="auto"/>
        </w:rPr>
        <w:t>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20"/>
          <w:szCs w:val="20"/>
          <w:b w:val="1"/>
          <w:bCs w:val="1"/>
          <w:color w:val="auto"/>
        </w:rPr>
        <w:t>Parent Board</w:t>
      </w:r>
      <w:r>
        <w:rPr>
          <w:rFonts w:ascii="Arial" w:cs="Arial" w:eastAsia="Arial" w:hAnsi="Arial"/>
          <w:sz w:val="20"/>
          <w:szCs w:val="20"/>
          <w:color w:val="auto"/>
        </w:rPr>
        <w:t xml:space="preserve"> </w:t>
      </w:r>
      <w:r>
        <w:rPr>
          <w:rFonts w:ascii="Arial" w:cs="Arial" w:eastAsia="Arial" w:hAnsi="Arial"/>
          <w:sz w:val="20"/>
          <w:szCs w:val="20"/>
          <w:b w:val="1"/>
          <w:bCs w:val="1"/>
          <w:color w:val="auto"/>
        </w:rPr>
        <w:t>Recommendation</w:t>
      </w:r>
      <w:r>
        <w:rPr>
          <w:rFonts w:ascii="Arial" w:cs="Arial" w:eastAsia="Arial" w:hAnsi="Arial"/>
          <w:sz w:val="20"/>
          <w:szCs w:val="20"/>
          <w:color w:val="auto"/>
        </w:rPr>
        <w:t>”).</w:t>
      </w:r>
    </w:p>
    <w:p>
      <w:pPr>
        <w:spacing w:after="0" w:line="169" w:lineRule="exact"/>
        <w:rPr>
          <w:sz w:val="20"/>
          <w:szCs w:val="20"/>
          <w:color w:val="auto"/>
        </w:rPr>
      </w:pPr>
    </w:p>
    <w:p>
      <w:pPr>
        <w:ind w:right="180" w:firstLine="800"/>
        <w:spacing w:after="0" w:line="253"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Governmental Authorization</w:t>
      </w:r>
      <w:r>
        <w:rPr>
          <w:rFonts w:ascii="Arial" w:cs="Arial" w:eastAsia="Arial" w:hAnsi="Arial"/>
          <w:sz w:val="19"/>
          <w:szCs w:val="19"/>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A-38</w:t>
      </w:r>
    </w:p>
    <w:p>
      <w:pPr>
        <w:sectPr>
          <w:pgSz w:w="11900" w:h="16838" w:orient="portrait"/>
          <w:cols w:equalWidth="0" w:num="1">
            <w:col w:w="11420"/>
          </w:cols>
          <w:pgMar w:left="240" w:top="439" w:right="23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 (iii)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52"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Capitalization</w:t>
      </w:r>
      <w:r>
        <w:rPr>
          <w:rFonts w:ascii="Arial" w:cs="Arial" w:eastAsia="Arial" w:hAnsi="Arial"/>
          <w:sz w:val="18"/>
          <w:szCs w:val="18"/>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 (B) 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 (F) 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A-39</w:t>
      </w:r>
    </w:p>
    <w:p>
      <w:pPr>
        <w:sectPr>
          <w:pgSz w:w="11900" w:h="16838" w:orient="portrait"/>
          <w:cols w:equalWidth="0" w:num="1">
            <w:col w:w="11420"/>
          </w:cols>
          <w:pgMar w:left="240" w:top="439" w:right="23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6" w:lineRule="auto"/>
        <w:tabs>
          <w:tab w:leader="none" w:pos="22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As of the date hereof, there are no outstanding bonds, debentures, notes or other indebtedness of Parent having the right to vote on an as-converted basis (or convertible into, or exchangeable for, securities having the right to 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w:t>
      </w:r>
    </w:p>
    <w:p>
      <w:pPr>
        <w:spacing w:after="0" w:line="1" w:lineRule="exact"/>
        <w:rPr>
          <w:rFonts w:ascii="Arial" w:cs="Arial" w:eastAsia="Arial" w:hAnsi="Arial"/>
          <w:sz w:val="18"/>
          <w:szCs w:val="18"/>
          <w:color w:val="auto"/>
        </w:rPr>
      </w:pPr>
    </w:p>
    <w:p>
      <w:pPr>
        <w:ind w:right="60" w:firstLine="1"/>
        <w:spacing w:after="0" w:line="238" w:lineRule="auto"/>
        <w:tabs>
          <w:tab w:leader="none" w:pos="342" w:val="left"/>
        </w:tabs>
        <w:numPr>
          <w:ilvl w:val="0"/>
          <w:numId w:val="275"/>
        </w:numPr>
        <w:rPr>
          <w:rFonts w:ascii="Arial" w:cs="Arial" w:eastAsia="Arial" w:hAnsi="Arial"/>
          <w:sz w:val="20"/>
          <w:szCs w:val="20"/>
          <w:color w:val="auto"/>
        </w:rPr>
      </w:pPr>
      <w:r>
        <w:rPr>
          <w:rFonts w:ascii="Arial" w:cs="Arial" w:eastAsia="Arial" w:hAnsi="Arial"/>
          <w:sz w:val="20"/>
          <w:szCs w:val="20"/>
          <w:color w:val="auto"/>
        </w:rPr>
        <w:t>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20"/>
          <w:szCs w:val="20"/>
          <w:b w:val="1"/>
          <w:bCs w:val="1"/>
          <w:color w:val="auto"/>
        </w:rPr>
        <w:t>Parent Securities</w:t>
      </w:r>
      <w:r>
        <w:rPr>
          <w:rFonts w:ascii="Arial" w:cs="Arial" w:eastAsia="Arial" w:hAnsi="Arial"/>
          <w:sz w:val="20"/>
          <w:szCs w:val="20"/>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76" w:lineRule="exact"/>
        <w:rPr>
          <w:rFonts w:ascii="Arial" w:cs="Arial" w:eastAsia="Arial" w:hAnsi="Arial"/>
          <w:sz w:val="20"/>
          <w:szCs w:val="20"/>
          <w:color w:val="auto"/>
        </w:rPr>
      </w:pPr>
    </w:p>
    <w:p>
      <w:pPr>
        <w:jc w:val="both"/>
        <w:ind w:right="180" w:firstLine="1715"/>
        <w:spacing w:after="0" w:line="270" w:lineRule="auto"/>
        <w:tabs>
          <w:tab w:leader="none" w:pos="2237" w:val="left"/>
        </w:tabs>
        <w:numPr>
          <w:ilvl w:val="1"/>
          <w:numId w:val="275"/>
        </w:numPr>
        <w:rPr>
          <w:rFonts w:ascii="Arial" w:cs="Arial" w:eastAsia="Arial" w:hAnsi="Arial"/>
          <w:sz w:val="19"/>
          <w:szCs w:val="19"/>
          <w:color w:val="auto"/>
        </w:rPr>
      </w:pPr>
      <w:r>
        <w:rPr>
          <w:rFonts w:ascii="Arial" w:cs="Arial" w:eastAsia="Arial" w:hAnsi="Arial"/>
          <w:sz w:val="19"/>
          <w:szCs w:val="19"/>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45" w:lineRule="exact"/>
        <w:rPr>
          <w:sz w:val="20"/>
          <w:szCs w:val="20"/>
          <w:color w:val="auto"/>
        </w:rPr>
      </w:pPr>
    </w:p>
    <w:p>
      <w:pPr>
        <w:ind w:right="60" w:firstLine="800"/>
        <w:spacing w:after="0" w:line="254"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Subsidiaries</w:t>
      </w:r>
      <w:r>
        <w:rPr>
          <w:rFonts w:ascii="Arial" w:cs="Arial" w:eastAsia="Arial" w:hAnsi="Arial"/>
          <w:sz w:val="19"/>
          <w:szCs w:val="19"/>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60" w:lineRule="exact"/>
        <w:rPr>
          <w:sz w:val="20"/>
          <w:szCs w:val="20"/>
          <w:color w:val="auto"/>
        </w:rPr>
      </w:pPr>
    </w:p>
    <w:p>
      <w:pPr>
        <w:ind w:right="100" w:firstLine="1715"/>
        <w:spacing w:after="0" w:line="251" w:lineRule="auto"/>
        <w:tabs>
          <w:tab w:leader="none" w:pos="2241"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A-40</w:t>
      </w:r>
    </w:p>
    <w:p>
      <w:pPr>
        <w:sectPr>
          <w:pgSz w:w="11900" w:h="16838" w:orient="portrait"/>
          <w:cols w:equalWidth="0" w:num="1">
            <w:col w:w="11320"/>
          </w:cols>
          <w:pgMar w:left="240" w:top="439" w:right="33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340"/>
        <w:spacing w:after="0" w:line="270" w:lineRule="auto"/>
        <w:rPr>
          <w:sz w:val="20"/>
          <w:szCs w:val="20"/>
          <w:color w:val="auto"/>
        </w:rPr>
      </w:pPr>
      <w:r>
        <w:rPr>
          <w:rFonts w:ascii="Arial" w:cs="Arial" w:eastAsia="Arial" w:hAnsi="Arial"/>
          <w:sz w:val="18"/>
          <w:szCs w:val="18"/>
          <w:color w:val="auto"/>
        </w:rPr>
        <w:t>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w:t>
      </w:r>
    </w:p>
    <w:p>
      <w:pPr>
        <w:ind w:right="40" w:firstLine="1"/>
        <w:spacing w:after="0" w:line="238" w:lineRule="auto"/>
        <w:tabs>
          <w:tab w:leader="none" w:pos="297"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20"/>
          <w:szCs w:val="20"/>
          <w:b w:val="1"/>
          <w:bCs w:val="1"/>
          <w:color w:val="auto"/>
        </w:rPr>
        <w:t>Parent Subsidiary Securities</w:t>
      </w:r>
      <w:r>
        <w:rPr>
          <w:rFonts w:ascii="Arial" w:cs="Arial" w:eastAsia="Arial" w:hAnsi="Arial"/>
          <w:sz w:val="20"/>
          <w:szCs w:val="20"/>
          <w:color w:val="auto"/>
        </w:rPr>
        <w:t>”). There are no outstanding obligations of Parent or any of its Significant Subsidiaries to repurchase, redeem or otherwise acquire any of the Parent Subsidiary Securities.</w:t>
      </w:r>
    </w:p>
    <w:p>
      <w:pPr>
        <w:spacing w:after="0" w:line="174" w:lineRule="exact"/>
        <w:rPr>
          <w:sz w:val="20"/>
          <w:szCs w:val="20"/>
          <w:color w:val="auto"/>
        </w:rPr>
      </w:pPr>
    </w:p>
    <w:p>
      <w:pPr>
        <w:ind w:right="60" w:firstLine="800"/>
        <w:spacing w:after="0" w:line="28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SEC Filings and the Sarbanes-Oxley Act</w:t>
      </w:r>
      <w:r>
        <w:rPr>
          <w:rFonts w:ascii="Arial" w:cs="Arial" w:eastAsia="Arial" w:hAnsi="Arial"/>
          <w:sz w:val="18"/>
          <w:szCs w:val="18"/>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8"/>
          <w:szCs w:val="18"/>
          <w:b w:val="1"/>
          <w:bCs w:val="1"/>
          <w:color w:val="auto"/>
        </w:rPr>
        <w:t>Parent SEC Documents</w:t>
      </w:r>
      <w:r>
        <w:rPr>
          <w:rFonts w:ascii="Arial" w:cs="Arial" w:eastAsia="Arial" w:hAnsi="Arial"/>
          <w:sz w:val="18"/>
          <w:szCs w:val="18"/>
          <w:color w:val="auto"/>
        </w:rPr>
        <w:t>”).</w:t>
      </w:r>
    </w:p>
    <w:p>
      <w:pPr>
        <w:spacing w:after="0" w:line="137" w:lineRule="exact"/>
        <w:rPr>
          <w:sz w:val="20"/>
          <w:szCs w:val="20"/>
          <w:color w:val="auto"/>
        </w:rPr>
      </w:pPr>
    </w:p>
    <w:p>
      <w:pPr>
        <w:ind w:right="60" w:firstLine="1715"/>
        <w:spacing w:after="0" w:line="270" w:lineRule="auto"/>
        <w:tabs>
          <w:tab w:leader="none" w:pos="2241"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45" w:lineRule="exact"/>
        <w:rPr>
          <w:rFonts w:ascii="Arial" w:cs="Arial" w:eastAsia="Arial" w:hAnsi="Arial"/>
          <w:sz w:val="19"/>
          <w:szCs w:val="19"/>
          <w:color w:val="auto"/>
        </w:rPr>
      </w:pPr>
    </w:p>
    <w:p>
      <w:pPr>
        <w:ind w:right="120" w:firstLine="1715"/>
        <w:spacing w:after="0" w:line="244" w:lineRule="auto"/>
        <w:tabs>
          <w:tab w:leader="none" w:pos="2229"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67" w:lineRule="exact"/>
        <w:rPr>
          <w:rFonts w:ascii="Arial" w:cs="Arial" w:eastAsia="Arial" w:hAnsi="Arial"/>
          <w:sz w:val="20"/>
          <w:szCs w:val="20"/>
          <w:color w:val="auto"/>
        </w:rPr>
      </w:pPr>
    </w:p>
    <w:p>
      <w:pPr>
        <w:ind w:firstLine="1715"/>
        <w:spacing w:after="0" w:line="246" w:lineRule="auto"/>
        <w:tabs>
          <w:tab w:leader="none" w:pos="2252" w:val="left"/>
        </w:tabs>
        <w:numPr>
          <w:ilvl w:val="0"/>
          <w:numId w:val="278"/>
        </w:numPr>
        <w:rPr>
          <w:rFonts w:ascii="Arial" w:cs="Arial" w:eastAsia="Arial" w:hAnsi="Arial"/>
          <w:sz w:val="20"/>
          <w:szCs w:val="20"/>
          <w:color w:val="auto"/>
        </w:rPr>
      </w:pPr>
      <w:r>
        <w:rPr>
          <w:rFonts w:ascii="Arial" w:cs="Arial" w:eastAsia="Arial" w:hAnsi="Arial"/>
          <w:sz w:val="20"/>
          <w:szCs w:val="20"/>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A-41</w:t>
      </w:r>
    </w:p>
    <w:p>
      <w:pPr>
        <w:sectPr>
          <w:pgSz w:w="11900" w:h="16838" w:orient="portrait"/>
          <w:cols w:equalWidth="0" w:num="1">
            <w:col w:w="11420"/>
          </w:cols>
          <w:pgMar w:left="240" w:top="439" w:right="23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380" w:firstLine="1715"/>
        <w:spacing w:after="0" w:line="275" w:lineRule="auto"/>
        <w:tabs>
          <w:tab w:leader="none" w:pos="22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40" w:lineRule="exact"/>
        <w:rPr>
          <w:rFonts w:ascii="Arial" w:cs="Arial" w:eastAsia="Arial" w:hAnsi="Arial"/>
          <w:sz w:val="18"/>
          <w:szCs w:val="18"/>
          <w:color w:val="auto"/>
        </w:rPr>
      </w:pPr>
    </w:p>
    <w:p>
      <w:pPr>
        <w:ind w:firstLine="1715"/>
        <w:spacing w:after="0" w:line="271" w:lineRule="auto"/>
        <w:tabs>
          <w:tab w:leader="none" w:pos="221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48" w:lineRule="exact"/>
        <w:rPr>
          <w:rFonts w:ascii="Arial" w:cs="Arial" w:eastAsia="Arial" w:hAnsi="Arial"/>
          <w:sz w:val="18"/>
          <w:szCs w:val="18"/>
          <w:color w:val="auto"/>
        </w:rPr>
      </w:pPr>
    </w:p>
    <w:p>
      <w:pPr>
        <w:jc w:val="both"/>
        <w:ind w:right="80" w:firstLine="1715"/>
        <w:spacing w:after="0" w:line="251" w:lineRule="auto"/>
        <w:tabs>
          <w:tab w:leader="none" w:pos="2252" w:val="left"/>
        </w:tabs>
        <w:numPr>
          <w:ilvl w:val="0"/>
          <w:numId w:val="279"/>
        </w:numPr>
        <w:rPr>
          <w:rFonts w:ascii="Arial" w:cs="Arial" w:eastAsia="Arial" w:hAnsi="Arial"/>
          <w:sz w:val="20"/>
          <w:szCs w:val="20"/>
          <w:color w:val="auto"/>
        </w:rPr>
      </w:pPr>
      <w:r>
        <w:rPr>
          <w:rFonts w:ascii="Arial" w:cs="Arial" w:eastAsia="Arial" w:hAnsi="Arial"/>
          <w:sz w:val="20"/>
          <w:szCs w:val="20"/>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61" w:lineRule="exact"/>
        <w:rPr>
          <w:rFonts w:ascii="Arial" w:cs="Arial" w:eastAsia="Arial" w:hAnsi="Arial"/>
          <w:sz w:val="20"/>
          <w:szCs w:val="20"/>
          <w:color w:val="auto"/>
        </w:rPr>
      </w:pPr>
    </w:p>
    <w:p>
      <w:pPr>
        <w:ind w:right="100" w:firstLine="1715"/>
        <w:spacing w:after="0" w:line="265" w:lineRule="auto"/>
        <w:tabs>
          <w:tab w:leader="none" w:pos="2252" w:val="left"/>
        </w:tabs>
        <w:numPr>
          <w:ilvl w:val="0"/>
          <w:numId w:val="279"/>
        </w:numPr>
        <w:rPr>
          <w:rFonts w:ascii="Arial" w:cs="Arial" w:eastAsia="Arial" w:hAnsi="Arial"/>
          <w:sz w:val="20"/>
          <w:szCs w:val="20"/>
          <w:color w:val="auto"/>
        </w:rPr>
      </w:pPr>
      <w:r>
        <w:rPr>
          <w:rFonts w:ascii="Arial" w:cs="Arial" w:eastAsia="Arial" w:hAnsi="Arial"/>
          <w:sz w:val="20"/>
          <w:szCs w:val="20"/>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47" w:lineRule="exact"/>
        <w:rPr>
          <w:rFonts w:ascii="Arial" w:cs="Arial" w:eastAsia="Arial" w:hAnsi="Arial"/>
          <w:sz w:val="20"/>
          <w:szCs w:val="20"/>
          <w:color w:val="auto"/>
        </w:rPr>
      </w:pPr>
    </w:p>
    <w:p>
      <w:pPr>
        <w:ind w:right="140" w:firstLine="1715"/>
        <w:spacing w:after="0" w:line="246" w:lineRule="auto"/>
        <w:tabs>
          <w:tab w:leader="none" w:pos="220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66" w:lineRule="exact"/>
        <w:rPr>
          <w:rFonts w:ascii="Arial" w:cs="Arial" w:eastAsia="Arial" w:hAnsi="Arial"/>
          <w:sz w:val="20"/>
          <w:szCs w:val="20"/>
          <w:color w:val="auto"/>
        </w:rPr>
      </w:pPr>
    </w:p>
    <w:p>
      <w:pPr>
        <w:ind w:right="300" w:firstLine="1715"/>
        <w:spacing w:after="0" w:line="265" w:lineRule="auto"/>
        <w:tabs>
          <w:tab w:leader="none" w:pos="2203"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The Parent 10-K contains no material differences from Parent’s annual report on Form 10-K for the fiscal year ended December 31, 2013, in the form previously delivered to the Company.</w:t>
      </w:r>
    </w:p>
    <w:p>
      <w:pPr>
        <w:spacing w:after="0" w:line="148" w:lineRule="exact"/>
        <w:rPr>
          <w:sz w:val="20"/>
          <w:szCs w:val="20"/>
          <w:color w:val="auto"/>
        </w:rPr>
      </w:pPr>
    </w:p>
    <w:p>
      <w:pPr>
        <w:ind w:right="260" w:firstLine="800"/>
        <w:spacing w:after="0" w:line="265"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i w:val="1"/>
          <w:iCs w:val="1"/>
          <w:color w:val="auto"/>
        </w:rPr>
        <w:t>Financial Statements</w:t>
      </w:r>
      <w:r>
        <w:rPr>
          <w:rFonts w:ascii="Arial" w:cs="Arial" w:eastAsia="Arial" w:hAnsi="Arial"/>
          <w:sz w:val="20"/>
          <w:szCs w:val="20"/>
          <w:color w:val="auto"/>
        </w:rPr>
        <w:t>. The audited consolidated financial statements and unaudited consolidated interim financial statements of Parent included or incorporated by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A-42</w:t>
      </w:r>
    </w:p>
    <w:p>
      <w:pPr>
        <w:sectPr>
          <w:pgSz w:w="11900" w:h="16838" w:orient="portrait"/>
          <w:cols w:equalWidth="0" w:num="1">
            <w:col w:w="11420"/>
          </w:cols>
          <w:pgMar w:left="240" w:top="439" w:right="23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53"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Disclosure Documents.</w:t>
      </w:r>
      <w:r>
        <w:rPr>
          <w:rFonts w:ascii="Arial" w:cs="Arial" w:eastAsia="Arial" w:hAnsi="Arial"/>
          <w:sz w:val="18"/>
          <w:szCs w:val="18"/>
          <w:color w:val="auto"/>
        </w:rPr>
        <w:t xml:space="preserve"> The information supplied by Parent in writing for inclusion or incorporation by reference in the Registration Statement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52" w:lineRule="exact"/>
        <w:rPr>
          <w:sz w:val="20"/>
          <w:szCs w:val="20"/>
          <w:color w:val="auto"/>
        </w:rPr>
      </w:pPr>
    </w:p>
    <w:p>
      <w:pPr>
        <w:ind w:right="180" w:firstLine="800"/>
        <w:spacing w:after="0" w:line="246"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i w:val="1"/>
          <w:iCs w:val="1"/>
          <w:color w:val="auto"/>
        </w:rPr>
        <w:t>Absence of Certain Changes</w:t>
      </w:r>
      <w:r>
        <w:rPr>
          <w:rFonts w:ascii="Arial" w:cs="Arial" w:eastAsia="Arial" w:hAnsi="Arial"/>
          <w:sz w:val="20"/>
          <w:szCs w:val="20"/>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67"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i w:val="1"/>
          <w:iCs w:val="1"/>
          <w:color w:val="auto"/>
        </w:rPr>
        <w:t>No Undisclosed Material Liabilities</w:t>
      </w:r>
      <w:r>
        <w:rPr>
          <w:rFonts w:ascii="Arial" w:cs="Arial" w:eastAsia="Arial" w:hAnsi="Arial"/>
          <w:sz w:val="20"/>
          <w:szCs w:val="20"/>
          <w:color w:val="auto"/>
        </w:rPr>
        <w:t>. There are no liabilities or obligations of Parent or any of its Subsidiaries of any kind whatsoever, whether accrued, contingent, absolute, determined, determinable or otherwise, other than:</w:t>
      </w:r>
    </w:p>
    <w:p>
      <w:pPr>
        <w:spacing w:after="0" w:line="148" w:lineRule="exact"/>
        <w:rPr>
          <w:sz w:val="20"/>
          <w:szCs w:val="20"/>
          <w:color w:val="auto"/>
        </w:rPr>
      </w:pPr>
    </w:p>
    <w:p>
      <w:pPr>
        <w:ind w:right="340" w:firstLine="1715"/>
        <w:spacing w:after="0" w:line="265" w:lineRule="auto"/>
        <w:tabs>
          <w:tab w:leader="none" w:pos="2241" w:val="left"/>
        </w:tabs>
        <w:numPr>
          <w:ilvl w:val="0"/>
          <w:numId w:val="280"/>
        </w:numPr>
        <w:rPr>
          <w:rFonts w:ascii="Arial" w:cs="Arial" w:eastAsia="Arial" w:hAnsi="Arial"/>
          <w:sz w:val="20"/>
          <w:szCs w:val="20"/>
          <w:color w:val="auto"/>
        </w:rPr>
      </w:pPr>
      <w:r>
        <w:rPr>
          <w:rFonts w:ascii="Arial" w:cs="Arial" w:eastAsia="Arial" w:hAnsi="Arial"/>
          <w:sz w:val="20"/>
          <w:szCs w:val="20"/>
          <w:color w:val="auto"/>
        </w:rPr>
        <w:t>liabilities or obligations disclosed, reflected, reserved against or otherwise provided for in the Parent Balance Sheet or in the notes thereto;</w:t>
      </w:r>
    </w:p>
    <w:p>
      <w:pPr>
        <w:spacing w:after="0" w:line="147" w:lineRule="exact"/>
        <w:rPr>
          <w:rFonts w:ascii="Arial" w:cs="Arial" w:eastAsia="Arial" w:hAnsi="Arial"/>
          <w:sz w:val="20"/>
          <w:szCs w:val="20"/>
          <w:color w:val="auto"/>
        </w:rPr>
      </w:pPr>
    </w:p>
    <w:p>
      <w:pPr>
        <w:ind w:left="2260" w:hanging="545"/>
        <w:spacing w:after="0"/>
        <w:tabs>
          <w:tab w:leader="none" w:pos="22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liabilities or obligations incurred in the ordinary course of business consistent with past practices since the Parent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Balance Sheet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A-43</w:t>
      </w:r>
    </w:p>
    <w:p>
      <w:pPr>
        <w:sectPr>
          <w:pgSz w:w="11900" w:h="16838" w:orient="portrait"/>
          <w:cols w:equalWidth="0" w:num="1">
            <w:col w:w="11400"/>
          </w:cols>
          <w:pgMar w:left="240" w:top="439" w:right="25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liabilities or obligations arising out of this Agreement or the transactions contemplated hereby; and</w:t>
      </w:r>
    </w:p>
    <w:p>
      <w:pPr>
        <w:spacing w:after="0" w:line="198" w:lineRule="exact"/>
        <w:rPr>
          <w:rFonts w:ascii="Arial" w:cs="Arial" w:eastAsia="Arial" w:hAnsi="Arial"/>
          <w:sz w:val="20"/>
          <w:szCs w:val="20"/>
          <w:color w:val="auto"/>
        </w:rPr>
      </w:pPr>
    </w:p>
    <w:p>
      <w:pPr>
        <w:ind w:left="2260" w:hanging="545"/>
        <w:spacing w:after="0"/>
        <w:tabs>
          <w:tab w:leader="none" w:pos="22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liabilities or obligations that would not reasonably be expected to have, individually or in the aggregate, a Parent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Material Adverse Effect.</w:t>
      </w:r>
    </w:p>
    <w:p>
      <w:pPr>
        <w:spacing w:after="0" w:line="181" w:lineRule="exact"/>
        <w:rPr>
          <w:sz w:val="20"/>
          <w:szCs w:val="20"/>
          <w:color w:val="auto"/>
        </w:rPr>
      </w:pPr>
    </w:p>
    <w:p>
      <w:pPr>
        <w:ind w:firstLine="800"/>
        <w:spacing w:after="0" w:line="241"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i w:val="1"/>
          <w:iCs w:val="1"/>
          <w:color w:val="auto"/>
        </w:rPr>
        <w:t>Compliance with Laws and Court Orders; Governmental Authorizations.</w:t>
      </w:r>
      <w:r>
        <w:rPr>
          <w:rFonts w:ascii="Arial" w:cs="Arial" w:eastAsia="Arial" w:hAnsi="Arial"/>
          <w:sz w:val="20"/>
          <w:szCs w:val="20"/>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0" w:lineRule="exact"/>
        <w:rPr>
          <w:sz w:val="20"/>
          <w:szCs w:val="20"/>
          <w:color w:val="auto"/>
        </w:rPr>
      </w:pPr>
    </w:p>
    <w:p>
      <w:pPr>
        <w:ind w:right="40" w:firstLine="1715"/>
        <w:spacing w:after="0" w:line="257" w:lineRule="auto"/>
        <w:tabs>
          <w:tab w:leader="none" w:pos="2252" w:val="left"/>
        </w:tabs>
        <w:numPr>
          <w:ilvl w:val="0"/>
          <w:numId w:val="282"/>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60" w:lineRule="exact"/>
        <w:rPr>
          <w:sz w:val="20"/>
          <w:szCs w:val="20"/>
          <w:color w:val="auto"/>
        </w:rPr>
      </w:pPr>
    </w:p>
    <w:p>
      <w:pPr>
        <w:ind w:right="20" w:firstLine="800"/>
        <w:spacing w:after="0" w:line="268"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w:t>
      </w:r>
    </w:p>
    <w:p>
      <w:pPr>
        <w:spacing w:after="0" w:line="2" w:lineRule="exact"/>
        <w:rPr>
          <w:sz w:val="20"/>
          <w:szCs w:val="20"/>
          <w:color w:val="auto"/>
        </w:rPr>
      </w:pPr>
    </w:p>
    <w:p>
      <w:pPr>
        <w:ind w:right="440" w:firstLine="1"/>
        <w:spacing w:after="0" w:line="247" w:lineRule="auto"/>
        <w:tabs>
          <w:tab w:leader="none" w:pos="241" w:val="left"/>
        </w:tabs>
        <w:numPr>
          <w:ilvl w:val="0"/>
          <w:numId w:val="283"/>
        </w:numPr>
        <w:rPr>
          <w:rFonts w:ascii="Arial" w:cs="Arial" w:eastAsia="Arial" w:hAnsi="Arial"/>
          <w:sz w:val="20"/>
          <w:szCs w:val="20"/>
          <w:color w:val="auto"/>
        </w:rPr>
      </w:pPr>
      <w:r>
        <w:rPr>
          <w:rFonts w:ascii="Arial" w:cs="Arial" w:eastAsia="Arial" w:hAnsi="Arial"/>
          <w:sz w:val="20"/>
          <w:szCs w:val="20"/>
          <w:color w:val="auto"/>
        </w:rPr>
        <w:t>would reasonably be expected to have, individually or in the aggregate, a Parent Material Adverse Effect or (ii) as of the date hereof, seeks to materially interfere with or delay the consummation of the Merger.</w:t>
      </w:r>
    </w:p>
    <w:p>
      <w:pPr>
        <w:spacing w:after="0" w:line="164" w:lineRule="exact"/>
        <w:rPr>
          <w:sz w:val="20"/>
          <w:szCs w:val="20"/>
          <w:color w:val="auto"/>
        </w:rPr>
      </w:pPr>
    </w:p>
    <w:p>
      <w:pPr>
        <w:ind w:right="500" w:firstLine="800"/>
        <w:spacing w:after="0" w:line="265"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i w:val="1"/>
          <w:iCs w:val="1"/>
          <w:color w:val="auto"/>
        </w:rPr>
        <w:t>Taxes.</w:t>
      </w:r>
      <w:r>
        <w:rPr>
          <w:rFonts w:ascii="Arial" w:cs="Arial" w:eastAsia="Arial" w:hAnsi="Arial"/>
          <w:sz w:val="20"/>
          <w:szCs w:val="20"/>
          <w:color w:val="auto"/>
        </w:rPr>
        <w:t xml:space="preserve"> Except as would not reasonably be expected to have, individually or in the aggregate, a Parent Material Adverse Effect:</w:t>
      </w:r>
    </w:p>
    <w:p>
      <w:pPr>
        <w:spacing w:after="0" w:line="148" w:lineRule="exact"/>
        <w:rPr>
          <w:sz w:val="20"/>
          <w:szCs w:val="20"/>
          <w:color w:val="auto"/>
        </w:rPr>
      </w:pPr>
    </w:p>
    <w:p>
      <w:pPr>
        <w:ind w:right="440" w:firstLine="1715"/>
        <w:spacing w:after="0" w:line="322" w:lineRule="auto"/>
        <w:tabs>
          <w:tab w:leader="none" w:pos="224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00" w:lineRule="exact"/>
        <w:rPr>
          <w:rFonts w:ascii="Arial" w:cs="Arial" w:eastAsia="Arial" w:hAnsi="Arial"/>
          <w:sz w:val="18"/>
          <w:szCs w:val="18"/>
          <w:color w:val="auto"/>
        </w:rPr>
      </w:pPr>
    </w:p>
    <w:p>
      <w:pPr>
        <w:ind w:left="1720" w:right="140" w:firstLine="675"/>
        <w:spacing w:after="0" w:line="265" w:lineRule="auto"/>
        <w:tabs>
          <w:tab w:leader="none" w:pos="2949" w:val="left"/>
        </w:tabs>
        <w:numPr>
          <w:ilvl w:val="1"/>
          <w:numId w:val="284"/>
        </w:numPr>
        <w:rPr>
          <w:rFonts w:ascii="Arial" w:cs="Arial" w:eastAsia="Arial" w:hAnsi="Arial"/>
          <w:sz w:val="20"/>
          <w:szCs w:val="20"/>
          <w:color w:val="auto"/>
        </w:rPr>
      </w:pPr>
      <w:r>
        <w:rPr>
          <w:rFonts w:ascii="Arial" w:cs="Arial" w:eastAsia="Arial" w:hAnsi="Arial"/>
          <w:sz w:val="20"/>
          <w:szCs w:val="20"/>
          <w:color w:val="auto"/>
        </w:rPr>
        <w:t>Parent and each of its Subsidiaries has timely paid to the appropriate Taxing Authority all Taxes shown as due and payable on all Tax Returns that have been so filed;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A-44</w:t>
      </w:r>
    </w:p>
    <w:p>
      <w:pPr>
        <w:sectPr>
          <w:pgSz w:w="11900" w:h="16838" w:orient="portrait"/>
          <w:cols w:equalWidth="0" w:num="1">
            <w:col w:w="11400"/>
          </w:cols>
          <w:pgMar w:left="240" w:top="439" w:right="25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40" w:firstLine="675"/>
        <w:spacing w:after="0" w:line="265" w:lineRule="auto"/>
        <w:tabs>
          <w:tab w:leader="none" w:pos="3005" w:val="left"/>
        </w:tabs>
        <w:numPr>
          <w:ilvl w:val="1"/>
          <w:numId w:val="285"/>
        </w:numPr>
        <w:rPr>
          <w:rFonts w:ascii="Arial" w:cs="Arial" w:eastAsia="Arial" w:hAnsi="Arial"/>
          <w:sz w:val="20"/>
          <w:szCs w:val="20"/>
          <w:color w:val="auto"/>
        </w:rPr>
      </w:pPr>
      <w:r>
        <w:rPr>
          <w:rFonts w:ascii="Arial" w:cs="Arial" w:eastAsia="Arial" w:hAnsi="Arial"/>
          <w:sz w:val="20"/>
          <w:szCs w:val="20"/>
          <w:color w:val="auto"/>
        </w:rPr>
        <w:t>the accruals and reserves with respect to Taxes as set forth on the Parent Balance Sheet are adequate (as determined in accordance with GAAP);</w:t>
      </w:r>
    </w:p>
    <w:p>
      <w:pPr>
        <w:spacing w:after="0" w:line="147" w:lineRule="exact"/>
        <w:rPr>
          <w:rFonts w:ascii="Arial" w:cs="Arial" w:eastAsia="Arial" w:hAnsi="Arial"/>
          <w:sz w:val="20"/>
          <w:szCs w:val="20"/>
          <w:color w:val="auto"/>
        </w:rPr>
      </w:pPr>
    </w:p>
    <w:p>
      <w:pPr>
        <w:ind w:left="1720" w:right="340" w:firstLine="675"/>
        <w:spacing w:after="0" w:line="292" w:lineRule="auto"/>
        <w:tabs>
          <w:tab w:leader="none" w:pos="2994" w:val="left"/>
        </w:tabs>
        <w:numPr>
          <w:ilvl w:val="1"/>
          <w:numId w:val="285"/>
        </w:numPr>
        <w:rPr>
          <w:rFonts w:ascii="Arial" w:cs="Arial" w:eastAsia="Arial" w:hAnsi="Arial"/>
          <w:sz w:val="19"/>
          <w:szCs w:val="19"/>
          <w:color w:val="auto"/>
        </w:rPr>
      </w:pPr>
      <w:r>
        <w:rPr>
          <w:rFonts w:ascii="Arial" w:cs="Arial" w:eastAsia="Arial" w:hAnsi="Arial"/>
          <w:sz w:val="19"/>
          <w:szCs w:val="19"/>
          <w:color w:val="auto"/>
        </w:rPr>
        <w:t>adequate accruals and reserves (as determined in accordance with GAAP) have been established for Taxes attributable to taxable periods (or portions thereof) from the Parent Balance Sheet Date;</w:t>
      </w:r>
    </w:p>
    <w:p>
      <w:pPr>
        <w:spacing w:after="0" w:line="124" w:lineRule="exact"/>
        <w:rPr>
          <w:rFonts w:ascii="Arial" w:cs="Arial" w:eastAsia="Arial" w:hAnsi="Arial"/>
          <w:sz w:val="19"/>
          <w:szCs w:val="19"/>
          <w:color w:val="auto"/>
        </w:rPr>
      </w:pPr>
    </w:p>
    <w:p>
      <w:pPr>
        <w:ind w:left="1720" w:right="140" w:firstLine="675"/>
        <w:spacing w:after="0" w:line="265" w:lineRule="auto"/>
        <w:tabs>
          <w:tab w:leader="none" w:pos="2938" w:val="left"/>
        </w:tabs>
        <w:numPr>
          <w:ilvl w:val="1"/>
          <w:numId w:val="285"/>
        </w:numPr>
        <w:rPr>
          <w:rFonts w:ascii="Arial" w:cs="Arial" w:eastAsia="Arial" w:hAnsi="Arial"/>
          <w:sz w:val="20"/>
          <w:szCs w:val="20"/>
          <w:color w:val="auto"/>
        </w:rPr>
      </w:pPr>
      <w:r>
        <w:rPr>
          <w:rFonts w:ascii="Arial" w:cs="Arial" w:eastAsia="Arial" w:hAnsi="Arial"/>
          <w:sz w:val="20"/>
          <w:szCs w:val="20"/>
          <w:color w:val="auto"/>
        </w:rPr>
        <w:t>there is no action, suit, investigation, proceeding or audit pending or, to Parent’s knowledge, threatened against or with respect to Parent or any of its Subsidiaries in respect of any material Tax; and</w:t>
      </w:r>
    </w:p>
    <w:p>
      <w:pPr>
        <w:spacing w:after="0" w:line="147" w:lineRule="exact"/>
        <w:rPr>
          <w:rFonts w:ascii="Arial" w:cs="Arial" w:eastAsia="Arial" w:hAnsi="Arial"/>
          <w:sz w:val="20"/>
          <w:szCs w:val="20"/>
          <w:color w:val="auto"/>
        </w:rPr>
      </w:pPr>
    </w:p>
    <w:p>
      <w:pPr>
        <w:ind w:left="1720" w:right="40" w:firstLine="675"/>
        <w:spacing w:after="0" w:line="246" w:lineRule="auto"/>
        <w:tabs>
          <w:tab w:leader="none" w:pos="2994" w:val="left"/>
        </w:tabs>
        <w:numPr>
          <w:ilvl w:val="1"/>
          <w:numId w:val="285"/>
        </w:numPr>
        <w:rPr>
          <w:rFonts w:ascii="Arial" w:cs="Arial" w:eastAsia="Arial" w:hAnsi="Arial"/>
          <w:sz w:val="20"/>
          <w:szCs w:val="20"/>
          <w:color w:val="auto"/>
        </w:rPr>
      </w:pPr>
      <w:r>
        <w:rPr>
          <w:rFonts w:ascii="Arial" w:cs="Arial" w:eastAsia="Arial" w:hAnsi="Arial"/>
          <w:sz w:val="20"/>
          <w:szCs w:val="20"/>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66" w:lineRule="exact"/>
        <w:rPr>
          <w:rFonts w:ascii="Arial" w:cs="Arial" w:eastAsia="Arial" w:hAnsi="Arial"/>
          <w:sz w:val="20"/>
          <w:szCs w:val="20"/>
          <w:color w:val="auto"/>
        </w:rPr>
      </w:pPr>
    </w:p>
    <w:p>
      <w:pPr>
        <w:ind w:right="40" w:firstLine="1715"/>
        <w:spacing w:after="0" w:line="244" w:lineRule="auto"/>
        <w:tabs>
          <w:tab w:leader="none" w:pos="2248"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67" w:lineRule="exact"/>
        <w:rPr>
          <w:rFonts w:ascii="Arial" w:cs="Arial" w:eastAsia="Arial" w:hAnsi="Arial"/>
          <w:sz w:val="20"/>
          <w:szCs w:val="20"/>
          <w:color w:val="auto"/>
        </w:rPr>
      </w:pPr>
    </w:p>
    <w:p>
      <w:pPr>
        <w:ind w:firstLine="1715"/>
        <w:spacing w:after="0" w:line="265" w:lineRule="auto"/>
        <w:tabs>
          <w:tab w:leader="none" w:pos="2241" w:val="left"/>
        </w:tabs>
        <w:numPr>
          <w:ilvl w:val="0"/>
          <w:numId w:val="286"/>
        </w:numPr>
        <w:rPr>
          <w:rFonts w:ascii="Arial" w:cs="Arial" w:eastAsia="Arial" w:hAnsi="Arial"/>
          <w:sz w:val="20"/>
          <w:szCs w:val="20"/>
          <w:color w:val="auto"/>
        </w:rPr>
      </w:pPr>
      <w:r>
        <w:rPr>
          <w:rFonts w:ascii="Arial" w:cs="Arial" w:eastAsia="Arial" w:hAnsi="Arial"/>
          <w:sz w:val="20"/>
          <w:szCs w:val="20"/>
          <w:color w:val="auto"/>
        </w:rPr>
        <w:t>No jurisdiction in which Parent or any of its Subsidiaries does not file Tax Returns has asserted that Parent or any of its Subsidiaries is or may be liable for Tax in that jurisdiction.</w:t>
      </w:r>
    </w:p>
    <w:p>
      <w:pPr>
        <w:spacing w:after="0" w:line="148" w:lineRule="exact"/>
        <w:rPr>
          <w:sz w:val="20"/>
          <w:szCs w:val="20"/>
          <w:color w:val="auto"/>
        </w:rPr>
      </w:pPr>
    </w:p>
    <w:p>
      <w:pPr>
        <w:jc w:val="both"/>
        <w:ind w:right="60" w:firstLine="800"/>
        <w:spacing w:after="0" w:line="263"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i w:val="1"/>
          <w:iCs w:val="1"/>
          <w:color w:val="auto"/>
        </w:rPr>
        <w:t>Franchises</w:t>
      </w:r>
      <w:r>
        <w:rPr>
          <w:rFonts w:ascii="Arial" w:cs="Arial" w:eastAsia="Arial" w:hAnsi="Arial"/>
          <w:sz w:val="19"/>
          <w:szCs w:val="19"/>
          <w:color w:val="auto"/>
        </w:rPr>
        <w:t>. Except as would not reasonably be expected to have, individually or in the aggregate, a Parent Material Adverse Effect, (a) 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52" w:lineRule="exact"/>
        <w:rPr>
          <w:sz w:val="20"/>
          <w:szCs w:val="20"/>
          <w:color w:val="auto"/>
        </w:rPr>
      </w:pPr>
    </w:p>
    <w:p>
      <w:pPr>
        <w:ind w:right="120" w:firstLine="800"/>
        <w:spacing w:after="0" w:line="265"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i w:val="1"/>
          <w:iCs w:val="1"/>
          <w:color w:val="auto"/>
        </w:rPr>
        <w:t>Tax Treatment</w:t>
      </w:r>
      <w:r>
        <w:rPr>
          <w:rFonts w:ascii="Arial" w:cs="Arial" w:eastAsia="Arial" w:hAnsi="Arial"/>
          <w:sz w:val="20"/>
          <w:szCs w:val="20"/>
          <w:color w:val="auto"/>
        </w:rPr>
        <w:t>. Neither Parent nor any of its Affiliates has taken or agreed to take any action or is aware of any fact or circumstance that would prevent the Merger from qualifying as a 368 Reorganization.</w:t>
      </w:r>
    </w:p>
    <w:p>
      <w:pPr>
        <w:spacing w:after="0" w:line="148" w:lineRule="exact"/>
        <w:rPr>
          <w:sz w:val="20"/>
          <w:szCs w:val="20"/>
          <w:color w:val="auto"/>
        </w:rPr>
      </w:pPr>
    </w:p>
    <w:p>
      <w:pPr>
        <w:ind w:right="340" w:firstLine="800"/>
        <w:spacing w:after="0" w:line="270"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i w:val="1"/>
          <w:iCs w:val="1"/>
          <w:color w:val="auto"/>
        </w:rPr>
        <w:t>Certain Agreements</w:t>
      </w:r>
      <w:r>
        <w:rPr>
          <w:rFonts w:ascii="Arial" w:cs="Arial" w:eastAsia="Arial" w:hAnsi="Arial"/>
          <w:sz w:val="19"/>
          <w:szCs w:val="19"/>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A-45</w:t>
      </w:r>
    </w:p>
    <w:p>
      <w:pPr>
        <w:sectPr>
          <w:pgSz w:w="11900" w:h="16838" w:orient="portrait"/>
          <w:cols w:equalWidth="0" w:num="1">
            <w:col w:w="11400"/>
          </w:cols>
          <w:pgMar w:left="240" w:top="439" w:right="25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67" w:lineRule="exact"/>
        <w:rPr>
          <w:sz w:val="20"/>
          <w:szCs w:val="20"/>
          <w:color w:val="auto"/>
        </w:rPr>
      </w:pPr>
    </w:p>
    <w:p>
      <w:pPr>
        <w:ind w:right="40" w:firstLine="1715"/>
        <w:spacing w:after="0" w:line="251" w:lineRule="auto"/>
        <w:tabs>
          <w:tab w:leader="none" w:pos="200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161" w:lineRule="exact"/>
        <w:rPr>
          <w:sz w:val="20"/>
          <w:szCs w:val="20"/>
          <w:color w:val="auto"/>
        </w:rPr>
      </w:pPr>
    </w:p>
    <w:p>
      <w:pPr>
        <w:ind w:right="460" w:firstLine="800"/>
        <w:spacing w:after="0" w:line="246" w:lineRule="auto"/>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i w:val="1"/>
          <w:iCs w:val="1"/>
          <w:color w:val="auto"/>
        </w:rPr>
        <w:t>Finders’ Fees</w:t>
      </w:r>
      <w:r>
        <w:rPr>
          <w:rFonts w:ascii="Arial" w:cs="Arial" w:eastAsia="Arial" w:hAnsi="Arial"/>
          <w:sz w:val="20"/>
          <w:szCs w:val="20"/>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167" w:lineRule="exact"/>
        <w:rPr>
          <w:sz w:val="20"/>
          <w:szCs w:val="20"/>
          <w:color w:val="auto"/>
        </w:rPr>
      </w:pPr>
    </w:p>
    <w:p>
      <w:pPr>
        <w:ind w:right="100" w:firstLine="800"/>
        <w:spacing w:after="0" w:line="251" w:lineRule="auto"/>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i w:val="1"/>
          <w:iCs w:val="1"/>
          <w:color w:val="auto"/>
        </w:rPr>
        <w:t>Opinion of Financial Advisor</w:t>
      </w:r>
      <w:r>
        <w:rPr>
          <w:rFonts w:ascii="Arial" w:cs="Arial" w:eastAsia="Arial" w:hAnsi="Arial"/>
          <w:sz w:val="20"/>
          <w:szCs w:val="20"/>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61" w:lineRule="exact"/>
        <w:rPr>
          <w:sz w:val="20"/>
          <w:szCs w:val="20"/>
          <w:color w:val="auto"/>
        </w:rPr>
      </w:pPr>
    </w:p>
    <w:p>
      <w:pPr>
        <w:ind w:firstLine="800"/>
        <w:spacing w:after="0" w:line="266"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No Additional Representations</w:t>
      </w:r>
      <w:r>
        <w:rPr>
          <w:rFonts w:ascii="Arial" w:cs="Arial" w:eastAsia="Arial" w:hAnsi="Arial"/>
          <w:sz w:val="18"/>
          <w:szCs w:val="18"/>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w:t>
      </w:r>
    </w:p>
    <w:p>
      <w:pPr>
        <w:spacing w:after="0" w:line="1" w:lineRule="exact"/>
        <w:rPr>
          <w:sz w:val="20"/>
          <w:szCs w:val="20"/>
          <w:color w:val="auto"/>
        </w:rPr>
      </w:pPr>
    </w:p>
    <w:p>
      <w:pPr>
        <w:jc w:val="both"/>
        <w:ind w:right="60" w:firstLine="1"/>
        <w:spacing w:after="0"/>
        <w:tabs>
          <w:tab w:leader="none" w:pos="286" w:val="left"/>
        </w:tabs>
        <w:numPr>
          <w:ilvl w:val="0"/>
          <w:numId w:val="288"/>
        </w:numPr>
        <w:rPr>
          <w:rFonts w:ascii="Arial" w:cs="Arial" w:eastAsia="Arial" w:hAnsi="Arial"/>
          <w:sz w:val="20"/>
          <w:szCs w:val="20"/>
          <w:color w:val="auto"/>
        </w:rPr>
      </w:pPr>
      <w:r>
        <w:rPr>
          <w:rFonts w:ascii="Arial" w:cs="Arial" w:eastAsia="Arial" w:hAnsi="Arial"/>
          <w:sz w:val="20"/>
          <w:szCs w:val="20"/>
          <w:color w:val="auto"/>
        </w:rPr>
        <w:t>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Covenants of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 agrees that:</w:t>
      </w:r>
    </w:p>
    <w:p>
      <w:pPr>
        <w:spacing w:after="0" w:line="199" w:lineRule="exact"/>
        <w:rPr>
          <w:sz w:val="20"/>
          <w:szCs w:val="20"/>
          <w:color w:val="auto"/>
        </w:rPr>
      </w:pPr>
    </w:p>
    <w:p>
      <w:pPr>
        <w:ind w:right="220" w:firstLine="800"/>
        <w:spacing w:after="0" w:line="265"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Conduct of the Company.</w:t>
      </w:r>
      <w:r>
        <w:rPr>
          <w:rFonts w:ascii="Arial" w:cs="Arial" w:eastAsia="Arial" w:hAnsi="Arial"/>
          <w:sz w:val="20"/>
          <w:szCs w:val="20"/>
          <w:color w:val="auto"/>
        </w:rPr>
        <w:t xml:space="preserve"> From the date hereof until the Effective Time, except as expressly contemplated by this Agreement, as set forth in Section 6.01 of the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A-46</w:t>
      </w:r>
    </w:p>
    <w:p>
      <w:pPr>
        <w:sectPr>
          <w:pgSz w:w="11900" w:h="16838" w:orient="portrait"/>
          <w:cols w:equalWidth="0" w:num="1">
            <w:col w:w="11380"/>
          </w:cols>
          <w:pgMar w:left="240" w:top="439" w:right="27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48" w:lineRule="exact"/>
        <w:rPr>
          <w:sz w:val="20"/>
          <w:szCs w:val="20"/>
          <w:color w:val="auto"/>
        </w:rPr>
      </w:pPr>
    </w:p>
    <w:p>
      <w:pPr>
        <w:ind w:right="420" w:firstLine="1715"/>
        <w:spacing w:after="0" w:line="265" w:lineRule="auto"/>
        <w:tabs>
          <w:tab w:leader="none" w:pos="2241" w:val="left"/>
        </w:tabs>
        <w:numPr>
          <w:ilvl w:val="0"/>
          <w:numId w:val="289"/>
        </w:numPr>
        <w:rPr>
          <w:rFonts w:ascii="Arial" w:cs="Arial" w:eastAsia="Arial" w:hAnsi="Arial"/>
          <w:sz w:val="20"/>
          <w:szCs w:val="20"/>
          <w:color w:val="auto"/>
        </w:rPr>
      </w:pPr>
      <w:r>
        <w:rPr>
          <w:rFonts w:ascii="Arial" w:cs="Arial" w:eastAsia="Arial" w:hAnsi="Arial"/>
          <w:sz w:val="20"/>
          <w:szCs w:val="20"/>
          <w:color w:val="auto"/>
        </w:rPr>
        <w:t>amend its certificate of incorporation, bylaws or other similar organizational documents (whether by merger, consolidation or otherwise);</w:t>
      </w:r>
    </w:p>
    <w:p>
      <w:pPr>
        <w:spacing w:after="0" w:line="147" w:lineRule="exact"/>
        <w:rPr>
          <w:rFonts w:ascii="Arial" w:cs="Arial" w:eastAsia="Arial" w:hAnsi="Arial"/>
          <w:sz w:val="20"/>
          <w:szCs w:val="20"/>
          <w:color w:val="auto"/>
        </w:rPr>
      </w:pPr>
    </w:p>
    <w:p>
      <w:pPr>
        <w:ind w:firstLine="1715"/>
        <w:spacing w:after="0" w:line="252" w:lineRule="auto"/>
        <w:tabs>
          <w:tab w:leader="none" w:pos="225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 connection with (A) the payment of the exercise price of Company Stock Options with Company Stock (including in connection with “</w:t>
      </w:r>
      <w:r>
        <w:rPr>
          <w:rFonts w:ascii="Arial" w:cs="Arial" w:eastAsia="Arial" w:hAnsi="Arial"/>
          <w:sz w:val="19"/>
          <w:szCs w:val="19"/>
          <w:b w:val="1"/>
          <w:bCs w:val="1"/>
          <w:color w:val="auto"/>
        </w:rPr>
        <w:t>net exercises</w:t>
      </w:r>
      <w:r>
        <w:rPr>
          <w:rFonts w:ascii="Arial" w:cs="Arial" w:eastAsia="Arial" w:hAnsi="Arial"/>
          <w:sz w:val="19"/>
          <w:szCs w:val="19"/>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A-47</w:t>
      </w:r>
    </w:p>
    <w:p>
      <w:pPr>
        <w:sectPr>
          <w:pgSz w:w="11900" w:h="16838" w:orient="portrait"/>
          <w:cols w:equalWidth="0" w:num="1">
            <w:col w:w="11420"/>
          </w:cols>
          <w:pgMar w:left="240" w:top="439" w:right="23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80" w:firstLine="1715"/>
        <w:spacing w:after="0" w:line="254" w:lineRule="auto"/>
        <w:tabs>
          <w:tab w:leader="none" w:pos="2241" w:val="left"/>
        </w:tabs>
        <w:numPr>
          <w:ilvl w:val="1"/>
          <w:numId w:val="290"/>
        </w:numPr>
        <w:rPr>
          <w:rFonts w:ascii="Arial" w:cs="Arial" w:eastAsia="Arial" w:hAnsi="Arial"/>
          <w:sz w:val="19"/>
          <w:szCs w:val="19"/>
          <w:color w:val="auto"/>
        </w:rPr>
      </w:pPr>
      <w:r>
        <w:rPr>
          <w:rFonts w:ascii="Arial" w:cs="Arial" w:eastAsia="Arial" w:hAnsi="Arial"/>
          <w:sz w:val="19"/>
          <w:szCs w:val="19"/>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63" w:lineRule="exact"/>
        <w:rPr>
          <w:rFonts w:ascii="Arial" w:cs="Arial" w:eastAsia="Arial" w:hAnsi="Arial"/>
          <w:sz w:val="19"/>
          <w:szCs w:val="19"/>
          <w:color w:val="auto"/>
        </w:rPr>
      </w:pPr>
    </w:p>
    <w:p>
      <w:pPr>
        <w:ind w:right="240" w:firstLine="1715"/>
        <w:spacing w:after="0" w:line="251" w:lineRule="auto"/>
        <w:tabs>
          <w:tab w:leader="none" w:pos="2252" w:val="left"/>
        </w:tabs>
        <w:numPr>
          <w:ilvl w:val="1"/>
          <w:numId w:val="290"/>
        </w:numPr>
        <w:rPr>
          <w:rFonts w:ascii="Arial" w:cs="Arial" w:eastAsia="Arial" w:hAnsi="Arial"/>
          <w:sz w:val="20"/>
          <w:szCs w:val="20"/>
          <w:color w:val="auto"/>
        </w:rPr>
      </w:pPr>
      <w:r>
        <w:rPr>
          <w:rFonts w:ascii="Arial" w:cs="Arial" w:eastAsia="Arial" w:hAnsi="Arial"/>
          <w:sz w:val="20"/>
          <w:szCs w:val="20"/>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61" w:lineRule="exact"/>
        <w:rPr>
          <w:rFonts w:ascii="Arial" w:cs="Arial" w:eastAsia="Arial" w:hAnsi="Arial"/>
          <w:sz w:val="20"/>
          <w:szCs w:val="20"/>
          <w:color w:val="auto"/>
        </w:rPr>
      </w:pPr>
    </w:p>
    <w:p>
      <w:pPr>
        <w:jc w:val="both"/>
        <w:ind w:right="120" w:firstLine="1715"/>
        <w:spacing w:after="0" w:line="270" w:lineRule="auto"/>
        <w:tabs>
          <w:tab w:leader="none" w:pos="224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 (ii) pursuant to contracts or arrangements in effect on the date hereof,</w:t>
      </w:r>
    </w:p>
    <w:p>
      <w:pPr>
        <w:ind w:left="360" w:hanging="359"/>
        <w:spacing w:after="0"/>
        <w:tabs>
          <w:tab w:leader="none" w:pos="3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leases or subleases under which the Company or one of its Subsidiaries is the tenant entered into in the ordinary course of business and</w:t>
      </w:r>
    </w:p>
    <w:p>
      <w:pPr>
        <w:spacing w:after="0" w:line="20" w:lineRule="exact"/>
        <w:rPr>
          <w:rFonts w:ascii="Arial" w:cs="Arial" w:eastAsia="Arial" w:hAnsi="Arial"/>
          <w:sz w:val="18"/>
          <w:szCs w:val="18"/>
          <w:color w:val="auto"/>
        </w:rPr>
      </w:pPr>
    </w:p>
    <w:p>
      <w:pPr>
        <w:ind w:left="340" w:hanging="339"/>
        <w:spacing w:after="0"/>
        <w:tabs>
          <w:tab w:leader="none" w:pos="34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acquisitions with a purchase price (including assumed indebtedness) that does not exceed $100,000,000 in the aggregate;</w:t>
      </w:r>
    </w:p>
    <w:p>
      <w:pPr>
        <w:spacing w:after="0" w:line="180" w:lineRule="exact"/>
        <w:rPr>
          <w:rFonts w:ascii="Arial" w:cs="Arial" w:eastAsia="Arial" w:hAnsi="Arial"/>
          <w:sz w:val="20"/>
          <w:szCs w:val="20"/>
          <w:color w:val="auto"/>
        </w:rPr>
      </w:pPr>
    </w:p>
    <w:p>
      <w:pPr>
        <w:ind w:firstLine="1715"/>
        <w:spacing w:after="0" w:line="268" w:lineRule="auto"/>
        <w:tabs>
          <w:tab w:leader="none" w:pos="221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w:t>
      </w:r>
    </w:p>
    <w:p>
      <w:pPr>
        <w:spacing w:after="0" w:line="1" w:lineRule="exact"/>
        <w:rPr>
          <w:rFonts w:ascii="Arial" w:cs="Arial" w:eastAsia="Arial" w:hAnsi="Arial"/>
          <w:sz w:val="18"/>
          <w:szCs w:val="18"/>
          <w:color w:val="auto"/>
        </w:rPr>
      </w:pPr>
    </w:p>
    <w:p>
      <w:pPr>
        <w:ind w:left="340" w:hanging="339"/>
        <w:spacing w:after="0"/>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leases or subleases under which the Company or one of its Subsidiaries is the lessor entered into in the ordinary course of business, or</w:t>
      </w:r>
    </w:p>
    <w:p>
      <w:pPr>
        <w:spacing w:after="0" w:line="20" w:lineRule="exact"/>
        <w:rPr>
          <w:rFonts w:ascii="Arial" w:cs="Arial" w:eastAsia="Arial" w:hAnsi="Arial"/>
          <w:sz w:val="18"/>
          <w:szCs w:val="18"/>
          <w:color w:val="auto"/>
        </w:rPr>
      </w:pPr>
    </w:p>
    <w:p>
      <w:pPr>
        <w:ind w:left="280" w:hanging="279"/>
        <w:spacing w:after="0"/>
        <w:tabs>
          <w:tab w:leader="none" w:pos="2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Permitted Liens;</w:t>
      </w:r>
    </w:p>
    <w:p>
      <w:pPr>
        <w:spacing w:after="0" w:line="180" w:lineRule="exact"/>
        <w:rPr>
          <w:rFonts w:ascii="Arial" w:cs="Arial" w:eastAsia="Arial" w:hAnsi="Arial"/>
          <w:sz w:val="20"/>
          <w:szCs w:val="20"/>
          <w:color w:val="auto"/>
        </w:rPr>
      </w:pPr>
    </w:p>
    <w:p>
      <w:pPr>
        <w:ind w:right="140" w:firstLine="1715"/>
        <w:spacing w:after="0" w:line="244" w:lineRule="auto"/>
        <w:tabs>
          <w:tab w:leader="none" w:pos="2252" w:val="left"/>
        </w:tabs>
        <w:numPr>
          <w:ilvl w:val="1"/>
          <w:numId w:val="292"/>
        </w:numPr>
        <w:rPr>
          <w:rFonts w:ascii="Arial" w:cs="Arial" w:eastAsia="Arial" w:hAnsi="Arial"/>
          <w:sz w:val="20"/>
          <w:szCs w:val="20"/>
          <w:color w:val="auto"/>
        </w:rPr>
      </w:pPr>
      <w:r>
        <w:rPr>
          <w:rFonts w:ascii="Arial" w:cs="Arial" w:eastAsia="Arial" w:hAnsi="Arial"/>
          <w:sz w:val="20"/>
          <w:szCs w:val="20"/>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A-48</w:t>
      </w:r>
    </w:p>
    <w:p>
      <w:pPr>
        <w:sectPr>
          <w:pgSz w:w="11900" w:h="16838" w:orient="portrait"/>
          <w:cols w:equalWidth="0" w:num="1">
            <w:col w:w="11380"/>
          </w:cols>
          <w:pgMar w:left="240" w:top="439" w:right="27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firstLine="1715"/>
        <w:spacing w:after="0" w:line="242" w:lineRule="auto"/>
        <w:tabs>
          <w:tab w:leader="none" w:pos="225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72" w:lineRule="exact"/>
        <w:rPr>
          <w:rFonts w:ascii="Arial" w:cs="Arial" w:eastAsia="Arial" w:hAnsi="Arial"/>
          <w:sz w:val="20"/>
          <w:szCs w:val="20"/>
          <w:color w:val="auto"/>
        </w:rPr>
      </w:pPr>
    </w:p>
    <w:p>
      <w:pPr>
        <w:ind w:right="100" w:firstLine="1715"/>
        <w:spacing w:after="0" w:line="244" w:lineRule="auto"/>
        <w:tabs>
          <w:tab w:leader="none" w:pos="220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67" w:lineRule="exact"/>
        <w:rPr>
          <w:rFonts w:ascii="Arial" w:cs="Arial" w:eastAsia="Arial" w:hAnsi="Arial"/>
          <w:sz w:val="20"/>
          <w:szCs w:val="20"/>
          <w:color w:val="auto"/>
        </w:rPr>
      </w:pPr>
    </w:p>
    <w:p>
      <w:pPr>
        <w:ind w:firstLine="1715"/>
        <w:spacing w:after="0" w:line="244" w:lineRule="auto"/>
        <w:tabs>
          <w:tab w:leader="none" w:pos="220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other than in the ordinary course of business, (i) amend or modify in any material respect or terminate (excluding terminations upon expiration of the term thereof in accordance with the terms thereof) any Company 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67" w:lineRule="exact"/>
        <w:rPr>
          <w:rFonts w:ascii="Arial" w:cs="Arial" w:eastAsia="Arial" w:hAnsi="Arial"/>
          <w:sz w:val="20"/>
          <w:szCs w:val="20"/>
          <w:color w:val="auto"/>
        </w:rPr>
      </w:pPr>
    </w:p>
    <w:p>
      <w:pPr>
        <w:ind w:right="60" w:firstLine="1715"/>
        <w:spacing w:after="0" w:line="246" w:lineRule="auto"/>
        <w:tabs>
          <w:tab w:leader="none" w:pos="225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66" w:lineRule="exact"/>
        <w:rPr>
          <w:rFonts w:ascii="Arial" w:cs="Arial" w:eastAsia="Arial" w:hAnsi="Arial"/>
          <w:sz w:val="20"/>
          <w:szCs w:val="20"/>
          <w:color w:val="auto"/>
        </w:rPr>
      </w:pPr>
    </w:p>
    <w:p>
      <w:pPr>
        <w:ind w:right="260" w:firstLine="1715"/>
        <w:spacing w:after="0" w:line="242" w:lineRule="auto"/>
        <w:tabs>
          <w:tab w:leader="none" w:pos="220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72" w:lineRule="exact"/>
        <w:rPr>
          <w:rFonts w:ascii="Arial" w:cs="Arial" w:eastAsia="Arial" w:hAnsi="Arial"/>
          <w:sz w:val="20"/>
          <w:szCs w:val="20"/>
          <w:color w:val="auto"/>
        </w:rPr>
      </w:pPr>
    </w:p>
    <w:p>
      <w:pPr>
        <w:jc w:val="both"/>
        <w:ind w:right="280" w:firstLine="1715"/>
        <w:spacing w:after="0" w:line="322" w:lineRule="auto"/>
        <w:tabs>
          <w:tab w:leader="none" w:pos="230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as set forth on Section 6.01(m) of the Company Disclosure Schedule, (i) increase the annual salary of any employee of the Company or any of its Subsidiaries who holds the title of Executive Vice President or greater by more than 5% in the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A-49</w:t>
      </w:r>
    </w:p>
    <w:p>
      <w:pPr>
        <w:sectPr>
          <w:pgSz w:w="11900" w:h="16838" w:orient="portrait"/>
          <w:cols w:equalWidth="0" w:num="1">
            <w:col w:w="11420"/>
          </w:cols>
          <w:pgMar w:left="240" w:top="439" w:right="2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40"/>
        <w:spacing w:after="0" w:line="292" w:lineRule="auto"/>
        <w:rPr>
          <w:sz w:val="20"/>
          <w:szCs w:val="20"/>
          <w:color w:val="auto"/>
        </w:rPr>
      </w:pPr>
      <w:r>
        <w:rPr>
          <w:rFonts w:ascii="Arial" w:cs="Arial" w:eastAsia="Arial" w:hAnsi="Arial"/>
          <w:sz w:val="19"/>
          <w:szCs w:val="19"/>
          <w:color w:val="auto"/>
        </w:rPr>
        <w:t>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24" w:lineRule="exact"/>
        <w:rPr>
          <w:sz w:val="20"/>
          <w:szCs w:val="20"/>
          <w:color w:val="auto"/>
        </w:rPr>
      </w:pPr>
    </w:p>
    <w:p>
      <w:pPr>
        <w:ind w:firstLine="1715"/>
        <w:spacing w:after="0" w:line="269" w:lineRule="auto"/>
        <w:tabs>
          <w:tab w:leader="none" w:pos="225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w:t>
      </w:r>
      <w:r>
        <w:rPr>
          <w:rFonts w:ascii="Arial" w:cs="Arial" w:eastAsia="Arial" w:hAnsi="Arial"/>
          <w:sz w:val="18"/>
          <w:szCs w:val="18"/>
          <w:b w:val="1"/>
          <w:bCs w:val="1"/>
          <w:color w:val="auto"/>
        </w:rPr>
        <w:t>excess benefit plan</w:t>
      </w:r>
      <w:r>
        <w:rPr>
          <w:rFonts w:ascii="Arial" w:cs="Arial" w:eastAsia="Arial" w:hAnsi="Arial"/>
          <w:sz w:val="18"/>
          <w:szCs w:val="18"/>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151" w:lineRule="exact"/>
        <w:rPr>
          <w:rFonts w:ascii="Arial" w:cs="Arial" w:eastAsia="Arial" w:hAnsi="Arial"/>
          <w:sz w:val="18"/>
          <w:szCs w:val="18"/>
          <w:color w:val="auto"/>
        </w:rPr>
      </w:pPr>
    </w:p>
    <w:p>
      <w:pPr>
        <w:ind w:right="20" w:firstLine="1715"/>
        <w:spacing w:after="0" w:line="265" w:lineRule="auto"/>
        <w:tabs>
          <w:tab w:leader="none" w:pos="2252" w:val="left"/>
        </w:tabs>
        <w:numPr>
          <w:ilvl w:val="1"/>
          <w:numId w:val="294"/>
        </w:numPr>
        <w:rPr>
          <w:rFonts w:ascii="Arial" w:cs="Arial" w:eastAsia="Arial" w:hAnsi="Arial"/>
          <w:sz w:val="20"/>
          <w:szCs w:val="20"/>
          <w:color w:val="auto"/>
        </w:rPr>
      </w:pPr>
      <w:r>
        <w:rPr>
          <w:rFonts w:ascii="Arial" w:cs="Arial" w:eastAsia="Arial" w:hAnsi="Arial"/>
          <w:sz w:val="20"/>
          <w:szCs w:val="20"/>
          <w:color w:val="auto"/>
        </w:rPr>
        <w:t>change the Company’s methods of financial accounting, except as required by concurrent changes in GAAP or in Regulation S-X of the 1934 Act, as agreed to by its independent public accountants;</w:t>
      </w:r>
    </w:p>
    <w:p>
      <w:pPr>
        <w:spacing w:after="0" w:line="147" w:lineRule="exact"/>
        <w:rPr>
          <w:rFonts w:ascii="Arial" w:cs="Arial" w:eastAsia="Arial" w:hAnsi="Arial"/>
          <w:sz w:val="20"/>
          <w:szCs w:val="20"/>
          <w:color w:val="auto"/>
        </w:rPr>
      </w:pPr>
    </w:p>
    <w:p>
      <w:pPr>
        <w:ind w:right="60" w:firstLine="1715"/>
        <w:spacing w:after="0" w:line="270" w:lineRule="auto"/>
        <w:tabs>
          <w:tab w:leader="none" w:pos="225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w:t>
      </w:r>
    </w:p>
    <w:p>
      <w:pPr>
        <w:ind w:left="280" w:hanging="279"/>
        <w:spacing w:after="0" w:line="236" w:lineRule="auto"/>
        <w:tabs>
          <w:tab w:leader="none" w:pos="28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financial impact to the Company and its Subsidiaries of any other terms of the settlement or compromise does not exceed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$100,000,000 (after giving effect to any reasonably expected indemnification proceeds);</w:t>
      </w:r>
    </w:p>
    <w:p>
      <w:pPr>
        <w:spacing w:after="0" w:line="181" w:lineRule="exact"/>
        <w:rPr>
          <w:sz w:val="20"/>
          <w:szCs w:val="20"/>
          <w:color w:val="auto"/>
        </w:rPr>
      </w:pPr>
    </w:p>
    <w:p>
      <w:pPr>
        <w:ind w:right="380" w:firstLine="1715"/>
        <w:spacing w:after="0" w:line="265" w:lineRule="auto"/>
        <w:tabs>
          <w:tab w:leader="none" w:pos="225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47" w:lineRule="exact"/>
        <w:rPr>
          <w:rFonts w:ascii="Arial" w:cs="Arial" w:eastAsia="Arial" w:hAnsi="Arial"/>
          <w:sz w:val="20"/>
          <w:szCs w:val="20"/>
          <w:color w:val="auto"/>
        </w:rPr>
      </w:pPr>
    </w:p>
    <w:p>
      <w:pPr>
        <w:ind w:right="360" w:firstLine="1715"/>
        <w:spacing w:after="0" w:line="322" w:lineRule="auto"/>
        <w:tabs>
          <w:tab w:leader="none" w:pos="221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00" w:lineRule="exact"/>
        <w:rPr>
          <w:rFonts w:ascii="Arial" w:cs="Arial" w:eastAsia="Arial" w:hAnsi="Arial"/>
          <w:sz w:val="18"/>
          <w:szCs w:val="18"/>
          <w:color w:val="auto"/>
        </w:rPr>
      </w:pPr>
    </w:p>
    <w:p>
      <w:pPr>
        <w:ind w:right="320" w:firstLine="1715"/>
        <w:spacing w:after="0" w:line="292" w:lineRule="auto"/>
        <w:tabs>
          <w:tab w:leader="none" w:pos="2229"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24" w:lineRule="exact"/>
        <w:rPr>
          <w:rFonts w:ascii="Arial" w:cs="Arial" w:eastAsia="Arial" w:hAnsi="Arial"/>
          <w:sz w:val="19"/>
          <w:szCs w:val="19"/>
          <w:color w:val="auto"/>
        </w:rPr>
      </w:pPr>
    </w:p>
    <w:p>
      <w:pPr>
        <w:ind w:left="2200" w:hanging="485"/>
        <w:spacing w:after="0"/>
        <w:tabs>
          <w:tab w:leader="none" w:pos="22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agree, resolve or commit to do any of the foregoing.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A-50</w:t>
      </w:r>
    </w:p>
    <w:p>
      <w:pPr>
        <w:sectPr>
          <w:pgSz w:w="11900" w:h="16838" w:orient="portrait"/>
          <w:cols w:equalWidth="0" w:num="1">
            <w:col w:w="11420"/>
          </w:cols>
          <w:pgMar w:left="240" w:top="439" w:right="23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firstLine="800"/>
        <w:spacing w:after="0" w:line="26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 The Company shall cause a meeting of its stockholders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Meeting</w:t>
      </w:r>
      <w:r>
        <w:rPr>
          <w:rFonts w:ascii="Arial" w:cs="Arial" w:eastAsia="Arial" w:hAnsi="Arial"/>
          <w:sz w:val="18"/>
          <w:szCs w:val="18"/>
          <w:color w:val="auto"/>
        </w:rPr>
        <w:t>”) to be duly called and held as soon as reasonably practicable after the date of this Agreement (but in no event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40 days after the Registration Statement is declared effective under the 1933 Act) for the purpose of voting on the approval and adoption of this Agreement and the Merger. In connection with the Company Stockholder Meeting, the Company shall (i) 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163"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No Solicitation; Other Offers</w:t>
      </w:r>
      <w:r>
        <w:rPr>
          <w:rFonts w:ascii="Arial" w:cs="Arial" w:eastAsia="Arial" w:hAnsi="Arial"/>
          <w:sz w:val="20"/>
          <w:szCs w:val="20"/>
          <w:color w:val="auto"/>
        </w:rPr>
        <w:t xml:space="preserve">. (a) </w:t>
      </w:r>
      <w:r>
        <w:rPr>
          <w:rFonts w:ascii="Arial" w:cs="Arial" w:eastAsia="Arial" w:hAnsi="Arial"/>
          <w:sz w:val="20"/>
          <w:szCs w:val="20"/>
          <w:u w:val="single" w:color="auto"/>
          <w:color w:val="auto"/>
        </w:rPr>
        <w:t>General Prohibitions</w:t>
      </w:r>
      <w:r>
        <w:rPr>
          <w:rFonts w:ascii="Arial" w:cs="Arial" w:eastAsia="Arial" w:hAnsi="Arial"/>
          <w:sz w:val="20"/>
          <w:szCs w:val="20"/>
          <w:color w:val="auto"/>
        </w:rPr>
        <w:t>. Neither the Company nor any of its Subsidiaries shall, nor shall the Company or any of its Subsidiaries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A-51</w:t>
      </w:r>
    </w:p>
    <w:p>
      <w:pPr>
        <w:sectPr>
          <w:pgSz w:w="11900" w:h="16838" w:orient="portrait"/>
          <w:cols w:equalWidth="0" w:num="1">
            <w:col w:w="11400"/>
          </w:cols>
          <w:pgMar w:left="240" w:top="439" w:right="25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authorize or permit any of its or their officers, directors, employees, investment bankers, attorneys, accountants, consultants or other agents or advisors (“</w:t>
      </w:r>
      <w:r>
        <w:rPr>
          <w:rFonts w:ascii="Arial" w:cs="Arial" w:eastAsia="Arial" w:hAnsi="Arial"/>
          <w:sz w:val="18"/>
          <w:szCs w:val="18"/>
          <w:b w:val="1"/>
          <w:bCs w:val="1"/>
          <w:color w:val="auto"/>
        </w:rPr>
        <w:t>Representatives</w:t>
      </w:r>
      <w:r>
        <w:rPr>
          <w:rFonts w:ascii="Arial" w:cs="Arial" w:eastAsia="Arial" w:hAnsi="Arial"/>
          <w:sz w:val="18"/>
          <w:szCs w:val="18"/>
          <w:color w:val="auto"/>
        </w:rPr>
        <w:t>”) to, directly or indirectly, (i) solicit, initiate or take any action to knowingly facilitate or encourage the submission of any Company Acquisition Proposal, (ii) enter into or participate in any discussions (other than to state that the Company is not permitted to have discussions) or negotiations with any Third Party that is seeking to make, or has made, a Company Acquisition Proposal,</w:t>
      </w:r>
    </w:p>
    <w:p>
      <w:pPr>
        <w:spacing w:after="0" w:line="2" w:lineRule="exact"/>
        <w:rPr>
          <w:sz w:val="20"/>
          <w:szCs w:val="20"/>
          <w:color w:val="auto"/>
        </w:rPr>
      </w:pPr>
    </w:p>
    <w:p>
      <w:pPr>
        <w:ind w:right="40" w:firstLine="1"/>
        <w:spacing w:after="0" w:line="263" w:lineRule="auto"/>
        <w:tabs>
          <w:tab w:leader="none" w:pos="35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w:t>
      </w:r>
    </w:p>
    <w:p>
      <w:pPr>
        <w:ind w:right="40" w:firstLine="1"/>
        <w:spacing w:after="0" w:line="263" w:lineRule="auto"/>
        <w:tabs>
          <w:tab w:leader="none" w:pos="34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8"/>
          <w:szCs w:val="18"/>
          <w:b w:val="1"/>
          <w:bCs w:val="1"/>
          <w:color w:val="auto"/>
        </w:rPr>
        <w:t>interested stockholder</w:t>
      </w:r>
      <w:r>
        <w:rPr>
          <w:rFonts w:ascii="Arial" w:cs="Arial" w:eastAsia="Arial" w:hAnsi="Arial"/>
          <w:sz w:val="18"/>
          <w:szCs w:val="18"/>
          <w:color w:val="auto"/>
        </w:rPr>
        <w:t>” under, Section 203 of Delaware Law or</w:t>
      </w:r>
    </w:p>
    <w:p>
      <w:pPr>
        <w:spacing w:after="0" w:line="1" w:lineRule="exact"/>
        <w:rPr>
          <w:rFonts w:ascii="Arial" w:cs="Arial" w:eastAsia="Arial" w:hAnsi="Arial"/>
          <w:sz w:val="18"/>
          <w:szCs w:val="18"/>
          <w:color w:val="auto"/>
        </w:rPr>
      </w:pPr>
    </w:p>
    <w:p>
      <w:pPr>
        <w:ind w:right="20" w:firstLine="1"/>
        <w:spacing w:after="0" w:line="252" w:lineRule="auto"/>
        <w:tabs>
          <w:tab w:leader="none" w:pos="39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 Section 6.03(a). It is agreed that any violation of the restrictions on the Company set forth in this Section by any Representative of the Company or any of its Subsidiaries shall be a breach of this Section by the Company.</w:t>
      </w:r>
    </w:p>
    <w:p>
      <w:pPr>
        <w:spacing w:after="0" w:line="162" w:lineRule="exact"/>
        <w:rPr>
          <w:sz w:val="20"/>
          <w:szCs w:val="20"/>
          <w:color w:val="auto"/>
        </w:rPr>
      </w:pPr>
    </w:p>
    <w:p>
      <w:pPr>
        <w:ind w:right="1240" w:firstLine="1715"/>
        <w:spacing w:after="0" w:line="265" w:lineRule="auto"/>
        <w:tabs>
          <w:tab w:leader="none" w:pos="2252"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Recommendation Exceptions</w:t>
      </w:r>
      <w:r>
        <w:rPr>
          <w:rFonts w:ascii="Arial" w:cs="Arial" w:eastAsia="Arial" w:hAnsi="Arial"/>
          <w:sz w:val="20"/>
          <w:szCs w:val="20"/>
          <w:color w:val="auto"/>
        </w:rPr>
        <w:t>. Notwithstanding Section 6.03(a), but subject to Section 6.03(c) and Section 6.03(d), at any time prior to the Company Stockholder Approval:</w:t>
      </w:r>
    </w:p>
    <w:p>
      <w:pPr>
        <w:spacing w:after="0" w:line="147" w:lineRule="exact"/>
        <w:rPr>
          <w:rFonts w:ascii="Arial" w:cs="Arial" w:eastAsia="Arial" w:hAnsi="Arial"/>
          <w:sz w:val="20"/>
          <w:szCs w:val="20"/>
          <w:color w:val="auto"/>
        </w:rPr>
      </w:pPr>
    </w:p>
    <w:p>
      <w:pPr>
        <w:ind w:left="1720" w:right="20" w:firstLine="675"/>
        <w:spacing w:after="0" w:line="242" w:lineRule="auto"/>
        <w:tabs>
          <w:tab w:leader="none" w:pos="2893" w:val="left"/>
        </w:tabs>
        <w:numPr>
          <w:ilvl w:val="1"/>
          <w:numId w:val="299"/>
        </w:numPr>
        <w:rPr>
          <w:rFonts w:ascii="Arial" w:cs="Arial" w:eastAsia="Arial" w:hAnsi="Arial"/>
          <w:sz w:val="20"/>
          <w:szCs w:val="20"/>
          <w:color w:val="auto"/>
        </w:rPr>
      </w:pPr>
      <w:r>
        <w:rPr>
          <w:rFonts w:ascii="Arial" w:cs="Arial" w:eastAsia="Arial" w:hAnsi="Arial"/>
          <w:sz w:val="20"/>
          <w:szCs w:val="20"/>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A-52</w:t>
      </w:r>
    </w:p>
    <w:p>
      <w:pPr>
        <w:sectPr>
          <w:pgSz w:w="11900" w:h="16838" w:orient="portrait"/>
          <w:cols w:equalWidth="0" w:num="1">
            <w:col w:w="11400"/>
          </w:cols>
          <w:pgMar w:left="240" w:top="439" w:right="25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140"/>
        <w:spacing w:after="0" w:line="269" w:lineRule="auto"/>
        <w:rPr>
          <w:sz w:val="20"/>
          <w:szCs w:val="20"/>
          <w:color w:val="auto"/>
        </w:rPr>
      </w:pPr>
      <w:r>
        <w:rPr>
          <w:rFonts w:ascii="Arial" w:cs="Arial" w:eastAsia="Arial" w:hAnsi="Arial"/>
          <w:sz w:val="18"/>
          <w:szCs w:val="18"/>
          <w:color w:val="auto"/>
        </w:rPr>
        <w:t>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(it being understood and hereby agreed that such confidentiality agreement need not contain a “</w:t>
      </w:r>
      <w:r>
        <w:rPr>
          <w:rFonts w:ascii="Arial" w:cs="Arial" w:eastAsia="Arial" w:hAnsi="Arial"/>
          <w:sz w:val="18"/>
          <w:szCs w:val="18"/>
          <w:b w:val="1"/>
          <w:bCs w:val="1"/>
          <w:color w:val="auto"/>
        </w:rPr>
        <w:t>standstill</w:t>
      </w:r>
      <w:r>
        <w:rPr>
          <w:rFonts w:ascii="Arial" w:cs="Arial" w:eastAsia="Arial" w:hAnsi="Arial"/>
          <w:sz w:val="18"/>
          <w:szCs w:val="18"/>
          <w:color w:val="auto"/>
        </w:rPr>
        <w:t xml:space="preserve">” or similar provision that prohibits such Third Party from making any Company Acquisition Proposal, acquiring the Company or taking any other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47" w:lineRule="exact"/>
        <w:rPr>
          <w:sz w:val="20"/>
          <w:szCs w:val="20"/>
          <w:color w:val="auto"/>
        </w:rPr>
      </w:pPr>
    </w:p>
    <w:p>
      <w:pPr>
        <w:ind w:left="1720" w:right="80" w:firstLine="675"/>
        <w:spacing w:after="0" w:line="265" w:lineRule="auto"/>
        <w:tabs>
          <w:tab w:leader="none" w:pos="2949" w:val="left"/>
        </w:tabs>
        <w:numPr>
          <w:ilvl w:val="0"/>
          <w:numId w:val="300"/>
        </w:numPr>
        <w:rPr>
          <w:rFonts w:ascii="Arial" w:cs="Arial" w:eastAsia="Arial" w:hAnsi="Arial"/>
          <w:sz w:val="20"/>
          <w:szCs w:val="20"/>
          <w:color w:val="auto"/>
        </w:rPr>
      </w:pPr>
      <w:r>
        <w:rPr>
          <w:rFonts w:ascii="Arial" w:cs="Arial" w:eastAsia="Arial" w:hAnsi="Arial"/>
          <w:sz w:val="20"/>
          <w:szCs w:val="20"/>
          <w:color w:val="auto"/>
        </w:rPr>
        <w:t>following receipt of a Company Superior Proposal, the Board of Directors of the Company may, subject to compliance with Section 6.03(c), make a Company Adverse Recommendation Change; and</w:t>
      </w:r>
    </w:p>
    <w:p>
      <w:pPr>
        <w:spacing w:after="0" w:line="147" w:lineRule="exact"/>
        <w:rPr>
          <w:rFonts w:ascii="Arial" w:cs="Arial" w:eastAsia="Arial" w:hAnsi="Arial"/>
          <w:sz w:val="20"/>
          <w:szCs w:val="20"/>
          <w:color w:val="auto"/>
        </w:rPr>
      </w:pPr>
    </w:p>
    <w:p>
      <w:pPr>
        <w:ind w:left="1720" w:right="360" w:firstLine="675"/>
        <w:spacing w:after="0" w:line="251" w:lineRule="auto"/>
        <w:tabs>
          <w:tab w:leader="none" w:pos="3005" w:val="left"/>
        </w:tabs>
        <w:numPr>
          <w:ilvl w:val="0"/>
          <w:numId w:val="300"/>
        </w:numPr>
        <w:rPr>
          <w:rFonts w:ascii="Arial" w:cs="Arial" w:eastAsia="Arial" w:hAnsi="Arial"/>
          <w:sz w:val="20"/>
          <w:szCs w:val="20"/>
          <w:color w:val="auto"/>
        </w:rPr>
      </w:pPr>
      <w:r>
        <w:rPr>
          <w:rFonts w:ascii="Arial" w:cs="Arial" w:eastAsia="Arial" w:hAnsi="Arial"/>
          <w:sz w:val="20"/>
          <w:szCs w:val="20"/>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A-53</w:t>
      </w:r>
    </w:p>
    <w:p>
      <w:pPr>
        <w:sectPr>
          <w:pgSz w:w="11900" w:h="16838" w:orient="portrait"/>
          <w:cols w:equalWidth="0" w:num="1">
            <w:col w:w="11420"/>
          </w:cols>
          <w:pgMar w:left="240" w:top="439" w:right="23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20"/>
          <w:szCs w:val="20"/>
          <w:b w:val="1"/>
          <w:bCs w:val="1"/>
          <w:color w:val="auto"/>
        </w:rPr>
        <w:t>stop, look and listen</w:t>
      </w:r>
      <w:r>
        <w:rPr>
          <w:rFonts w:ascii="Arial" w:cs="Arial" w:eastAsia="Arial" w:hAnsi="Arial"/>
          <w:sz w:val="20"/>
          <w:szCs w:val="20"/>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72" w:lineRule="exact"/>
        <w:rPr>
          <w:sz w:val="20"/>
          <w:szCs w:val="20"/>
          <w:color w:val="auto"/>
        </w:rPr>
      </w:pPr>
    </w:p>
    <w:p>
      <w:pPr>
        <w:ind w:right="80" w:firstLine="1715"/>
        <w:spacing w:after="0" w:line="267" w:lineRule="auto"/>
        <w:tabs>
          <w:tab w:leader="none" w:pos="224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Required Notices</w:t>
      </w:r>
      <w:r>
        <w:rPr>
          <w:rFonts w:ascii="Arial" w:cs="Arial" w:eastAsia="Arial" w:hAnsi="Arial"/>
          <w:sz w:val="18"/>
          <w:szCs w:val="18"/>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 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52" w:lineRule="exact"/>
        <w:rPr>
          <w:rFonts w:ascii="Arial" w:cs="Arial" w:eastAsia="Arial" w:hAnsi="Arial"/>
          <w:sz w:val="18"/>
          <w:szCs w:val="18"/>
          <w:color w:val="auto"/>
        </w:rPr>
      </w:pPr>
    </w:p>
    <w:p>
      <w:pPr>
        <w:ind w:firstLine="1715"/>
        <w:spacing w:after="0" w:line="254" w:lineRule="auto"/>
        <w:tabs>
          <w:tab w:leader="none" w:pos="2252" w:val="left"/>
        </w:tabs>
        <w:numPr>
          <w:ilvl w:val="0"/>
          <w:numId w:val="3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Last Look</w:t>
      </w:r>
      <w:r>
        <w:rPr>
          <w:rFonts w:ascii="Arial" w:cs="Arial" w:eastAsia="Arial" w:hAnsi="Arial"/>
          <w:sz w:val="19"/>
          <w:szCs w:val="19"/>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A-54</w:t>
      </w:r>
    </w:p>
    <w:p>
      <w:pPr>
        <w:sectPr>
          <w:pgSz w:w="11900" w:h="16838" w:orient="portrait"/>
          <w:cols w:equalWidth="0" w:num="1">
            <w:col w:w="11400"/>
          </w:cols>
          <w:pgMar w:left="240" w:top="439" w:right="25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58" w:lineRule="exact"/>
        <w:rPr>
          <w:sz w:val="20"/>
          <w:szCs w:val="20"/>
          <w:color w:val="auto"/>
        </w:rPr>
      </w:pPr>
    </w:p>
    <w:p>
      <w:pPr>
        <w:ind w:right="20" w:firstLine="1715"/>
        <w:spacing w:after="0" w:line="255" w:lineRule="auto"/>
        <w:tabs>
          <w:tab w:leader="none" w:pos="2241" w:val="left"/>
        </w:tabs>
        <w:numPr>
          <w:ilvl w:val="0"/>
          <w:numId w:val="302"/>
        </w:numPr>
        <w:rPr>
          <w:rFonts w:ascii="Arial" w:cs="Arial" w:eastAsia="Arial" w:hAnsi="Arial"/>
          <w:sz w:val="19"/>
          <w:szCs w:val="19"/>
          <w:color w:val="auto"/>
        </w:rPr>
      </w:pPr>
      <w:r>
        <w:rPr>
          <w:rFonts w:ascii="Arial" w:cs="Arial" w:eastAsia="Arial" w:hAnsi="Arial"/>
          <w:sz w:val="19"/>
          <w:szCs w:val="19"/>
          <w:color w:val="auto"/>
        </w:rPr>
        <w:t>Definition of Company Superior Proposal. For purposes of this Agreement, “</w:t>
      </w:r>
      <w:r>
        <w:rPr>
          <w:rFonts w:ascii="Arial" w:cs="Arial" w:eastAsia="Arial" w:hAnsi="Arial"/>
          <w:sz w:val="19"/>
          <w:szCs w:val="19"/>
          <w:b w:val="1"/>
          <w:bCs w:val="1"/>
          <w:color w:val="auto"/>
        </w:rPr>
        <w:t>Company Superior Proposal</w:t>
      </w:r>
      <w:r>
        <w:rPr>
          <w:rFonts w:ascii="Arial" w:cs="Arial" w:eastAsia="Arial" w:hAnsi="Arial"/>
          <w:sz w:val="19"/>
          <w:szCs w:val="19"/>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59" w:lineRule="exact"/>
        <w:rPr>
          <w:rFonts w:ascii="Arial" w:cs="Arial" w:eastAsia="Arial" w:hAnsi="Arial"/>
          <w:sz w:val="19"/>
          <w:szCs w:val="19"/>
          <w:color w:val="auto"/>
        </w:rPr>
      </w:pPr>
    </w:p>
    <w:p>
      <w:pPr>
        <w:ind w:firstLine="1715"/>
        <w:spacing w:after="0" w:line="270" w:lineRule="auto"/>
        <w:tabs>
          <w:tab w:leader="none" w:pos="22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 certifications of such return or destruction from such other Persons as promptly as practicable after receipt thereof. The Company shall use its commercially reasonable efforts to secure all such certifications 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A-55</w:t>
      </w:r>
    </w:p>
    <w:p>
      <w:pPr>
        <w:sectPr>
          <w:pgSz w:w="11900" w:h="16838" w:orient="portrait"/>
          <w:cols w:equalWidth="0" w:num="1">
            <w:col w:w="11420"/>
          </w:cols>
          <w:pgMar w:left="240" w:top="439" w:right="23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67" w:lineRule="exact"/>
        <w:rPr>
          <w:sz w:val="20"/>
          <w:szCs w:val="20"/>
          <w:color w:val="auto"/>
        </w:rPr>
      </w:pPr>
    </w:p>
    <w:p>
      <w:pPr>
        <w:ind w:firstLine="800"/>
        <w:spacing w:after="0"/>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Tax Matters</w:t>
      </w:r>
      <w:r>
        <w:rPr>
          <w:rFonts w:ascii="Arial" w:cs="Arial" w:eastAsia="Arial" w:hAnsi="Arial"/>
          <w:sz w:val="20"/>
          <w:szCs w:val="20"/>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75" w:lineRule="exact"/>
        <w:rPr>
          <w:sz w:val="20"/>
          <w:szCs w:val="20"/>
          <w:color w:val="auto"/>
        </w:rPr>
      </w:pPr>
    </w:p>
    <w:p>
      <w:pPr>
        <w:ind w:right="40" w:firstLine="1715"/>
        <w:spacing w:after="0" w:line="251" w:lineRule="auto"/>
        <w:tabs>
          <w:tab w:leader="none" w:pos="2248"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61" w:lineRule="exact"/>
        <w:rPr>
          <w:rFonts w:ascii="Arial" w:cs="Arial" w:eastAsia="Arial" w:hAnsi="Arial"/>
          <w:sz w:val="20"/>
          <w:szCs w:val="20"/>
          <w:color w:val="auto"/>
        </w:rPr>
      </w:pPr>
    </w:p>
    <w:p>
      <w:pPr>
        <w:ind w:right="80" w:firstLine="1715"/>
        <w:spacing w:after="0" w:line="242" w:lineRule="auto"/>
        <w:tabs>
          <w:tab w:leader="none" w:pos="2229" w:val="left"/>
        </w:tabs>
        <w:numPr>
          <w:ilvl w:val="0"/>
          <w:numId w:val="303"/>
        </w:numPr>
        <w:rPr>
          <w:rFonts w:ascii="Arial" w:cs="Arial" w:eastAsia="Arial" w:hAnsi="Arial"/>
          <w:sz w:val="20"/>
          <w:szCs w:val="20"/>
          <w:color w:val="auto"/>
        </w:rPr>
      </w:pPr>
      <w:r>
        <w:rPr>
          <w:rFonts w:ascii="Arial" w:cs="Arial" w:eastAsia="Arial" w:hAnsi="Arial"/>
          <w:sz w:val="20"/>
          <w:szCs w:val="20"/>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72" w:lineRule="exact"/>
        <w:rPr>
          <w:sz w:val="20"/>
          <w:szCs w:val="20"/>
          <w:color w:val="auto"/>
        </w:rPr>
      </w:pPr>
    </w:p>
    <w:p>
      <w:pPr>
        <w:ind w:right="120" w:firstLine="800"/>
        <w:spacing w:after="0" w:line="246"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Voting of Shares</w:t>
      </w:r>
      <w:r>
        <w:rPr>
          <w:rFonts w:ascii="Arial" w:cs="Arial" w:eastAsia="Arial" w:hAnsi="Arial"/>
          <w:sz w:val="20"/>
          <w:szCs w:val="20"/>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163"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7</w:t>
      </w:r>
    </w:p>
    <w:p>
      <w:pPr>
        <w:spacing w:after="0" w:line="19"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Covenants of Parent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Parent agrees that:</w:t>
      </w:r>
    </w:p>
    <w:p>
      <w:pPr>
        <w:spacing w:after="0" w:line="199" w:lineRule="exact"/>
        <w:rPr>
          <w:sz w:val="20"/>
          <w:szCs w:val="20"/>
          <w:color w:val="auto"/>
        </w:rPr>
      </w:pPr>
    </w:p>
    <w:p>
      <w:pPr>
        <w:ind w:right="780" w:firstLine="800"/>
        <w:spacing w:after="0" w:line="265"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Conduct of Parent</w:t>
      </w:r>
      <w:r>
        <w:rPr>
          <w:rFonts w:ascii="Arial" w:cs="Arial" w:eastAsia="Arial" w:hAnsi="Arial"/>
          <w:sz w:val="20"/>
          <w:szCs w:val="20"/>
          <w:color w:val="auto"/>
        </w:rPr>
        <w:t xml:space="preserve"> . From the date hereof until the Effective Time except as expressly contemplated by this Agreement, as set forth in Section 7.01 of the Parent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A-56</w:t>
      </w:r>
    </w:p>
    <w:p>
      <w:pPr>
        <w:sectPr>
          <w:pgSz w:w="11900" w:h="16838" w:orient="portrait"/>
          <w:cols w:equalWidth="0" w:num="1">
            <w:col w:w="11420"/>
          </w:cols>
          <w:pgMar w:left="240" w:top="439" w:right="23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74" w:lineRule="exact"/>
        <w:rPr>
          <w:sz w:val="20"/>
          <w:szCs w:val="20"/>
          <w:color w:val="auto"/>
        </w:rPr>
      </w:pPr>
    </w:p>
    <w:p>
      <w:pPr>
        <w:ind w:right="420" w:firstLine="1715"/>
        <w:spacing w:after="0" w:line="265" w:lineRule="auto"/>
        <w:tabs>
          <w:tab w:leader="none" w:pos="2241"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amend the articles of incorporation or bylaws of Parent in a manner that would have a material and adverse impact on the value of Parent Class A Common Stock;</w:t>
      </w:r>
    </w:p>
    <w:p>
      <w:pPr>
        <w:spacing w:after="0" w:line="147" w:lineRule="exact"/>
        <w:rPr>
          <w:rFonts w:ascii="Arial" w:cs="Arial" w:eastAsia="Arial" w:hAnsi="Arial"/>
          <w:sz w:val="20"/>
          <w:szCs w:val="20"/>
          <w:color w:val="auto"/>
        </w:rPr>
      </w:pPr>
    </w:p>
    <w:p>
      <w:pPr>
        <w:ind w:right="20" w:firstLine="1715"/>
        <w:spacing w:after="0" w:line="255" w:lineRule="auto"/>
        <w:tabs>
          <w:tab w:leader="none" w:pos="2252" w:val="left"/>
        </w:tabs>
        <w:numPr>
          <w:ilvl w:val="0"/>
          <w:numId w:val="304"/>
        </w:numPr>
        <w:rPr>
          <w:rFonts w:ascii="Arial" w:cs="Arial" w:eastAsia="Arial" w:hAnsi="Arial"/>
          <w:sz w:val="19"/>
          <w:szCs w:val="19"/>
          <w:color w:val="auto"/>
        </w:rPr>
      </w:pPr>
      <w:r>
        <w:rPr>
          <w:rFonts w:ascii="Arial" w:cs="Arial" w:eastAsia="Arial" w:hAnsi="Arial"/>
          <w:sz w:val="19"/>
          <w:szCs w:val="19"/>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 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60" w:lineRule="exact"/>
        <w:rPr>
          <w:rFonts w:ascii="Arial" w:cs="Arial" w:eastAsia="Arial" w:hAnsi="Arial"/>
          <w:sz w:val="19"/>
          <w:szCs w:val="19"/>
          <w:color w:val="auto"/>
        </w:rPr>
      </w:pPr>
    </w:p>
    <w:p>
      <w:pPr>
        <w:ind w:right="300" w:firstLine="1715"/>
        <w:spacing w:after="0" w:line="265" w:lineRule="auto"/>
        <w:tabs>
          <w:tab w:leader="none" w:pos="2241"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adopt or publicly propose a plan of complete or partial liquidation or resolutions providing for or authorizing such a liquidation or a dissolution, restructuring, recapitalization or reorganization;</w:t>
      </w:r>
    </w:p>
    <w:p>
      <w:pPr>
        <w:spacing w:after="0" w:line="147" w:lineRule="exact"/>
        <w:rPr>
          <w:rFonts w:ascii="Arial" w:cs="Arial" w:eastAsia="Arial" w:hAnsi="Arial"/>
          <w:sz w:val="20"/>
          <w:szCs w:val="20"/>
          <w:color w:val="auto"/>
        </w:rPr>
      </w:pPr>
    </w:p>
    <w:p>
      <w:pPr>
        <w:ind w:right="220" w:firstLine="1715"/>
        <w:spacing w:after="0" w:line="292" w:lineRule="auto"/>
        <w:tabs>
          <w:tab w:leader="none" w:pos="2252" w:val="left"/>
        </w:tabs>
        <w:numPr>
          <w:ilvl w:val="0"/>
          <w:numId w:val="304"/>
        </w:numPr>
        <w:rPr>
          <w:rFonts w:ascii="Arial" w:cs="Arial" w:eastAsia="Arial" w:hAnsi="Arial"/>
          <w:sz w:val="19"/>
          <w:szCs w:val="19"/>
          <w:color w:val="auto"/>
        </w:rPr>
      </w:pPr>
      <w:r>
        <w:rPr>
          <w:rFonts w:ascii="Arial" w:cs="Arial" w:eastAsia="Arial" w:hAnsi="Arial"/>
          <w:sz w:val="19"/>
          <w:szCs w:val="19"/>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24" w:lineRule="exact"/>
        <w:rPr>
          <w:rFonts w:ascii="Arial" w:cs="Arial" w:eastAsia="Arial" w:hAnsi="Arial"/>
          <w:sz w:val="19"/>
          <w:szCs w:val="19"/>
          <w:color w:val="auto"/>
        </w:rPr>
      </w:pPr>
    </w:p>
    <w:p>
      <w:pPr>
        <w:ind w:left="2240" w:hanging="525"/>
        <w:spacing w:after="0"/>
        <w:tabs>
          <w:tab w:leader="none" w:pos="22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agree, resolve or commit to do any of the foregoing.</w:t>
      </w:r>
    </w:p>
    <w:p>
      <w:pPr>
        <w:spacing w:after="0" w:line="199" w:lineRule="exact"/>
        <w:rPr>
          <w:sz w:val="20"/>
          <w:szCs w:val="20"/>
          <w:color w:val="auto"/>
        </w:rPr>
      </w:pPr>
    </w:p>
    <w:p>
      <w:pPr>
        <w:ind w:right="60" w:firstLine="800"/>
        <w:spacing w:after="0" w:line="292"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Obligations of Merger Subsidiary</w:t>
      </w:r>
      <w:r>
        <w:rPr>
          <w:rFonts w:ascii="Arial" w:cs="Arial" w:eastAsia="Arial" w:hAnsi="Arial"/>
          <w:sz w:val="19"/>
          <w:szCs w:val="19"/>
          <w:color w:val="auto"/>
        </w:rPr>
        <w:t>. Parent shall take all action necessary to cause Merger Subsidiary to perform its obligations under this Agreement and to consummate the Merger on the terms and conditions set forth in this Agreement.</w:t>
      </w:r>
    </w:p>
    <w:p>
      <w:pPr>
        <w:spacing w:after="0" w:line="120" w:lineRule="exact"/>
        <w:rPr>
          <w:sz w:val="20"/>
          <w:szCs w:val="20"/>
          <w:color w:val="auto"/>
        </w:rPr>
      </w:pPr>
    </w:p>
    <w:p>
      <w:pPr>
        <w:ind w:firstLine="800"/>
        <w:spacing w:after="0" w:line="253"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i w:val="1"/>
          <w:iCs w:val="1"/>
          <w:color w:val="auto"/>
        </w:rPr>
        <w:t>Parent Shareholder Meeting</w:t>
      </w:r>
      <w:r>
        <w:rPr>
          <w:rFonts w:ascii="Arial" w:cs="Arial" w:eastAsia="Arial" w:hAnsi="Arial"/>
          <w:sz w:val="20"/>
          <w:szCs w:val="20"/>
          <w:color w:val="auto"/>
        </w:rPr>
        <w:t>. Parent shall cause a meeting of its shareholders (the “</w:t>
      </w:r>
      <w:r>
        <w:rPr>
          <w:rFonts w:ascii="Arial" w:cs="Arial" w:eastAsia="Arial" w:hAnsi="Arial"/>
          <w:sz w:val="20"/>
          <w:szCs w:val="20"/>
          <w:b w:val="1"/>
          <w:bCs w:val="1"/>
          <w:color w:val="auto"/>
        </w:rPr>
        <w:t>Parent Shareholder Meeting</w:t>
      </w:r>
      <w:r>
        <w:rPr>
          <w:rFonts w:ascii="Arial" w:cs="Arial" w:eastAsia="Arial" w:hAnsi="Arial"/>
          <w:sz w:val="20"/>
          <w:szCs w:val="20"/>
          <w:color w:val="auto"/>
        </w:rPr>
        <w:t>”) to be duly called and held as soon as reasonably practicable after the date of this Agreement (but in no event later than 40 days after the Registration Statement is declared effective under the 1993 Act) for the purpose of voting</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A-57</w:t>
      </w:r>
    </w:p>
    <w:p>
      <w:pPr>
        <w:sectPr>
          <w:pgSz w:w="11900" w:h="16838" w:orient="portrait"/>
          <w:cols w:equalWidth="0" w:num="1">
            <w:col w:w="11320"/>
          </w:cols>
          <w:pgMar w:left="240" w:top="439" w:right="33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the approval of the issuance of shares of Parent Class A Common Stock as part of the Merger Consideration (the “</w:t>
      </w:r>
      <w:r>
        <w:rPr>
          <w:rFonts w:ascii="Arial" w:cs="Arial" w:eastAsia="Arial" w:hAnsi="Arial"/>
          <w:sz w:val="18"/>
          <w:szCs w:val="18"/>
          <w:b w:val="1"/>
          <w:bCs w:val="1"/>
          <w:color w:val="auto"/>
        </w:rPr>
        <w:t>Parent Stock</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In connection with the Parent Shareholder Meeting, the Board of Directors of Parent shall (i) (1) recommend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Stock Issuance to Parent’s shareholders and (2) use its reasonable best efforts to obtain the Parent Shareholder Approval and</w:t>
      </w:r>
    </w:p>
    <w:p>
      <w:pPr>
        <w:spacing w:after="0" w:line="2" w:lineRule="exact"/>
        <w:rPr>
          <w:sz w:val="20"/>
          <w:szCs w:val="20"/>
          <w:color w:val="auto"/>
        </w:rPr>
      </w:pPr>
    </w:p>
    <w:p>
      <w:pPr>
        <w:ind w:right="60" w:firstLine="1"/>
        <w:spacing w:after="0" w:line="263" w:lineRule="auto"/>
        <w:tabs>
          <w:tab w:leader="none" w:pos="29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w:t>
      </w:r>
    </w:p>
    <w:p>
      <w:pPr>
        <w:spacing w:after="0" w:line="266" w:lineRule="auto"/>
        <w:rPr>
          <w:rFonts w:ascii="Arial" w:cs="Arial" w:eastAsia="Arial" w:hAnsi="Arial"/>
          <w:sz w:val="18"/>
          <w:szCs w:val="18"/>
          <w:color w:val="auto"/>
        </w:rPr>
      </w:pPr>
      <w:r>
        <w:rPr>
          <w:rFonts w:ascii="Arial" w:cs="Arial" w:eastAsia="Arial" w:hAnsi="Arial"/>
          <w:sz w:val="18"/>
          <w:szCs w:val="18"/>
          <w:color w:val="auto"/>
        </w:rPr>
        <w:t>(A)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50" w:lineRule="exact"/>
        <w:rPr>
          <w:sz w:val="20"/>
          <w:szCs w:val="20"/>
          <w:color w:val="auto"/>
        </w:rPr>
      </w:pPr>
    </w:p>
    <w:p>
      <w:pPr>
        <w:ind w:right="20" w:firstLine="800"/>
        <w:spacing w:after="0" w:line="265"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i w:val="1"/>
          <w:iCs w:val="1"/>
          <w:color w:val="auto"/>
        </w:rPr>
        <w:t>Certain Prohibitions</w:t>
      </w:r>
      <w:r>
        <w:rPr>
          <w:rFonts w:ascii="Arial" w:cs="Arial" w:eastAsia="Arial" w:hAnsi="Arial"/>
          <w:sz w:val="20"/>
          <w:szCs w:val="20"/>
          <w:color w:val="auto"/>
        </w:rPr>
        <w:t>. From the date hereof until May 23, 2014, neither Parent nor any of its Subsidiaries shall enter into any agreements (written or oral) providing for the divestiture of in excess of 25,000 subscribers in the aggregate.</w:t>
      </w:r>
    </w:p>
    <w:p>
      <w:pPr>
        <w:spacing w:after="0" w:line="148" w:lineRule="exact"/>
        <w:rPr>
          <w:sz w:val="20"/>
          <w:szCs w:val="20"/>
          <w:color w:val="auto"/>
        </w:rPr>
      </w:pPr>
    </w:p>
    <w:p>
      <w:pPr>
        <w:ind w:right="260" w:firstLine="800"/>
        <w:spacing w:after="0" w:line="251"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i w:val="1"/>
          <w:iCs w:val="1"/>
          <w:color w:val="auto"/>
        </w:rPr>
        <w:t>Approval by Sole Stockholder of Merger Subsidiary</w:t>
      </w:r>
      <w:r>
        <w:rPr>
          <w:rFonts w:ascii="Arial" w:cs="Arial" w:eastAsia="Arial" w:hAnsi="Arial"/>
          <w:sz w:val="20"/>
          <w:szCs w:val="20"/>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61" w:lineRule="exact"/>
        <w:rPr>
          <w:sz w:val="20"/>
          <w:szCs w:val="20"/>
          <w:color w:val="auto"/>
        </w:rPr>
      </w:pPr>
    </w:p>
    <w:p>
      <w:pPr>
        <w:ind w:right="60" w:firstLine="800"/>
        <w:spacing w:after="0" w:line="322"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Voting of Shares</w:t>
      </w:r>
      <w:r>
        <w:rPr>
          <w:rFonts w:ascii="Arial" w:cs="Arial" w:eastAsia="Arial" w:hAnsi="Arial"/>
          <w:sz w:val="18"/>
          <w:szCs w:val="18"/>
          <w:color w:val="auto"/>
        </w:rPr>
        <w:t>. Parent shall vote all shares of Company Stock beneficially owned by it or any of its Subsidiaries (other than, for the avoidance of doubt, any such shares held by any employee benefit plan of Parent or any of its Subsidiaries or any</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A-58</w:t>
      </w:r>
    </w:p>
    <w:p>
      <w:pPr>
        <w:sectPr>
          <w:pgSz w:w="11900" w:h="16838" w:orient="portrait"/>
          <w:cols w:equalWidth="0" w:num="1">
            <w:col w:w="11360"/>
          </w:cols>
          <w:pgMar w:left="240" w:top="439" w:right="29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780"/>
        <w:spacing w:after="0" w:line="265" w:lineRule="auto"/>
        <w:rPr>
          <w:sz w:val="20"/>
          <w:szCs w:val="20"/>
          <w:color w:val="auto"/>
        </w:rPr>
      </w:pPr>
      <w:r>
        <w:rPr>
          <w:rFonts w:ascii="Arial" w:cs="Arial" w:eastAsia="Arial" w:hAnsi="Arial"/>
          <w:sz w:val="20"/>
          <w:szCs w:val="20"/>
          <w:color w:val="auto"/>
        </w:rPr>
        <w:t>trustee or other fiduciary in such capacity under any employee benefit plan) in favor of adoption of this Agreement at the Company Stockholder Meeting.</w:t>
      </w:r>
    </w:p>
    <w:p>
      <w:pPr>
        <w:spacing w:after="0" w:line="148"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Director and Officer Indemnification</w:t>
      </w:r>
      <w:r>
        <w:rPr>
          <w:rFonts w:ascii="Arial" w:cs="Arial" w:eastAsia="Arial" w:hAnsi="Arial"/>
          <w:sz w:val="18"/>
          <w:szCs w:val="18"/>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48" w:lineRule="exact"/>
        <w:rPr>
          <w:sz w:val="20"/>
          <w:szCs w:val="20"/>
          <w:color w:val="auto"/>
        </w:rPr>
      </w:pPr>
    </w:p>
    <w:p>
      <w:pPr>
        <w:ind w:right="20" w:firstLine="1715"/>
        <w:spacing w:after="0" w:line="241" w:lineRule="auto"/>
        <w:tabs>
          <w:tab w:leader="none" w:pos="225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74" w:lineRule="exact"/>
        <w:rPr>
          <w:rFonts w:ascii="Arial" w:cs="Arial" w:eastAsia="Arial" w:hAnsi="Arial"/>
          <w:sz w:val="20"/>
          <w:szCs w:val="20"/>
          <w:color w:val="auto"/>
        </w:rPr>
      </w:pPr>
    </w:p>
    <w:p>
      <w:pPr>
        <w:ind w:right="40" w:firstLine="1715"/>
        <w:spacing w:after="0" w:line="273" w:lineRule="auto"/>
        <w:tabs>
          <w:tab w:leader="none" w:pos="22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8"/>
          <w:szCs w:val="18"/>
          <w:b w:val="1"/>
          <w:bCs w:val="1"/>
          <w:color w:val="auto"/>
        </w:rPr>
        <w:t>D&amp;O Insurance</w:t>
      </w:r>
      <w:r>
        <w:rPr>
          <w:rFonts w:ascii="Arial" w:cs="Arial" w:eastAsia="Arial" w:hAnsi="Arial"/>
          <w:sz w:val="18"/>
          <w:szCs w:val="18"/>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Parent or the Surviving Corporation be required to expend for such policies pursuant to this sentence an aggregate premium amount in excess of 300% of the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A-59</w:t>
      </w:r>
    </w:p>
    <w:p>
      <w:pPr>
        <w:sectPr>
          <w:pgSz w:w="11900" w:h="16838" w:orient="portrait"/>
          <w:cols w:equalWidth="0" w:num="1">
            <w:col w:w="11380"/>
          </w:cols>
          <w:pgMar w:left="240" w:top="439" w:right="27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 xml:space="preserve">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60" w:lineRule="exact"/>
        <w:rPr>
          <w:sz w:val="20"/>
          <w:szCs w:val="20"/>
          <w:color w:val="auto"/>
        </w:rPr>
      </w:pPr>
    </w:p>
    <w:p>
      <w:pPr>
        <w:ind w:right="20" w:firstLine="1715"/>
        <w:spacing w:after="0" w:line="244" w:lineRule="auto"/>
        <w:tabs>
          <w:tab w:leader="none" w:pos="2252" w:val="left"/>
        </w:tabs>
        <w:numPr>
          <w:ilvl w:val="0"/>
          <w:numId w:val="307"/>
        </w:numPr>
        <w:rPr>
          <w:rFonts w:ascii="Arial" w:cs="Arial" w:eastAsia="Arial" w:hAnsi="Arial"/>
          <w:sz w:val="20"/>
          <w:szCs w:val="20"/>
          <w:color w:val="auto"/>
        </w:rPr>
      </w:pPr>
      <w:r>
        <w:rPr>
          <w:rFonts w:ascii="Arial" w:cs="Arial" w:eastAsia="Arial" w:hAnsi="Arial"/>
          <w:sz w:val="20"/>
          <w:szCs w:val="20"/>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67" w:lineRule="exact"/>
        <w:rPr>
          <w:rFonts w:ascii="Arial" w:cs="Arial" w:eastAsia="Arial" w:hAnsi="Arial"/>
          <w:sz w:val="20"/>
          <w:szCs w:val="20"/>
          <w:color w:val="auto"/>
        </w:rPr>
      </w:pPr>
    </w:p>
    <w:p>
      <w:pPr>
        <w:ind w:right="80" w:firstLine="1715"/>
        <w:spacing w:after="0" w:line="263" w:lineRule="auto"/>
        <w:tabs>
          <w:tab w:leader="none" w:pos="223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52" w:lineRule="exact"/>
        <w:rPr>
          <w:sz w:val="20"/>
          <w:szCs w:val="20"/>
          <w:color w:val="auto"/>
        </w:rPr>
      </w:pPr>
    </w:p>
    <w:p>
      <w:pPr>
        <w:ind w:right="200" w:firstLine="800"/>
        <w:spacing w:after="0" w:line="292"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i w:val="1"/>
          <w:iCs w:val="1"/>
          <w:color w:val="auto"/>
        </w:rPr>
        <w:t>Stock Exchange Listing</w:t>
      </w:r>
      <w:r>
        <w:rPr>
          <w:rFonts w:ascii="Arial" w:cs="Arial" w:eastAsia="Arial" w:hAnsi="Arial"/>
          <w:sz w:val="19"/>
          <w:szCs w:val="19"/>
          <w:color w:val="auto"/>
        </w:rPr>
        <w:t>. Parent shall use its reasonable best efforts to cause the shares of Parent Class A Common Stock to be issued as part of the Merger Consideration to be listed on NASDAQ, subject to official notice of issuance.</w:t>
      </w:r>
    </w:p>
    <w:p>
      <w:pPr>
        <w:spacing w:after="0" w:line="124" w:lineRule="exact"/>
        <w:rPr>
          <w:sz w:val="20"/>
          <w:szCs w:val="20"/>
          <w:color w:val="auto"/>
        </w:rPr>
      </w:pPr>
    </w:p>
    <w:p>
      <w:pPr>
        <w:ind w:firstLine="800"/>
        <w:spacing w:after="0" w:line="256"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Employee Matters</w:t>
      </w:r>
      <w:r>
        <w:rPr>
          <w:rFonts w:ascii="Arial" w:cs="Arial" w:eastAsia="Arial" w:hAnsi="Arial"/>
          <w:sz w:val="19"/>
          <w:szCs w:val="19"/>
          <w:color w:val="auto"/>
        </w:rPr>
        <w:t>. (a) During the period beginning at the Effective Time and ending on the first anniversary of the Effective Time (the “</w:t>
      </w:r>
      <w:r>
        <w:rPr>
          <w:rFonts w:ascii="Arial" w:cs="Arial" w:eastAsia="Arial" w:hAnsi="Arial"/>
          <w:sz w:val="19"/>
          <w:szCs w:val="19"/>
          <w:b w:val="1"/>
          <w:bCs w:val="1"/>
          <w:color w:val="auto"/>
        </w:rPr>
        <w:t>Continuation Period</w:t>
      </w:r>
      <w:r>
        <w:rPr>
          <w:rFonts w:ascii="Arial" w:cs="Arial" w:eastAsia="Arial" w:hAnsi="Arial"/>
          <w:sz w:val="19"/>
          <w:szCs w:val="19"/>
          <w:color w:val="auto"/>
        </w:rPr>
        <w:t>”), Parent shall provide, or shall cause to be provided, to each employee of the Company and its Subsidiaries who continues to be employed by Parent or its Subsidiaries (including, for the avoidance of doubt the Surviving Corporation and its Subsidiaries) immediately following the Effective Time (each, a “</w:t>
      </w:r>
      <w:r>
        <w:rPr>
          <w:rFonts w:ascii="Arial" w:cs="Arial" w:eastAsia="Arial" w:hAnsi="Arial"/>
          <w:sz w:val="19"/>
          <w:szCs w:val="19"/>
          <w:b w:val="1"/>
          <w:bCs w:val="1"/>
          <w:color w:val="auto"/>
        </w:rPr>
        <w:t>Continuing Employee</w:t>
      </w:r>
      <w:r>
        <w:rPr>
          <w:rFonts w:ascii="Arial" w:cs="Arial" w:eastAsia="Arial" w:hAnsi="Arial"/>
          <w:sz w:val="19"/>
          <w:szCs w:val="19"/>
          <w:color w:val="auto"/>
        </w:rPr>
        <w:t>”), other than any Continuing Employee included in a collective bargaining unit covered by the Collective Bargaining Agreements as in effect on the Closing Date (each, a “</w:t>
      </w:r>
      <w:r>
        <w:rPr>
          <w:rFonts w:ascii="Arial" w:cs="Arial" w:eastAsia="Arial" w:hAnsi="Arial"/>
          <w:sz w:val="19"/>
          <w:szCs w:val="19"/>
          <w:b w:val="1"/>
          <w:bCs w:val="1"/>
          <w:color w:val="auto"/>
        </w:rPr>
        <w:t>Union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w:t>
      </w:r>
      <w:r>
        <w:rPr>
          <w:rFonts w:ascii="Arial" w:cs="Arial" w:eastAsia="Arial" w:hAnsi="Arial"/>
          <w:sz w:val="19"/>
          <w:szCs w:val="19"/>
          <w:color w:val="auto"/>
        </w:rPr>
        <w:t>”), with, to the extent employed by Parent or its Subsidiaries, (i) base pay, commission opportunities and cash bonus opportunities,</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 that are no less favorable in the aggregate than provided to each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A-60</w:t>
      </w:r>
    </w:p>
    <w:p>
      <w:pPr>
        <w:sectPr>
          <w:pgSz w:w="11900" w:h="16838" w:orient="portrait"/>
          <w:cols w:equalWidth="0" w:num="1">
            <w:col w:w="11400"/>
          </w:cols>
          <w:pgMar w:left="240" w:top="439" w:right="25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such Continuing Employee immediately prior to the Closing Date and (ii) employee benefits that are no less favorable in the aggregate than provided to each such Continuing Employee immediately prior to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that, for purposes of determining whether such pay, opportunities and benefits are no less favorable in the aggregate, equity compensation, defined benefit pension plan benefits, severance, retention (including, for the avoidance of doubt, any supplemental cash bonus opportunity set forth on Section 6.01(m) of the Company Disclosure Schedule), sale, stay, or change in control payments or awards or any similar compensation or benefit, shall not be taken into account. With respect to Union Employee, Parent shall retain, or shall cause to be retained, any and all of the rights and obligations it may have pursuant to Applicable Law.</w:t>
      </w:r>
    </w:p>
    <w:p>
      <w:pPr>
        <w:spacing w:after="0" w:line="174" w:lineRule="exact"/>
        <w:rPr>
          <w:sz w:val="20"/>
          <w:szCs w:val="20"/>
          <w:color w:val="auto"/>
        </w:rPr>
      </w:pPr>
    </w:p>
    <w:p>
      <w:pPr>
        <w:ind w:firstLine="1715"/>
        <w:spacing w:after="0" w:line="257" w:lineRule="auto"/>
        <w:tabs>
          <w:tab w:leader="none" w:pos="2252" w:val="left"/>
        </w:tabs>
        <w:numPr>
          <w:ilvl w:val="0"/>
          <w:numId w:val="308"/>
        </w:numPr>
        <w:rPr>
          <w:rFonts w:ascii="Arial" w:cs="Arial" w:eastAsia="Arial" w:hAnsi="Arial"/>
          <w:sz w:val="19"/>
          <w:szCs w:val="19"/>
          <w:color w:val="auto"/>
        </w:rPr>
      </w:pPr>
      <w:r>
        <w:rPr>
          <w:rFonts w:ascii="Arial" w:cs="Arial" w:eastAsia="Arial" w:hAnsi="Arial"/>
          <w:sz w:val="19"/>
          <w:szCs w:val="19"/>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60" w:lineRule="exact"/>
        <w:rPr>
          <w:rFonts w:ascii="Arial" w:cs="Arial" w:eastAsia="Arial" w:hAnsi="Arial"/>
          <w:sz w:val="19"/>
          <w:szCs w:val="19"/>
          <w:color w:val="auto"/>
        </w:rPr>
      </w:pPr>
    </w:p>
    <w:p>
      <w:pPr>
        <w:ind w:left="2240" w:hanging="525"/>
        <w:spacing w:after="0"/>
        <w:tabs>
          <w:tab w:leader="none" w:pos="224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To the extent that Continuing Employees, other than Union Employees, become eligible to participate in any</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benefit plan,</w:t>
      </w:r>
      <w:r>
        <w:rPr>
          <w:rFonts w:ascii="Arial" w:cs="Arial" w:eastAsia="Arial" w:hAnsi="Arial"/>
          <w:sz w:val="19"/>
          <w:szCs w:val="19"/>
          <w:color w:val="auto"/>
        </w:rPr>
        <w:t>” as defined in Section 3(3) of ERISA, maintained by Parent or any of its Subsidiaries (collectively, the “</w:t>
      </w:r>
      <w:r>
        <w:rPr>
          <w:rFonts w:ascii="Arial" w:cs="Arial" w:eastAsia="Arial" w:hAnsi="Arial"/>
          <w:sz w:val="19"/>
          <w:szCs w:val="19"/>
          <w:b w:val="1"/>
          <w:bCs w:val="1"/>
          <w:color w:val="auto"/>
        </w:rPr>
        <w:t>Parent</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then, for purposes of determining (i) eligibility to participate and vesting and, (ii) solely with respect to any Parent Plan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 (x) 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63" w:lineRule="exact"/>
        <w:rPr>
          <w:sz w:val="20"/>
          <w:szCs w:val="20"/>
          <w:color w:val="auto"/>
        </w:rPr>
      </w:pPr>
    </w:p>
    <w:p>
      <w:pPr>
        <w:ind w:right="160" w:firstLine="1715"/>
        <w:spacing w:after="0" w:line="265" w:lineRule="auto"/>
        <w:tabs>
          <w:tab w:leader="none" w:pos="2252" w:val="left"/>
        </w:tabs>
        <w:numPr>
          <w:ilvl w:val="0"/>
          <w:numId w:val="309"/>
        </w:numPr>
        <w:rPr>
          <w:rFonts w:ascii="Arial" w:cs="Arial" w:eastAsia="Arial" w:hAnsi="Arial"/>
          <w:sz w:val="20"/>
          <w:szCs w:val="20"/>
          <w:color w:val="auto"/>
        </w:rPr>
      </w:pPr>
      <w:r>
        <w:rPr>
          <w:rFonts w:ascii="Arial" w:cs="Arial" w:eastAsia="Arial" w:hAnsi="Arial"/>
          <w:sz w:val="20"/>
          <w:szCs w:val="20"/>
          <w:color w:val="auto"/>
        </w:rPr>
        <w:t>For the avoidance of doubt and to the extent required by any Company Plan or Applicable Law, Parent shall, or shall cause one of its Subsidiaries to, expressly assume such Company Plan and all obligations thereunder.</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A-61</w:t>
      </w:r>
    </w:p>
    <w:p>
      <w:pPr>
        <w:sectPr>
          <w:pgSz w:w="11900" w:h="16838" w:orient="portrait"/>
          <w:cols w:equalWidth="0" w:num="1">
            <w:col w:w="11400"/>
          </w:cols>
          <w:pgMar w:left="240" w:top="439" w:right="25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42" w:lineRule="auto"/>
        <w:tabs>
          <w:tab w:leader="none" w:pos="2241" w:val="left"/>
        </w:tabs>
        <w:numPr>
          <w:ilvl w:val="0"/>
          <w:numId w:val="310"/>
        </w:numPr>
        <w:rPr>
          <w:rFonts w:ascii="Arial" w:cs="Arial" w:eastAsia="Arial" w:hAnsi="Arial"/>
          <w:sz w:val="20"/>
          <w:szCs w:val="20"/>
          <w:color w:val="auto"/>
        </w:rPr>
      </w:pPr>
      <w:r>
        <w:rPr>
          <w:rFonts w:ascii="Arial" w:cs="Arial" w:eastAsia="Arial" w:hAnsi="Arial"/>
          <w:sz w:val="20"/>
          <w:szCs w:val="20"/>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72" w:lineRule="exact"/>
        <w:rPr>
          <w:rFonts w:ascii="Arial" w:cs="Arial" w:eastAsia="Arial" w:hAnsi="Arial"/>
          <w:sz w:val="20"/>
          <w:szCs w:val="20"/>
          <w:color w:val="auto"/>
        </w:rPr>
      </w:pPr>
    </w:p>
    <w:p>
      <w:pPr>
        <w:ind w:right="80" w:firstLine="1715"/>
        <w:spacing w:after="0" w:line="241" w:lineRule="auto"/>
        <w:tabs>
          <w:tab w:leader="none" w:pos="2215" w:val="left"/>
        </w:tabs>
        <w:numPr>
          <w:ilvl w:val="0"/>
          <w:numId w:val="310"/>
        </w:numPr>
        <w:rPr>
          <w:rFonts w:ascii="Arial" w:cs="Arial" w:eastAsia="Arial" w:hAnsi="Arial"/>
          <w:sz w:val="20"/>
          <w:szCs w:val="20"/>
          <w:color w:val="auto"/>
        </w:rPr>
      </w:pPr>
      <w:r>
        <w:rPr>
          <w:rFonts w:ascii="Arial" w:cs="Arial" w:eastAsia="Arial" w:hAnsi="Arial"/>
          <w:sz w:val="20"/>
          <w:szCs w:val="20"/>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 7.09(b), constitute a limitation on rights to amend, modify, merge or terminate after the Effective Time any Company Plan or Parent Plan, (ii) 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 of Parent and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parties hereto agree that:</w:t>
      </w:r>
    </w:p>
    <w:p>
      <w:pPr>
        <w:spacing w:after="0" w:line="199" w:lineRule="exact"/>
        <w:rPr>
          <w:sz w:val="20"/>
          <w:szCs w:val="20"/>
          <w:color w:val="auto"/>
        </w:rPr>
      </w:pPr>
    </w:p>
    <w:p>
      <w:pPr>
        <w:ind w:right="100" w:firstLine="800"/>
        <w:spacing w:after="0" w:line="254"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i w:val="1"/>
          <w:iCs w:val="1"/>
          <w:color w:val="auto"/>
        </w:rPr>
        <w:t>Reasonable Best Efforts</w:t>
      </w:r>
      <w:r>
        <w:rPr>
          <w:rFonts w:ascii="Arial" w:cs="Arial" w:eastAsia="Arial" w:hAnsi="Arial"/>
          <w:sz w:val="19"/>
          <w:szCs w:val="19"/>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60" w:lineRule="exact"/>
        <w:rPr>
          <w:sz w:val="20"/>
          <w:szCs w:val="20"/>
          <w:color w:val="auto"/>
        </w:rPr>
      </w:pPr>
    </w:p>
    <w:p>
      <w:pPr>
        <w:ind w:right="360" w:firstLine="1715"/>
        <w:spacing w:after="0" w:line="251" w:lineRule="auto"/>
        <w:tabs>
          <w:tab w:leader="none" w:pos="2252" w:val="left"/>
        </w:tabs>
        <w:numPr>
          <w:ilvl w:val="0"/>
          <w:numId w:val="311"/>
        </w:numPr>
        <w:rPr>
          <w:rFonts w:ascii="Arial" w:cs="Arial" w:eastAsia="Arial" w:hAnsi="Arial"/>
          <w:sz w:val="20"/>
          <w:szCs w:val="20"/>
          <w:color w:val="auto"/>
        </w:rPr>
      </w:pPr>
      <w:r>
        <w:rPr>
          <w:rFonts w:ascii="Arial" w:cs="Arial" w:eastAsia="Arial" w:hAnsi="Arial"/>
          <w:sz w:val="20"/>
          <w:szCs w:val="20"/>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A-62</w:t>
      </w:r>
    </w:p>
    <w:p>
      <w:pPr>
        <w:sectPr>
          <w:pgSz w:w="11900" w:h="16838" w:orient="portrait"/>
          <w:cols w:equalWidth="0" w:num="1">
            <w:col w:w="11420"/>
          </w:cols>
          <w:pgMar w:left="240" w:top="439" w:right="23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59" w:lineRule="exact"/>
        <w:rPr>
          <w:sz w:val="20"/>
          <w:szCs w:val="20"/>
          <w:color w:val="auto"/>
        </w:rPr>
      </w:pPr>
    </w:p>
    <w:p>
      <w:pPr>
        <w:ind w:firstLine="1715"/>
        <w:spacing w:after="0" w:line="268" w:lineRule="auto"/>
        <w:tabs>
          <w:tab w:leader="none" w:pos="224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52" w:lineRule="exact"/>
        <w:rPr>
          <w:rFonts w:ascii="Arial" w:cs="Arial" w:eastAsia="Arial" w:hAnsi="Arial"/>
          <w:sz w:val="18"/>
          <w:szCs w:val="18"/>
          <w:color w:val="auto"/>
        </w:rPr>
      </w:pPr>
    </w:p>
    <w:p>
      <w:pPr>
        <w:ind w:right="80" w:firstLine="1715"/>
        <w:spacing w:after="0" w:line="254" w:lineRule="auto"/>
        <w:tabs>
          <w:tab w:leader="none" w:pos="2252" w:val="left"/>
        </w:tabs>
        <w:numPr>
          <w:ilvl w:val="0"/>
          <w:numId w:val="312"/>
        </w:numPr>
        <w:rPr>
          <w:rFonts w:ascii="Arial" w:cs="Arial" w:eastAsia="Arial" w:hAnsi="Arial"/>
          <w:sz w:val="19"/>
          <w:szCs w:val="19"/>
          <w:color w:val="auto"/>
        </w:rPr>
      </w:pPr>
      <w:r>
        <w:rPr>
          <w:rFonts w:ascii="Arial" w:cs="Arial" w:eastAsia="Arial" w:hAnsi="Arial"/>
          <w:sz w:val="19"/>
          <w:szCs w:val="19"/>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 actions referred to in Section 8.01(a)) without the other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8.01(c), either party may participate in or attend any such non-substantive meeting), (ii) 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A-63</w:t>
      </w:r>
    </w:p>
    <w:p>
      <w:pPr>
        <w:sectPr>
          <w:pgSz w:w="11900" w:h="16838" w:orient="portrait"/>
          <w:cols w:equalWidth="0" w:num="1">
            <w:col w:w="11420"/>
          </w:cols>
          <w:pgMar w:left="240" w:top="439" w:right="23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parties hereto understand and agree that</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reasonable best efforts</w:t>
      </w:r>
      <w:r>
        <w:rPr>
          <w:rFonts w:ascii="Arial" w:cs="Arial" w:eastAsia="Arial" w:hAnsi="Arial"/>
          <w:sz w:val="18"/>
          <w:szCs w:val="18"/>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8"/>
          <w:szCs w:val="18"/>
          <w:b w:val="1"/>
          <w:bCs w:val="1"/>
          <w:color w:val="auto"/>
        </w:rPr>
        <w:t>Undertakings</w:t>
      </w:r>
      <w:r>
        <w:rPr>
          <w:rFonts w:ascii="Arial" w:cs="Arial" w:eastAsia="Arial" w:hAnsi="Arial"/>
          <w:sz w:val="18"/>
          <w:szCs w:val="18"/>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8"/>
          <w:szCs w:val="18"/>
          <w:b w:val="1"/>
          <w:bCs w:val="1"/>
          <w:color w:val="auto"/>
        </w:rPr>
        <w:t>Burdensome Condition</w:t>
      </w:r>
      <w:r>
        <w:rPr>
          <w:rFonts w:ascii="Arial" w:cs="Arial" w:eastAsia="Arial" w:hAnsi="Arial"/>
          <w:sz w:val="18"/>
          <w:szCs w:val="18"/>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 Section 8.01(e) that is not conditioned upon the consummation of the Merger.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A-64</w:t>
      </w:r>
    </w:p>
    <w:p>
      <w:pPr>
        <w:sectPr>
          <w:pgSz w:w="11900" w:h="16838" w:orient="portrait"/>
          <w:cols w:equalWidth="0" w:num="1">
            <w:col w:w="11420"/>
          </w:cols>
          <w:pgMar w:left="240" w:top="439" w:right="23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8" w:lineRule="auto"/>
        <w:tabs>
          <w:tab w:leader="none" w:pos="221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48" w:lineRule="exact"/>
        <w:rPr>
          <w:rFonts w:ascii="Arial" w:cs="Arial" w:eastAsia="Arial" w:hAnsi="Arial"/>
          <w:sz w:val="18"/>
          <w:szCs w:val="18"/>
          <w:color w:val="auto"/>
        </w:rPr>
      </w:pPr>
    </w:p>
    <w:p>
      <w:pPr>
        <w:ind w:left="2260" w:hanging="545"/>
        <w:spacing w:after="0"/>
        <w:tabs>
          <w:tab w:leader="none" w:pos="2260" w:val="left"/>
        </w:tabs>
        <w:numPr>
          <w:ilvl w:val="1"/>
          <w:numId w:val="314"/>
        </w:numPr>
        <w:rPr>
          <w:rFonts w:ascii="Arial" w:cs="Arial" w:eastAsia="Arial" w:hAnsi="Arial"/>
          <w:sz w:val="19"/>
          <w:szCs w:val="19"/>
          <w:color w:val="auto"/>
        </w:rPr>
      </w:pPr>
      <w:r>
        <w:rPr>
          <w:rFonts w:ascii="Arial" w:cs="Arial" w:eastAsia="Arial" w:hAnsi="Arial"/>
          <w:sz w:val="19"/>
          <w:szCs w:val="19"/>
          <w:color w:val="auto"/>
        </w:rPr>
        <w:t>Each of Parent and the Company shall not, and shall cause their respective Subsidiaries and Affiliates not to,</w:t>
      </w:r>
    </w:p>
    <w:p>
      <w:pPr>
        <w:spacing w:after="0" w:line="26" w:lineRule="exact"/>
        <w:rPr>
          <w:rFonts w:ascii="Arial" w:cs="Arial" w:eastAsia="Arial" w:hAnsi="Arial"/>
          <w:sz w:val="19"/>
          <w:szCs w:val="19"/>
          <w:color w:val="auto"/>
        </w:rPr>
      </w:pPr>
    </w:p>
    <w:p>
      <w:pPr>
        <w:ind w:right="40" w:firstLine="1"/>
        <w:spacing w:after="0" w:line="252" w:lineRule="auto"/>
        <w:tabs>
          <w:tab w:leader="none" w:pos="241"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64" w:lineRule="exact"/>
        <w:rPr>
          <w:rFonts w:ascii="Arial" w:cs="Arial" w:eastAsia="Arial" w:hAnsi="Arial"/>
          <w:sz w:val="19"/>
          <w:szCs w:val="19"/>
          <w:color w:val="auto"/>
        </w:rPr>
      </w:pPr>
    </w:p>
    <w:p>
      <w:pPr>
        <w:ind w:right="80" w:firstLine="1715"/>
        <w:spacing w:after="0" w:line="241" w:lineRule="auto"/>
        <w:tabs>
          <w:tab w:leader="none" w:pos="2252" w:val="left"/>
        </w:tabs>
        <w:numPr>
          <w:ilvl w:val="1"/>
          <w:numId w:val="315"/>
        </w:numPr>
        <w:rPr>
          <w:rFonts w:ascii="Arial" w:cs="Arial" w:eastAsia="Arial" w:hAnsi="Arial"/>
          <w:sz w:val="20"/>
          <w:szCs w:val="20"/>
          <w:color w:val="auto"/>
        </w:rPr>
      </w:pPr>
      <w:r>
        <w:rPr>
          <w:rFonts w:ascii="Arial" w:cs="Arial" w:eastAsia="Arial" w:hAnsi="Arial"/>
          <w:sz w:val="20"/>
          <w:szCs w:val="20"/>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20"/>
          <w:szCs w:val="20"/>
          <w:b w:val="1"/>
          <w:bCs w:val="1"/>
          <w:color w:val="auto"/>
        </w:rPr>
        <w:t>Outside Counsel Only Material.</w:t>
      </w:r>
      <w:r>
        <w:rPr>
          <w:rFonts w:ascii="Arial" w:cs="Arial" w:eastAsia="Arial" w:hAnsi="Arial"/>
          <w:sz w:val="20"/>
          <w:szCs w:val="20"/>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A-65</w:t>
      </w:r>
    </w:p>
    <w:p>
      <w:pPr>
        <w:sectPr>
          <w:pgSz w:w="11900" w:h="16838" w:orient="portrait"/>
          <w:cols w:equalWidth="0" w:num="1">
            <w:col w:w="11420"/>
          </w:cols>
          <w:pgMar w:left="240" w:top="439" w:right="23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color w:val="auto"/>
        </w:rPr>
        <w:t>redacted (i) to remove references concerning valuation, (ii) as necessary to comply with contractual arrangements and (iii) as necessary to address reasonable attorney-client or other privilege or confidentiality concerns.</w:t>
      </w:r>
    </w:p>
    <w:p>
      <w:pPr>
        <w:spacing w:after="0" w:line="148" w:lineRule="exact"/>
        <w:rPr>
          <w:sz w:val="20"/>
          <w:szCs w:val="20"/>
          <w:color w:val="auto"/>
        </w:rPr>
      </w:pPr>
    </w:p>
    <w:p>
      <w:pPr>
        <w:ind w:right="20" w:firstLine="800"/>
        <w:spacing w:after="0" w:line="26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Joint Proxy Statement/Prospectus; Registration Statement</w:t>
      </w:r>
      <w:r>
        <w:rPr>
          <w:rFonts w:ascii="Arial" w:cs="Arial" w:eastAsia="Arial" w:hAnsi="Arial"/>
          <w:sz w:val="18"/>
          <w:szCs w:val="18"/>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w:t>
      </w:r>
    </w:p>
    <w:p>
      <w:pPr>
        <w:spacing w:after="0" w:line="1" w:lineRule="exact"/>
        <w:rPr>
          <w:sz w:val="20"/>
          <w:szCs w:val="20"/>
          <w:color w:val="auto"/>
        </w:rPr>
      </w:pPr>
    </w:p>
    <w:p>
      <w:pPr>
        <w:ind w:left="280" w:hanging="279"/>
        <w:spacing w:after="0"/>
        <w:tabs>
          <w:tab w:leader="none" w:pos="2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setting a mutually acceptable date for the Company Stockholder Meeting and the Parent Shareholder Meeting, so as to enable them to</w:t>
      </w:r>
    </w:p>
    <w:p>
      <w:pPr>
        <w:spacing w:after="0" w:line="20" w:lineRule="exact"/>
        <w:rPr>
          <w:rFonts w:ascii="Arial" w:cs="Arial" w:eastAsia="Arial" w:hAnsi="Arial"/>
          <w:sz w:val="18"/>
          <w:szCs w:val="18"/>
          <w:color w:val="auto"/>
        </w:rPr>
      </w:pPr>
    </w:p>
    <w:p>
      <w:pPr>
        <w:spacing w:after="0" w:line="272" w:lineRule="auto"/>
        <w:rPr>
          <w:rFonts w:ascii="Arial" w:cs="Arial" w:eastAsia="Arial" w:hAnsi="Arial"/>
          <w:sz w:val="18"/>
          <w:szCs w:val="18"/>
          <w:color w:val="auto"/>
        </w:rPr>
      </w:pPr>
      <w:r>
        <w:rPr>
          <w:rFonts w:ascii="Arial" w:cs="Arial" w:eastAsia="Arial" w:hAnsi="Arial"/>
          <w:sz w:val="18"/>
          <w:szCs w:val="18"/>
          <w:color w:val="auto"/>
        </w:rPr>
        <w:t>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45" w:lineRule="exact"/>
        <w:rPr>
          <w:rFonts w:ascii="Arial" w:cs="Arial" w:eastAsia="Arial" w:hAnsi="Arial"/>
          <w:sz w:val="18"/>
          <w:szCs w:val="18"/>
          <w:color w:val="auto"/>
        </w:rPr>
      </w:pPr>
    </w:p>
    <w:p>
      <w:pPr>
        <w:ind w:right="320" w:firstLine="1715"/>
        <w:spacing w:after="0" w:line="322" w:lineRule="auto"/>
        <w:tabs>
          <w:tab w:leader="none" w:pos="224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8"/>
          <w:szCs w:val="18"/>
          <w:b w:val="1"/>
          <w:bCs w:val="1"/>
          <w:color w:val="auto"/>
        </w:rPr>
        <w:t>blue sky</w:t>
      </w:r>
      <w:r>
        <w:rPr>
          <w:rFonts w:ascii="Arial" w:cs="Arial" w:eastAsia="Arial" w:hAnsi="Arial"/>
          <w:sz w:val="18"/>
          <w:szCs w:val="18"/>
          <w:color w:val="auto"/>
        </w:rPr>
        <w:t>” laws and the rules and regulations thereunder.</w:t>
      </w:r>
    </w:p>
    <w:p>
      <w:pPr>
        <w:spacing w:after="0" w:line="100" w:lineRule="exact"/>
        <w:rPr>
          <w:rFonts w:ascii="Arial" w:cs="Arial" w:eastAsia="Arial" w:hAnsi="Arial"/>
          <w:sz w:val="18"/>
          <w:szCs w:val="18"/>
          <w:color w:val="auto"/>
        </w:rPr>
      </w:pPr>
    </w:p>
    <w:p>
      <w:pPr>
        <w:ind w:left="2240" w:hanging="525"/>
        <w:spacing w:after="0"/>
        <w:tabs>
          <w:tab w:leader="none" w:pos="2240" w:val="left"/>
        </w:tabs>
        <w:numPr>
          <w:ilvl w:val="1"/>
          <w:numId w:val="316"/>
        </w:numPr>
        <w:rPr>
          <w:rFonts w:ascii="Arial" w:cs="Arial" w:eastAsia="Arial" w:hAnsi="Arial"/>
          <w:sz w:val="19"/>
          <w:szCs w:val="19"/>
          <w:color w:val="auto"/>
        </w:rPr>
      </w:pPr>
      <w:r>
        <w:rPr>
          <w:rFonts w:ascii="Arial" w:cs="Arial" w:eastAsia="Arial" w:hAnsi="Arial"/>
          <w:sz w:val="19"/>
          <w:szCs w:val="19"/>
          <w:color w:val="auto"/>
        </w:rPr>
        <w:t>Each of the Company and Parent shall promptly provide the other parties and their respective counsel with</w:t>
      </w:r>
    </w:p>
    <w:p>
      <w:pPr>
        <w:spacing w:after="0" w:line="27" w:lineRule="exact"/>
        <w:rPr>
          <w:sz w:val="20"/>
          <w:szCs w:val="20"/>
          <w:color w:val="auto"/>
        </w:rPr>
      </w:pPr>
    </w:p>
    <w:p>
      <w:pPr>
        <w:ind w:right="200" w:firstLine="1"/>
        <w:spacing w:after="0" w:line="282" w:lineRule="auto"/>
        <w:tabs>
          <w:tab w:leader="none" w:pos="24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35" w:lineRule="exact"/>
        <w:rPr>
          <w:rFonts w:ascii="Arial" w:cs="Arial" w:eastAsia="Arial" w:hAnsi="Arial"/>
          <w:sz w:val="18"/>
          <w:szCs w:val="18"/>
          <w:color w:val="auto"/>
        </w:rPr>
      </w:pPr>
    </w:p>
    <w:p>
      <w:pPr>
        <w:ind w:right="40" w:firstLine="1715"/>
        <w:spacing w:after="0" w:line="266" w:lineRule="auto"/>
        <w:tabs>
          <w:tab w:leader="none" w:pos="225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w:t>
      </w:r>
    </w:p>
    <w:p>
      <w:pPr>
        <w:spacing w:after="0" w:line="3" w:lineRule="exact"/>
        <w:rPr>
          <w:rFonts w:ascii="Arial" w:cs="Arial" w:eastAsia="Arial" w:hAnsi="Arial"/>
          <w:sz w:val="18"/>
          <w:szCs w:val="18"/>
          <w:color w:val="auto"/>
        </w:rPr>
      </w:pPr>
    </w:p>
    <w:p>
      <w:pPr>
        <w:ind w:left="360" w:hanging="359"/>
        <w:spacing w:after="0"/>
        <w:tabs>
          <w:tab w:leader="none" w:pos="36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additional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A-66</w:t>
      </w:r>
    </w:p>
    <w:p>
      <w:pPr>
        <w:sectPr>
          <w:pgSz w:w="11900" w:h="16838" w:orient="portrait"/>
          <w:cols w:equalWidth="0" w:num="1">
            <w:col w:w="11380"/>
          </w:cols>
          <w:pgMar w:left="240" w:top="439" w:right="27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information reasonably related to the foregoing. Each party will advise the other parties, promptly after it receives notice thereof, of the time when the Registration Statement has become effective or any supplement or amendment has been filed, the issuance of any stop order, 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65" w:lineRule="exact"/>
        <w:rPr>
          <w:sz w:val="20"/>
          <w:szCs w:val="20"/>
          <w:color w:val="auto"/>
        </w:rPr>
      </w:pPr>
    </w:p>
    <w:p>
      <w:pPr>
        <w:ind w:right="40" w:firstLine="800"/>
        <w:spacing w:after="0" w:line="253"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Public Announcements</w:t>
      </w:r>
      <w:r>
        <w:rPr>
          <w:rFonts w:ascii="Arial" w:cs="Arial" w:eastAsia="Arial" w:hAnsi="Arial"/>
          <w:sz w:val="19"/>
          <w:szCs w:val="19"/>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65" w:lineRule="exact"/>
        <w:rPr>
          <w:sz w:val="20"/>
          <w:szCs w:val="20"/>
          <w:color w:val="auto"/>
        </w:rPr>
      </w:pPr>
    </w:p>
    <w:p>
      <w:pPr>
        <w:ind w:firstLine="1715"/>
        <w:spacing w:after="0" w:line="255" w:lineRule="auto"/>
        <w:tabs>
          <w:tab w:leader="none" w:pos="2252" w:val="left"/>
        </w:tabs>
        <w:numPr>
          <w:ilvl w:val="0"/>
          <w:numId w:val="319"/>
        </w:numPr>
        <w:rPr>
          <w:rFonts w:ascii="Arial" w:cs="Arial" w:eastAsia="Arial" w:hAnsi="Arial"/>
          <w:sz w:val="19"/>
          <w:szCs w:val="19"/>
          <w:color w:val="auto"/>
        </w:rPr>
      </w:pPr>
      <w:r>
        <w:rPr>
          <w:rFonts w:ascii="Arial" w:cs="Arial" w:eastAsia="Arial" w:hAnsi="Arial"/>
          <w:sz w:val="19"/>
          <w:szCs w:val="19"/>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9"/>
          <w:szCs w:val="19"/>
          <w:b w:val="1"/>
          <w:bCs w:val="1"/>
          <w:color w:val="auto"/>
        </w:rPr>
        <w:t>participants</w:t>
      </w:r>
      <w:r>
        <w:rPr>
          <w:rFonts w:ascii="Arial" w:cs="Arial" w:eastAsia="Arial" w:hAnsi="Arial"/>
          <w:sz w:val="19"/>
          <w:szCs w:val="19"/>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A-67</w:t>
      </w:r>
    </w:p>
    <w:p>
      <w:pPr>
        <w:sectPr>
          <w:pgSz w:w="11900" w:h="16838" w:orient="portrait"/>
          <w:cols w:equalWidth="0" w:num="1">
            <w:col w:w="11400"/>
          </w:cols>
          <w:pgMar w:left="240" w:top="439" w:right="25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9"/>
          <w:szCs w:val="19"/>
          <w:b w:val="1"/>
          <w:bCs w:val="1"/>
          <w:color w:val="auto"/>
        </w:rPr>
        <w:t>soliciting material</w:t>
      </w:r>
      <w:r>
        <w:rPr>
          <w:rFonts w:ascii="Arial" w:cs="Arial" w:eastAsia="Arial" w:hAnsi="Arial"/>
          <w:sz w:val="19"/>
          <w:szCs w:val="19"/>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9"/>
          <w:szCs w:val="19"/>
          <w:b w:val="1"/>
          <w:bCs w:val="1"/>
          <w:color w:val="auto"/>
        </w:rPr>
        <w:t>Merger Communication</w:t>
      </w:r>
      <w:r>
        <w:rPr>
          <w:rFonts w:ascii="Arial" w:cs="Arial" w:eastAsia="Arial" w:hAnsi="Arial"/>
          <w:sz w:val="19"/>
          <w:szCs w:val="19"/>
          <w:color w:val="auto"/>
        </w:rPr>
        <w:t>” shall mean,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9"/>
          <w:szCs w:val="19"/>
          <w:b w:val="1"/>
          <w:bCs w:val="1"/>
          <w:color w:val="auto"/>
        </w:rPr>
        <w:t>solicitation</w:t>
      </w:r>
      <w:r>
        <w:rPr>
          <w:rFonts w:ascii="Arial" w:cs="Arial" w:eastAsia="Arial" w:hAnsi="Arial"/>
          <w:sz w:val="19"/>
          <w:szCs w:val="19"/>
          <w:color w:val="auto"/>
        </w:rPr>
        <w:t>” of “</w:t>
      </w:r>
      <w:r>
        <w:rPr>
          <w:rFonts w:ascii="Arial" w:cs="Arial" w:eastAsia="Arial" w:hAnsi="Arial"/>
          <w:sz w:val="19"/>
          <w:szCs w:val="19"/>
          <w:b w:val="1"/>
          <w:bCs w:val="1"/>
          <w:color w:val="auto"/>
        </w:rPr>
        <w:t>proxies</w:t>
      </w:r>
      <w:r>
        <w:rPr>
          <w:rFonts w:ascii="Arial" w:cs="Arial" w:eastAsia="Arial" w:hAnsi="Arial"/>
          <w:sz w:val="19"/>
          <w:szCs w:val="19"/>
          <w:color w:val="auto"/>
        </w:rPr>
        <w:t>” (in each case, as defined in Rule 14a-1 of the 1934 Act) in favor of the Merger or the Parent Stock Issuance.</w:t>
      </w:r>
    </w:p>
    <w:p>
      <w:pPr>
        <w:spacing w:after="0" w:line="162" w:lineRule="exact"/>
        <w:rPr>
          <w:sz w:val="20"/>
          <w:szCs w:val="20"/>
          <w:color w:val="auto"/>
        </w:rPr>
      </w:pPr>
    </w:p>
    <w:p>
      <w:pPr>
        <w:ind w:right="20" w:firstLine="800"/>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of the Company and Parent shall promptly notify and provide copies to the other of:</w:t>
      </w:r>
    </w:p>
    <w:p>
      <w:pPr>
        <w:spacing w:after="0" w:line="222" w:lineRule="exact"/>
        <w:rPr>
          <w:sz w:val="20"/>
          <w:szCs w:val="20"/>
          <w:color w:val="auto"/>
        </w:rPr>
      </w:pPr>
    </w:p>
    <w:p>
      <w:pPr>
        <w:ind w:right="140" w:firstLine="1715"/>
        <w:spacing w:after="0" w:line="265" w:lineRule="auto"/>
        <w:tabs>
          <w:tab w:leader="none" w:pos="2241" w:val="left"/>
        </w:tabs>
        <w:numPr>
          <w:ilvl w:val="0"/>
          <w:numId w:val="320"/>
        </w:numPr>
        <w:rPr>
          <w:rFonts w:ascii="Arial" w:cs="Arial" w:eastAsia="Arial" w:hAnsi="Arial"/>
          <w:sz w:val="20"/>
          <w:szCs w:val="20"/>
          <w:color w:val="auto"/>
        </w:rPr>
      </w:pPr>
      <w:r>
        <w:rPr>
          <w:rFonts w:ascii="Arial" w:cs="Arial" w:eastAsia="Arial" w:hAnsi="Arial"/>
          <w:sz w:val="20"/>
          <w:szCs w:val="20"/>
          <w:color w:val="auto"/>
        </w:rPr>
        <w:t>any written notice from any Person alleging that the approval or consent of such Person is or may be required in connection with the transactions contemplated by this Agreement;</w:t>
      </w:r>
    </w:p>
    <w:p>
      <w:pPr>
        <w:spacing w:after="0" w:line="147" w:lineRule="exact"/>
        <w:rPr>
          <w:rFonts w:ascii="Arial" w:cs="Arial" w:eastAsia="Arial" w:hAnsi="Arial"/>
          <w:sz w:val="20"/>
          <w:szCs w:val="20"/>
          <w:color w:val="auto"/>
        </w:rPr>
      </w:pPr>
    </w:p>
    <w:p>
      <w:pPr>
        <w:ind w:right="40" w:firstLine="1715"/>
        <w:spacing w:after="0" w:line="265" w:lineRule="auto"/>
        <w:tabs>
          <w:tab w:leader="none" w:pos="2252" w:val="left"/>
        </w:tabs>
        <w:numPr>
          <w:ilvl w:val="0"/>
          <w:numId w:val="320"/>
        </w:numPr>
        <w:rPr>
          <w:rFonts w:ascii="Arial" w:cs="Arial" w:eastAsia="Arial" w:hAnsi="Arial"/>
          <w:sz w:val="20"/>
          <w:szCs w:val="20"/>
          <w:color w:val="auto"/>
        </w:rPr>
      </w:pPr>
      <w:r>
        <w:rPr>
          <w:rFonts w:ascii="Arial" w:cs="Arial" w:eastAsia="Arial" w:hAnsi="Arial"/>
          <w:sz w:val="20"/>
          <w:szCs w:val="20"/>
          <w:color w:val="auto"/>
        </w:rPr>
        <w:t>any written notice or other communication from any Governmental Authority in connection with the transactions contemplated by this Agreement; and</w:t>
      </w:r>
    </w:p>
    <w:p>
      <w:pPr>
        <w:spacing w:after="0" w:line="147" w:lineRule="exact"/>
        <w:rPr>
          <w:rFonts w:ascii="Arial" w:cs="Arial" w:eastAsia="Arial" w:hAnsi="Arial"/>
          <w:sz w:val="20"/>
          <w:szCs w:val="20"/>
          <w:color w:val="auto"/>
        </w:rPr>
      </w:pPr>
    </w:p>
    <w:p>
      <w:pPr>
        <w:ind w:firstLine="1715"/>
        <w:spacing w:after="0" w:line="244" w:lineRule="auto"/>
        <w:tabs>
          <w:tab w:leader="none" w:pos="2241" w:val="left"/>
        </w:tabs>
        <w:numPr>
          <w:ilvl w:val="0"/>
          <w:numId w:val="320"/>
        </w:numPr>
        <w:rPr>
          <w:rFonts w:ascii="Arial" w:cs="Arial" w:eastAsia="Arial" w:hAnsi="Arial"/>
          <w:sz w:val="20"/>
          <w:szCs w:val="20"/>
          <w:color w:val="auto"/>
        </w:rPr>
      </w:pPr>
      <w:r>
        <w:rPr>
          <w:rFonts w:ascii="Arial" w:cs="Arial" w:eastAsia="Arial" w:hAnsi="Arial"/>
          <w:sz w:val="20"/>
          <w:szCs w:val="20"/>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A-68</w:t>
      </w:r>
    </w:p>
    <w:p>
      <w:pPr>
        <w:sectPr>
          <w:pgSz w:w="11900" w:h="16838" w:orient="portrait"/>
          <w:cols w:equalWidth="0" w:num="1">
            <w:col w:w="11420"/>
          </w:cols>
          <w:pgMar w:left="240" w:top="439" w:right="23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40"/>
        <w:spacing w:after="0" w:line="29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delivery of any notice pursuant to this Section 8.05 shall not affect or be deemed to modify any representation or warranty</w:t>
      </w:r>
      <w:r>
        <w:rPr>
          <w:rFonts w:ascii="Arial" w:cs="Arial" w:eastAsia="Arial" w:hAnsi="Arial"/>
          <w:sz w:val="19"/>
          <w:szCs w:val="19"/>
          <w:i w:val="1"/>
          <w:iCs w:val="1"/>
          <w:color w:val="auto"/>
        </w:rPr>
        <w:t xml:space="preserve"> </w:t>
      </w:r>
      <w:r>
        <w:rPr>
          <w:rFonts w:ascii="Arial" w:cs="Arial" w:eastAsia="Arial" w:hAnsi="Arial"/>
          <w:sz w:val="19"/>
          <w:szCs w:val="19"/>
          <w:color w:val="auto"/>
        </w:rPr>
        <w:t>made by any party hereunder or limit or otherwise affect the remedies available hereunder to the party receiving such notice.</w:t>
      </w:r>
    </w:p>
    <w:p>
      <w:pPr>
        <w:spacing w:after="0" w:line="124" w:lineRule="exact"/>
        <w:rPr>
          <w:sz w:val="20"/>
          <w:szCs w:val="20"/>
          <w:color w:val="auto"/>
        </w:rPr>
      </w:pPr>
    </w:p>
    <w:p>
      <w:pPr>
        <w:ind w:firstLine="800"/>
        <w:spacing w:after="0" w:line="266"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Access to Information</w:t>
      </w:r>
      <w:r>
        <w:rPr>
          <w:rFonts w:ascii="Arial" w:cs="Arial" w:eastAsia="Arial" w:hAnsi="Arial"/>
          <w:sz w:val="18"/>
          <w:szCs w:val="18"/>
          <w:color w:val="auto"/>
        </w:rPr>
        <w:t xml:space="preserve">.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54" w:lineRule="exact"/>
        <w:rPr>
          <w:sz w:val="20"/>
          <w:szCs w:val="20"/>
          <w:color w:val="auto"/>
        </w:rPr>
      </w:pPr>
    </w:p>
    <w:p>
      <w:pPr>
        <w:ind w:right="300" w:firstLine="800"/>
        <w:spacing w:after="0" w:line="244" w:lineRule="auto"/>
        <w:rPr>
          <w:sz w:val="20"/>
          <w:szCs w:val="20"/>
          <w:color w:val="auto"/>
        </w:rPr>
      </w:pPr>
      <w:r>
        <w:rPr>
          <w:rFonts w:ascii="Arial" w:cs="Arial" w:eastAsia="Arial" w:hAnsi="Arial"/>
          <w:sz w:val="20"/>
          <w:szCs w:val="20"/>
          <w:color w:val="auto"/>
        </w:rPr>
        <w:t xml:space="preserve">Section 8.07. </w:t>
      </w:r>
      <w:r>
        <w:rPr>
          <w:rFonts w:ascii="Arial" w:cs="Arial" w:eastAsia="Arial" w:hAnsi="Arial"/>
          <w:sz w:val="20"/>
          <w:szCs w:val="20"/>
          <w:i w:val="1"/>
          <w:iCs w:val="1"/>
          <w:color w:val="auto"/>
        </w:rPr>
        <w:t>Tax-free Reorganization</w:t>
      </w:r>
      <w:r>
        <w:rPr>
          <w:rFonts w:ascii="Arial" w:cs="Arial" w:eastAsia="Arial" w:hAnsi="Arial"/>
          <w:sz w:val="20"/>
          <w:szCs w:val="20"/>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68" w:lineRule="exact"/>
        <w:rPr>
          <w:sz w:val="20"/>
          <w:szCs w:val="20"/>
          <w:color w:val="auto"/>
        </w:rPr>
      </w:pPr>
    </w:p>
    <w:p>
      <w:pPr>
        <w:ind w:right="400" w:firstLine="1715"/>
        <w:spacing w:after="0" w:line="265" w:lineRule="auto"/>
        <w:tabs>
          <w:tab w:leader="none" w:pos="2252" w:val="left"/>
        </w:tabs>
        <w:numPr>
          <w:ilvl w:val="0"/>
          <w:numId w:val="321"/>
        </w:numPr>
        <w:rPr>
          <w:rFonts w:ascii="Arial" w:cs="Arial" w:eastAsia="Arial" w:hAnsi="Arial"/>
          <w:sz w:val="20"/>
          <w:szCs w:val="20"/>
          <w:color w:val="auto"/>
        </w:rPr>
      </w:pPr>
      <w:r>
        <w:rPr>
          <w:rFonts w:ascii="Arial" w:cs="Arial" w:eastAsia="Arial" w:hAnsi="Arial"/>
          <w:sz w:val="20"/>
          <w:szCs w:val="20"/>
          <w:color w:val="auto"/>
        </w:rPr>
        <w:t>Officers of Parent, Merger Subsidiary and the Company shall execute and deliver to Davis Polk &amp; Wardwell LLP, tax counsel for Parent, and Paul, Weiss, Rifkind,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A-69</w:t>
      </w:r>
    </w:p>
    <w:p>
      <w:pPr>
        <w:sectPr>
          <w:pgSz w:w="11900" w:h="16838" w:orient="portrait"/>
          <w:cols w:equalWidth="0" w:num="1">
            <w:col w:w="11420"/>
          </w:cols>
          <w:pgMar w:left="240" w:top="439" w:right="23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240"/>
        <w:spacing w:after="0" w:line="251" w:lineRule="auto"/>
        <w:rPr>
          <w:sz w:val="20"/>
          <w:szCs w:val="20"/>
          <w:color w:val="auto"/>
        </w:rPr>
      </w:pPr>
      <w:r>
        <w:rPr>
          <w:rFonts w:ascii="Arial" w:cs="Arial" w:eastAsia="Arial" w:hAnsi="Arial"/>
          <w:sz w:val="20"/>
          <w:szCs w:val="20"/>
          <w:color w:val="auto"/>
        </w:rPr>
        <w:t>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61" w:lineRule="exact"/>
        <w:rPr>
          <w:sz w:val="20"/>
          <w:szCs w:val="20"/>
          <w:color w:val="auto"/>
        </w:rPr>
      </w:pPr>
    </w:p>
    <w:p>
      <w:pPr>
        <w:ind w:firstLine="800"/>
        <w:spacing w:after="0" w:line="242"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i w:val="1"/>
          <w:iCs w:val="1"/>
          <w:color w:val="auto"/>
        </w:rPr>
        <w:t>Section 16 Matters</w:t>
      </w:r>
      <w:r>
        <w:rPr>
          <w:rFonts w:ascii="Arial" w:cs="Arial" w:eastAsia="Arial" w:hAnsi="Arial"/>
          <w:sz w:val="20"/>
          <w:szCs w:val="20"/>
          <w:color w:val="auto"/>
        </w:rPr>
        <w:t>. Prior to the Effective Time, each party shall take all such steps as may be required to cause any dispositions of Company Stock (including derivative securities with respect to Company Stock) or 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72" w:lineRule="exact"/>
        <w:rPr>
          <w:sz w:val="20"/>
          <w:szCs w:val="20"/>
          <w:color w:val="auto"/>
        </w:rPr>
      </w:pPr>
    </w:p>
    <w:p>
      <w:pPr>
        <w:ind w:right="20" w:firstLine="800"/>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Stock Exchange De-listing; 1934 Act Deregistration</w:t>
      </w:r>
      <w:r>
        <w:rPr>
          <w:rFonts w:ascii="Arial" w:cs="Arial" w:eastAsia="Arial" w:hAnsi="Arial"/>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142" w:lineRule="exact"/>
        <w:rPr>
          <w:sz w:val="20"/>
          <w:szCs w:val="20"/>
          <w:color w:val="auto"/>
        </w:rPr>
      </w:pPr>
    </w:p>
    <w:p>
      <w:pPr>
        <w:ind w:right="20" w:firstLine="800"/>
        <w:spacing w:after="0" w:line="244" w:lineRule="auto"/>
        <w:rPr>
          <w:sz w:val="20"/>
          <w:szCs w:val="20"/>
          <w:color w:val="auto"/>
        </w:rPr>
      </w:pPr>
      <w:r>
        <w:rPr>
          <w:rFonts w:ascii="Arial" w:cs="Arial" w:eastAsia="Arial" w:hAnsi="Arial"/>
          <w:sz w:val="20"/>
          <w:szCs w:val="20"/>
          <w:color w:val="auto"/>
        </w:rPr>
        <w:t xml:space="preserve">Section 8.10. </w:t>
      </w:r>
      <w:r>
        <w:rPr>
          <w:rFonts w:ascii="Arial" w:cs="Arial" w:eastAsia="Arial" w:hAnsi="Arial"/>
          <w:sz w:val="20"/>
          <w:szCs w:val="20"/>
          <w:i w:val="1"/>
          <w:iCs w:val="1"/>
          <w:color w:val="auto"/>
        </w:rPr>
        <w:t>Dividends</w:t>
      </w:r>
      <w:r>
        <w:rPr>
          <w:rFonts w:ascii="Arial" w:cs="Arial" w:eastAsia="Arial" w:hAnsi="Arial"/>
          <w:sz w:val="20"/>
          <w:szCs w:val="20"/>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68"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i w:val="1"/>
          <w:iCs w:val="1"/>
          <w:color w:val="auto"/>
        </w:rPr>
        <w:t>Stockholder Litigation</w:t>
      </w:r>
      <w:r>
        <w:rPr>
          <w:rFonts w:ascii="Arial" w:cs="Arial" w:eastAsia="Arial" w:hAnsi="Arial"/>
          <w:sz w:val="19"/>
          <w:szCs w:val="19"/>
          <w:color w:val="auto"/>
        </w:rPr>
        <w:t>. Each party hereto shall promptly notify the other parties hereto in writing of any litigation related to this Agreement, the Merger or the other transactions contemplated by this Agreement that is brought, or, to the knowledge of the Company or Parent (as applicable), threatened in writing, against the Company or Parent and/or the members of the Board of Directors of the Company or the Board of Directors of Parent, as applicable (any such litigation relating to the Company and/or the executive officers or members of the Board of Directors of the Company, a “</w:t>
      </w:r>
      <w:r>
        <w:rPr>
          <w:rFonts w:ascii="Arial" w:cs="Arial" w:eastAsia="Arial" w:hAnsi="Arial"/>
          <w:sz w:val="19"/>
          <w:szCs w:val="19"/>
          <w:b w:val="1"/>
          <w:bCs w:val="1"/>
          <w:color w:val="auto"/>
        </w:rPr>
        <w:t>Company Transaction Litigation</w:t>
      </w:r>
      <w:r>
        <w:rPr>
          <w:rFonts w:ascii="Arial" w:cs="Arial" w:eastAsia="Arial" w:hAnsi="Arial"/>
          <w:sz w:val="19"/>
          <w:szCs w:val="19"/>
          <w:color w:val="auto"/>
        </w:rPr>
        <w:t>”, and any such litigation relating to Parent and/or the executive officers or members of the Board of Directors of Parent, a “</w:t>
      </w:r>
      <w:r>
        <w:rPr>
          <w:rFonts w:ascii="Arial" w:cs="Arial" w:eastAsia="Arial" w:hAnsi="Arial"/>
          <w:sz w:val="19"/>
          <w:szCs w:val="19"/>
          <w:b w:val="1"/>
          <w:bCs w:val="1"/>
          <w:color w:val="auto"/>
        </w:rPr>
        <w:t>Parent Transaction Litigation</w:t>
      </w:r>
      <w:r>
        <w:rPr>
          <w:rFonts w:ascii="Arial" w:cs="Arial" w:eastAsia="Arial" w:hAnsi="Arial"/>
          <w:sz w:val="19"/>
          <w:szCs w:val="19"/>
          <w:color w:val="auto"/>
        </w:rPr>
        <w:t>”) prior to the Effective Time and shall keep such other party reasonably informed with respect to the status thereof. The Company shall give Parent the opportunity to participate in the defense or settlement of any Company Transaction Litigation, and, except to the extent required by applicable Law, the Company shall not settle, agree to any undertakings or approve or otherwise agree to any waiver that may be sought in connection with such Company Transaction Litigation, without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A-70</w:t>
      </w:r>
    </w:p>
    <w:p>
      <w:pPr>
        <w:sectPr>
          <w:pgSz w:w="11900" w:h="16838" w:orient="portrait"/>
          <w:cols w:equalWidth="0" w:num="1">
            <w:col w:w="11420"/>
          </w:cols>
          <w:pgMar w:left="240" w:top="439" w:right="23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the prior written consent of Parent (which shall not be unreasonably withheld, conditioned or delayed). Without limiting in any way the parties’ obligations under Section 8.01, each of the Company and Parent shall cooperate, shall cause their respective Subsidiaries, as applicable, to cooperate, and shall use its reasonable best efforts to cause its Representatives to cooperate, in the defense against any litigation contemplated by this Section 8.11.</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9</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Conditions to the Merger</w:t>
      </w:r>
    </w:p>
    <w:p>
      <w:pPr>
        <w:spacing w:after="0" w:line="181" w:lineRule="exact"/>
        <w:rPr>
          <w:sz w:val="20"/>
          <w:szCs w:val="20"/>
          <w:color w:val="auto"/>
        </w:rPr>
      </w:pPr>
    </w:p>
    <w:p>
      <w:pPr>
        <w:ind w:right="340" w:firstLine="800"/>
        <w:spacing w:after="0" w:line="265" w:lineRule="auto"/>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i w:val="1"/>
          <w:iCs w:val="1"/>
          <w:color w:val="auto"/>
        </w:rPr>
        <w:t>Conditions to the Obligations of Each Party</w:t>
      </w:r>
      <w:r>
        <w:rPr>
          <w:rFonts w:ascii="Arial" w:cs="Arial" w:eastAsia="Arial" w:hAnsi="Arial"/>
          <w:sz w:val="20"/>
          <w:szCs w:val="20"/>
          <w:color w:val="auto"/>
        </w:rPr>
        <w:t>. The obligations of the Company, Parent and Merger Subsidiary to consummate the Merger are subject to the satisfaction or waiver of the following conditions:</w:t>
      </w:r>
    </w:p>
    <w:p>
      <w:pPr>
        <w:spacing w:after="0" w:line="148" w:lineRule="exact"/>
        <w:rPr>
          <w:sz w:val="20"/>
          <w:szCs w:val="20"/>
          <w:color w:val="auto"/>
        </w:rPr>
      </w:pPr>
    </w:p>
    <w:p>
      <w:pPr>
        <w:ind w:right="160" w:firstLine="1715"/>
        <w:spacing w:after="0" w:line="265" w:lineRule="auto"/>
        <w:tabs>
          <w:tab w:leader="none" w:pos="2241" w:val="left"/>
        </w:tabs>
        <w:numPr>
          <w:ilvl w:val="1"/>
          <w:numId w:val="322"/>
        </w:numPr>
        <w:rPr>
          <w:rFonts w:ascii="Arial" w:cs="Arial" w:eastAsia="Arial" w:hAnsi="Arial"/>
          <w:sz w:val="20"/>
          <w:szCs w:val="20"/>
          <w:color w:val="auto"/>
        </w:rPr>
      </w:pPr>
      <w:r>
        <w:rPr>
          <w:rFonts w:ascii="Arial" w:cs="Arial" w:eastAsia="Arial" w:hAnsi="Arial"/>
          <w:sz w:val="20"/>
          <w:szCs w:val="20"/>
          <w:color w:val="auto"/>
        </w:rPr>
        <w:t>(i) the Company Stockholder Approval shall have been obtained in accordance with Delaware Law and (ii) the Parent Shareholder Approval shall have been obtained in accordance with Pennsylvania Law;</w:t>
      </w:r>
    </w:p>
    <w:p>
      <w:pPr>
        <w:spacing w:after="0" w:line="147" w:lineRule="exact"/>
        <w:rPr>
          <w:rFonts w:ascii="Arial" w:cs="Arial" w:eastAsia="Arial" w:hAnsi="Arial"/>
          <w:sz w:val="20"/>
          <w:szCs w:val="20"/>
          <w:color w:val="auto"/>
        </w:rPr>
      </w:pPr>
    </w:p>
    <w:p>
      <w:pPr>
        <w:ind w:right="460" w:firstLine="1715"/>
        <w:spacing w:after="0" w:line="277" w:lineRule="auto"/>
        <w:tabs>
          <w:tab w:leader="none" w:pos="225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42" w:lineRule="exact"/>
        <w:rPr>
          <w:rFonts w:ascii="Arial" w:cs="Arial" w:eastAsia="Arial" w:hAnsi="Arial"/>
          <w:sz w:val="18"/>
          <w:szCs w:val="18"/>
          <w:color w:val="auto"/>
        </w:rPr>
      </w:pPr>
    </w:p>
    <w:p>
      <w:pPr>
        <w:ind w:firstLine="1715"/>
        <w:spacing w:after="0" w:line="244" w:lineRule="auto"/>
        <w:tabs>
          <w:tab w:leader="none" w:pos="2241" w:val="left"/>
        </w:tabs>
        <w:numPr>
          <w:ilvl w:val="1"/>
          <w:numId w:val="322"/>
        </w:numPr>
        <w:rPr>
          <w:rFonts w:ascii="Arial" w:cs="Arial" w:eastAsia="Arial" w:hAnsi="Arial"/>
          <w:sz w:val="20"/>
          <w:szCs w:val="20"/>
          <w:color w:val="auto"/>
        </w:rPr>
      </w:pPr>
      <w:r>
        <w:rPr>
          <w:rFonts w:ascii="Arial" w:cs="Arial" w:eastAsia="Arial" w:hAnsi="Arial"/>
          <w:sz w:val="20"/>
          <w:szCs w:val="20"/>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167" w:lineRule="exact"/>
        <w:rPr>
          <w:rFonts w:ascii="Arial" w:cs="Arial" w:eastAsia="Arial" w:hAnsi="Arial"/>
          <w:sz w:val="20"/>
          <w:szCs w:val="20"/>
          <w:color w:val="auto"/>
        </w:rPr>
      </w:pPr>
    </w:p>
    <w:p>
      <w:pPr>
        <w:ind w:left="2260" w:hanging="545"/>
        <w:spacing w:after="0"/>
        <w:tabs>
          <w:tab w:leader="none" w:pos="2260" w:val="left"/>
        </w:tabs>
        <w:numPr>
          <w:ilvl w:val="1"/>
          <w:numId w:val="322"/>
        </w:numPr>
        <w:rPr>
          <w:rFonts w:ascii="Arial" w:cs="Arial" w:eastAsia="Arial" w:hAnsi="Arial"/>
          <w:sz w:val="20"/>
          <w:szCs w:val="20"/>
          <w:color w:val="auto"/>
        </w:rPr>
      </w:pPr>
      <w:r>
        <w:rPr>
          <w:rFonts w:ascii="Arial" w:cs="Arial" w:eastAsia="Arial" w:hAnsi="Arial"/>
          <w:sz w:val="20"/>
          <w:szCs w:val="20"/>
          <w:color w:val="auto"/>
        </w:rPr>
        <w:t>except for the matters that are the subject of Section 9.01(b) or Section 9.01(c), there shall not be any</w:t>
      </w:r>
    </w:p>
    <w:p>
      <w:pPr>
        <w:spacing w:after="0" w:line="15" w:lineRule="exact"/>
        <w:rPr>
          <w:rFonts w:ascii="Arial" w:cs="Arial" w:eastAsia="Arial" w:hAnsi="Arial"/>
          <w:sz w:val="20"/>
          <w:szCs w:val="20"/>
          <w:color w:val="auto"/>
        </w:rPr>
      </w:pPr>
    </w:p>
    <w:p>
      <w:pPr>
        <w:ind w:right="140" w:firstLine="1"/>
        <w:spacing w:after="0"/>
        <w:tabs>
          <w:tab w:leader="none" w:pos="23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 (B) solely with respect to the obligations of Parent and Merger Subsidiary, imposes any Burdensome Condition.</w:t>
      </w:r>
    </w:p>
    <w:p>
      <w:pPr>
        <w:spacing w:after="0" w:line="171" w:lineRule="exact"/>
        <w:rPr>
          <w:rFonts w:ascii="Arial" w:cs="Arial" w:eastAsia="Arial" w:hAnsi="Arial"/>
          <w:sz w:val="20"/>
          <w:szCs w:val="20"/>
          <w:color w:val="auto"/>
        </w:rPr>
      </w:pPr>
    </w:p>
    <w:p>
      <w:pPr>
        <w:ind w:right="140" w:firstLine="1715"/>
        <w:spacing w:after="0" w:line="322" w:lineRule="auto"/>
        <w:tabs>
          <w:tab w:leader="none" w:pos="2241"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A-71</w:t>
      </w:r>
    </w:p>
    <w:p>
      <w:pPr>
        <w:sectPr>
          <w:pgSz w:w="11900" w:h="16838" w:orient="portrait"/>
          <w:cols w:equalWidth="0" w:num="1">
            <w:col w:w="11340"/>
          </w:cols>
          <w:pgMar w:left="240" w:top="439" w:right="31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5" w:lineRule="auto"/>
        <w:tabs>
          <w:tab w:leader="none" w:pos="2218"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shares of Parent Class A Common Stock to be issued in the Merger shall have been approved for listing on the NASDAQ, subject to official notice of issuance.</w:t>
      </w:r>
    </w:p>
    <w:p>
      <w:pPr>
        <w:spacing w:after="0" w:line="148" w:lineRule="exact"/>
        <w:rPr>
          <w:sz w:val="20"/>
          <w:szCs w:val="20"/>
          <w:color w:val="auto"/>
        </w:rPr>
      </w:pPr>
    </w:p>
    <w:p>
      <w:pPr>
        <w:ind w:right="60" w:firstLine="800"/>
        <w:spacing w:after="0" w:line="265"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i w:val="1"/>
          <w:iCs w:val="1"/>
          <w:color w:val="auto"/>
        </w:rPr>
        <w:t>Conditions to the Obligations of Parent and Merger Subsidiary</w:t>
      </w:r>
      <w:r>
        <w:rPr>
          <w:rFonts w:ascii="Arial" w:cs="Arial" w:eastAsia="Arial" w:hAnsi="Arial"/>
          <w:sz w:val="20"/>
          <w:szCs w:val="20"/>
          <w:color w:val="auto"/>
        </w:rPr>
        <w:t>. The obligations of Parent and Merger Subsidiary to consummate the Merger are subject to the satisfaction or waiver of the following further conditions:</w:t>
      </w:r>
    </w:p>
    <w:p>
      <w:pPr>
        <w:spacing w:after="0" w:line="148" w:lineRule="exact"/>
        <w:rPr>
          <w:sz w:val="20"/>
          <w:szCs w:val="20"/>
          <w:color w:val="auto"/>
        </w:rPr>
      </w:pPr>
    </w:p>
    <w:p>
      <w:pPr>
        <w:ind w:right="20" w:firstLine="1715"/>
        <w:spacing w:after="0" w:line="266" w:lineRule="auto"/>
        <w:tabs>
          <w:tab w:leader="none" w:pos="224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53" w:lineRule="exact"/>
        <w:rPr>
          <w:rFonts w:ascii="Arial" w:cs="Arial" w:eastAsia="Arial" w:hAnsi="Arial"/>
          <w:sz w:val="18"/>
          <w:szCs w:val="18"/>
          <w:color w:val="auto"/>
        </w:rPr>
      </w:pPr>
    </w:p>
    <w:p>
      <w:pPr>
        <w:ind w:right="140" w:firstLine="1715"/>
        <w:spacing w:after="0" w:line="268" w:lineRule="auto"/>
        <w:tabs>
          <w:tab w:leader="none" w:pos="225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368(a) of the Code and (ii) the Company and Parent will each be a “</w:t>
      </w:r>
      <w:r>
        <w:rPr>
          <w:rFonts w:ascii="Arial" w:cs="Arial" w:eastAsia="Arial" w:hAnsi="Arial"/>
          <w:sz w:val="20"/>
          <w:szCs w:val="20"/>
          <w:b w:val="1"/>
          <w:bCs w:val="1"/>
          <w:color w:val="auto"/>
        </w:rPr>
        <w:t>party to the reorganization</w:t>
      </w:r>
      <w:r>
        <w:rPr>
          <w:rFonts w:ascii="Arial" w:cs="Arial" w:eastAsia="Arial" w:hAnsi="Arial"/>
          <w:sz w:val="20"/>
          <w:szCs w:val="20"/>
          <w:color w:val="auto"/>
        </w:rPr>
        <w:t>” within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A-72</w:t>
      </w:r>
    </w:p>
    <w:p>
      <w:pPr>
        <w:sectPr>
          <w:pgSz w:w="11900" w:h="16838" w:orient="portrait"/>
          <w:cols w:equalWidth="0" w:num="1">
            <w:col w:w="11420"/>
          </w:cols>
          <w:pgMar w:left="240" w:top="439" w:right="23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200"/>
        <w:spacing w:after="0" w:line="251" w:lineRule="auto"/>
        <w:rPr>
          <w:sz w:val="20"/>
          <w:szCs w:val="20"/>
          <w:color w:val="auto"/>
        </w:rPr>
      </w:pPr>
      <w:r>
        <w:rPr>
          <w:rFonts w:ascii="Arial" w:cs="Arial" w:eastAsia="Arial" w:hAnsi="Arial"/>
          <w:sz w:val="20"/>
          <w:szCs w:val="20"/>
          <w:color w:val="auto"/>
        </w:rPr>
        <w:t>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61" w:lineRule="exact"/>
        <w:rPr>
          <w:sz w:val="20"/>
          <w:szCs w:val="20"/>
          <w:color w:val="auto"/>
        </w:rPr>
      </w:pPr>
    </w:p>
    <w:p>
      <w:pPr>
        <w:ind w:right="40" w:firstLine="1715"/>
        <w:spacing w:after="0" w:line="251" w:lineRule="auto"/>
        <w:tabs>
          <w:tab w:leader="none" w:pos="2241" w:val="left"/>
        </w:tabs>
        <w:numPr>
          <w:ilvl w:val="0"/>
          <w:numId w:val="326"/>
        </w:numPr>
        <w:rPr>
          <w:rFonts w:ascii="Arial" w:cs="Arial" w:eastAsia="Arial" w:hAnsi="Arial"/>
          <w:sz w:val="20"/>
          <w:szCs w:val="20"/>
          <w:color w:val="auto"/>
        </w:rPr>
      </w:pPr>
      <w:r>
        <w:rPr>
          <w:rFonts w:ascii="Arial" w:cs="Arial" w:eastAsia="Arial" w:hAnsi="Arial"/>
          <w:sz w:val="20"/>
          <w:szCs w:val="20"/>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61" w:lineRule="exact"/>
        <w:rPr>
          <w:sz w:val="20"/>
          <w:szCs w:val="20"/>
          <w:color w:val="auto"/>
        </w:rPr>
      </w:pPr>
    </w:p>
    <w:p>
      <w:pPr>
        <w:ind w:right="460" w:firstLine="800"/>
        <w:spacing w:after="0" w:line="265"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i w:val="1"/>
          <w:iCs w:val="1"/>
          <w:color w:val="auto"/>
        </w:rPr>
        <w:t>Conditions to the Obligations of the Company</w:t>
      </w:r>
      <w:r>
        <w:rPr>
          <w:rFonts w:ascii="Arial" w:cs="Arial" w:eastAsia="Arial" w:hAnsi="Arial"/>
          <w:sz w:val="20"/>
          <w:szCs w:val="20"/>
          <w:color w:val="auto"/>
        </w:rPr>
        <w:t>. The obligations of the Company to consummate the Merger are subject to the satisfaction or waiver of the following further conditions:</w:t>
      </w:r>
    </w:p>
    <w:p>
      <w:pPr>
        <w:spacing w:after="0" w:line="148" w:lineRule="exact"/>
        <w:rPr>
          <w:sz w:val="20"/>
          <w:szCs w:val="20"/>
          <w:color w:val="auto"/>
        </w:rPr>
      </w:pPr>
    </w:p>
    <w:p>
      <w:pPr>
        <w:ind w:firstLine="1715"/>
        <w:spacing w:after="0" w:line="252" w:lineRule="auto"/>
        <w:tabs>
          <w:tab w:leader="none" w:pos="2241" w:val="left"/>
        </w:tabs>
        <w:numPr>
          <w:ilvl w:val="0"/>
          <w:numId w:val="327"/>
        </w:numPr>
        <w:rPr>
          <w:rFonts w:ascii="Arial" w:cs="Arial" w:eastAsia="Arial" w:hAnsi="Arial"/>
          <w:sz w:val="19"/>
          <w:szCs w:val="19"/>
          <w:color w:val="auto"/>
        </w:rPr>
      </w:pPr>
      <w:r>
        <w:rPr>
          <w:rFonts w:ascii="Arial" w:cs="Arial" w:eastAsia="Arial" w:hAnsi="Arial"/>
          <w:sz w:val="19"/>
          <w:szCs w:val="19"/>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63" w:lineRule="exact"/>
        <w:rPr>
          <w:rFonts w:ascii="Arial" w:cs="Arial" w:eastAsia="Arial" w:hAnsi="Arial"/>
          <w:sz w:val="19"/>
          <w:szCs w:val="19"/>
          <w:color w:val="auto"/>
        </w:rPr>
      </w:pPr>
    </w:p>
    <w:p>
      <w:pPr>
        <w:ind w:right="40" w:firstLine="1715"/>
        <w:spacing w:after="0" w:line="260" w:lineRule="auto"/>
        <w:tabs>
          <w:tab w:leader="none" w:pos="2252"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A-73</w:t>
      </w:r>
    </w:p>
    <w:p>
      <w:pPr>
        <w:sectPr>
          <w:pgSz w:w="11900" w:h="16838" w:orient="portrait"/>
          <w:cols w:equalWidth="0" w:num="1">
            <w:col w:w="11420"/>
          </w:cols>
          <w:pgMar w:left="240" w:top="439" w:right="23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both"/>
        <w:ind w:right="180"/>
        <w:spacing w:after="0" w:line="294" w:lineRule="auto"/>
        <w:rPr>
          <w:sz w:val="20"/>
          <w:szCs w:val="20"/>
          <w:color w:val="auto"/>
        </w:rPr>
      </w:pPr>
      <w:r>
        <w:rPr>
          <w:rFonts w:ascii="Arial" w:cs="Arial" w:eastAsia="Arial" w:hAnsi="Arial"/>
          <w:sz w:val="18"/>
          <w:szCs w:val="18"/>
          <w:color w:val="auto"/>
        </w:rPr>
        <w:t>Parent will each be a “</w:t>
      </w:r>
      <w:r>
        <w:rPr>
          <w:rFonts w:ascii="Arial" w:cs="Arial" w:eastAsia="Arial" w:hAnsi="Arial"/>
          <w:sz w:val="18"/>
          <w:szCs w:val="18"/>
          <w:b w:val="1"/>
          <w:bCs w:val="1"/>
          <w:color w:val="auto"/>
        </w:rPr>
        <w:t>party to the reorganization</w:t>
      </w:r>
      <w:r>
        <w:rPr>
          <w:rFonts w:ascii="Arial" w:cs="Arial" w:eastAsia="Arial" w:hAnsi="Arial"/>
          <w:sz w:val="18"/>
          <w:szCs w:val="18"/>
          <w:color w:val="auto"/>
        </w:rPr>
        <w:t>” within the meaning of Section 368(b) of the Code, which opinion shall not have been withdrawn or modified in any material respect. In rendering the opinion described in this Section 9.03(b), Paul, Weiss, Rifkind, Wharton &amp; Garrison LLP shall have received and may rely upon the Tax Representation Letters referred to in Section 8.07(b) hereof; and</w:t>
      </w:r>
    </w:p>
    <w:p>
      <w:pPr>
        <w:spacing w:after="0" w:line="126" w:lineRule="exact"/>
        <w:rPr>
          <w:sz w:val="20"/>
          <w:szCs w:val="20"/>
          <w:color w:val="auto"/>
        </w:rPr>
      </w:pPr>
    </w:p>
    <w:p>
      <w:pPr>
        <w:ind w:right="320" w:firstLine="1715"/>
        <w:spacing w:after="0" w:line="251" w:lineRule="auto"/>
        <w:tabs>
          <w:tab w:leader="none" w:pos="2241" w:val="left"/>
        </w:tabs>
        <w:numPr>
          <w:ilvl w:val="0"/>
          <w:numId w:val="328"/>
        </w:numPr>
        <w:rPr>
          <w:rFonts w:ascii="Arial" w:cs="Arial" w:eastAsia="Arial" w:hAnsi="Arial"/>
          <w:sz w:val="20"/>
          <w:szCs w:val="20"/>
          <w:color w:val="auto"/>
        </w:rPr>
      </w:pPr>
      <w:r>
        <w:rPr>
          <w:rFonts w:ascii="Arial" w:cs="Arial" w:eastAsia="Arial" w:hAnsi="Arial"/>
          <w:sz w:val="20"/>
          <w:szCs w:val="20"/>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5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10</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Termination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i w:val="1"/>
          <w:iCs w:val="1"/>
          <w:color w:val="auto"/>
        </w:rPr>
        <w:t>Termination</w:t>
      </w:r>
      <w:r>
        <w:rPr>
          <w:rFonts w:ascii="Arial" w:cs="Arial" w:eastAsia="Arial" w:hAnsi="Arial"/>
          <w:sz w:val="19"/>
          <w:szCs w:val="19"/>
          <w:color w:val="auto"/>
        </w:rPr>
        <w:t>. This Agreement may be terminated and the Merger may be abandoned at any time prior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Effective Time (notwithstanding any approval of this Agreement by the stockholders of the Company):</w:t>
      </w:r>
    </w:p>
    <w:p>
      <w:pPr>
        <w:spacing w:after="0" w:line="181" w:lineRule="exact"/>
        <w:rPr>
          <w:sz w:val="20"/>
          <w:szCs w:val="20"/>
          <w:color w:val="auto"/>
        </w:rPr>
      </w:pPr>
    </w:p>
    <w:p>
      <w:pPr>
        <w:ind w:left="2240" w:hanging="525"/>
        <w:spacing w:after="0"/>
        <w:tabs>
          <w:tab w:leader="none" w:pos="224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by mutual written agreement of the Company and Parent;</w:t>
      </w:r>
    </w:p>
    <w:p>
      <w:pPr>
        <w:spacing w:after="0" w:line="198" w:lineRule="exact"/>
        <w:rPr>
          <w:rFonts w:ascii="Arial" w:cs="Arial" w:eastAsia="Arial" w:hAnsi="Arial"/>
          <w:sz w:val="20"/>
          <w:szCs w:val="20"/>
          <w:color w:val="auto"/>
        </w:rPr>
      </w:pPr>
    </w:p>
    <w:p>
      <w:pPr>
        <w:ind w:left="2260" w:hanging="545"/>
        <w:spacing w:after="0"/>
        <w:tabs>
          <w:tab w:leader="none" w:pos="226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by either the Company or Parent, if:</w:t>
      </w:r>
    </w:p>
    <w:p>
      <w:pPr>
        <w:spacing w:after="0" w:line="194" w:lineRule="exact"/>
        <w:rPr>
          <w:rFonts w:ascii="Arial" w:cs="Arial" w:eastAsia="Arial" w:hAnsi="Arial"/>
          <w:sz w:val="20"/>
          <w:szCs w:val="20"/>
          <w:color w:val="auto"/>
        </w:rPr>
      </w:pPr>
    </w:p>
    <w:p>
      <w:pPr>
        <w:ind w:left="1720" w:firstLine="675"/>
        <w:spacing w:after="0" w:line="254" w:lineRule="auto"/>
        <w:tabs>
          <w:tab w:leader="none" w:pos="2893" w:val="left"/>
        </w:tabs>
        <w:numPr>
          <w:ilvl w:val="1"/>
          <w:numId w:val="329"/>
        </w:numPr>
        <w:rPr>
          <w:rFonts w:ascii="Arial" w:cs="Arial" w:eastAsia="Arial" w:hAnsi="Arial"/>
          <w:sz w:val="19"/>
          <w:szCs w:val="19"/>
          <w:color w:val="auto"/>
        </w:rPr>
      </w:pPr>
      <w:r>
        <w:rPr>
          <w:rFonts w:ascii="Arial" w:cs="Arial" w:eastAsia="Arial" w:hAnsi="Arial"/>
          <w:sz w:val="19"/>
          <w:szCs w:val="19"/>
          <w:color w:val="auto"/>
        </w:rPr>
        <w:t>if the Merger is not consummated on or before February 12, 2015 (the “</w:t>
      </w:r>
      <w:r>
        <w:rPr>
          <w:rFonts w:ascii="Arial" w:cs="Arial" w:eastAsia="Arial" w:hAnsi="Arial"/>
          <w:sz w:val="19"/>
          <w:szCs w:val="19"/>
          <w:b w:val="1"/>
          <w:bCs w:val="1"/>
          <w:color w:val="auto"/>
        </w:rPr>
        <w:t>End Date</w:t>
      </w:r>
      <w:r>
        <w:rPr>
          <w:rFonts w:ascii="Arial" w:cs="Arial" w:eastAsia="Arial" w:hAnsi="Arial"/>
          <w:sz w:val="19"/>
          <w:szCs w:val="19"/>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63" w:lineRule="exact"/>
        <w:rPr>
          <w:rFonts w:ascii="Arial" w:cs="Arial" w:eastAsia="Arial" w:hAnsi="Arial"/>
          <w:sz w:val="19"/>
          <w:szCs w:val="19"/>
          <w:color w:val="auto"/>
        </w:rPr>
      </w:pPr>
    </w:p>
    <w:p>
      <w:pPr>
        <w:ind w:left="1720" w:right="120" w:firstLine="675"/>
        <w:spacing w:after="0" w:line="242" w:lineRule="auto"/>
        <w:tabs>
          <w:tab w:leader="none" w:pos="2949" w:val="left"/>
        </w:tabs>
        <w:numPr>
          <w:ilvl w:val="1"/>
          <w:numId w:val="329"/>
        </w:numPr>
        <w:rPr>
          <w:rFonts w:ascii="Arial" w:cs="Arial" w:eastAsia="Arial" w:hAnsi="Arial"/>
          <w:sz w:val="20"/>
          <w:szCs w:val="20"/>
          <w:color w:val="auto"/>
        </w:rPr>
      </w:pPr>
      <w:r>
        <w:rPr>
          <w:rFonts w:ascii="Arial" w:cs="Arial" w:eastAsia="Arial" w:hAnsi="Arial"/>
          <w:sz w:val="20"/>
          <w:szCs w:val="20"/>
          <w:color w:val="auto"/>
        </w:rPr>
        <w:t xml:space="preserve">there shall be any Applicable Law in effect that (A) makes consummation of the Merger illegal or otherwise prohibited or (B) permanently enjoins the Company or Parent from consummating the Merger and, in the case of clauses (A) and (B) any such Applicable Law, including an injunction, shall have become final and nonappealable;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A-74</w:t>
      </w:r>
    </w:p>
    <w:p>
      <w:pPr>
        <w:sectPr>
          <w:pgSz w:w="11900" w:h="16838" w:orient="portrait"/>
          <w:cols w:equalWidth="0" w:num="1">
            <w:col w:w="11420"/>
          </w:cols>
          <w:pgMar w:left="240" w:top="439" w:right="239"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20" w:firstLine="675"/>
        <w:spacing w:after="0" w:line="270" w:lineRule="auto"/>
        <w:tabs>
          <w:tab w:leader="none" w:pos="3005" w:val="left"/>
        </w:tabs>
        <w:numPr>
          <w:ilvl w:val="1"/>
          <w:numId w:val="330"/>
        </w:numPr>
        <w:rPr>
          <w:rFonts w:ascii="Arial" w:cs="Arial" w:eastAsia="Arial" w:hAnsi="Arial"/>
          <w:sz w:val="19"/>
          <w:szCs w:val="19"/>
          <w:color w:val="auto"/>
        </w:rPr>
      </w:pPr>
      <w:r>
        <w:rPr>
          <w:rFonts w:ascii="Arial" w:cs="Arial" w:eastAsia="Arial" w:hAnsi="Arial"/>
          <w:sz w:val="19"/>
          <w:szCs w:val="19"/>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46" w:lineRule="exact"/>
        <w:rPr>
          <w:rFonts w:ascii="Arial" w:cs="Arial" w:eastAsia="Arial" w:hAnsi="Arial"/>
          <w:sz w:val="19"/>
          <w:szCs w:val="19"/>
          <w:color w:val="auto"/>
        </w:rPr>
      </w:pPr>
    </w:p>
    <w:p>
      <w:pPr>
        <w:ind w:left="2240" w:hanging="525"/>
        <w:spacing w:after="0"/>
        <w:tabs>
          <w:tab w:leader="none" w:pos="22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by Parent, if:</w:t>
      </w:r>
    </w:p>
    <w:p>
      <w:pPr>
        <w:spacing w:after="0" w:line="198" w:lineRule="exact"/>
        <w:rPr>
          <w:rFonts w:ascii="Arial" w:cs="Arial" w:eastAsia="Arial" w:hAnsi="Arial"/>
          <w:sz w:val="20"/>
          <w:szCs w:val="20"/>
          <w:color w:val="auto"/>
        </w:rPr>
      </w:pPr>
    </w:p>
    <w:p>
      <w:pPr>
        <w:ind w:left="2880" w:hanging="485"/>
        <w:spacing w:after="0"/>
        <w:tabs>
          <w:tab w:leader="none" w:pos="28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the Company’s Board of Directors shall have made a Company Adverse Recommendation Change or</w:t>
      </w:r>
    </w:p>
    <w:p>
      <w:pPr>
        <w:spacing w:after="0" w:line="38" w:lineRule="exact"/>
        <w:rPr>
          <w:rFonts w:ascii="Arial" w:cs="Arial" w:eastAsia="Arial" w:hAnsi="Arial"/>
          <w:sz w:val="18"/>
          <w:szCs w:val="18"/>
          <w:color w:val="auto"/>
        </w:rPr>
      </w:pPr>
    </w:p>
    <w:p>
      <w:pPr>
        <w:ind w:left="1720" w:right="60"/>
        <w:spacing w:after="0" w:line="239" w:lineRule="auto"/>
        <w:rPr>
          <w:rFonts w:ascii="Arial" w:cs="Arial" w:eastAsia="Arial" w:hAnsi="Arial"/>
          <w:sz w:val="18"/>
          <w:szCs w:val="18"/>
          <w:color w:val="auto"/>
        </w:rPr>
      </w:pPr>
      <w:r>
        <w:rPr>
          <w:rFonts w:ascii="Arial" w:cs="Arial" w:eastAsia="Arial" w:hAnsi="Arial"/>
          <w:sz w:val="20"/>
          <w:szCs w:val="20"/>
          <w:color w:val="auto"/>
        </w:rPr>
        <w:t>(B)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72" w:lineRule="exact"/>
        <w:rPr>
          <w:sz w:val="20"/>
          <w:szCs w:val="20"/>
          <w:color w:val="auto"/>
        </w:rPr>
      </w:pPr>
    </w:p>
    <w:p>
      <w:pPr>
        <w:ind w:left="1720" w:firstLine="675"/>
        <w:spacing w:after="0" w:line="292" w:lineRule="auto"/>
        <w:tabs>
          <w:tab w:leader="none" w:pos="294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27" w:lineRule="exact"/>
        <w:rPr>
          <w:rFonts w:ascii="Arial" w:cs="Arial" w:eastAsia="Arial" w:hAnsi="Arial"/>
          <w:sz w:val="18"/>
          <w:szCs w:val="18"/>
          <w:color w:val="auto"/>
        </w:rPr>
      </w:pPr>
    </w:p>
    <w:p>
      <w:pPr>
        <w:ind w:left="1720" w:right="140" w:firstLine="675"/>
        <w:spacing w:after="0" w:line="259" w:lineRule="auto"/>
        <w:tabs>
          <w:tab w:leader="none" w:pos="3005" w:val="left"/>
        </w:tabs>
        <w:numPr>
          <w:ilvl w:val="1"/>
          <w:numId w:val="332"/>
        </w:numPr>
        <w:rPr>
          <w:rFonts w:ascii="Arial" w:cs="Arial" w:eastAsia="Arial" w:hAnsi="Arial"/>
          <w:sz w:val="19"/>
          <w:szCs w:val="19"/>
          <w:color w:val="auto"/>
        </w:rPr>
      </w:pPr>
      <w:r>
        <w:rPr>
          <w:rFonts w:ascii="Arial" w:cs="Arial" w:eastAsia="Arial" w:hAnsi="Arial"/>
          <w:sz w:val="19"/>
          <w:szCs w:val="19"/>
          <w:color w:val="auto"/>
        </w:rPr>
        <w:t>a breach of any representation or warranty or failure to perform any covenant or agreement on the part of the Company set forth in this Agreement shall have occurred that would cause the condition set forth in</w:t>
      </w:r>
    </w:p>
    <w:p>
      <w:pPr>
        <w:ind w:left="1720"/>
        <w:spacing w:after="0"/>
        <w:rPr>
          <w:rFonts w:ascii="Arial" w:cs="Arial" w:eastAsia="Arial" w:hAnsi="Arial"/>
          <w:sz w:val="19"/>
          <w:szCs w:val="19"/>
          <w:color w:val="auto"/>
        </w:rPr>
      </w:pPr>
      <w:r>
        <w:rPr>
          <w:rFonts w:ascii="Arial" w:cs="Arial" w:eastAsia="Arial" w:hAnsi="Arial"/>
          <w:sz w:val="20"/>
          <w:szCs w:val="20"/>
          <w:color w:val="auto"/>
        </w:rPr>
        <w:t>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171" w:lineRule="exact"/>
        <w:rPr>
          <w:rFonts w:ascii="Arial" w:cs="Arial" w:eastAsia="Arial" w:hAnsi="Arial"/>
          <w:sz w:val="19"/>
          <w:szCs w:val="19"/>
          <w:color w:val="auto"/>
        </w:rPr>
      </w:pPr>
    </w:p>
    <w:p>
      <w:pPr>
        <w:ind w:left="2980" w:hanging="585"/>
        <w:spacing w:after="0"/>
        <w:tabs>
          <w:tab w:leader="none" w:pos="29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prior to the Company Stockholder Approval having been obtained, an intentional and material breach of</w:t>
      </w:r>
    </w:p>
    <w:p>
      <w:pPr>
        <w:spacing w:after="0" w:line="38" w:lineRule="exact"/>
        <w:rPr>
          <w:rFonts w:ascii="Arial" w:cs="Arial" w:eastAsia="Arial" w:hAnsi="Arial"/>
          <w:sz w:val="18"/>
          <w:szCs w:val="18"/>
          <w:color w:val="auto"/>
        </w:rPr>
      </w:pPr>
    </w:p>
    <w:p>
      <w:pPr>
        <w:ind w:left="1720" w:right="480" w:hanging="5"/>
        <w:spacing w:after="0" w:line="263" w:lineRule="auto"/>
        <w:tabs>
          <w:tab w:leader="none" w:pos="205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Section 6.03 that is authorized or permitted by the Company that results in a Third Party making a Company Acquisition Proposal that is reasonably likely to materially interfere with or delay consummation of the Merger or</w:t>
      </w:r>
    </w:p>
    <w:p>
      <w:pPr>
        <w:ind w:left="1720" w:right="860" w:hanging="5"/>
        <w:spacing w:after="0" w:line="247" w:lineRule="auto"/>
        <w:tabs>
          <w:tab w:leader="none" w:pos="2039" w:val="left"/>
        </w:tabs>
        <w:numPr>
          <w:ilvl w:val="0"/>
          <w:numId w:val="333"/>
        </w:numPr>
        <w:rPr>
          <w:rFonts w:ascii="Arial" w:cs="Arial" w:eastAsia="Arial" w:hAnsi="Arial"/>
          <w:sz w:val="20"/>
          <w:szCs w:val="20"/>
          <w:color w:val="auto"/>
        </w:rPr>
      </w:pPr>
      <w:r>
        <w:rPr>
          <w:rFonts w:ascii="Arial" w:cs="Arial" w:eastAsia="Arial" w:hAnsi="Arial"/>
          <w:sz w:val="20"/>
          <w:szCs w:val="20"/>
          <w:color w:val="auto"/>
        </w:rPr>
        <w:t>the first sentence of Section 6.02 (taking into account the right of the Company to postpone the Company Stockholder Meeting in accordance with Section 6.02) shall have occurred.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A-75</w:t>
      </w:r>
    </w:p>
    <w:p>
      <w:pPr>
        <w:sectPr>
          <w:pgSz w:w="11900" w:h="16838" w:orient="portrait"/>
          <w:cols w:equalWidth="0" w:num="1">
            <w:col w:w="11400"/>
          </w:cols>
          <w:pgMar w:left="240" w:top="439" w:right="25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60" w:hanging="545"/>
        <w:spacing w:after="0"/>
        <w:tabs>
          <w:tab w:leader="none" w:pos="22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by the Company, if:</w:t>
      </w:r>
    </w:p>
    <w:p>
      <w:pPr>
        <w:spacing w:after="0" w:line="198" w:lineRule="exact"/>
        <w:rPr>
          <w:rFonts w:ascii="Arial" w:cs="Arial" w:eastAsia="Arial" w:hAnsi="Arial"/>
          <w:sz w:val="20"/>
          <w:szCs w:val="20"/>
          <w:color w:val="auto"/>
        </w:rPr>
      </w:pPr>
    </w:p>
    <w:p>
      <w:pPr>
        <w:ind w:left="1720" w:right="260" w:firstLine="675"/>
        <w:spacing w:after="0" w:line="292" w:lineRule="auto"/>
        <w:tabs>
          <w:tab w:leader="none" w:pos="2893" w:val="left"/>
        </w:tabs>
        <w:numPr>
          <w:ilvl w:val="1"/>
          <w:numId w:val="334"/>
        </w:numPr>
        <w:rPr>
          <w:rFonts w:ascii="Arial" w:cs="Arial" w:eastAsia="Arial" w:hAnsi="Arial"/>
          <w:sz w:val="19"/>
          <w:szCs w:val="19"/>
          <w:color w:val="auto"/>
        </w:rPr>
      </w:pPr>
      <w:r>
        <w:rPr>
          <w:rFonts w:ascii="Arial" w:cs="Arial" w:eastAsia="Arial" w:hAnsi="Arial"/>
          <w:sz w:val="19"/>
          <w:szCs w:val="19"/>
          <w:color w:val="auto"/>
        </w:rPr>
        <w:t>an intentional and material breach of the first sentence of Section 7.03 shall have occurred (taking into account the right of Parent to postpone the Parent Shareholder Meeting in accordance with Section 7.03);</w:t>
      </w:r>
    </w:p>
    <w:p>
      <w:pPr>
        <w:spacing w:after="0" w:line="124" w:lineRule="exact"/>
        <w:rPr>
          <w:rFonts w:ascii="Arial" w:cs="Arial" w:eastAsia="Arial" w:hAnsi="Arial"/>
          <w:sz w:val="19"/>
          <w:szCs w:val="19"/>
          <w:color w:val="auto"/>
        </w:rPr>
      </w:pPr>
    </w:p>
    <w:p>
      <w:pPr>
        <w:ind w:left="1720" w:right="320" w:firstLine="675"/>
        <w:spacing w:after="0" w:line="265" w:lineRule="auto"/>
        <w:tabs>
          <w:tab w:leader="none" w:pos="2949" w:val="left"/>
        </w:tabs>
        <w:numPr>
          <w:ilvl w:val="1"/>
          <w:numId w:val="334"/>
        </w:numPr>
        <w:rPr>
          <w:rFonts w:ascii="Arial" w:cs="Arial" w:eastAsia="Arial" w:hAnsi="Arial"/>
          <w:sz w:val="20"/>
          <w:szCs w:val="20"/>
          <w:color w:val="auto"/>
        </w:rPr>
      </w:pPr>
      <w:r>
        <w:rPr>
          <w:rFonts w:ascii="Arial" w:cs="Arial" w:eastAsia="Arial" w:hAnsi="Arial"/>
          <w:sz w:val="20"/>
          <w:szCs w:val="20"/>
          <w:color w:val="auto"/>
        </w:rPr>
        <w:t>a material breach of the Voting Agreement shall have occurred that is noncurable or, if curable, is not cured within 30 days’ notice thereof; or</w:t>
      </w:r>
    </w:p>
    <w:p>
      <w:pPr>
        <w:spacing w:after="0" w:line="147" w:lineRule="exact"/>
        <w:rPr>
          <w:rFonts w:ascii="Arial" w:cs="Arial" w:eastAsia="Arial" w:hAnsi="Arial"/>
          <w:sz w:val="20"/>
          <w:szCs w:val="20"/>
          <w:color w:val="auto"/>
        </w:rPr>
      </w:pPr>
    </w:p>
    <w:p>
      <w:pPr>
        <w:ind w:left="1720" w:right="40" w:firstLine="675"/>
        <w:spacing w:after="0" w:line="242" w:lineRule="auto"/>
        <w:tabs>
          <w:tab w:leader="none" w:pos="3005" w:val="left"/>
        </w:tabs>
        <w:numPr>
          <w:ilvl w:val="1"/>
          <w:numId w:val="334"/>
        </w:numPr>
        <w:rPr>
          <w:rFonts w:ascii="Arial" w:cs="Arial" w:eastAsia="Arial" w:hAnsi="Arial"/>
          <w:sz w:val="20"/>
          <w:szCs w:val="20"/>
          <w:color w:val="auto"/>
        </w:rPr>
      </w:pPr>
      <w:r>
        <w:rPr>
          <w:rFonts w:ascii="Arial" w:cs="Arial" w:eastAsia="Arial" w:hAnsi="Arial"/>
          <w:sz w:val="20"/>
          <w:szCs w:val="20"/>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72" w:lineRule="exact"/>
        <w:rPr>
          <w:sz w:val="20"/>
          <w:szCs w:val="20"/>
          <w:color w:val="auto"/>
        </w:rPr>
      </w:pPr>
    </w:p>
    <w:p>
      <w:pPr>
        <w:ind w:right="220" w:firstLine="800"/>
        <w:spacing w:after="0" w:line="251" w:lineRule="auto"/>
        <w:rPr>
          <w:sz w:val="20"/>
          <w:szCs w:val="20"/>
          <w:color w:val="auto"/>
        </w:rPr>
      </w:pPr>
      <w:r>
        <w:rPr>
          <w:rFonts w:ascii="Arial" w:cs="Arial" w:eastAsia="Arial" w:hAnsi="Arial"/>
          <w:sz w:val="20"/>
          <w:szCs w:val="20"/>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61"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Effect of Termination</w:t>
      </w:r>
      <w:r>
        <w:rPr>
          <w:rFonts w:ascii="Arial" w:cs="Arial" w:eastAsia="Arial" w:hAnsi="Arial"/>
          <w:sz w:val="18"/>
          <w:szCs w:val="18"/>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 (ii) failure of any party to perform a covenant hereof or</w:t>
      </w:r>
    </w:p>
    <w:p>
      <w:pPr>
        <w:spacing w:after="0" w:line="2" w:lineRule="exact"/>
        <w:rPr>
          <w:sz w:val="20"/>
          <w:szCs w:val="20"/>
          <w:color w:val="auto"/>
        </w:rPr>
      </w:pPr>
    </w:p>
    <w:p>
      <w:pPr>
        <w:ind w:right="160" w:firstLine="1"/>
        <w:spacing w:after="0" w:line="239" w:lineRule="auto"/>
        <w:tabs>
          <w:tab w:leader="none" w:pos="353" w:val="left"/>
        </w:tabs>
        <w:numPr>
          <w:ilvl w:val="0"/>
          <w:numId w:val="335"/>
        </w:numPr>
        <w:rPr>
          <w:rFonts w:ascii="Arial" w:cs="Arial" w:eastAsia="Arial" w:hAnsi="Arial"/>
          <w:sz w:val="20"/>
          <w:szCs w:val="20"/>
          <w:color w:val="auto"/>
        </w:rPr>
      </w:pPr>
      <w:r>
        <w:rPr>
          <w:rFonts w:ascii="Arial" w:cs="Arial" w:eastAsia="Arial" w:hAnsi="Arial"/>
          <w:sz w:val="20"/>
          <w:szCs w:val="20"/>
          <w:color w:val="auto"/>
        </w:rPr>
        <w:t>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A-76</w:t>
      </w:r>
    </w:p>
    <w:p>
      <w:pPr>
        <w:sectPr>
          <w:pgSz w:w="11900" w:h="16838" w:orient="portrait"/>
          <w:cols w:equalWidth="0" w:num="1">
            <w:col w:w="11420"/>
          </w:cols>
          <w:pgMar w:left="240" w:top="439" w:right="23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11</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Miscellaneous</w:t>
      </w:r>
    </w:p>
    <w:p>
      <w:pPr>
        <w:spacing w:after="0" w:line="181" w:lineRule="exact"/>
        <w:rPr>
          <w:sz w:val="20"/>
          <w:szCs w:val="20"/>
          <w:color w:val="auto"/>
        </w:rPr>
      </w:pPr>
    </w:p>
    <w:p>
      <w:pPr>
        <w:ind w:right="380" w:firstLine="800"/>
        <w:spacing w:after="0" w:line="265" w:lineRule="auto"/>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i w:val="1"/>
          <w:iCs w:val="1"/>
          <w:color w:val="auto"/>
        </w:rPr>
        <w:t>Notices</w:t>
      </w:r>
      <w:r>
        <w:rPr>
          <w:rFonts w:ascii="Arial" w:cs="Arial" w:eastAsia="Arial" w:hAnsi="Arial"/>
          <w:sz w:val="20"/>
          <w:szCs w:val="20"/>
          <w:color w:val="auto"/>
        </w:rPr>
        <w:t>. All notices, requests and other communications to any party hereunder shall be in writing (including facsimile transmission) and shall be given,</w:t>
      </w:r>
    </w:p>
    <w:p>
      <w:pPr>
        <w:spacing w:after="0" w:line="47"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if to Parent or Merger Subsidiary,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Comcast Corporation</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One Comcast Center</w:t>
      </w:r>
    </w:p>
    <w:p>
      <w:pPr>
        <w:ind w:left="2200"/>
        <w:spacing w:after="0" w:line="236" w:lineRule="auto"/>
        <w:rPr>
          <w:sz w:val="20"/>
          <w:szCs w:val="20"/>
          <w:color w:val="auto"/>
        </w:rPr>
      </w:pPr>
      <w:r>
        <w:rPr>
          <w:rFonts w:ascii="Arial" w:cs="Arial" w:eastAsia="Arial" w:hAnsi="Arial"/>
          <w:sz w:val="20"/>
          <w:szCs w:val="20"/>
          <w:color w:val="auto"/>
        </w:rPr>
        <w:t>1701 John F. Kennedy Boulevard</w:t>
      </w:r>
    </w:p>
    <w:p>
      <w:pPr>
        <w:ind w:left="2200"/>
        <w:spacing w:after="0" w:line="237" w:lineRule="auto"/>
        <w:rPr>
          <w:sz w:val="20"/>
          <w:szCs w:val="20"/>
          <w:color w:val="auto"/>
        </w:rPr>
      </w:pPr>
      <w:r>
        <w:rPr>
          <w:rFonts w:ascii="Arial" w:cs="Arial" w:eastAsia="Arial" w:hAnsi="Arial"/>
          <w:sz w:val="20"/>
          <w:szCs w:val="20"/>
          <w:color w:val="auto"/>
        </w:rPr>
        <w:t>Philadelphia, PA 19103</w:t>
      </w:r>
    </w:p>
    <w:p>
      <w:pPr>
        <w:ind w:left="2200"/>
        <w:spacing w:after="0" w:line="237" w:lineRule="auto"/>
        <w:rPr>
          <w:sz w:val="20"/>
          <w:szCs w:val="20"/>
          <w:color w:val="auto"/>
        </w:rPr>
      </w:pPr>
      <w:r>
        <w:rPr>
          <w:rFonts w:ascii="Arial" w:cs="Arial" w:eastAsia="Arial" w:hAnsi="Arial"/>
          <w:sz w:val="20"/>
          <w:szCs w:val="20"/>
          <w:color w:val="auto"/>
        </w:rPr>
        <w:t>Attention: Arthur R. Block</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(215) 981-7794</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with a copy (which shall not constitute notice)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Davis Polk &amp; Wardwell LLP</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450 Lexington Avenue</w:t>
      </w:r>
    </w:p>
    <w:p>
      <w:pPr>
        <w:ind w:left="2200"/>
        <w:spacing w:after="0" w:line="236" w:lineRule="auto"/>
        <w:rPr>
          <w:sz w:val="20"/>
          <w:szCs w:val="20"/>
          <w:color w:val="auto"/>
        </w:rPr>
      </w:pPr>
      <w:r>
        <w:rPr>
          <w:rFonts w:ascii="Arial" w:cs="Arial" w:eastAsia="Arial" w:hAnsi="Arial"/>
          <w:sz w:val="20"/>
          <w:szCs w:val="20"/>
          <w:color w:val="auto"/>
        </w:rPr>
        <w:t>New York, New York 10017</w:t>
      </w:r>
    </w:p>
    <w:p>
      <w:pPr>
        <w:ind w:left="2200"/>
        <w:spacing w:after="0" w:line="237" w:lineRule="auto"/>
        <w:tabs>
          <w:tab w:leader="none" w:pos="36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David L. Caplan</w:t>
      </w:r>
    </w:p>
    <w:p>
      <w:pPr>
        <w:ind w:left="4260"/>
        <w:spacing w:after="0" w:line="237" w:lineRule="auto"/>
        <w:rPr>
          <w:sz w:val="20"/>
          <w:szCs w:val="20"/>
          <w:color w:val="auto"/>
        </w:rPr>
      </w:pPr>
      <w:r>
        <w:rPr>
          <w:rFonts w:ascii="Arial" w:cs="Arial" w:eastAsia="Arial" w:hAnsi="Arial"/>
          <w:sz w:val="20"/>
          <w:szCs w:val="20"/>
          <w:color w:val="auto"/>
        </w:rPr>
        <w:t>William J. Chudd</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450-3800</w:t>
      </w:r>
    </w:p>
    <w:p>
      <w:pPr>
        <w:spacing w:after="0" w:line="18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if to the Company,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Time Warner Cable Inc.</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60 Columbus Circle</w:t>
      </w:r>
    </w:p>
    <w:p>
      <w:pPr>
        <w:ind w:left="2200"/>
        <w:spacing w:after="0" w:line="236" w:lineRule="auto"/>
        <w:rPr>
          <w:sz w:val="20"/>
          <w:szCs w:val="20"/>
          <w:color w:val="auto"/>
        </w:rPr>
      </w:pPr>
      <w:r>
        <w:rPr>
          <w:rFonts w:ascii="Arial" w:cs="Arial" w:eastAsia="Arial" w:hAnsi="Arial"/>
          <w:sz w:val="20"/>
          <w:szCs w:val="20"/>
          <w:color w:val="auto"/>
        </w:rPr>
        <w:t>New York, NY 10023</w:t>
      </w:r>
    </w:p>
    <w:p>
      <w:pPr>
        <w:ind w:left="2200"/>
        <w:spacing w:after="0" w:line="237"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364-8459</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with a copy (which shall not constitute notice)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Paul, Weiss, Rifkind, Wharton &amp; Garrison LLP</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1285 Avenue of the Americas</w:t>
      </w:r>
    </w:p>
    <w:p>
      <w:pPr>
        <w:ind w:left="2200"/>
        <w:spacing w:after="0" w:line="236" w:lineRule="auto"/>
        <w:rPr>
          <w:sz w:val="20"/>
          <w:szCs w:val="20"/>
          <w:color w:val="auto"/>
        </w:rPr>
      </w:pPr>
      <w:r>
        <w:rPr>
          <w:rFonts w:ascii="Arial" w:cs="Arial" w:eastAsia="Arial" w:hAnsi="Arial"/>
          <w:sz w:val="20"/>
          <w:szCs w:val="20"/>
          <w:color w:val="auto"/>
        </w:rPr>
        <w:t>New York, New York 10019-6064</w:t>
      </w:r>
    </w:p>
    <w:p>
      <w:pPr>
        <w:ind w:left="2200"/>
        <w:spacing w:after="0" w:line="237" w:lineRule="auto"/>
        <w:tabs>
          <w:tab w:leader="none" w:pos="36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Robert B. Schumer</w:t>
      </w:r>
    </w:p>
    <w:p>
      <w:pPr>
        <w:ind w:left="4260"/>
        <w:spacing w:after="0" w:line="237" w:lineRule="auto"/>
        <w:rPr>
          <w:sz w:val="20"/>
          <w:szCs w:val="20"/>
          <w:color w:val="auto"/>
        </w:rPr>
      </w:pPr>
      <w:r>
        <w:rPr>
          <w:rFonts w:ascii="Arial" w:cs="Arial" w:eastAsia="Arial" w:hAnsi="Arial"/>
          <w:sz w:val="20"/>
          <w:szCs w:val="20"/>
          <w:color w:val="auto"/>
        </w:rPr>
        <w:t>Ariel J. Deckelbaum</w:t>
      </w:r>
    </w:p>
    <w:p>
      <w:pPr>
        <w:ind w:left="4260"/>
        <w:spacing w:after="0" w:line="237" w:lineRule="auto"/>
        <w:rPr>
          <w:sz w:val="20"/>
          <w:szCs w:val="20"/>
          <w:color w:val="auto"/>
        </w:rPr>
      </w:pPr>
      <w:r>
        <w:rPr>
          <w:rFonts w:ascii="Arial" w:cs="Arial" w:eastAsia="Arial" w:hAnsi="Arial"/>
          <w:sz w:val="20"/>
          <w:szCs w:val="20"/>
          <w:color w:val="auto"/>
        </w:rPr>
        <w:t>Ross A. Fieldston</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757-3990</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A-77</w:t>
      </w:r>
    </w:p>
    <w:p>
      <w:pPr>
        <w:sectPr>
          <w:pgSz w:w="11900" w:h="16838" w:orient="portrait"/>
          <w:cols w:equalWidth="0" w:num="1">
            <w:col w:w="11280"/>
          </w:cols>
          <w:pgMar w:left="240" w:top="439" w:right="37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notice, request or communication shall be deemed to have been received on the next succeeding Business Day in the place of receipt.</w:t>
      </w:r>
    </w:p>
    <w:p>
      <w:pPr>
        <w:spacing w:after="0" w:line="210" w:lineRule="exact"/>
        <w:rPr>
          <w:sz w:val="20"/>
          <w:szCs w:val="20"/>
          <w:color w:val="auto"/>
        </w:rPr>
      </w:pPr>
    </w:p>
    <w:p>
      <w:pPr>
        <w:ind w:right="100" w:firstLine="800"/>
        <w:spacing w:after="0" w:line="270"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i w:val="1"/>
          <w:iCs w:val="1"/>
          <w:color w:val="auto"/>
        </w:rPr>
        <w:t>Survival of Representations and Warranties</w:t>
      </w:r>
      <w:r>
        <w:rPr>
          <w:rFonts w:ascii="Arial" w:cs="Arial" w:eastAsia="Arial" w:hAnsi="Arial"/>
          <w:sz w:val="19"/>
          <w:szCs w:val="19"/>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46" w:lineRule="exact"/>
        <w:rPr>
          <w:sz w:val="20"/>
          <w:szCs w:val="20"/>
          <w:color w:val="auto"/>
        </w:rPr>
      </w:pPr>
    </w:p>
    <w:p>
      <w:pPr>
        <w:ind w:right="100" w:firstLine="800"/>
        <w:spacing w:after="0" w:line="256"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i w:val="1"/>
          <w:iCs w:val="1"/>
          <w:color w:val="auto"/>
        </w:rPr>
        <w:t>Amendments and Waivers</w:t>
      </w:r>
      <w:r>
        <w:rPr>
          <w:rFonts w:ascii="Arial" w:cs="Arial" w:eastAsia="Arial" w:hAnsi="Arial"/>
          <w:sz w:val="19"/>
          <w:szCs w:val="19"/>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59" w:lineRule="exact"/>
        <w:rPr>
          <w:sz w:val="20"/>
          <w:szCs w:val="20"/>
          <w:color w:val="auto"/>
        </w:rPr>
      </w:pPr>
    </w:p>
    <w:p>
      <w:pPr>
        <w:ind w:firstLine="1715"/>
        <w:spacing w:after="0" w:line="246" w:lineRule="auto"/>
        <w:tabs>
          <w:tab w:leader="none" w:pos="2252" w:val="left"/>
        </w:tabs>
        <w:numPr>
          <w:ilvl w:val="0"/>
          <w:numId w:val="336"/>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6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Expenses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52" w:lineRule="exact"/>
        <w:rPr>
          <w:sz w:val="20"/>
          <w:szCs w:val="20"/>
          <w:color w:val="auto"/>
        </w:rPr>
      </w:pPr>
    </w:p>
    <w:p>
      <w:pPr>
        <w:ind w:right="60" w:firstLine="800"/>
        <w:spacing w:after="0" w:line="27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Disclosure Schedule and SEC Document References</w:t>
      </w:r>
      <w:r>
        <w:rPr>
          <w:rFonts w:ascii="Arial" w:cs="Arial" w:eastAsia="Arial" w:hAnsi="Arial"/>
          <w:sz w:val="18"/>
          <w:szCs w:val="18"/>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41" w:lineRule="exact"/>
        <w:rPr>
          <w:sz w:val="20"/>
          <w:szCs w:val="20"/>
          <w:color w:val="auto"/>
        </w:rPr>
      </w:pPr>
    </w:p>
    <w:p>
      <w:pPr>
        <w:ind w:right="40" w:firstLine="1715"/>
        <w:spacing w:after="0" w:line="265" w:lineRule="auto"/>
        <w:tabs>
          <w:tab w:leader="none" w:pos="2248"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The parties hereto agree that any information contained in any part of any Specified Company SEC Document or Specified Parent SEC Document shall only be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A-78</w:t>
      </w:r>
    </w:p>
    <w:p>
      <w:pPr>
        <w:sectPr>
          <w:pgSz w:w="11900" w:h="16838" w:orient="portrait"/>
          <w:cols w:equalWidth="0" w:num="1">
            <w:col w:w="11420"/>
          </w:cols>
          <w:pgMar w:left="240" w:top="439" w:right="23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9"/>
          <w:szCs w:val="19"/>
          <w:b w:val="1"/>
          <w:bCs w:val="1"/>
          <w:color w:val="auto"/>
        </w:rPr>
        <w:t>Risk Factors</w:t>
      </w:r>
      <w:r>
        <w:rPr>
          <w:rFonts w:ascii="Arial" w:cs="Arial" w:eastAsia="Arial" w:hAnsi="Arial"/>
          <w:sz w:val="19"/>
          <w:szCs w:val="19"/>
          <w:color w:val="auto"/>
        </w:rPr>
        <w:t>” (or words of similar import) or containing a description or explanation of “</w:t>
      </w:r>
      <w:r>
        <w:rPr>
          <w:rFonts w:ascii="Arial" w:cs="Arial" w:eastAsia="Arial" w:hAnsi="Arial"/>
          <w:sz w:val="19"/>
          <w:szCs w:val="19"/>
          <w:b w:val="1"/>
          <w:bCs w:val="1"/>
          <w:color w:val="auto"/>
        </w:rPr>
        <w:t>Forward-Looking Statements</w:t>
      </w:r>
      <w:r>
        <w:rPr>
          <w:rFonts w:ascii="Arial" w:cs="Arial" w:eastAsia="Arial" w:hAnsi="Arial"/>
          <w:sz w:val="19"/>
          <w:szCs w:val="19"/>
          <w:color w:val="auto"/>
        </w:rPr>
        <w:t>” be deemed to be an exception to (or a disclosure for purposes of) any representations and warranties of any party contained in this Agreement.</w:t>
      </w:r>
    </w:p>
    <w:p>
      <w:pPr>
        <w:spacing w:after="0" w:line="160" w:lineRule="exact"/>
        <w:rPr>
          <w:sz w:val="20"/>
          <w:szCs w:val="20"/>
          <w:color w:val="auto"/>
        </w:rPr>
      </w:pPr>
    </w:p>
    <w:p>
      <w:pPr>
        <w:ind w:firstLine="800"/>
        <w:spacing w:after="0" w:line="271"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Binding Effect; Benefit; Assignment</w:t>
      </w:r>
      <w:r>
        <w:rPr>
          <w:rFonts w:ascii="Arial" w:cs="Arial" w:eastAsia="Arial" w:hAnsi="Arial"/>
          <w:sz w:val="18"/>
          <w:szCs w:val="18"/>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48" w:lineRule="exact"/>
        <w:rPr>
          <w:sz w:val="20"/>
          <w:szCs w:val="20"/>
          <w:color w:val="auto"/>
        </w:rPr>
      </w:pPr>
    </w:p>
    <w:p>
      <w:pPr>
        <w:ind w:right="60" w:firstLine="1715"/>
        <w:spacing w:after="0" w:line="260" w:lineRule="auto"/>
        <w:tabs>
          <w:tab w:leader="none" w:pos="2252" w:val="left"/>
        </w:tabs>
        <w:numPr>
          <w:ilvl w:val="0"/>
          <w:numId w:val="338"/>
        </w:numPr>
        <w:rPr>
          <w:rFonts w:ascii="Arial" w:cs="Arial" w:eastAsia="Arial" w:hAnsi="Arial"/>
          <w:sz w:val="19"/>
          <w:szCs w:val="19"/>
          <w:color w:val="auto"/>
        </w:rPr>
      </w:pPr>
      <w:r>
        <w:rPr>
          <w:rFonts w:ascii="Arial" w:cs="Arial" w:eastAsia="Arial" w:hAnsi="Arial"/>
          <w:sz w:val="19"/>
          <w:szCs w:val="19"/>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53" w:lineRule="exact"/>
        <w:rPr>
          <w:sz w:val="20"/>
          <w:szCs w:val="20"/>
          <w:color w:val="auto"/>
        </w:rPr>
      </w:pPr>
    </w:p>
    <w:p>
      <w:pPr>
        <w:ind w:right="260" w:firstLine="800"/>
        <w:spacing w:after="0" w:line="265"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This Agreement shall be governed by and construed in accordance with the laws of the State of Delaware, without regard to the conflicts of law rules of such state.</w:t>
      </w:r>
    </w:p>
    <w:p>
      <w:pPr>
        <w:spacing w:after="0" w:line="14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i w:val="1"/>
          <w:iCs w:val="1"/>
          <w:color w:val="auto"/>
        </w:rPr>
        <w:t>Jurisdiction.</w:t>
      </w:r>
      <w:r>
        <w:rPr>
          <w:rFonts w:ascii="Arial" w:cs="Arial" w:eastAsia="Arial" w:hAnsi="Arial"/>
          <w:sz w:val="20"/>
          <w:szCs w:val="20"/>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A-79</w:t>
      </w:r>
    </w:p>
    <w:p>
      <w:pPr>
        <w:sectPr>
          <w:pgSz w:w="11900" w:h="16838" w:orient="portrait"/>
          <w:cols w:equalWidth="0" w:num="1">
            <w:col w:w="11400"/>
          </w:cols>
          <w:pgMar w:left="240" w:top="439" w:right="25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67" w:lineRule="exact"/>
        <w:rPr>
          <w:sz w:val="20"/>
          <w:szCs w:val="20"/>
          <w:color w:val="auto"/>
        </w:rPr>
      </w:pPr>
    </w:p>
    <w:p>
      <w:pPr>
        <w:ind w:right="200" w:firstLine="800"/>
        <w:spacing w:after="0" w:line="251" w:lineRule="auto"/>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i w:val="1"/>
          <w:iCs w:val="1"/>
          <w:color w:val="auto"/>
        </w:rPr>
        <w:t>WAIVER OF JURY TRIAL.</w:t>
      </w:r>
      <w:r>
        <w:rPr>
          <w:rFonts w:ascii="Arial" w:cs="Arial" w:eastAsia="Arial" w:hAnsi="Arial"/>
          <w:sz w:val="20"/>
          <w:szCs w:val="20"/>
          <w:color w:val="auto"/>
        </w:rPr>
        <w:t xml:space="preserve">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firstLine="800"/>
        <w:spacing w:after="0" w:line="242"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i w:val="1"/>
          <w:iCs w:val="1"/>
          <w:color w:val="auto"/>
        </w:rPr>
        <w:t>Counterparts; Effectiveness.</w:t>
      </w:r>
      <w:r>
        <w:rPr>
          <w:rFonts w:ascii="Arial" w:cs="Arial" w:eastAsia="Arial" w:hAnsi="Arial"/>
          <w:sz w:val="20"/>
          <w:szCs w:val="20"/>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72" w:lineRule="exact"/>
        <w:rPr>
          <w:sz w:val="20"/>
          <w:szCs w:val="20"/>
          <w:color w:val="auto"/>
        </w:rPr>
      </w:pPr>
    </w:p>
    <w:p>
      <w:pPr>
        <w:ind w:right="60" w:firstLine="800"/>
        <w:spacing w:after="0" w:line="270"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i w:val="1"/>
          <w:iCs w:val="1"/>
          <w:color w:val="auto"/>
        </w:rPr>
        <w:t>Entire Agreement.</w:t>
      </w:r>
      <w:r>
        <w:rPr>
          <w:rFonts w:ascii="Arial" w:cs="Arial" w:eastAsia="Arial" w:hAnsi="Arial"/>
          <w:sz w:val="19"/>
          <w:szCs w:val="19"/>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45" w:lineRule="exact"/>
        <w:rPr>
          <w:sz w:val="20"/>
          <w:szCs w:val="20"/>
          <w:color w:val="auto"/>
        </w:rPr>
      </w:pPr>
    </w:p>
    <w:p>
      <w:pPr>
        <w:ind w:firstLine="800"/>
        <w:spacing w:after="0" w:line="241" w:lineRule="auto"/>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i w:val="1"/>
          <w:iCs w:val="1"/>
          <w:color w:val="auto"/>
        </w:rPr>
        <w:t>Severability.</w:t>
      </w:r>
      <w:r>
        <w:rPr>
          <w:rFonts w:ascii="Arial" w:cs="Arial" w:eastAsia="Arial" w:hAnsi="Arial"/>
          <w:sz w:val="20"/>
          <w:szCs w:val="20"/>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4" w:lineRule="exact"/>
        <w:rPr>
          <w:sz w:val="20"/>
          <w:szCs w:val="20"/>
          <w:color w:val="auto"/>
        </w:rPr>
      </w:pPr>
    </w:p>
    <w:p>
      <w:pPr>
        <w:ind w:right="40" w:firstLine="800"/>
        <w:spacing w:after="0" w:line="260" w:lineRule="auto"/>
        <w:rPr>
          <w:sz w:val="20"/>
          <w:szCs w:val="20"/>
          <w:color w:val="auto"/>
        </w:rPr>
      </w:pPr>
      <w:r>
        <w:rPr>
          <w:rFonts w:ascii="Arial" w:cs="Arial" w:eastAsia="Arial" w:hAnsi="Arial"/>
          <w:sz w:val="19"/>
          <w:szCs w:val="19"/>
          <w:color w:val="auto"/>
        </w:rPr>
        <w:t xml:space="preserve">Section 11.13. </w:t>
      </w:r>
      <w:r>
        <w:rPr>
          <w:rFonts w:ascii="Arial" w:cs="Arial" w:eastAsia="Arial" w:hAnsi="Arial"/>
          <w:sz w:val="19"/>
          <w:szCs w:val="19"/>
          <w:i w:val="1"/>
          <w:iCs w:val="1"/>
          <w:color w:val="auto"/>
        </w:rPr>
        <w:t>Specific Performance.</w:t>
      </w:r>
      <w:r>
        <w:rPr>
          <w:rFonts w:ascii="Arial" w:cs="Arial" w:eastAsia="Arial" w:hAnsi="Arial"/>
          <w:sz w:val="19"/>
          <w:szCs w:val="19"/>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A-80</w:t>
      </w:r>
    </w:p>
    <w:p>
      <w:pPr>
        <w:sectPr>
          <w:pgSz w:w="11900" w:h="16838" w:orient="portrait"/>
          <w:cols w:equalWidth="0" w:num="1">
            <w:col w:w="11400"/>
          </w:cols>
          <w:pgMar w:left="240" w:top="439" w:right="25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[The remainder of this page has been intentionally left blank; the next page is the signature page.]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A-81</w:t>
      </w:r>
    </w:p>
    <w:p>
      <w:pPr>
        <w:sectPr>
          <w:pgSz w:w="11900" w:h="16838" w:orient="portrait"/>
          <w:cols w:equalWidth="0" w:num="1">
            <w:col w:w="11320"/>
          </w:cols>
          <w:pgMar w:left="240" w:top="438" w:right="33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date set forth on the cover page of this Agreement.</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TIME WARNER CABLE INC.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Arthur T. Minson, Jr.</w:t>
      </w:r>
    </w:p>
    <w:p>
      <w:pPr>
        <w:spacing w:after="0" w:line="7"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Executive Vice President and</w:t>
      </w:r>
    </w:p>
    <w:p>
      <w:pPr>
        <w:ind w:left="796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Robert S. Pick</w:t>
      </w:r>
    </w:p>
    <w:p>
      <w:pPr>
        <w:spacing w:after="0" w:line="9"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TANGO ACQUISITION SUB, INC.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Robert S. Pick</w:t>
      </w:r>
    </w:p>
    <w:p>
      <w:pPr>
        <w:spacing w:after="0" w:line="9"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Senior Vice President</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A-82</w:t>
      </w:r>
    </w:p>
    <w:p>
      <w:pPr>
        <w:sectPr>
          <w:pgSz w:w="11900" w:h="16838" w:orient="portrait"/>
          <w:cols w:equalWidth="0" w:num="1">
            <w:col w:w="10820"/>
          </w:cols>
          <w:pgMar w:left="240" w:top="438" w:right="83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B</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AGREEMENT</w:t>
      </w:r>
    </w:p>
    <w:p>
      <w:pPr>
        <w:spacing w:after="0" w:line="199" w:lineRule="exact"/>
        <w:rPr>
          <w:sz w:val="20"/>
          <w:szCs w:val="20"/>
          <w:color w:val="auto"/>
        </w:rPr>
      </w:pPr>
    </w:p>
    <w:p>
      <w:pPr>
        <w:ind w:right="220" w:firstLine="800"/>
        <w:spacing w:after="0" w:line="270" w:lineRule="auto"/>
        <w:rPr>
          <w:sz w:val="20"/>
          <w:szCs w:val="20"/>
          <w:color w:val="auto"/>
        </w:rPr>
      </w:pPr>
      <w:r>
        <w:rPr>
          <w:rFonts w:ascii="Arial" w:cs="Arial" w:eastAsia="Arial" w:hAnsi="Arial"/>
          <w:sz w:val="20"/>
          <w:szCs w:val="20"/>
          <w:color w:val="auto"/>
        </w:rPr>
        <w:t>AGREEMENT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12, 2014, among Time Warner Cable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each of the individuals or entities listed on Schedule 1.01 hereto (each, a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42" w:lineRule="exact"/>
        <w:rPr>
          <w:sz w:val="20"/>
          <w:szCs w:val="20"/>
          <w:color w:val="auto"/>
        </w:rPr>
      </w:pPr>
    </w:p>
    <w:p>
      <w:pPr>
        <w:ind w:right="100" w:firstLine="800"/>
        <w:spacing w:after="0" w:line="244" w:lineRule="auto"/>
        <w:rPr>
          <w:sz w:val="20"/>
          <w:szCs w:val="20"/>
          <w:color w:val="auto"/>
        </w:rPr>
      </w:pPr>
      <w:r>
        <w:rPr>
          <w:rFonts w:ascii="Arial" w:cs="Arial" w:eastAsia="Arial" w:hAnsi="Arial"/>
          <w:sz w:val="20"/>
          <w:szCs w:val="20"/>
          <w:color w:val="auto"/>
        </w:rPr>
        <w:t>WHEREAS, concurrently with the execution and delivery of this Agreement, the Company, Comcast Corporation, a Pennsylvania corporation (“</w:t>
      </w:r>
      <w:r>
        <w:rPr>
          <w:rFonts w:ascii="Arial" w:cs="Arial" w:eastAsia="Arial" w:hAnsi="Arial"/>
          <w:sz w:val="20"/>
          <w:szCs w:val="20"/>
          <w:b w:val="1"/>
          <w:bCs w:val="1"/>
          <w:color w:val="auto"/>
        </w:rPr>
        <w:t>Parent</w:t>
      </w:r>
      <w:r>
        <w:rPr>
          <w:rFonts w:ascii="Arial" w:cs="Arial" w:eastAsia="Arial" w:hAnsi="Arial"/>
          <w:sz w:val="20"/>
          <w:szCs w:val="20"/>
          <w:color w:val="auto"/>
        </w:rPr>
        <w:t>”), and Tango Acquisition Sub, Inc., a Delaware corporation and wholly owned subsidiary of Parent (“</w:t>
      </w:r>
      <w:r>
        <w:rPr>
          <w:rFonts w:ascii="Arial" w:cs="Arial" w:eastAsia="Arial" w:hAnsi="Arial"/>
          <w:sz w:val="20"/>
          <w:szCs w:val="20"/>
          <w:b w:val="1"/>
          <w:bCs w:val="1"/>
          <w:color w:val="auto"/>
        </w:rPr>
        <w:t>Merger</w:t>
      </w:r>
      <w:r>
        <w:rPr>
          <w:rFonts w:ascii="Arial" w:cs="Arial" w:eastAsia="Arial" w:hAnsi="Arial"/>
          <w:sz w:val="20"/>
          <w:szCs w:val="20"/>
          <w:color w:val="auto"/>
        </w:rPr>
        <w:t xml:space="preserve"> </w:t>
      </w:r>
      <w:r>
        <w:rPr>
          <w:rFonts w:ascii="Arial" w:cs="Arial" w:eastAsia="Arial" w:hAnsi="Arial"/>
          <w:sz w:val="20"/>
          <w:szCs w:val="20"/>
          <w:b w:val="1"/>
          <w:bCs w:val="1"/>
          <w:color w:val="auto"/>
        </w:rPr>
        <w:t>Subsidiary</w:t>
      </w:r>
      <w:r>
        <w:rPr>
          <w:rFonts w:ascii="Arial" w:cs="Arial" w:eastAsia="Arial" w:hAnsi="Arial"/>
          <w:sz w:val="20"/>
          <w:szCs w:val="20"/>
          <w:color w:val="auto"/>
        </w:rPr>
        <w:t>”), are entering into an Agreement and Plan of Merger (as amended or modified from time to time, the “</w:t>
      </w:r>
      <w:r>
        <w:rPr>
          <w:rFonts w:ascii="Arial" w:cs="Arial" w:eastAsia="Arial" w:hAnsi="Arial"/>
          <w:sz w:val="20"/>
          <w:szCs w:val="20"/>
          <w:b w:val="1"/>
          <w:bCs w:val="1"/>
          <w:color w:val="auto"/>
        </w:rPr>
        <w:t>Merger Agreement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which Merger Subsidiary will be merged with and into the Company, with the Company continuing as the surviving corporation and a wholly owned subsidiary of Parent;</w:t>
      </w:r>
    </w:p>
    <w:p>
      <w:pPr>
        <w:spacing w:after="0" w:line="168" w:lineRule="exact"/>
        <w:rPr>
          <w:sz w:val="20"/>
          <w:szCs w:val="20"/>
          <w:color w:val="auto"/>
        </w:rPr>
      </w:pPr>
    </w:p>
    <w:p>
      <w:pPr>
        <w:ind w:right="200" w:firstLine="800"/>
        <w:spacing w:after="0" w:line="265" w:lineRule="auto"/>
        <w:rPr>
          <w:sz w:val="20"/>
          <w:szCs w:val="20"/>
          <w:color w:val="auto"/>
        </w:rPr>
      </w:pPr>
      <w:r>
        <w:rPr>
          <w:rFonts w:ascii="Arial" w:cs="Arial" w:eastAsia="Arial" w:hAnsi="Arial"/>
          <w:sz w:val="20"/>
          <w:szCs w:val="20"/>
          <w:color w:val="auto"/>
        </w:rPr>
        <w:t>WHEREAS, as of the date hereof, each Stockholder is the record and beneficial owner of the shares of “Parent Class A Common Stock,” and “Parent Class B Common Stock,” respectively, on Schedule 1.01; and</w:t>
      </w:r>
    </w:p>
    <w:p>
      <w:pPr>
        <w:spacing w:after="0" w:line="148" w:lineRule="exact"/>
        <w:rPr>
          <w:sz w:val="20"/>
          <w:szCs w:val="20"/>
          <w:color w:val="auto"/>
        </w:rPr>
      </w:pPr>
    </w:p>
    <w:p>
      <w:pPr>
        <w:ind w:right="300" w:firstLine="800"/>
        <w:spacing w:after="0" w:line="265" w:lineRule="auto"/>
        <w:rPr>
          <w:sz w:val="20"/>
          <w:szCs w:val="20"/>
          <w:color w:val="auto"/>
        </w:rPr>
      </w:pPr>
      <w:r>
        <w:rPr>
          <w:rFonts w:ascii="Arial" w:cs="Arial" w:eastAsia="Arial" w:hAnsi="Arial"/>
          <w:sz w:val="20"/>
          <w:szCs w:val="20"/>
          <w:color w:val="auto"/>
        </w:rPr>
        <w:t>WHEREAS, in order to induce the Company to enter into the Merger Agreement, each Stockholder has agreed to enter into this Agreement.</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the parties hereto agree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w:t>
      </w:r>
      <w:r>
        <w:rPr>
          <w:rFonts w:ascii="Arial" w:cs="Arial" w:eastAsia="Arial" w:hAnsi="Arial"/>
          <w:sz w:val="16"/>
          <w:szCs w:val="16"/>
          <w:color w:val="auto"/>
        </w:rPr>
        <w:t>EFINED</w:t>
      </w:r>
      <w:r>
        <w:rPr>
          <w:rFonts w:ascii="Arial" w:cs="Arial" w:eastAsia="Arial" w:hAnsi="Arial"/>
          <w:sz w:val="20"/>
          <w:szCs w:val="20"/>
          <w:color w:val="auto"/>
        </w:rPr>
        <w:t xml:space="preserve"> T</w:t>
      </w:r>
      <w:r>
        <w:rPr>
          <w:rFonts w:ascii="Arial" w:cs="Arial" w:eastAsia="Arial" w:hAnsi="Arial"/>
          <w:sz w:val="16"/>
          <w:szCs w:val="16"/>
          <w:color w:val="auto"/>
        </w:rPr>
        <w:t>ERMS</w:t>
      </w:r>
    </w:p>
    <w:p>
      <w:pPr>
        <w:spacing w:after="0" w:line="181"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Section 1.01</w:t>
      </w:r>
      <w:r>
        <w:rPr>
          <w:rFonts w:ascii="Arial" w:cs="Arial" w:eastAsia="Arial" w:hAnsi="Arial"/>
          <w:sz w:val="20"/>
          <w:szCs w:val="20"/>
          <w:i w:val="1"/>
          <w:iCs w:val="1"/>
          <w:color w:val="auto"/>
        </w:rPr>
        <w:t>. Definitions Generally</w:t>
      </w:r>
      <w:r>
        <w:rPr>
          <w:rFonts w:ascii="Arial" w:cs="Arial" w:eastAsia="Arial" w:hAnsi="Arial"/>
          <w:sz w:val="20"/>
          <w:szCs w:val="20"/>
          <w:color w:val="auto"/>
        </w:rPr>
        <w:t>. For purposes of this Agreement, terms used in this Agreement that are defined in the Merger Agreement but not in this Agreement shall have the respective meanings ascribed to them in the Merger Agreement.</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Certain Definitions</w:t>
      </w:r>
      <w:r>
        <w:rPr>
          <w:rFonts w:ascii="Arial" w:cs="Arial" w:eastAsia="Arial" w:hAnsi="Arial"/>
          <w:sz w:val="20"/>
          <w:szCs w:val="20"/>
          <w:color w:val="auto"/>
        </w:rPr>
        <w:t>. In addition, the following terms, as used herein, have the following meanings:</w:t>
      </w:r>
    </w:p>
    <w:p>
      <w:pPr>
        <w:spacing w:after="0" w:line="195" w:lineRule="exact"/>
        <w:rPr>
          <w:sz w:val="20"/>
          <w:szCs w:val="20"/>
          <w:color w:val="auto"/>
        </w:rPr>
      </w:pPr>
    </w:p>
    <w:p>
      <w:pPr>
        <w:ind w:left="2040" w:hanging="496"/>
        <w:spacing w:after="0"/>
        <w:tabs>
          <w:tab w:leader="none" w:pos="20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Articles of Incorporation</w:t>
      </w:r>
      <w:r>
        <w:rPr>
          <w:rFonts w:ascii="Arial" w:cs="Arial" w:eastAsia="Arial" w:hAnsi="Arial"/>
          <w:sz w:val="20"/>
          <w:szCs w:val="20"/>
          <w:color w:val="auto"/>
        </w:rPr>
        <w:t>” means the Amended and Restated Articles of Incorporation of Parent.</w:t>
      </w:r>
    </w:p>
    <w:p>
      <w:pPr>
        <w:spacing w:after="0" w:line="198" w:lineRule="exact"/>
        <w:rPr>
          <w:rFonts w:ascii="Arial" w:cs="Arial" w:eastAsia="Arial" w:hAnsi="Arial"/>
          <w:sz w:val="20"/>
          <w:szCs w:val="20"/>
          <w:color w:val="auto"/>
        </w:rPr>
      </w:pPr>
    </w:p>
    <w:p>
      <w:pPr>
        <w:ind w:left="800" w:right="340" w:firstLine="744"/>
        <w:spacing w:after="0" w:line="247" w:lineRule="auto"/>
        <w:tabs>
          <w:tab w:leader="none" w:pos="2093" w:val="left"/>
        </w:tabs>
        <w:numPr>
          <w:ilvl w:val="0"/>
          <w:numId w:val="3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w:t>
      </w:r>
      <w:r>
        <w:rPr>
          <w:rFonts w:ascii="Arial" w:cs="Arial" w:eastAsia="Arial" w:hAnsi="Arial"/>
          <w:sz w:val="20"/>
          <w:szCs w:val="20"/>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20"/>
          <w:szCs w:val="20"/>
          <w:b w:val="1"/>
          <w:bCs w:val="1"/>
          <w:color w:val="auto"/>
        </w:rPr>
        <w:t>beneficially owned</w:t>
      </w:r>
      <w:r>
        <w:rPr>
          <w:rFonts w:ascii="Arial" w:cs="Arial" w:eastAsia="Arial" w:hAnsi="Arial"/>
          <w:sz w:val="20"/>
          <w:szCs w:val="20"/>
          <w:color w:val="auto"/>
        </w:rPr>
        <w:t>” and “</w:t>
      </w:r>
      <w:r>
        <w:rPr>
          <w:rFonts w:ascii="Arial" w:cs="Arial" w:eastAsia="Arial" w:hAnsi="Arial"/>
          <w:sz w:val="20"/>
          <w:szCs w:val="20"/>
          <w:b w:val="1"/>
          <w:bCs w:val="1"/>
          <w:color w:val="auto"/>
        </w:rPr>
        <w:t>beneficial owner</w:t>
      </w:r>
      <w:r>
        <w:rPr>
          <w:rFonts w:ascii="Arial" w:cs="Arial" w:eastAsia="Arial" w:hAnsi="Arial"/>
          <w:sz w:val="20"/>
          <w:szCs w:val="20"/>
          <w:color w:val="auto"/>
        </w:rPr>
        <w:t>” shall have correlative meanings.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439" w:right="239" w:bottom="1440" w:gutter="0" w:footer="0" w:header="0"/>
        </w:sectPr>
      </w:pPr>
    </w:p>
    <w:bookmarkStart w:id="308" w:name="page309"/>
    <w:bookmarkEnd w:id="3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800" w:right="260" w:firstLine="744"/>
        <w:spacing w:after="0" w:line="270" w:lineRule="auto"/>
        <w:tabs>
          <w:tab w:leader="none" w:pos="2149" w:val="left"/>
        </w:tabs>
        <w:numPr>
          <w:ilvl w:val="0"/>
          <w:numId w:val="3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Shares</w:t>
      </w:r>
      <w:r>
        <w:rPr>
          <w:rFonts w:ascii="Arial" w:cs="Arial" w:eastAsia="Arial" w:hAnsi="Arial"/>
          <w:sz w:val="20"/>
          <w:szCs w:val="20"/>
          <w:color w:val="auto"/>
        </w:rPr>
        <w:t>” means, with respect to any Stockholder at any time, such Stockholder’s Existing Shares and New Shares as of such time.</w:t>
      </w:r>
    </w:p>
    <w:p>
      <w:pPr>
        <w:spacing w:after="0" w:line="138" w:lineRule="exact"/>
        <w:rPr>
          <w:rFonts w:ascii="Arial" w:cs="Arial" w:eastAsia="Arial" w:hAnsi="Arial"/>
          <w:sz w:val="20"/>
          <w:szCs w:val="20"/>
          <w:color w:val="auto"/>
        </w:rPr>
      </w:pPr>
    </w:p>
    <w:p>
      <w:pPr>
        <w:ind w:left="800" w:right="120" w:firstLine="744"/>
        <w:spacing w:after="0" w:line="294" w:lineRule="auto"/>
        <w:tabs>
          <w:tab w:leader="none" w:pos="213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Shares</w:t>
      </w:r>
      <w:r>
        <w:rPr>
          <w:rFonts w:ascii="Arial" w:cs="Arial" w:eastAsia="Arial" w:hAnsi="Arial"/>
          <w:sz w:val="18"/>
          <w:szCs w:val="18"/>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22" w:lineRule="exact"/>
        <w:rPr>
          <w:rFonts w:ascii="Arial" w:cs="Arial" w:eastAsia="Arial" w:hAnsi="Arial"/>
          <w:sz w:val="18"/>
          <w:szCs w:val="18"/>
          <w:color w:val="auto"/>
        </w:rPr>
      </w:pPr>
    </w:p>
    <w:p>
      <w:pPr>
        <w:jc w:val="both"/>
        <w:ind w:left="800" w:right="160" w:firstLine="744"/>
        <w:spacing w:after="0" w:line="273" w:lineRule="auto"/>
        <w:tabs>
          <w:tab w:leader="none" w:pos="2082" w:val="left"/>
        </w:tabs>
        <w:numPr>
          <w:ilvl w:val="0"/>
          <w:numId w:val="3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New Shares</w:t>
      </w:r>
      <w:r>
        <w:rPr>
          <w:rFonts w:ascii="Arial" w:cs="Arial" w:eastAsia="Arial" w:hAnsi="Arial"/>
          <w:sz w:val="19"/>
          <w:szCs w:val="19"/>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37" w:lineRule="exact"/>
        <w:rPr>
          <w:rFonts w:ascii="Arial" w:cs="Arial" w:eastAsia="Arial" w:hAnsi="Arial"/>
          <w:sz w:val="19"/>
          <w:szCs w:val="19"/>
          <w:color w:val="auto"/>
        </w:rPr>
      </w:pPr>
    </w:p>
    <w:p>
      <w:pPr>
        <w:ind w:left="800" w:right="220" w:firstLine="744"/>
        <w:spacing w:after="0" w:line="270" w:lineRule="auto"/>
        <w:tabs>
          <w:tab w:leader="none" w:pos="2138" w:val="left"/>
        </w:tabs>
        <w:numPr>
          <w:ilvl w:val="0"/>
          <w:numId w:val="3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 Shares</w:t>
      </w:r>
      <w:r>
        <w:rPr>
          <w:rFonts w:ascii="Arial" w:cs="Arial" w:eastAsia="Arial" w:hAnsi="Arial"/>
          <w:sz w:val="20"/>
          <w:szCs w:val="20"/>
          <w:color w:val="auto"/>
        </w:rPr>
        <w:t>” means, with respect to any Stockholder, all shares of Parent Stock (other than shares of Parent Class A Special Common Stock) issuable upon exercise of options held by such Stockholder.</w:t>
      </w:r>
    </w:p>
    <w:p>
      <w:pPr>
        <w:spacing w:after="0" w:line="138" w:lineRule="exact"/>
        <w:rPr>
          <w:rFonts w:ascii="Arial" w:cs="Arial" w:eastAsia="Arial" w:hAnsi="Arial"/>
          <w:sz w:val="20"/>
          <w:szCs w:val="20"/>
          <w:color w:val="auto"/>
        </w:rPr>
      </w:pPr>
    </w:p>
    <w:p>
      <w:pPr>
        <w:ind w:left="2200" w:hanging="656"/>
        <w:spacing w:after="0"/>
        <w:tabs>
          <w:tab w:leader="none" w:pos="22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Issuance</w:t>
      </w:r>
      <w:r>
        <w:rPr>
          <w:rFonts w:ascii="Arial" w:cs="Arial" w:eastAsia="Arial" w:hAnsi="Arial"/>
          <w:sz w:val="18"/>
          <w:szCs w:val="18"/>
          <w:color w:val="auto"/>
        </w:rPr>
        <w:t>” means the issuance of shares of Parent Class A Common Stock as part of the Merger</w:t>
      </w:r>
    </w:p>
    <w:p>
      <w:pPr>
        <w:spacing w:after="0" w:line="4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0"/>
          <w:szCs w:val="20"/>
          <w:color w:val="auto"/>
        </w:rPr>
        <w:t>Consideration.</w:t>
      </w:r>
    </w:p>
    <w:p>
      <w:pPr>
        <w:spacing w:after="0" w:line="176" w:lineRule="exact"/>
        <w:rPr>
          <w:rFonts w:ascii="Arial" w:cs="Arial" w:eastAsia="Arial" w:hAnsi="Arial"/>
          <w:sz w:val="18"/>
          <w:szCs w:val="18"/>
          <w:color w:val="auto"/>
        </w:rPr>
      </w:pPr>
    </w:p>
    <w:p>
      <w:pPr>
        <w:ind w:left="2260" w:hanging="716"/>
        <w:spacing w:after="0"/>
        <w:tabs>
          <w:tab w:leader="none" w:pos="226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Roberts</w:t>
      </w:r>
      <w:r>
        <w:rPr>
          <w:rFonts w:ascii="Arial" w:cs="Arial" w:eastAsia="Arial" w:hAnsi="Arial"/>
          <w:sz w:val="20"/>
          <w:szCs w:val="20"/>
          <w:color w:val="auto"/>
        </w:rPr>
        <w:t>” means Brian L. Roberts.</w:t>
      </w:r>
    </w:p>
    <w:p>
      <w:pPr>
        <w:spacing w:after="0" w:line="198" w:lineRule="exact"/>
        <w:rPr>
          <w:rFonts w:ascii="Arial" w:cs="Arial" w:eastAsia="Arial" w:hAnsi="Arial"/>
          <w:sz w:val="20"/>
          <w:szCs w:val="20"/>
          <w:color w:val="auto"/>
        </w:rPr>
      </w:pPr>
    </w:p>
    <w:p>
      <w:pPr>
        <w:ind w:left="800" w:right="100" w:firstLine="744"/>
        <w:spacing w:after="0" w:line="245" w:lineRule="auto"/>
        <w:tabs>
          <w:tab w:leader="none" w:pos="2138" w:val="left"/>
        </w:tabs>
        <w:numPr>
          <w:ilvl w:val="0"/>
          <w:numId w:val="3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Roberts Family Group</w:t>
      </w:r>
      <w:r>
        <w:rPr>
          <w:rFonts w:ascii="Arial" w:cs="Arial" w:eastAsia="Arial" w:hAnsi="Arial"/>
          <w:sz w:val="20"/>
          <w:szCs w:val="20"/>
          <w:color w:val="auto"/>
        </w:rPr>
        <w:t>” means (i) Roberts, (ii) any lineal descendant or ancestor or sibling (by birth or adoption) of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67"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400"/>
          </w:cols>
          <w:pgMar w:left="240" w:top="438" w:right="259" w:bottom="1440" w:gutter="0" w:footer="0" w:header="0"/>
        </w:sectPr>
      </w:pPr>
    </w:p>
    <w:bookmarkStart w:id="309" w:name="page310"/>
    <w:bookmarkEnd w:id="3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V</w:t>
      </w:r>
      <w:r>
        <w:rPr>
          <w:rFonts w:ascii="Arial" w:cs="Arial" w:eastAsia="Arial" w:hAnsi="Arial"/>
          <w:sz w:val="16"/>
          <w:szCs w:val="16"/>
          <w:color w:val="auto"/>
        </w:rPr>
        <w:t>OTING</w:t>
      </w:r>
      <w:r>
        <w:rPr>
          <w:rFonts w:ascii="Arial" w:cs="Arial" w:eastAsia="Arial" w:hAnsi="Arial"/>
          <w:sz w:val="20"/>
          <w:szCs w:val="20"/>
          <w:color w:val="auto"/>
        </w:rPr>
        <w:t xml:space="preserve"> A</w:t>
      </w:r>
      <w:r>
        <w:rPr>
          <w:rFonts w:ascii="Arial" w:cs="Arial" w:eastAsia="Arial" w:hAnsi="Arial"/>
          <w:sz w:val="16"/>
          <w:szCs w:val="16"/>
          <w:color w:val="auto"/>
        </w:rPr>
        <w:t>GREEMENT AND</w:t>
      </w:r>
      <w:r>
        <w:rPr>
          <w:rFonts w:ascii="Arial" w:cs="Arial" w:eastAsia="Arial" w:hAnsi="Arial"/>
          <w:sz w:val="20"/>
          <w:szCs w:val="20"/>
          <w:color w:val="auto"/>
        </w:rPr>
        <w:t xml:space="preserve"> I</w:t>
      </w:r>
      <w:r>
        <w:rPr>
          <w:rFonts w:ascii="Arial" w:cs="Arial" w:eastAsia="Arial" w:hAnsi="Arial"/>
          <w:sz w:val="16"/>
          <w:szCs w:val="16"/>
          <w:color w:val="auto"/>
        </w:rPr>
        <w:t>RREVOCABLE</w:t>
      </w:r>
      <w:r>
        <w:rPr>
          <w:rFonts w:ascii="Arial" w:cs="Arial" w:eastAsia="Arial" w:hAnsi="Arial"/>
          <w:sz w:val="20"/>
          <w:szCs w:val="20"/>
          <w:color w:val="auto"/>
        </w:rPr>
        <w:t xml:space="preserve"> P</w:t>
      </w:r>
      <w:r>
        <w:rPr>
          <w:rFonts w:ascii="Arial" w:cs="Arial" w:eastAsia="Arial" w:hAnsi="Arial"/>
          <w:sz w:val="16"/>
          <w:szCs w:val="16"/>
          <w:color w:val="auto"/>
        </w:rPr>
        <w:t>ROXY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Agreement to Vote</w:t>
      </w:r>
      <w:r>
        <w:rPr>
          <w:rFonts w:ascii="Arial" w:cs="Arial" w:eastAsia="Arial" w:hAnsi="Arial"/>
          <w:sz w:val="20"/>
          <w:szCs w:val="20"/>
          <w:color w:val="auto"/>
        </w:rPr>
        <w:t>.</w:t>
      </w:r>
    </w:p>
    <w:p>
      <w:pPr>
        <w:spacing w:after="0" w:line="199" w:lineRule="exact"/>
        <w:rPr>
          <w:sz w:val="20"/>
          <w:szCs w:val="20"/>
          <w:color w:val="auto"/>
        </w:rPr>
      </w:pPr>
    </w:p>
    <w:p>
      <w:pPr>
        <w:ind w:right="120" w:firstLine="801"/>
        <w:spacing w:after="0" w:line="271" w:lineRule="auto"/>
        <w:tabs>
          <w:tab w:leader="none" w:pos="1326"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48" w:lineRule="exact"/>
        <w:rPr>
          <w:rFonts w:ascii="Arial" w:cs="Arial" w:eastAsia="Arial" w:hAnsi="Arial"/>
          <w:sz w:val="18"/>
          <w:szCs w:val="18"/>
          <w:color w:val="auto"/>
        </w:rPr>
      </w:pPr>
    </w:p>
    <w:p>
      <w:pPr>
        <w:ind w:right="20" w:firstLine="801"/>
        <w:spacing w:after="0" w:line="244" w:lineRule="auto"/>
        <w:tabs>
          <w:tab w:leader="none" w:pos="1338" w:val="left"/>
        </w:tabs>
        <w:numPr>
          <w:ilvl w:val="0"/>
          <w:numId w:val="341"/>
        </w:numPr>
        <w:rPr>
          <w:rFonts w:ascii="Arial" w:cs="Arial" w:eastAsia="Arial" w:hAnsi="Arial"/>
          <w:sz w:val="20"/>
          <w:szCs w:val="20"/>
          <w:color w:val="auto"/>
        </w:rPr>
      </w:pPr>
      <w:r>
        <w:rPr>
          <w:rFonts w:ascii="Arial" w:cs="Arial" w:eastAsia="Arial" w:hAnsi="Arial"/>
          <w:sz w:val="20"/>
          <w:szCs w:val="20"/>
          <w:u w:val="single" w:color="auto"/>
          <w:color w:val="auto"/>
        </w:rPr>
        <w:t>Agreement to Vote</w:t>
      </w:r>
      <w:r>
        <w:rPr>
          <w:rFonts w:ascii="Arial" w:cs="Arial" w:eastAsia="Arial" w:hAnsi="Arial"/>
          <w:sz w:val="20"/>
          <w:szCs w:val="20"/>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68" w:lineRule="exact"/>
        <w:rPr>
          <w:sz w:val="20"/>
          <w:szCs w:val="20"/>
          <w:color w:val="auto"/>
        </w:rPr>
      </w:pPr>
    </w:p>
    <w:p>
      <w:pPr>
        <w:ind w:left="800" w:right="420" w:firstLine="744"/>
        <w:spacing w:after="0" w:line="265" w:lineRule="auto"/>
        <w:tabs>
          <w:tab w:leader="none" w:pos="2037" w:val="left"/>
        </w:tabs>
        <w:numPr>
          <w:ilvl w:val="0"/>
          <w:numId w:val="342"/>
        </w:numPr>
        <w:rPr>
          <w:rFonts w:ascii="Arial" w:cs="Arial" w:eastAsia="Arial" w:hAnsi="Arial"/>
          <w:sz w:val="20"/>
          <w:szCs w:val="20"/>
          <w:color w:val="auto"/>
        </w:rPr>
      </w:pPr>
      <w:r>
        <w:rPr>
          <w:rFonts w:ascii="Arial" w:cs="Arial" w:eastAsia="Arial" w:hAnsi="Arial"/>
          <w:sz w:val="20"/>
          <w:szCs w:val="20"/>
          <w:color w:val="auto"/>
        </w:rPr>
        <w:t>in favor of the approval of the Parent Stock Issuance (other than in respect of the separate approval right of the holders of Parent Class B Common Stock that is the subject of Section 2.01(a));</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400"/>
          </w:cols>
          <w:pgMar w:left="240" w:top="438" w:right="259" w:bottom="1440" w:gutter="0" w:footer="0" w:header="0"/>
        </w:sectPr>
      </w:pPr>
    </w:p>
    <w:bookmarkStart w:id="310" w:name="page311"/>
    <w:bookmarkEnd w:id="3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800" w:right="40" w:firstLine="744"/>
        <w:spacing w:after="0" w:line="246" w:lineRule="auto"/>
        <w:tabs>
          <w:tab w:leader="none" w:pos="2093" w:val="left"/>
        </w:tabs>
        <w:numPr>
          <w:ilvl w:val="2"/>
          <w:numId w:val="343"/>
        </w:numPr>
        <w:rPr>
          <w:rFonts w:ascii="Arial" w:cs="Arial" w:eastAsia="Arial" w:hAnsi="Arial"/>
          <w:sz w:val="20"/>
          <w:szCs w:val="20"/>
          <w:color w:val="auto"/>
        </w:rPr>
      </w:pPr>
      <w:r>
        <w:rPr>
          <w:rFonts w:ascii="Arial" w:cs="Arial" w:eastAsia="Arial" w:hAnsi="Arial"/>
          <w:sz w:val="20"/>
          <w:szCs w:val="20"/>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66" w:lineRule="exact"/>
        <w:rPr>
          <w:rFonts w:ascii="Arial" w:cs="Arial" w:eastAsia="Arial" w:hAnsi="Arial"/>
          <w:sz w:val="20"/>
          <w:szCs w:val="20"/>
          <w:color w:val="auto"/>
        </w:rPr>
      </w:pPr>
    </w:p>
    <w:p>
      <w:pPr>
        <w:ind w:left="800" w:firstLine="744"/>
        <w:spacing w:after="0" w:line="265" w:lineRule="auto"/>
        <w:tabs>
          <w:tab w:leader="none" w:pos="2149" w:val="left"/>
        </w:tabs>
        <w:numPr>
          <w:ilvl w:val="2"/>
          <w:numId w:val="343"/>
        </w:numPr>
        <w:rPr>
          <w:rFonts w:ascii="Arial" w:cs="Arial" w:eastAsia="Arial" w:hAnsi="Arial"/>
          <w:sz w:val="20"/>
          <w:szCs w:val="20"/>
          <w:color w:val="auto"/>
        </w:rPr>
      </w:pPr>
      <w:r>
        <w:rPr>
          <w:rFonts w:ascii="Arial" w:cs="Arial" w:eastAsia="Arial" w:hAnsi="Arial"/>
          <w:sz w:val="20"/>
          <w:szCs w:val="20"/>
          <w:color w:val="auto"/>
        </w:rPr>
        <w:t>against any corporate action the consummation of which would frustrate the purposes of, or prevent or impede the consummation of, the transactions contemplated by the Merger Agreement.</w:t>
      </w:r>
    </w:p>
    <w:p>
      <w:pPr>
        <w:spacing w:after="0" w:line="147" w:lineRule="exact"/>
        <w:rPr>
          <w:rFonts w:ascii="Arial" w:cs="Arial" w:eastAsia="Arial" w:hAnsi="Arial"/>
          <w:sz w:val="20"/>
          <w:szCs w:val="20"/>
          <w:color w:val="auto"/>
        </w:rPr>
      </w:pPr>
    </w:p>
    <w:p>
      <w:pPr>
        <w:ind w:right="180" w:firstLine="801"/>
        <w:spacing w:after="0" w:line="270" w:lineRule="auto"/>
        <w:tabs>
          <w:tab w:leader="none" w:pos="1326" w:val="left"/>
        </w:tabs>
        <w:numPr>
          <w:ilvl w:val="1"/>
          <w:numId w:val="344"/>
        </w:numPr>
        <w:rPr>
          <w:rFonts w:ascii="Arial" w:cs="Arial" w:eastAsia="Arial" w:hAnsi="Arial"/>
          <w:sz w:val="19"/>
          <w:szCs w:val="19"/>
          <w:color w:val="auto"/>
        </w:rPr>
      </w:pPr>
      <w:r>
        <w:rPr>
          <w:rFonts w:ascii="Arial" w:cs="Arial" w:eastAsia="Arial" w:hAnsi="Arial"/>
          <w:sz w:val="19"/>
          <w:szCs w:val="19"/>
          <w:u w:val="single" w:color="auto"/>
          <w:color w:val="auto"/>
        </w:rPr>
        <w:t>Certain Procedural Matters</w:t>
      </w:r>
      <w:r>
        <w:rPr>
          <w:rFonts w:ascii="Arial" w:cs="Arial" w:eastAsia="Arial" w:hAnsi="Arial"/>
          <w:sz w:val="19"/>
          <w:szCs w:val="19"/>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45" w:lineRule="exact"/>
        <w:rPr>
          <w:rFonts w:ascii="Arial" w:cs="Arial" w:eastAsia="Arial" w:hAnsi="Arial"/>
          <w:sz w:val="19"/>
          <w:szCs w:val="19"/>
          <w:color w:val="auto"/>
        </w:rPr>
      </w:pPr>
    </w:p>
    <w:p>
      <w:pPr>
        <w:ind w:left="1340" w:hanging="539"/>
        <w:spacing w:after="0"/>
        <w:tabs>
          <w:tab w:leader="none" w:pos="1340" w:val="left"/>
        </w:tabs>
        <w:numPr>
          <w:ilvl w:val="1"/>
          <w:numId w:val="344"/>
        </w:numPr>
        <w:rPr>
          <w:rFonts w:ascii="Arial" w:cs="Arial" w:eastAsia="Arial" w:hAnsi="Arial"/>
          <w:sz w:val="19"/>
          <w:szCs w:val="19"/>
          <w:color w:val="auto"/>
        </w:rPr>
      </w:pPr>
      <w:r>
        <w:rPr>
          <w:rFonts w:ascii="Arial" w:cs="Arial" w:eastAsia="Arial" w:hAnsi="Arial"/>
          <w:sz w:val="19"/>
          <w:szCs w:val="19"/>
          <w:u w:val="single" w:color="auto"/>
          <w:color w:val="auto"/>
        </w:rPr>
        <w:t>No Obligation to Exercise Options or Other Rights</w:t>
      </w:r>
      <w:r>
        <w:rPr>
          <w:rFonts w:ascii="Arial" w:cs="Arial" w:eastAsia="Arial" w:hAnsi="Arial"/>
          <w:sz w:val="19"/>
          <w:szCs w:val="19"/>
          <w:color w:val="auto"/>
        </w:rPr>
        <w:t>. Nothing contained in this Section 2.01 shall require any Stockholder</w:t>
      </w:r>
    </w:p>
    <w:p>
      <w:pPr>
        <w:spacing w:after="0" w:line="26" w:lineRule="exact"/>
        <w:rPr>
          <w:rFonts w:ascii="Arial" w:cs="Arial" w:eastAsia="Arial" w:hAnsi="Arial"/>
          <w:sz w:val="19"/>
          <w:szCs w:val="19"/>
          <w:color w:val="auto"/>
        </w:rPr>
      </w:pPr>
    </w:p>
    <w:p>
      <w:pPr>
        <w:ind w:right="20" w:firstLine="1"/>
        <w:spacing w:after="0" w:line="242" w:lineRule="auto"/>
        <w:tabs>
          <w:tab w:leader="none" w:pos="241" w:val="left"/>
        </w:tabs>
        <w:numPr>
          <w:ilvl w:val="0"/>
          <w:numId w:val="345"/>
        </w:numPr>
        <w:rPr>
          <w:rFonts w:ascii="Arial" w:cs="Arial" w:eastAsia="Arial" w:hAnsi="Arial"/>
          <w:sz w:val="20"/>
          <w:szCs w:val="20"/>
          <w:color w:val="auto"/>
        </w:rPr>
      </w:pPr>
      <w:r>
        <w:rPr>
          <w:rFonts w:ascii="Arial" w:cs="Arial" w:eastAsia="Arial" w:hAnsi="Arial"/>
          <w:sz w:val="20"/>
          <w:szCs w:val="20"/>
          <w:color w:val="auto"/>
        </w:rPr>
        <w:t>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69"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Irrevocable Proxy</w:t>
      </w:r>
      <w:r>
        <w:rPr>
          <w:rFonts w:ascii="Arial" w:cs="Arial" w:eastAsia="Arial" w:hAnsi="Arial"/>
          <w:sz w:val="18"/>
          <w:szCs w:val="18"/>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360"/>
          </w:cols>
          <w:pgMar w:left="240" w:top="439" w:right="299" w:bottom="1440" w:gutter="0" w:footer="0" w:header="0"/>
        </w:sectPr>
      </w:pPr>
    </w:p>
    <w:bookmarkStart w:id="311" w:name="page312"/>
    <w:bookmarkEnd w:id="3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3</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EPRESENTATIONS AND</w:t>
      </w:r>
      <w:r>
        <w:rPr>
          <w:rFonts w:ascii="Arial" w:cs="Arial" w:eastAsia="Arial" w:hAnsi="Arial"/>
          <w:sz w:val="20"/>
          <w:szCs w:val="20"/>
          <w:color w:val="auto"/>
        </w:rPr>
        <w:t xml:space="preserve"> W</w:t>
      </w:r>
      <w:r>
        <w:rPr>
          <w:rFonts w:ascii="Arial" w:cs="Arial" w:eastAsia="Arial" w:hAnsi="Arial"/>
          <w:sz w:val="16"/>
          <w:szCs w:val="16"/>
          <w:color w:val="auto"/>
        </w:rPr>
        <w:t>ARRANTIES OF EACH</w:t>
      </w:r>
      <w:r>
        <w:rPr>
          <w:rFonts w:ascii="Arial" w:cs="Arial" w:eastAsia="Arial" w:hAnsi="Arial"/>
          <w:sz w:val="20"/>
          <w:szCs w:val="20"/>
          <w:color w:val="auto"/>
        </w:rPr>
        <w:t xml:space="preserve"> S</w:t>
      </w:r>
      <w:r>
        <w:rPr>
          <w:rFonts w:ascii="Arial" w:cs="Arial" w:eastAsia="Arial" w:hAnsi="Arial"/>
          <w:sz w:val="16"/>
          <w:szCs w:val="16"/>
          <w:color w:val="auto"/>
        </w:rPr>
        <w:t>TOCKHOLDER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Each Stockholder represents and warrants to the Company that:</w:t>
      </w:r>
    </w:p>
    <w:p>
      <w:pPr>
        <w:spacing w:after="0" w:line="199" w:lineRule="exact"/>
        <w:rPr>
          <w:sz w:val="20"/>
          <w:szCs w:val="20"/>
          <w:color w:val="auto"/>
        </w:rPr>
      </w:pPr>
    </w:p>
    <w:p>
      <w:pPr>
        <w:ind w:right="120" w:firstLine="800"/>
        <w:spacing w:after="0" w:line="26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Organization</w:t>
      </w:r>
      <w:r>
        <w:rPr>
          <w:rFonts w:ascii="Arial" w:cs="Arial" w:eastAsia="Arial" w:hAnsi="Arial"/>
          <w:sz w:val="20"/>
          <w:szCs w:val="20"/>
          <w:color w:val="auto"/>
        </w:rPr>
        <w:t>. Such Stockholder, if it is a corporation, partnership, limited liability company, trust or other entity, is duly organized and validly existing and in good standing under the laws of the jurisdiction of its organization.</w:t>
      </w:r>
    </w:p>
    <w:p>
      <w:pPr>
        <w:spacing w:after="0" w:line="148" w:lineRule="exact"/>
        <w:rPr>
          <w:sz w:val="20"/>
          <w:szCs w:val="20"/>
          <w:color w:val="auto"/>
        </w:rPr>
      </w:pPr>
    </w:p>
    <w:p>
      <w:pPr>
        <w:ind w:right="80" w:firstLine="800"/>
        <w:spacing w:after="0" w:line="24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Authorization</w:t>
      </w:r>
      <w:r>
        <w:rPr>
          <w:rFonts w:ascii="Arial" w:cs="Arial" w:eastAsia="Arial" w:hAnsi="Arial"/>
          <w:sz w:val="20"/>
          <w:szCs w:val="20"/>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74" w:lineRule="exact"/>
        <w:rPr>
          <w:sz w:val="20"/>
          <w:szCs w:val="20"/>
          <w:color w:val="auto"/>
        </w:rPr>
      </w:pPr>
    </w:p>
    <w:p>
      <w:pPr>
        <w:ind w:right="60" w:firstLine="800"/>
        <w:spacing w:after="0" w:line="252"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No Conflict; Required Filings and Consents</w:t>
      </w:r>
      <w:r>
        <w:rPr>
          <w:rFonts w:ascii="Arial" w:cs="Arial" w:eastAsia="Arial" w:hAnsi="Arial"/>
          <w:sz w:val="19"/>
          <w:szCs w:val="19"/>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 (iii) require any consent or other action by any person under, constitute a default under, or give rise to 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68" w:lineRule="exact"/>
        <w:rPr>
          <w:sz w:val="20"/>
          <w:szCs w:val="20"/>
          <w:color w:val="auto"/>
        </w:rPr>
      </w:pPr>
    </w:p>
    <w:p>
      <w:pPr>
        <w:ind w:firstLine="800"/>
        <w:spacing w:after="0" w:line="251" w:lineRule="auto"/>
        <w:rPr>
          <w:sz w:val="20"/>
          <w:szCs w:val="20"/>
          <w:color w:val="auto"/>
        </w:rPr>
      </w:pPr>
      <w:r>
        <w:rPr>
          <w:rFonts w:ascii="Arial" w:cs="Arial" w:eastAsia="Arial" w:hAnsi="Arial"/>
          <w:sz w:val="20"/>
          <w:szCs w:val="20"/>
          <w:color w:val="auto"/>
        </w:rPr>
        <w:t>Section 3.04</w:t>
      </w:r>
      <w:r>
        <w:rPr>
          <w:rFonts w:ascii="Arial" w:cs="Arial" w:eastAsia="Arial" w:hAnsi="Arial"/>
          <w:sz w:val="20"/>
          <w:szCs w:val="20"/>
          <w:i w:val="1"/>
          <w:iCs w:val="1"/>
          <w:color w:val="auto"/>
        </w:rPr>
        <w:t>. Ownership of Shares</w:t>
      </w:r>
      <w:r>
        <w:rPr>
          <w:rFonts w:ascii="Arial" w:cs="Arial" w:eastAsia="Arial" w:hAnsi="Arial"/>
          <w:sz w:val="20"/>
          <w:szCs w:val="20"/>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B-5</w:t>
      </w:r>
    </w:p>
    <w:p>
      <w:pPr>
        <w:sectPr>
          <w:pgSz w:w="11900" w:h="16838" w:orient="portrait"/>
          <w:cols w:equalWidth="0" w:num="1">
            <w:col w:w="11420"/>
          </w:cols>
          <w:pgMar w:left="240" w:top="439" w:right="239" w:bottom="1440" w:gutter="0" w:footer="0" w:header="0"/>
        </w:sectPr>
      </w:pPr>
    </w:p>
    <w:bookmarkStart w:id="312" w:name="page313"/>
    <w:bookmarkEnd w:id="3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41" w:lineRule="exact"/>
        <w:rPr>
          <w:sz w:val="20"/>
          <w:szCs w:val="20"/>
          <w:color w:val="auto"/>
        </w:rPr>
      </w:pPr>
    </w:p>
    <w:p>
      <w:pPr>
        <w:ind w:right="20" w:firstLine="800"/>
        <w:spacing w:after="0" w:line="263" w:lineRule="auto"/>
        <w:rPr>
          <w:sz w:val="20"/>
          <w:szCs w:val="20"/>
          <w:color w:val="auto"/>
        </w:rPr>
      </w:pPr>
      <w:r>
        <w:rPr>
          <w:rFonts w:ascii="Arial" w:cs="Arial" w:eastAsia="Arial" w:hAnsi="Arial"/>
          <w:sz w:val="19"/>
          <w:szCs w:val="19"/>
          <w:color w:val="auto"/>
        </w:rPr>
        <w:t>Section 3.05</w:t>
      </w:r>
      <w:r>
        <w:rPr>
          <w:rFonts w:ascii="Arial" w:cs="Arial" w:eastAsia="Arial" w:hAnsi="Arial"/>
          <w:sz w:val="19"/>
          <w:szCs w:val="19"/>
          <w:i w:val="1"/>
          <w:iCs w:val="1"/>
          <w:color w:val="auto"/>
        </w:rPr>
        <w:t>. Total Shares</w:t>
      </w:r>
      <w:r>
        <w:rPr>
          <w:rFonts w:ascii="Arial" w:cs="Arial" w:eastAsia="Arial" w:hAnsi="Arial"/>
          <w:sz w:val="19"/>
          <w:szCs w:val="19"/>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52" w:lineRule="exact"/>
        <w:rPr>
          <w:sz w:val="20"/>
          <w:szCs w:val="20"/>
          <w:color w:val="auto"/>
        </w:rPr>
      </w:pPr>
    </w:p>
    <w:p>
      <w:pPr>
        <w:ind w:right="520" w:firstLine="800"/>
        <w:spacing w:after="0" w:line="244"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i w:val="1"/>
          <w:iCs w:val="1"/>
          <w:color w:val="auto"/>
        </w:rPr>
        <w:t>Opportunity to Review; Reliance</w:t>
      </w:r>
      <w:r>
        <w:rPr>
          <w:rFonts w:ascii="Arial" w:cs="Arial" w:eastAsia="Arial" w:hAnsi="Arial"/>
          <w:sz w:val="20"/>
          <w:szCs w:val="20"/>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4</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EPRESENTATIONS AND</w:t>
      </w:r>
      <w:r>
        <w:rPr>
          <w:rFonts w:ascii="Arial" w:cs="Arial" w:eastAsia="Arial" w:hAnsi="Arial"/>
          <w:sz w:val="20"/>
          <w:szCs w:val="20"/>
          <w:color w:val="auto"/>
        </w:rPr>
        <w:t xml:space="preserve"> W</w:t>
      </w:r>
      <w:r>
        <w:rPr>
          <w:rFonts w:ascii="Arial" w:cs="Arial" w:eastAsia="Arial" w:hAnsi="Arial"/>
          <w:sz w:val="16"/>
          <w:szCs w:val="16"/>
          <w:color w:val="auto"/>
        </w:rPr>
        <w:t>ARRANTIES OF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 represents and warrants to each Stockholder that:</w:t>
      </w:r>
    </w:p>
    <w:p>
      <w:pPr>
        <w:spacing w:after="0" w:line="199" w:lineRule="exact"/>
        <w:rPr>
          <w:sz w:val="20"/>
          <w:szCs w:val="20"/>
          <w:color w:val="auto"/>
        </w:rPr>
      </w:pPr>
    </w:p>
    <w:p>
      <w:pPr>
        <w:ind w:right="80" w:firstLine="800"/>
        <w:spacing w:after="0" w:line="260"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Authorization</w:t>
      </w:r>
      <w:r>
        <w:rPr>
          <w:rFonts w:ascii="Arial" w:cs="Arial" w:eastAsia="Arial" w:hAnsi="Arial"/>
          <w:sz w:val="19"/>
          <w:szCs w:val="19"/>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53" w:lineRule="exact"/>
        <w:rPr>
          <w:sz w:val="20"/>
          <w:szCs w:val="20"/>
          <w:color w:val="auto"/>
        </w:rPr>
      </w:pPr>
    </w:p>
    <w:p>
      <w:pPr>
        <w:ind w:right="140" w:firstLine="800"/>
        <w:spacing w:after="0" w:line="282"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 Conflict; Required Filings and Consents</w:t>
      </w:r>
      <w:r>
        <w:rPr>
          <w:rFonts w:ascii="Arial" w:cs="Arial" w:eastAsia="Arial" w:hAnsi="Arial"/>
          <w:sz w:val="18"/>
          <w:szCs w:val="18"/>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B-6</w:t>
      </w:r>
    </w:p>
    <w:p>
      <w:pPr>
        <w:sectPr>
          <w:pgSz w:w="11900" w:h="16838" w:orient="portrait"/>
          <w:cols w:equalWidth="0" w:num="1">
            <w:col w:w="11400"/>
          </w:cols>
          <w:pgMar w:left="240" w:top="439" w:right="259" w:bottom="1440" w:gutter="0" w:footer="0" w:header="0"/>
        </w:sectPr>
      </w:pPr>
    </w:p>
    <w:bookmarkStart w:id="313" w:name="page314"/>
    <w:bookmarkEnd w:id="3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w:t>
      </w:r>
    </w:p>
    <w:p>
      <w:pPr>
        <w:spacing w:after="0" w:line="2" w:lineRule="exact"/>
        <w:rPr>
          <w:sz w:val="20"/>
          <w:szCs w:val="20"/>
          <w:color w:val="auto"/>
        </w:rPr>
      </w:pPr>
    </w:p>
    <w:p>
      <w:pPr>
        <w:ind w:right="140" w:firstLine="1"/>
        <w:spacing w:after="0" w:line="242" w:lineRule="auto"/>
        <w:tabs>
          <w:tab w:leader="none" w:pos="286" w:val="left"/>
        </w:tabs>
        <w:numPr>
          <w:ilvl w:val="0"/>
          <w:numId w:val="346"/>
        </w:numPr>
        <w:rPr>
          <w:rFonts w:ascii="Arial" w:cs="Arial" w:eastAsia="Arial" w:hAnsi="Arial"/>
          <w:sz w:val="20"/>
          <w:szCs w:val="20"/>
          <w:color w:val="auto"/>
        </w:rPr>
      </w:pPr>
      <w:r>
        <w:rPr>
          <w:rFonts w:ascii="Arial" w:cs="Arial" w:eastAsia="Arial" w:hAnsi="Arial"/>
          <w:sz w:val="20"/>
          <w:szCs w:val="20"/>
          <w:color w:val="auto"/>
        </w:rPr>
        <w:t>result in the 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w:t>
      </w:r>
      <w:r>
        <w:rPr>
          <w:rFonts w:ascii="Arial" w:cs="Arial" w:eastAsia="Arial" w:hAnsi="Arial"/>
          <w:sz w:val="16"/>
          <w:szCs w:val="16"/>
          <w:color w:val="auto"/>
        </w:rPr>
        <w:t>OVENANTS OF EACH</w:t>
      </w:r>
      <w:r>
        <w:rPr>
          <w:rFonts w:ascii="Arial" w:cs="Arial" w:eastAsia="Arial" w:hAnsi="Arial"/>
          <w:sz w:val="20"/>
          <w:szCs w:val="20"/>
          <w:color w:val="auto"/>
        </w:rPr>
        <w:t xml:space="preserve"> S</w:t>
      </w:r>
      <w:r>
        <w:rPr>
          <w:rFonts w:ascii="Arial" w:cs="Arial" w:eastAsia="Arial" w:hAnsi="Arial"/>
          <w:sz w:val="16"/>
          <w:szCs w:val="16"/>
          <w:color w:val="auto"/>
        </w:rPr>
        <w:t>TOCKHOLDER</w:t>
      </w:r>
    </w:p>
    <w:p>
      <w:pPr>
        <w:spacing w:after="0" w:line="181" w:lineRule="exact"/>
        <w:rPr>
          <w:sz w:val="20"/>
          <w:szCs w:val="20"/>
          <w:color w:val="auto"/>
        </w:rPr>
      </w:pPr>
    </w:p>
    <w:p>
      <w:pPr>
        <w:ind w:right="60" w:firstLine="800"/>
        <w:spacing w:after="0" w:line="273"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Restrictions on Transfer</w:t>
      </w:r>
      <w:r>
        <w:rPr>
          <w:rFonts w:ascii="Arial" w:cs="Arial" w:eastAsia="Arial" w:hAnsi="Arial"/>
          <w:sz w:val="18"/>
          <w:szCs w:val="18"/>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8"/>
          <w:szCs w:val="18"/>
          <w:b w:val="1"/>
          <w:bCs w:val="1"/>
          <w:color w:val="auto"/>
        </w:rPr>
        <w:t>Transfer</w:t>
      </w:r>
      <w:r>
        <w:rPr>
          <w:rFonts w:ascii="Arial" w:cs="Arial" w:eastAsia="Arial" w:hAnsi="Arial"/>
          <w:sz w:val="18"/>
          <w:szCs w:val="18"/>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43" w:lineRule="exact"/>
        <w:rPr>
          <w:sz w:val="20"/>
          <w:szCs w:val="20"/>
          <w:color w:val="auto"/>
        </w:rPr>
      </w:pPr>
    </w:p>
    <w:p>
      <w:pPr>
        <w:ind w:right="100" w:firstLine="801"/>
        <w:spacing w:after="0" w:line="266" w:lineRule="auto"/>
        <w:tabs>
          <w:tab w:leader="none" w:pos="1338" w:val="left"/>
        </w:tabs>
        <w:numPr>
          <w:ilvl w:val="1"/>
          <w:numId w:val="347"/>
        </w:numPr>
        <w:rPr>
          <w:rFonts w:ascii="Arial" w:cs="Arial" w:eastAsia="Arial" w:hAnsi="Arial"/>
          <w:sz w:val="18"/>
          <w:szCs w:val="18"/>
          <w:color w:val="auto"/>
        </w:rPr>
      </w:pPr>
      <w:r>
        <w:rPr>
          <w:rFonts w:ascii="Arial" w:cs="Arial" w:eastAsia="Arial" w:hAnsi="Arial"/>
          <w:sz w:val="18"/>
          <w:szCs w:val="18"/>
          <w:color w:val="auto"/>
        </w:rPr>
        <w:t>Notwithstanding Section 5.01(a) (but subject to the immediately succeeding sentence), each Stockholder may Transfer any or all of such Stockholder’s Parent Class B Common Stock (the “</w:t>
      </w:r>
      <w:r>
        <w:rPr>
          <w:rFonts w:ascii="Arial" w:cs="Arial" w:eastAsia="Arial" w:hAnsi="Arial"/>
          <w:sz w:val="18"/>
          <w:szCs w:val="18"/>
          <w:b w:val="1"/>
          <w:bCs w:val="1"/>
          <w:color w:val="auto"/>
        </w:rPr>
        <w:t>Permitted Transfer Securities</w:t>
      </w:r>
      <w:r>
        <w:rPr>
          <w:rFonts w:ascii="Arial" w:cs="Arial" w:eastAsia="Arial" w:hAnsi="Arial"/>
          <w:sz w:val="18"/>
          <w:szCs w:val="18"/>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w:t>
      </w:r>
    </w:p>
    <w:p>
      <w:pPr>
        <w:spacing w:after="0" w:line="1" w:lineRule="exact"/>
        <w:rPr>
          <w:rFonts w:ascii="Arial" w:cs="Arial" w:eastAsia="Arial" w:hAnsi="Arial"/>
          <w:sz w:val="18"/>
          <w:szCs w:val="18"/>
          <w:color w:val="auto"/>
        </w:rPr>
      </w:pPr>
    </w:p>
    <w:p>
      <w:pPr>
        <w:ind w:left="240" w:hanging="239"/>
        <w:spacing w:after="0"/>
        <w:tabs>
          <w:tab w:leader="none" w:pos="24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and (ii) that is not already a “Stockholder” hereunder shall be deemed to be a “Stockholder” for purposes of this Agreement.</w:t>
      </w:r>
    </w:p>
    <w:p>
      <w:pPr>
        <w:spacing w:after="0" w:line="181" w:lineRule="exact"/>
        <w:rPr>
          <w:sz w:val="20"/>
          <w:szCs w:val="20"/>
          <w:color w:val="auto"/>
        </w:rPr>
      </w:pPr>
    </w:p>
    <w:p>
      <w:pPr>
        <w:ind w:right="40" w:firstLine="800"/>
        <w:spacing w:after="0" w:line="246"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i w:val="1"/>
          <w:iCs w:val="1"/>
          <w:color w:val="auto"/>
        </w:rPr>
        <w:t>No Conversion</w:t>
      </w:r>
      <w:r>
        <w:rPr>
          <w:rFonts w:ascii="Arial" w:cs="Arial" w:eastAsia="Arial" w:hAnsi="Arial"/>
          <w:sz w:val="20"/>
          <w:szCs w:val="20"/>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B-7</w:t>
      </w:r>
    </w:p>
    <w:p>
      <w:pPr>
        <w:sectPr>
          <w:pgSz w:w="11900" w:h="16838" w:orient="portrait"/>
          <w:cols w:equalWidth="0" w:num="1">
            <w:col w:w="11400"/>
          </w:cols>
          <w:pgMar w:left="240" w:top="439" w:right="259" w:bottom="1440" w:gutter="0" w:footer="0" w:header="0"/>
        </w:sectPr>
      </w:pPr>
    </w:p>
    <w:bookmarkStart w:id="314" w:name="page315"/>
    <w:bookmarkEnd w:id="3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0" w:firstLine="800"/>
        <w:spacing w:after="0" w:line="270"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No Proxies</w:t>
      </w:r>
      <w:r>
        <w:rPr>
          <w:rFonts w:ascii="Arial" w:cs="Arial" w:eastAsia="Arial" w:hAnsi="Arial"/>
          <w:sz w:val="19"/>
          <w:szCs w:val="19"/>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w:t>
      </w:r>
      <w:r>
        <w:rPr>
          <w:rFonts w:ascii="Arial" w:cs="Arial" w:eastAsia="Arial" w:hAnsi="Arial"/>
          <w:sz w:val="16"/>
          <w:szCs w:val="16"/>
          <w:color w:val="auto"/>
        </w:rPr>
        <w:t>ERMINATION</w:t>
      </w:r>
    </w:p>
    <w:p>
      <w:pPr>
        <w:spacing w:after="0" w:line="181" w:lineRule="exact"/>
        <w:rPr>
          <w:sz w:val="20"/>
          <w:szCs w:val="20"/>
          <w:color w:val="auto"/>
        </w:rPr>
      </w:pPr>
    </w:p>
    <w:p>
      <w:pPr>
        <w:ind w:right="60" w:firstLine="800"/>
        <w:spacing w:after="0" w:line="269"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Termination</w:t>
      </w:r>
      <w:r>
        <w:rPr>
          <w:rFonts w:ascii="Arial" w:cs="Arial" w:eastAsia="Arial" w:hAnsi="Arial"/>
          <w:sz w:val="18"/>
          <w:szCs w:val="18"/>
          <w:color w:val="auto"/>
        </w:rPr>
        <w:t xml:space="preserve">. This Agreement and all obligations of the parties hereunder shall automatically terminate upon the earliest to occur of (a) 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 (A) 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7</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M</w:t>
      </w:r>
      <w:r>
        <w:rPr>
          <w:rFonts w:ascii="Arial" w:cs="Arial" w:eastAsia="Arial" w:hAnsi="Arial"/>
          <w:sz w:val="16"/>
          <w:szCs w:val="16"/>
          <w:color w:val="auto"/>
        </w:rPr>
        <w:t>ISCELLANEOUS</w:t>
      </w:r>
    </w:p>
    <w:p>
      <w:pPr>
        <w:spacing w:after="0" w:line="181" w:lineRule="exact"/>
        <w:rPr>
          <w:sz w:val="20"/>
          <w:szCs w:val="20"/>
          <w:color w:val="auto"/>
        </w:rPr>
      </w:pPr>
    </w:p>
    <w:p>
      <w:pPr>
        <w:ind w:firstLine="800"/>
        <w:spacing w:after="0" w:line="251"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Further Assurances</w:t>
      </w:r>
      <w:r>
        <w:rPr>
          <w:rFonts w:ascii="Arial" w:cs="Arial" w:eastAsia="Arial" w:hAnsi="Arial"/>
          <w:sz w:val="20"/>
          <w:szCs w:val="20"/>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B-8</w:t>
      </w:r>
    </w:p>
    <w:p>
      <w:pPr>
        <w:sectPr>
          <w:pgSz w:w="11900" w:h="16838" w:orient="portrait"/>
          <w:cols w:equalWidth="0" w:num="1">
            <w:col w:w="11360"/>
          </w:cols>
          <w:pgMar w:left="240" w:top="439" w:right="299" w:bottom="1440" w:gutter="0" w:footer="0" w:header="0"/>
        </w:sectPr>
      </w:pPr>
    </w:p>
    <w:bookmarkStart w:id="315" w:name="page316"/>
    <w:bookmarkEnd w:id="3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0" w:firstLine="800"/>
        <w:spacing w:after="0" w:line="265" w:lineRule="auto"/>
        <w:rPr>
          <w:sz w:val="20"/>
          <w:szCs w:val="20"/>
          <w:color w:val="auto"/>
        </w:rPr>
      </w:pPr>
      <w:r>
        <w:rPr>
          <w:rFonts w:ascii="Arial" w:cs="Arial" w:eastAsia="Arial" w:hAnsi="Arial"/>
          <w:sz w:val="20"/>
          <w:szCs w:val="20"/>
          <w:color w:val="auto"/>
        </w:rPr>
        <w:t>Section 7.02</w:t>
      </w:r>
      <w:r>
        <w:rPr>
          <w:rFonts w:ascii="Arial" w:cs="Arial" w:eastAsia="Arial" w:hAnsi="Arial"/>
          <w:sz w:val="20"/>
          <w:szCs w:val="20"/>
          <w:i w:val="1"/>
          <w:iCs w:val="1"/>
          <w:color w:val="auto"/>
        </w:rPr>
        <w:t>. Notices.</w:t>
      </w:r>
      <w:r>
        <w:rPr>
          <w:rFonts w:ascii="Arial" w:cs="Arial" w:eastAsia="Arial" w:hAnsi="Arial"/>
          <w:sz w:val="20"/>
          <w:szCs w:val="20"/>
          <w:color w:val="auto"/>
        </w:rPr>
        <w:t xml:space="preserve"> All notices, requests and other communications to any party hereunder shall be in writing (including facsimile transmission) and shall be given, if to the Company, to:</w:t>
      </w:r>
    </w:p>
    <w:p>
      <w:pPr>
        <w:spacing w:after="0" w:line="148"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Time Warner Cable Inc.</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60 Columbus Circle</w:t>
      </w:r>
    </w:p>
    <w:p>
      <w:pPr>
        <w:ind w:left="1540"/>
        <w:spacing w:after="0" w:line="236" w:lineRule="auto"/>
        <w:rPr>
          <w:sz w:val="20"/>
          <w:szCs w:val="20"/>
          <w:color w:val="auto"/>
        </w:rPr>
      </w:pPr>
      <w:r>
        <w:rPr>
          <w:rFonts w:ascii="Arial" w:cs="Arial" w:eastAsia="Arial" w:hAnsi="Arial"/>
          <w:sz w:val="20"/>
          <w:szCs w:val="20"/>
          <w:color w:val="auto"/>
        </w:rPr>
        <w:t>New York, NY 10023</w:t>
      </w:r>
    </w:p>
    <w:p>
      <w:pPr>
        <w:ind w:left="1540"/>
        <w:spacing w:after="0" w:line="237"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Facsimile: (212) 364-8459</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with a copy to:</w:t>
      </w:r>
    </w:p>
    <w:p>
      <w:pPr>
        <w:spacing w:after="0" w:line="199"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Paul, Weiss, Rifkind, Wharton &amp; Garrison LLP</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1285 Avenue of the Americas</w:t>
      </w:r>
    </w:p>
    <w:p>
      <w:pPr>
        <w:ind w:left="1540"/>
        <w:spacing w:after="0" w:line="236" w:lineRule="auto"/>
        <w:rPr>
          <w:sz w:val="20"/>
          <w:szCs w:val="20"/>
          <w:color w:val="auto"/>
        </w:rPr>
      </w:pPr>
      <w:r>
        <w:rPr>
          <w:rFonts w:ascii="Arial" w:cs="Arial" w:eastAsia="Arial" w:hAnsi="Arial"/>
          <w:sz w:val="20"/>
          <w:szCs w:val="20"/>
          <w:color w:val="auto"/>
        </w:rPr>
        <w:t>New York, New York 10019-6064</w:t>
      </w:r>
    </w:p>
    <w:p>
      <w:pPr>
        <w:ind w:left="1540"/>
        <w:spacing w:after="0" w:line="237" w:lineRule="auto"/>
        <w:rPr>
          <w:sz w:val="20"/>
          <w:szCs w:val="20"/>
          <w:color w:val="auto"/>
        </w:rPr>
      </w:pPr>
      <w:r>
        <w:rPr>
          <w:rFonts w:ascii="Arial" w:cs="Arial" w:eastAsia="Arial" w:hAnsi="Arial"/>
          <w:sz w:val="20"/>
          <w:szCs w:val="20"/>
          <w:color w:val="auto"/>
        </w:rPr>
        <w:t>Attention: Robert B. Schumer</w:t>
      </w:r>
    </w:p>
    <w:p>
      <w:pPr>
        <w:ind w:left="3080"/>
        <w:spacing w:after="0" w:line="237" w:lineRule="auto"/>
        <w:rPr>
          <w:sz w:val="20"/>
          <w:szCs w:val="20"/>
          <w:color w:val="auto"/>
        </w:rPr>
      </w:pPr>
      <w:r>
        <w:rPr>
          <w:rFonts w:ascii="Arial" w:cs="Arial" w:eastAsia="Arial" w:hAnsi="Arial"/>
          <w:sz w:val="20"/>
          <w:szCs w:val="20"/>
          <w:color w:val="auto"/>
        </w:rPr>
        <w:t>Ariel J. Deckelbaum</w:t>
      </w:r>
    </w:p>
    <w:p>
      <w:pPr>
        <w:ind w:left="3080"/>
        <w:spacing w:after="0" w:line="237" w:lineRule="auto"/>
        <w:rPr>
          <w:sz w:val="20"/>
          <w:szCs w:val="20"/>
          <w:color w:val="auto"/>
        </w:rPr>
      </w:pPr>
      <w:r>
        <w:rPr>
          <w:rFonts w:ascii="Arial" w:cs="Arial" w:eastAsia="Arial" w:hAnsi="Arial"/>
          <w:sz w:val="20"/>
          <w:szCs w:val="20"/>
          <w:color w:val="auto"/>
        </w:rPr>
        <w:t>Ross A. Fieldston</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Facsimile: (212) 757-3990</w:t>
      </w:r>
    </w:p>
    <w:p>
      <w:pPr>
        <w:spacing w:after="0" w:line="181" w:lineRule="exact"/>
        <w:rPr>
          <w:sz w:val="20"/>
          <w:szCs w:val="20"/>
          <w:color w:val="auto"/>
        </w:rPr>
      </w:pPr>
    </w:p>
    <w:p>
      <w:pPr>
        <w:ind w:right="840" w:firstLine="800"/>
        <w:spacing w:after="0" w:line="265" w:lineRule="auto"/>
        <w:rPr>
          <w:sz w:val="20"/>
          <w:szCs w:val="20"/>
          <w:color w:val="auto"/>
        </w:rPr>
      </w:pPr>
      <w:r>
        <w:rPr>
          <w:rFonts w:ascii="Arial" w:cs="Arial" w:eastAsia="Arial" w:hAnsi="Arial"/>
          <w:sz w:val="20"/>
          <w:szCs w:val="20"/>
          <w:color w:val="auto"/>
        </w:rPr>
        <w:t>if to a Stockholder, to such Stockholder and its counsel at their respective addresses or facsimile numbers set forth on the applicable signature page hereof,</w:t>
      </w:r>
    </w:p>
    <w:p>
      <w:pPr>
        <w:spacing w:after="0" w:line="14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Section 7.03</w:t>
      </w:r>
      <w:r>
        <w:rPr>
          <w:rFonts w:ascii="Arial" w:cs="Arial" w:eastAsia="Arial" w:hAnsi="Arial"/>
          <w:sz w:val="19"/>
          <w:szCs w:val="19"/>
          <w:i w:val="1"/>
          <w:iCs w:val="1"/>
          <w:color w:val="auto"/>
        </w:rPr>
        <w:t>. Covered Shares Held in Trust</w:t>
      </w:r>
      <w:r>
        <w:rPr>
          <w:rFonts w:ascii="Arial" w:cs="Arial" w:eastAsia="Arial" w:hAnsi="Arial"/>
          <w:sz w:val="19"/>
          <w:szCs w:val="19"/>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52" w:lineRule="exact"/>
        <w:rPr>
          <w:sz w:val="20"/>
          <w:szCs w:val="20"/>
          <w:color w:val="auto"/>
        </w:rPr>
      </w:pPr>
    </w:p>
    <w:p>
      <w:pPr>
        <w:ind w:right="40" w:firstLine="800"/>
        <w:spacing w:after="0" w:line="251" w:lineRule="auto"/>
        <w:rPr>
          <w:sz w:val="20"/>
          <w:szCs w:val="20"/>
          <w:color w:val="auto"/>
        </w:rPr>
      </w:pPr>
      <w:r>
        <w:rPr>
          <w:rFonts w:ascii="Arial" w:cs="Arial" w:eastAsia="Arial" w:hAnsi="Arial"/>
          <w:sz w:val="20"/>
          <w:szCs w:val="20"/>
          <w:color w:val="auto"/>
        </w:rPr>
        <w:t>Section 7.04</w:t>
      </w:r>
      <w:r>
        <w:rPr>
          <w:rFonts w:ascii="Arial" w:cs="Arial" w:eastAsia="Arial" w:hAnsi="Arial"/>
          <w:sz w:val="20"/>
          <w:szCs w:val="20"/>
          <w:i w:val="1"/>
          <w:iCs w:val="1"/>
          <w:color w:val="auto"/>
        </w:rPr>
        <w:t>. Amendments and Waivers</w:t>
      </w:r>
      <w:r>
        <w:rPr>
          <w:rFonts w:ascii="Arial" w:cs="Arial" w:eastAsia="Arial" w:hAnsi="Arial"/>
          <w:sz w:val="20"/>
          <w:szCs w:val="20"/>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61" w:lineRule="exact"/>
        <w:rPr>
          <w:sz w:val="20"/>
          <w:szCs w:val="20"/>
          <w:color w:val="auto"/>
        </w:rPr>
      </w:pPr>
    </w:p>
    <w:p>
      <w:pPr>
        <w:ind w:right="200" w:firstLine="801"/>
        <w:spacing w:after="0" w:line="265" w:lineRule="auto"/>
        <w:tabs>
          <w:tab w:leader="none" w:pos="1338" w:val="left"/>
        </w:tabs>
        <w:numPr>
          <w:ilvl w:val="0"/>
          <w:numId w:val="349"/>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B-9</w:t>
      </w:r>
    </w:p>
    <w:p>
      <w:pPr>
        <w:sectPr>
          <w:pgSz w:w="11900" w:h="16838" w:orient="portrait"/>
          <w:cols w:equalWidth="0" w:num="1">
            <w:col w:w="11420"/>
          </w:cols>
          <w:pgMar w:left="240" w:top="439" w:right="239" w:bottom="1440" w:gutter="0" w:footer="0" w:header="0"/>
        </w:sectPr>
      </w:pPr>
    </w:p>
    <w:bookmarkStart w:id="316" w:name="page317"/>
    <w:bookmarkEnd w:id="3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color w:val="auto"/>
        </w:rPr>
        <w:t>preclude any other or further exercise thereof or the exercise of any other right, power or privilege. The rights and remedies herein provided shall be cumulative and not exclusive of any rights or remedies provided by Applicable Law.</w:t>
      </w:r>
    </w:p>
    <w:p>
      <w:pPr>
        <w:spacing w:after="0" w:line="148" w:lineRule="exact"/>
        <w:rPr>
          <w:sz w:val="20"/>
          <w:szCs w:val="20"/>
          <w:color w:val="auto"/>
        </w:rPr>
      </w:pPr>
    </w:p>
    <w:p>
      <w:pPr>
        <w:ind w:right="60" w:firstLine="800"/>
        <w:spacing w:after="0" w:line="27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Documentation and Information</w:t>
      </w:r>
      <w:r>
        <w:rPr>
          <w:rFonts w:ascii="Arial" w:cs="Arial" w:eastAsia="Arial" w:hAnsi="Arial"/>
          <w:sz w:val="18"/>
          <w:szCs w:val="18"/>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 reasonable opportunity to review and comment on such publications or disclosure prior to their being made public, and the Company shall consider in good faith all comments of such Stockholder in connection therewith.</w:t>
      </w:r>
    </w:p>
    <w:p>
      <w:pPr>
        <w:spacing w:after="0" w:line="148" w:lineRule="exact"/>
        <w:rPr>
          <w:sz w:val="20"/>
          <w:szCs w:val="20"/>
          <w:color w:val="auto"/>
        </w:rPr>
      </w:pPr>
    </w:p>
    <w:p>
      <w:pPr>
        <w:ind w:right="280" w:firstLine="800"/>
        <w:spacing w:after="0" w:line="265" w:lineRule="auto"/>
        <w:rPr>
          <w:sz w:val="20"/>
          <w:szCs w:val="20"/>
          <w:color w:val="auto"/>
        </w:rPr>
      </w:pPr>
      <w:r>
        <w:rPr>
          <w:rFonts w:ascii="Arial" w:cs="Arial" w:eastAsia="Arial" w:hAnsi="Arial"/>
          <w:sz w:val="20"/>
          <w:szCs w:val="20"/>
          <w:color w:val="auto"/>
        </w:rPr>
        <w:t>Section 7.06</w:t>
      </w:r>
      <w:r>
        <w:rPr>
          <w:rFonts w:ascii="Arial" w:cs="Arial" w:eastAsia="Arial" w:hAnsi="Arial"/>
          <w:sz w:val="20"/>
          <w:szCs w:val="20"/>
          <w:i w:val="1"/>
          <w:iCs w:val="1"/>
          <w:color w:val="auto"/>
        </w:rPr>
        <w:t>. Expenses</w:t>
      </w:r>
      <w:r>
        <w:rPr>
          <w:rFonts w:ascii="Arial" w:cs="Arial" w:eastAsia="Arial" w:hAnsi="Arial"/>
          <w:sz w:val="20"/>
          <w:szCs w:val="20"/>
          <w:color w:val="auto"/>
        </w:rPr>
        <w:t>. All costs and expenses incurred in connection with this Agreement shall be paid by the party incurring such cost or expense.</w:t>
      </w:r>
    </w:p>
    <w:p>
      <w:pPr>
        <w:spacing w:after="0" w:line="148" w:lineRule="exact"/>
        <w:rPr>
          <w:sz w:val="20"/>
          <w:szCs w:val="20"/>
          <w:color w:val="auto"/>
        </w:rPr>
      </w:pPr>
    </w:p>
    <w:p>
      <w:pPr>
        <w:jc w:val="both"/>
        <w:ind w:right="180" w:firstLine="800"/>
        <w:spacing w:after="0" w:line="322" w:lineRule="auto"/>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 Other Capacities.</w:t>
      </w:r>
      <w:r>
        <w:rPr>
          <w:rFonts w:ascii="Arial" w:cs="Arial" w:eastAsia="Arial" w:hAnsi="Arial"/>
          <w:sz w:val="18"/>
          <w:szCs w:val="18"/>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00" w:lineRule="exact"/>
        <w:rPr>
          <w:sz w:val="20"/>
          <w:szCs w:val="20"/>
          <w:color w:val="auto"/>
        </w:rPr>
      </w:pPr>
    </w:p>
    <w:p>
      <w:pPr>
        <w:jc w:val="both"/>
        <w:ind w:right="480" w:firstLine="800"/>
        <w:spacing w:after="0" w:line="251" w:lineRule="auto"/>
        <w:rPr>
          <w:sz w:val="20"/>
          <w:szCs w:val="20"/>
          <w:color w:val="auto"/>
        </w:rPr>
      </w:pPr>
      <w:r>
        <w:rPr>
          <w:rFonts w:ascii="Arial" w:cs="Arial" w:eastAsia="Arial" w:hAnsi="Arial"/>
          <w:sz w:val="20"/>
          <w:szCs w:val="20"/>
          <w:color w:val="auto"/>
        </w:rPr>
        <w:t xml:space="preserve">Section 7.08. </w:t>
      </w:r>
      <w:r>
        <w:rPr>
          <w:rFonts w:ascii="Arial" w:cs="Arial" w:eastAsia="Arial" w:hAnsi="Arial"/>
          <w:sz w:val="20"/>
          <w:szCs w:val="20"/>
          <w:i w:val="1"/>
          <w:iCs w:val="1"/>
          <w:color w:val="auto"/>
        </w:rPr>
        <w:t>Entire Agreement</w:t>
      </w:r>
      <w:r>
        <w:rPr>
          <w:rFonts w:ascii="Arial" w:cs="Arial" w:eastAsia="Arial" w:hAnsi="Arial"/>
          <w:sz w:val="20"/>
          <w:szCs w:val="20"/>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61" w:lineRule="exact"/>
        <w:rPr>
          <w:sz w:val="20"/>
          <w:szCs w:val="20"/>
          <w:color w:val="auto"/>
        </w:rPr>
      </w:pPr>
    </w:p>
    <w:p>
      <w:pPr>
        <w:ind w:right="440" w:firstLine="800"/>
        <w:spacing w:after="0" w:line="270" w:lineRule="auto"/>
        <w:rPr>
          <w:sz w:val="20"/>
          <w:szCs w:val="20"/>
          <w:color w:val="auto"/>
        </w:rPr>
      </w:pPr>
      <w:r>
        <w:rPr>
          <w:rFonts w:ascii="Arial" w:cs="Arial" w:eastAsia="Arial" w:hAnsi="Arial"/>
          <w:sz w:val="19"/>
          <w:szCs w:val="19"/>
          <w:color w:val="auto"/>
        </w:rPr>
        <w:t>Section 7.09</w:t>
      </w:r>
      <w:r>
        <w:rPr>
          <w:rFonts w:ascii="Arial" w:cs="Arial" w:eastAsia="Arial" w:hAnsi="Arial"/>
          <w:sz w:val="19"/>
          <w:szCs w:val="19"/>
          <w:i w:val="1"/>
          <w:iCs w:val="1"/>
          <w:color w:val="auto"/>
        </w:rPr>
        <w:t>. Successors and Assigns</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5.01(b), no party may assign, delegate or otherwise transfer any of its rights or obligations under this Agreement without the consent of the other parties hereto.</w:t>
      </w:r>
    </w:p>
    <w:p>
      <w:pPr>
        <w:spacing w:after="0" w:line="145" w:lineRule="exact"/>
        <w:rPr>
          <w:sz w:val="20"/>
          <w:szCs w:val="20"/>
          <w:color w:val="auto"/>
        </w:rPr>
      </w:pPr>
    </w:p>
    <w:p>
      <w:pPr>
        <w:ind w:right="340" w:firstLine="800"/>
        <w:spacing w:after="0" w:line="265" w:lineRule="auto"/>
        <w:rPr>
          <w:sz w:val="20"/>
          <w:szCs w:val="20"/>
          <w:color w:val="auto"/>
        </w:rPr>
      </w:pPr>
      <w:r>
        <w:rPr>
          <w:rFonts w:ascii="Arial" w:cs="Arial" w:eastAsia="Arial" w:hAnsi="Arial"/>
          <w:sz w:val="20"/>
          <w:szCs w:val="20"/>
          <w:color w:val="auto"/>
        </w:rPr>
        <w:t>Section 7.10</w:t>
      </w:r>
      <w:r>
        <w:rPr>
          <w:rFonts w:ascii="Arial" w:cs="Arial" w:eastAsia="Arial" w:hAnsi="Arial"/>
          <w:sz w:val="20"/>
          <w:szCs w:val="20"/>
          <w:i w:val="1"/>
          <w:iCs w:val="1"/>
          <w:color w:val="auto"/>
        </w:rPr>
        <w:t>. Governing Law</w:t>
      </w:r>
      <w:r>
        <w:rPr>
          <w:rFonts w:ascii="Arial" w:cs="Arial" w:eastAsia="Arial" w:hAnsi="Arial"/>
          <w:sz w:val="20"/>
          <w:szCs w:val="20"/>
          <w:color w:val="auto"/>
        </w:rPr>
        <w:t>. This Agreement shall be governed by and construed in accordance with the laws of the State of Delaware, without regard to the conflicts of law rules of such state.</w:t>
      </w:r>
    </w:p>
    <w:p>
      <w:pPr>
        <w:spacing w:after="0" w:line="148" w:lineRule="exact"/>
        <w:rPr>
          <w:sz w:val="20"/>
          <w:szCs w:val="20"/>
          <w:color w:val="auto"/>
        </w:rPr>
      </w:pPr>
    </w:p>
    <w:p>
      <w:pPr>
        <w:ind w:firstLine="800"/>
        <w:spacing w:after="0" w:line="260" w:lineRule="auto"/>
        <w:rPr>
          <w:sz w:val="20"/>
          <w:szCs w:val="20"/>
          <w:color w:val="auto"/>
        </w:rPr>
      </w:pPr>
      <w:r>
        <w:rPr>
          <w:rFonts w:ascii="Arial" w:cs="Arial" w:eastAsia="Arial" w:hAnsi="Arial"/>
          <w:sz w:val="19"/>
          <w:szCs w:val="19"/>
          <w:color w:val="auto"/>
        </w:rPr>
        <w:t>Section 7.11</w:t>
      </w:r>
      <w:r>
        <w:rPr>
          <w:rFonts w:ascii="Arial" w:cs="Arial" w:eastAsia="Arial" w:hAnsi="Arial"/>
          <w:sz w:val="19"/>
          <w:szCs w:val="19"/>
          <w:i w:val="1"/>
          <w:iCs w:val="1"/>
          <w:color w:val="auto"/>
        </w:rPr>
        <w:t>. Counterparts; Effectiveness</w:t>
      </w:r>
      <w:r>
        <w:rPr>
          <w:rFonts w:ascii="Arial" w:cs="Arial" w:eastAsia="Arial" w:hAnsi="Arial"/>
          <w:sz w:val="19"/>
          <w:szCs w:val="19"/>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B-10</w:t>
      </w:r>
    </w:p>
    <w:p>
      <w:pPr>
        <w:sectPr>
          <w:pgSz w:w="11900" w:h="16838" w:orient="portrait"/>
          <w:cols w:equalWidth="0" w:num="1">
            <w:col w:w="11400"/>
          </w:cols>
          <w:pgMar w:left="240" w:top="439" w:right="259" w:bottom="1440" w:gutter="0" w:footer="0" w:header="0"/>
        </w:sectPr>
      </w:pPr>
    </w:p>
    <w:bookmarkStart w:id="317" w:name="page318"/>
    <w:bookmarkEnd w:id="3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7.12. </w:t>
      </w:r>
      <w:r>
        <w:rPr>
          <w:rFonts w:ascii="Arial" w:cs="Arial" w:eastAsia="Arial" w:hAnsi="Arial"/>
          <w:sz w:val="20"/>
          <w:szCs w:val="20"/>
          <w:i w:val="1"/>
          <w:iCs w:val="1"/>
          <w:color w:val="auto"/>
        </w:rPr>
        <w:t>Severability</w:t>
      </w:r>
      <w:r>
        <w:rPr>
          <w:rFonts w:ascii="Arial" w:cs="Arial" w:eastAsia="Arial" w:hAnsi="Arial"/>
          <w:sz w:val="20"/>
          <w:szCs w:val="20"/>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4" w:lineRule="exact"/>
        <w:rPr>
          <w:sz w:val="20"/>
          <w:szCs w:val="20"/>
          <w:color w:val="auto"/>
        </w:rPr>
      </w:pPr>
    </w:p>
    <w:p>
      <w:pPr>
        <w:ind w:right="20" w:firstLine="800"/>
        <w:spacing w:after="0" w:line="254"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i w:val="1"/>
          <w:iCs w:val="1"/>
          <w:color w:val="auto"/>
        </w:rPr>
        <w:t>Jurisdiction</w:t>
      </w:r>
      <w:r>
        <w:rPr>
          <w:rFonts w:ascii="Arial" w:cs="Arial" w:eastAsia="Arial" w:hAnsi="Arial"/>
          <w:sz w:val="19"/>
          <w:szCs w:val="19"/>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60" w:lineRule="exact"/>
        <w:rPr>
          <w:sz w:val="20"/>
          <w:szCs w:val="20"/>
          <w:color w:val="auto"/>
        </w:rPr>
      </w:pPr>
    </w:p>
    <w:p>
      <w:pPr>
        <w:ind w:right="80" w:firstLine="800"/>
        <w:spacing w:after="0" w:line="251" w:lineRule="auto"/>
        <w:rPr>
          <w:sz w:val="20"/>
          <w:szCs w:val="20"/>
          <w:color w:val="auto"/>
        </w:rPr>
      </w:pPr>
      <w:r>
        <w:rPr>
          <w:rFonts w:ascii="Arial" w:cs="Arial" w:eastAsia="Arial" w:hAnsi="Arial"/>
          <w:sz w:val="20"/>
          <w:szCs w:val="20"/>
          <w:color w:val="auto"/>
        </w:rPr>
        <w:t xml:space="preserve">Section 7.14. </w:t>
      </w:r>
      <w:r>
        <w:rPr>
          <w:rFonts w:ascii="Arial" w:cs="Arial" w:eastAsia="Arial" w:hAnsi="Arial"/>
          <w:sz w:val="20"/>
          <w:szCs w:val="20"/>
          <w:i w:val="1"/>
          <w:iCs w:val="1"/>
          <w:color w:val="auto"/>
        </w:rPr>
        <w:t>WAIVER OF JURY TRIAL</w:t>
      </w:r>
      <w:r>
        <w:rPr>
          <w:rFonts w:ascii="Arial" w:cs="Arial" w:eastAsia="Arial" w:hAnsi="Arial"/>
          <w:sz w:val="20"/>
          <w:szCs w:val="20"/>
          <w:color w:val="auto"/>
        </w:rPr>
        <w:t>.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37" w:lineRule="exact"/>
        <w:rPr>
          <w:sz w:val="20"/>
          <w:szCs w:val="20"/>
          <w:color w:val="auto"/>
        </w:rPr>
      </w:pPr>
    </w:p>
    <w:p>
      <w:pPr>
        <w:ind w:firstLine="800"/>
        <w:spacing w:after="0" w:line="246" w:lineRule="auto"/>
        <w:rPr>
          <w:sz w:val="20"/>
          <w:szCs w:val="20"/>
          <w:color w:val="auto"/>
        </w:rPr>
      </w:pPr>
      <w:r>
        <w:rPr>
          <w:rFonts w:ascii="Arial" w:cs="Arial" w:eastAsia="Arial" w:hAnsi="Arial"/>
          <w:sz w:val="20"/>
          <w:szCs w:val="20"/>
          <w:color w:val="auto"/>
        </w:rPr>
        <w:t>Section 7.16</w:t>
      </w:r>
      <w:r>
        <w:rPr>
          <w:rFonts w:ascii="Arial" w:cs="Arial" w:eastAsia="Arial" w:hAnsi="Arial"/>
          <w:sz w:val="20"/>
          <w:szCs w:val="20"/>
          <w:i w:val="1"/>
          <w:iCs w:val="1"/>
          <w:color w:val="auto"/>
        </w:rPr>
        <w:t>. No Ownership Interest.</w:t>
      </w:r>
      <w:r>
        <w:rPr>
          <w:rFonts w:ascii="Arial" w:cs="Arial" w:eastAsia="Arial" w:hAnsi="Arial"/>
          <w:sz w:val="20"/>
          <w:szCs w:val="20"/>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has been intentionally left blank; the next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page is the signature page]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B-11</w:t>
      </w:r>
    </w:p>
    <w:p>
      <w:pPr>
        <w:sectPr>
          <w:pgSz w:w="11900" w:h="16838" w:orient="portrait"/>
          <w:cols w:equalWidth="0" w:num="1">
            <w:col w:w="11420"/>
          </w:cols>
          <w:pgMar w:left="240" w:top="439" w:right="239" w:bottom="1440" w:gutter="0" w:footer="0" w:header="0"/>
        </w:sectPr>
      </w:pPr>
    </w:p>
    <w:bookmarkStart w:id="318" w:name="page319"/>
    <w:bookmarkEnd w:id="3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2"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TIME WARNER CABLE INC.</w:t>
      </w:r>
    </w:p>
    <w:p>
      <w:pPr>
        <w:spacing w:after="0" w:line="30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11430</wp:posOffset>
            </wp:positionV>
            <wp:extent cx="26187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8"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20"/>
          <w:szCs w:val="20"/>
          <w:color w:val="auto"/>
        </w:rPr>
        <w:t>Name:</w:t>
        <w:tab/>
        <w:t>Arthur T. Minson, Jr.</w:t>
      </w:r>
    </w:p>
    <w:p>
      <w:pPr>
        <w:spacing w:after="0" w:line="7"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ind w:left="8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Voting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B-12</w:t>
      </w:r>
    </w:p>
    <w:p>
      <w:pPr>
        <w:sectPr>
          <w:pgSz w:w="11900" w:h="16838" w:orient="portrait"/>
          <w:cols w:equalWidth="0" w:num="1">
            <w:col w:w="11100"/>
          </w:cols>
          <w:pgMar w:left="240" w:top="439" w:right="559" w:bottom="1440" w:gutter="0" w:footer="0" w:header="0"/>
        </w:sectPr>
      </w:pPr>
    </w:p>
    <w:bookmarkStart w:id="319" w:name="page320"/>
    <w:bookmarkEnd w:id="3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11430</wp:posOffset>
            </wp:positionV>
            <wp:extent cx="28987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Name: Brian L. Roberts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Comcast Corporation</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One Comcast Center</w:t>
      </w:r>
    </w:p>
    <w:p>
      <w:pPr>
        <w:ind w:left="6860"/>
        <w:spacing w:after="0"/>
        <w:rPr>
          <w:sz w:val="20"/>
          <w:szCs w:val="20"/>
          <w:color w:val="auto"/>
        </w:rPr>
      </w:pPr>
      <w:r>
        <w:rPr>
          <w:rFonts w:ascii="Arial" w:cs="Arial" w:eastAsia="Arial" w:hAnsi="Arial"/>
          <w:sz w:val="19"/>
          <w:szCs w:val="19"/>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Voting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B-13</w:t>
      </w:r>
    </w:p>
    <w:p>
      <w:pPr>
        <w:sectPr>
          <w:pgSz w:w="11900" w:h="16838" w:orient="portrait"/>
          <w:cols w:equalWidth="0" w:num="1">
            <w:col w:w="10219"/>
          </w:cols>
          <w:pgMar w:left="240" w:top="439" w:right="1440" w:bottom="1440" w:gutter="0" w:footer="0" w:header="0"/>
        </w:sectPr>
      </w:pPr>
    </w:p>
    <w:bookmarkStart w:id="320" w:name="page321"/>
    <w:bookmarkEnd w:id="3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BRCC Holdings LLC</w:t>
      </w:r>
    </w:p>
    <w:p>
      <w:pPr>
        <w:spacing w:after="0" w:line="200" w:lineRule="exact"/>
        <w:rPr>
          <w:sz w:val="20"/>
          <w:szCs w:val="20"/>
          <w:color w:val="auto"/>
        </w:rPr>
      </w:pPr>
    </w:p>
    <w:p>
      <w:pPr>
        <w:spacing w:after="0" w:line="201"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jc w:val="right"/>
        <w:ind w:right="959"/>
        <w:spacing w:after="0"/>
        <w:rPr>
          <w:sz w:val="20"/>
          <w:szCs w:val="20"/>
          <w:color w:val="auto"/>
        </w:rPr>
      </w:pPr>
      <w:r>
        <w:rPr>
          <w:rFonts w:ascii="Arial" w:cs="Arial" w:eastAsia="Arial" w:hAnsi="Arial"/>
          <w:sz w:val="20"/>
          <w:szCs w:val="20"/>
          <w:color w:val="auto"/>
        </w:rPr>
        <w:t>Name: Brian L. Roberts</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Manager</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1105 North Market Street</w:t>
      </w:r>
    </w:p>
    <w:p>
      <w:pPr>
        <w:ind w:left="6860"/>
        <w:spacing w:after="0" w:line="236" w:lineRule="auto"/>
        <w:rPr>
          <w:sz w:val="20"/>
          <w:szCs w:val="20"/>
          <w:color w:val="auto"/>
        </w:rPr>
      </w:pPr>
      <w:r>
        <w:rPr>
          <w:rFonts w:ascii="Arial" w:cs="Arial" w:eastAsia="Arial" w:hAnsi="Arial"/>
          <w:sz w:val="20"/>
          <w:szCs w:val="20"/>
          <w:color w:val="auto"/>
        </w:rPr>
        <w:t>Suite 1300</w:t>
      </w:r>
    </w:p>
    <w:p>
      <w:pPr>
        <w:ind w:left="6860"/>
        <w:spacing w:after="0" w:line="237" w:lineRule="auto"/>
        <w:rPr>
          <w:sz w:val="20"/>
          <w:szCs w:val="20"/>
          <w:color w:val="auto"/>
        </w:rPr>
      </w:pPr>
      <w:r>
        <w:rPr>
          <w:rFonts w:ascii="Arial" w:cs="Arial" w:eastAsia="Arial" w:hAnsi="Arial"/>
          <w:sz w:val="20"/>
          <w:szCs w:val="20"/>
          <w:color w:val="auto"/>
        </w:rPr>
        <w:t>P.O. Box 8985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Wilmington,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B-14</w:t>
      </w:r>
    </w:p>
    <w:p>
      <w:pPr>
        <w:sectPr>
          <w:pgSz w:w="11900" w:h="16838" w:orient="portrait"/>
          <w:cols w:equalWidth="0" w:num="1">
            <w:col w:w="10219"/>
          </w:cols>
          <w:pgMar w:left="240" w:top="439" w:right="1440" w:bottom="1440" w:gutter="0" w:footer="0" w:header="0"/>
        </w:sectPr>
      </w:pPr>
    </w:p>
    <w:bookmarkStart w:id="321" w:name="page322"/>
    <w:bookmarkEnd w:id="3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Irrevocable Deed of Trust of Brian L.</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Roberts for Children and Other Issue</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dated June 10, 1998</w:t>
      </w:r>
    </w:p>
    <w:p>
      <w:pPr>
        <w:spacing w:after="0" w:line="39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Sheldon M. Bonovitz</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General Trustee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c/o Christiana Trust, Trustee</w:t>
      </w:r>
    </w:p>
    <w:p>
      <w:pPr>
        <w:ind w:left="6860"/>
        <w:spacing w:after="0" w:line="236" w:lineRule="auto"/>
        <w:rPr>
          <w:sz w:val="20"/>
          <w:szCs w:val="20"/>
          <w:color w:val="auto"/>
        </w:rPr>
      </w:pPr>
      <w:r>
        <w:rPr>
          <w:rFonts w:ascii="Arial" w:cs="Arial" w:eastAsia="Arial" w:hAnsi="Arial"/>
          <w:sz w:val="20"/>
          <w:szCs w:val="20"/>
          <w:color w:val="auto"/>
        </w:rPr>
        <w:t>Greenville Center</w:t>
      </w:r>
    </w:p>
    <w:p>
      <w:pPr>
        <w:ind w:left="6860"/>
        <w:spacing w:after="0" w:line="237" w:lineRule="auto"/>
        <w:rPr>
          <w:sz w:val="20"/>
          <w:szCs w:val="20"/>
          <w:color w:val="auto"/>
        </w:rPr>
      </w:pPr>
      <w:r>
        <w:rPr>
          <w:rFonts w:ascii="Arial" w:cs="Arial" w:eastAsia="Arial" w:hAnsi="Arial"/>
          <w:sz w:val="20"/>
          <w:szCs w:val="20"/>
          <w:color w:val="auto"/>
        </w:rPr>
        <w:t>3801 Kennett Pike</w:t>
      </w:r>
    </w:p>
    <w:p>
      <w:pPr>
        <w:ind w:left="6860"/>
        <w:spacing w:after="0" w:line="237" w:lineRule="auto"/>
        <w:rPr>
          <w:sz w:val="20"/>
          <w:szCs w:val="20"/>
          <w:color w:val="auto"/>
        </w:rPr>
      </w:pPr>
      <w:r>
        <w:rPr>
          <w:rFonts w:ascii="Arial" w:cs="Arial" w:eastAsia="Arial" w:hAnsi="Arial"/>
          <w:sz w:val="20"/>
          <w:szCs w:val="20"/>
          <w:color w:val="auto"/>
        </w:rPr>
        <w:t>Suite C200</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B-15</w:t>
      </w:r>
    </w:p>
    <w:p>
      <w:pPr>
        <w:sectPr>
          <w:pgSz w:w="11900" w:h="16838" w:orient="portrait"/>
          <w:cols w:equalWidth="0" w:num="1">
            <w:col w:w="10219"/>
          </w:cols>
          <w:pgMar w:left="240" w:top="439" w:right="1440" w:bottom="1440" w:gutter="0" w:footer="0" w:header="0"/>
        </w:sectPr>
      </w:pPr>
    </w:p>
    <w:bookmarkStart w:id="322" w:name="page323"/>
    <w:bookmarkEnd w:id="3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Irrevocable Deed of Trust of Ralph J.</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Roberts for Brian L. Roberts and Other</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Beneficiaries dated May 11, 1993</w:t>
      </w:r>
    </w:p>
    <w:p>
      <w:pPr>
        <w:spacing w:after="0" w:line="39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Brian L. Roberts</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Trustee</w:t>
      </w:r>
    </w:p>
    <w:p>
      <w:pPr>
        <w:spacing w:after="0" w:line="282"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Sheldon M. Bonovitz</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Trustee</w:t>
      </w:r>
    </w:p>
    <w:p>
      <w:pPr>
        <w:spacing w:after="0" w:line="206" w:lineRule="exact"/>
        <w:rPr>
          <w:sz w:val="20"/>
          <w:szCs w:val="20"/>
          <w:color w:val="auto"/>
        </w:rPr>
      </w:pPr>
    </w:p>
    <w:p>
      <w:pPr>
        <w:ind w:left="692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c/o Sheldon M. Bonovitz, Trustee</w:t>
      </w:r>
    </w:p>
    <w:p>
      <w:pPr>
        <w:ind w:left="6920"/>
        <w:spacing w:after="0" w:line="236" w:lineRule="auto"/>
        <w:rPr>
          <w:sz w:val="20"/>
          <w:szCs w:val="20"/>
          <w:color w:val="auto"/>
        </w:rPr>
      </w:pPr>
      <w:r>
        <w:rPr>
          <w:rFonts w:ascii="Arial" w:cs="Arial" w:eastAsia="Arial" w:hAnsi="Arial"/>
          <w:sz w:val="20"/>
          <w:szCs w:val="20"/>
          <w:color w:val="auto"/>
        </w:rPr>
        <w:t>Duane Morris LLP</w:t>
      </w:r>
    </w:p>
    <w:p>
      <w:pPr>
        <w:ind w:left="6920"/>
        <w:spacing w:after="0" w:line="237" w:lineRule="auto"/>
        <w:rPr>
          <w:sz w:val="20"/>
          <w:szCs w:val="20"/>
          <w:color w:val="auto"/>
        </w:rPr>
      </w:pPr>
      <w:r>
        <w:rPr>
          <w:rFonts w:ascii="Arial" w:cs="Arial" w:eastAsia="Arial" w:hAnsi="Arial"/>
          <w:sz w:val="20"/>
          <w:szCs w:val="20"/>
          <w:color w:val="auto"/>
        </w:rPr>
        <w:t>30 South 17</w:t>
      </w:r>
      <w:r>
        <w:rPr>
          <w:rFonts w:ascii="Arial" w:cs="Arial" w:eastAsia="Arial" w:hAnsi="Arial"/>
          <w:sz w:val="17"/>
          <w:szCs w:val="17"/>
          <w:color w:val="auto"/>
        </w:rPr>
        <w:t>th</w:t>
      </w:r>
      <w:r>
        <w:rPr>
          <w:rFonts w:ascii="Arial" w:cs="Arial" w:eastAsia="Arial" w:hAnsi="Arial"/>
          <w:sz w:val="20"/>
          <w:szCs w:val="20"/>
          <w:color w:val="auto"/>
        </w:rPr>
        <w:t xml:space="preserve"> Street</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B-16</w:t>
      </w:r>
    </w:p>
    <w:p>
      <w:pPr>
        <w:sectPr>
          <w:pgSz w:w="11900" w:h="16838" w:orient="portrait"/>
          <w:cols w:equalWidth="0" w:num="1">
            <w:col w:w="10219"/>
          </w:cols>
          <w:pgMar w:left="240" w:top="439" w:right="1440" w:bottom="1440" w:gutter="0" w:footer="0" w:header="0"/>
        </w:sectPr>
      </w:pPr>
    </w:p>
    <w:bookmarkStart w:id="323" w:name="page324"/>
    <w:bookmarkEnd w:id="3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ALLEN &amp; COMPANY LLC]</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firstLine="800"/>
        <w:spacing w:after="0" w:line="275" w:lineRule="auto"/>
        <w:rPr>
          <w:sz w:val="20"/>
          <w:szCs w:val="20"/>
          <w:color w:val="auto"/>
        </w:rPr>
      </w:pPr>
      <w:r>
        <w:rPr>
          <w:rFonts w:ascii="Arial" w:cs="Arial" w:eastAsia="Arial" w:hAnsi="Arial"/>
          <w:sz w:val="17"/>
          <w:szCs w:val="17"/>
          <w:color w:val="auto"/>
        </w:rPr>
        <w:t>We understand that Time Warner Cable Inc., a Delaware corporation (“</w:t>
      </w:r>
      <w:r>
        <w:rPr>
          <w:rFonts w:ascii="Arial" w:cs="Arial" w:eastAsia="Arial" w:hAnsi="Arial"/>
          <w:sz w:val="17"/>
          <w:szCs w:val="17"/>
          <w:u w:val="single" w:color="auto"/>
          <w:color w:val="auto"/>
        </w:rPr>
        <w:t>TWC</w:t>
      </w:r>
      <w:r>
        <w:rPr>
          <w:rFonts w:ascii="Arial" w:cs="Arial" w:eastAsia="Arial" w:hAnsi="Arial"/>
          <w:sz w:val="17"/>
          <w:szCs w:val="17"/>
          <w:color w:val="auto"/>
        </w:rPr>
        <w:t>”), Comcast Corporation, a Pennsylvania corporation (“</w:t>
      </w:r>
      <w:r>
        <w:rPr>
          <w:rFonts w:ascii="Arial" w:cs="Arial" w:eastAsia="Arial" w:hAnsi="Arial"/>
          <w:sz w:val="17"/>
          <w:szCs w:val="17"/>
          <w:u w:val="single" w:color="auto"/>
          <w:color w:val="auto"/>
        </w:rPr>
        <w:t>Comcast</w:t>
      </w:r>
      <w:r>
        <w:rPr>
          <w:rFonts w:ascii="Arial" w:cs="Arial" w:eastAsia="Arial" w:hAnsi="Arial"/>
          <w:sz w:val="17"/>
          <w:szCs w:val="17"/>
          <w:color w:val="auto"/>
        </w:rPr>
        <w:t>”), and Tango Acquisition Sub, Inc., a Delaware corporation and wholly owned subsidiary of Comcast (“Merger Sub”), propose to enter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(i) Merger Sub will be merged with and into TWC (the “</w:t>
      </w:r>
      <w:r>
        <w:rPr>
          <w:rFonts w:ascii="Arial" w:cs="Arial" w:eastAsia="Arial" w:hAnsi="Arial"/>
          <w:sz w:val="17"/>
          <w:szCs w:val="17"/>
          <w:u w:val="single" w:color="auto"/>
          <w:color w:val="auto"/>
        </w:rPr>
        <w:t>Merger</w:t>
      </w:r>
      <w:r>
        <w:rPr>
          <w:rFonts w:ascii="Arial" w:cs="Arial" w:eastAsia="Arial" w:hAnsi="Arial"/>
          <w:sz w:val="17"/>
          <w:szCs w:val="17"/>
          <w:color w:val="auto"/>
        </w:rPr>
        <w:t>”) and (ii) each outstanding share of the common stock, par value $0.01 per share, of TWC (“</w:t>
      </w:r>
      <w:r>
        <w:rPr>
          <w:rFonts w:ascii="Arial" w:cs="Arial" w:eastAsia="Arial" w:hAnsi="Arial"/>
          <w:sz w:val="17"/>
          <w:szCs w:val="17"/>
          <w:u w:val="single" w:color="auto"/>
          <w:color w:val="auto"/>
        </w:rPr>
        <w:t>TWC Common Stock</w:t>
      </w:r>
      <w:r>
        <w:rPr>
          <w:rFonts w:ascii="Arial" w:cs="Arial" w:eastAsia="Arial" w:hAnsi="Arial"/>
          <w:sz w:val="17"/>
          <w:szCs w:val="17"/>
          <w:color w:val="auto"/>
        </w:rPr>
        <w:t>”) will be converted into the right to receive 2.8750 (the “</w:t>
      </w:r>
      <w:r>
        <w:rPr>
          <w:rFonts w:ascii="Arial" w:cs="Arial" w:eastAsia="Arial" w:hAnsi="Arial"/>
          <w:sz w:val="17"/>
          <w:szCs w:val="17"/>
          <w:u w:val="single" w:color="auto"/>
          <w:color w:val="auto"/>
        </w:rPr>
        <w:t>Exchange Ratio</w:t>
      </w:r>
      <w:r>
        <w:rPr>
          <w:rFonts w:ascii="Arial" w:cs="Arial" w:eastAsia="Arial" w:hAnsi="Arial"/>
          <w:sz w:val="17"/>
          <w:szCs w:val="17"/>
          <w:color w:val="auto"/>
        </w:rPr>
        <w:t>”) shares of Class A common stock, par value $0.01 per share, of Comcast (“</w:t>
      </w:r>
      <w:r>
        <w:rPr>
          <w:rFonts w:ascii="Arial" w:cs="Arial" w:eastAsia="Arial" w:hAnsi="Arial"/>
          <w:sz w:val="17"/>
          <w:szCs w:val="17"/>
          <w:u w:val="single" w:color="auto"/>
          <w:color w:val="auto"/>
        </w:rPr>
        <w:t>Comcast Class A Common Stock</w:t>
      </w:r>
      <w:r>
        <w:rPr>
          <w:rFonts w:ascii="Arial" w:cs="Arial" w:eastAsia="Arial" w:hAnsi="Arial"/>
          <w:sz w:val="17"/>
          <w:szCs w:val="17"/>
          <w:color w:val="auto"/>
        </w:rPr>
        <w:t>”).</w:t>
      </w:r>
    </w:p>
    <w:p>
      <w:pPr>
        <w:spacing w:after="0" w:line="154" w:lineRule="exact"/>
        <w:rPr>
          <w:sz w:val="20"/>
          <w:szCs w:val="20"/>
          <w:color w:val="auto"/>
        </w:rPr>
      </w:pPr>
    </w:p>
    <w:p>
      <w:pPr>
        <w:ind w:right="60" w:firstLine="800"/>
        <w:spacing w:after="0" w:line="272" w:lineRule="auto"/>
        <w:rPr>
          <w:sz w:val="20"/>
          <w:szCs w:val="20"/>
          <w:color w:val="auto"/>
        </w:rPr>
      </w:pPr>
      <w:r>
        <w:rPr>
          <w:rFonts w:ascii="Arial" w:cs="Arial" w:eastAsia="Arial" w:hAnsi="Arial"/>
          <w:sz w:val="17"/>
          <w:szCs w:val="17"/>
          <w:color w:val="auto"/>
        </w:rPr>
        <w:t>As you know, Allen &amp; Company LLC (“</w:t>
      </w:r>
      <w:r>
        <w:rPr>
          <w:rFonts w:ascii="Arial" w:cs="Arial" w:eastAsia="Arial" w:hAnsi="Arial"/>
          <w:sz w:val="17"/>
          <w:szCs w:val="17"/>
          <w:u w:val="single" w:color="auto"/>
          <w:color w:val="auto"/>
        </w:rPr>
        <w:t>Allen</w:t>
      </w:r>
      <w:r>
        <w:rPr>
          <w:rFonts w:ascii="Arial" w:cs="Arial" w:eastAsia="Arial" w:hAnsi="Arial"/>
          <w:sz w:val="17"/>
          <w:szCs w:val="17"/>
          <w:color w:val="auto"/>
        </w:rPr>
        <w:t>”) has acted as financial advisor to TWC in connection with the proposed Merger and has been asked to render an opinion to the Board of Directors of TWC (the “</w:t>
      </w:r>
      <w:r>
        <w:rPr>
          <w:rFonts w:ascii="Arial" w:cs="Arial" w:eastAsia="Arial" w:hAnsi="Arial"/>
          <w:sz w:val="17"/>
          <w:szCs w:val="17"/>
          <w:u w:val="single" w:color="auto"/>
          <w:color w:val="auto"/>
        </w:rPr>
        <w:t>Board</w:t>
      </w:r>
      <w:r>
        <w:rPr>
          <w:rFonts w:ascii="Arial" w:cs="Arial" w:eastAsia="Arial" w:hAnsi="Arial"/>
          <w:sz w:val="17"/>
          <w:szCs w:val="17"/>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7"/>
          <w:szCs w:val="17"/>
          <w:u w:val="single" w:color="auto"/>
          <w:color w:val="auto"/>
        </w:rPr>
        <w:t>Transaction Fee</w:t>
      </w:r>
      <w:r>
        <w:rPr>
          <w:rFonts w:ascii="Arial" w:cs="Arial" w:eastAsia="Arial" w:hAnsi="Arial"/>
          <w:sz w:val="17"/>
          <w:szCs w:val="17"/>
          <w:color w:val="auto"/>
        </w:rPr>
        <w:t>”) and TWC also has agreed to pay Allen a cash fee upon delivery of this opinion (the “</w:t>
      </w:r>
      <w:r>
        <w:rPr>
          <w:rFonts w:ascii="Arial" w:cs="Arial" w:eastAsia="Arial" w:hAnsi="Arial"/>
          <w:sz w:val="17"/>
          <w:szCs w:val="17"/>
          <w:u w:val="single" w:color="auto"/>
          <w:color w:val="auto"/>
        </w:rPr>
        <w:t>Opinion Fee</w:t>
      </w:r>
      <w:r>
        <w:rPr>
          <w:rFonts w:ascii="Arial" w:cs="Arial" w:eastAsia="Arial" w:hAnsi="Arial"/>
          <w:sz w:val="17"/>
          <w:szCs w:val="17"/>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59" w:lineRule="exact"/>
        <w:rPr>
          <w:sz w:val="20"/>
          <w:szCs w:val="20"/>
          <w:color w:val="auto"/>
        </w:rPr>
      </w:pPr>
    </w:p>
    <w:p>
      <w:pPr>
        <w:ind w:right="100" w:firstLine="800"/>
        <w:spacing w:after="0" w:line="268" w:lineRule="auto"/>
        <w:rPr>
          <w:sz w:val="20"/>
          <w:szCs w:val="20"/>
          <w:color w:val="auto"/>
        </w:rPr>
      </w:pPr>
      <w:r>
        <w:rPr>
          <w:rFonts w:ascii="Arial" w:cs="Arial" w:eastAsia="Arial" w:hAnsi="Arial"/>
          <w:sz w:val="17"/>
          <w:szCs w:val="17"/>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420"/>
          </w:cols>
          <w:pgMar w:left="240" w:top="439" w:right="239" w:bottom="1440" w:gutter="0" w:footer="0" w:header="0"/>
        </w:sectPr>
      </w:pPr>
    </w:p>
    <w:bookmarkStart w:id="324" w:name="page325"/>
    <w:bookmarkEnd w:id="3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ind w:right="180" w:firstLine="800"/>
        <w:spacing w:after="0" w:line="255" w:lineRule="auto"/>
        <w:rPr>
          <w:sz w:val="20"/>
          <w:szCs w:val="20"/>
          <w:color w:val="auto"/>
        </w:rPr>
      </w:pPr>
      <w:r>
        <w:rPr>
          <w:rFonts w:ascii="Arial" w:cs="Arial" w:eastAsia="Arial" w:hAnsi="Arial"/>
          <w:sz w:val="18"/>
          <w:szCs w:val="18"/>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arriving at our opinion, we have, among other things:</w:t>
      </w:r>
    </w:p>
    <w:p>
      <w:pPr>
        <w:spacing w:after="0" w:line="234" w:lineRule="exact"/>
        <w:rPr>
          <w:sz w:val="20"/>
          <w:szCs w:val="20"/>
          <w:color w:val="auto"/>
        </w:rPr>
      </w:pPr>
    </w:p>
    <w:p>
      <w:pPr>
        <w:ind w:left="800" w:right="86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as reflected in a draft, dated February 12, 2014, of the Merger Agreement;</w:t>
      </w:r>
    </w:p>
    <w:p>
      <w:pPr>
        <w:spacing w:after="0" w:line="172" w:lineRule="exact"/>
        <w:rPr>
          <w:rFonts w:ascii="Arial" w:cs="Arial" w:eastAsia="Arial" w:hAnsi="Arial"/>
          <w:sz w:val="18"/>
          <w:szCs w:val="18"/>
          <w:color w:val="auto"/>
        </w:rPr>
      </w:pPr>
    </w:p>
    <w:p>
      <w:pPr>
        <w:ind w:left="800" w:right="420" w:hanging="799"/>
        <w:spacing w:after="0" w:line="311" w:lineRule="auto"/>
        <w:tabs>
          <w:tab w:leader="none" w:pos="80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49" w:lineRule="exact"/>
        <w:rPr>
          <w:rFonts w:ascii="Arial" w:cs="Arial" w:eastAsia="Arial" w:hAnsi="Arial"/>
          <w:sz w:val="17"/>
          <w:szCs w:val="17"/>
          <w:color w:val="auto"/>
        </w:rPr>
      </w:pPr>
    </w:p>
    <w:p>
      <w:pPr>
        <w:ind w:left="800" w:right="200" w:hanging="799"/>
        <w:spacing w:after="0" w:line="264"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87" w:lineRule="exact"/>
        <w:rPr>
          <w:rFonts w:ascii="Arial" w:cs="Arial" w:eastAsia="Arial" w:hAnsi="Arial"/>
          <w:sz w:val="18"/>
          <w:szCs w:val="18"/>
          <w:color w:val="auto"/>
        </w:rPr>
      </w:pPr>
    </w:p>
    <w:p>
      <w:pPr>
        <w:ind w:left="800" w:right="12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172" w:lineRule="exact"/>
        <w:rPr>
          <w:rFonts w:ascii="Arial" w:cs="Arial" w:eastAsia="Arial" w:hAnsi="Arial"/>
          <w:sz w:val="18"/>
          <w:szCs w:val="18"/>
          <w:color w:val="auto"/>
        </w:rPr>
      </w:pPr>
    </w:p>
    <w:p>
      <w:pPr>
        <w:ind w:left="800" w:right="34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172" w:lineRule="exact"/>
        <w:rPr>
          <w:rFonts w:ascii="Arial" w:cs="Arial" w:eastAsia="Arial" w:hAnsi="Arial"/>
          <w:sz w:val="18"/>
          <w:szCs w:val="18"/>
          <w:color w:val="auto"/>
        </w:rPr>
      </w:pPr>
    </w:p>
    <w:p>
      <w:pPr>
        <w:ind w:left="800" w:right="22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72" w:lineRule="exact"/>
        <w:rPr>
          <w:rFonts w:ascii="Arial" w:cs="Arial" w:eastAsia="Arial" w:hAnsi="Arial"/>
          <w:sz w:val="18"/>
          <w:szCs w:val="18"/>
          <w:color w:val="auto"/>
        </w:rPr>
      </w:pPr>
    </w:p>
    <w:p>
      <w:pPr>
        <w:ind w:left="80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72" w:lineRule="exact"/>
        <w:rPr>
          <w:rFonts w:ascii="Arial" w:cs="Arial" w:eastAsia="Arial" w:hAnsi="Arial"/>
          <w:sz w:val="18"/>
          <w:szCs w:val="18"/>
          <w:color w:val="auto"/>
        </w:rPr>
      </w:pPr>
    </w:p>
    <w:p>
      <w:pPr>
        <w:ind w:left="800" w:right="20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we deemed generally relevant in evaluating the Merger; and</w:t>
      </w:r>
    </w:p>
    <w:p>
      <w:pPr>
        <w:spacing w:after="0" w:line="172" w:lineRule="exact"/>
        <w:rPr>
          <w:rFonts w:ascii="Arial" w:cs="Arial" w:eastAsia="Arial" w:hAnsi="Arial"/>
          <w:sz w:val="18"/>
          <w:szCs w:val="18"/>
          <w:color w:val="auto"/>
        </w:rPr>
      </w:pPr>
    </w:p>
    <w:p>
      <w:pPr>
        <w:ind w:left="800" w:right="540" w:hanging="799"/>
        <w:spacing w:after="0" w:line="280" w:lineRule="auto"/>
        <w:tabs>
          <w:tab w:leader="none" w:pos="8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conducted such other financial analyses and investigations as we deemed necessary or appropriate for purposes of the opinion expressed herein.</w:t>
      </w:r>
    </w:p>
    <w:p>
      <w:pPr>
        <w:spacing w:after="0" w:line="148" w:lineRule="exact"/>
        <w:rPr>
          <w:sz w:val="20"/>
          <w:szCs w:val="20"/>
          <w:color w:val="auto"/>
        </w:rPr>
      </w:pPr>
    </w:p>
    <w:p>
      <w:pPr>
        <w:ind w:right="700" w:firstLine="800"/>
        <w:spacing w:after="0" w:line="280" w:lineRule="auto"/>
        <w:rPr>
          <w:sz w:val="20"/>
          <w:szCs w:val="20"/>
          <w:color w:val="auto"/>
        </w:rPr>
      </w:pPr>
      <w:r>
        <w:rPr>
          <w:rFonts w:ascii="Arial" w:cs="Arial" w:eastAsia="Arial" w:hAnsi="Arial"/>
          <w:sz w:val="18"/>
          <w:szCs w:val="18"/>
          <w:color w:val="auto"/>
        </w:rPr>
        <w:t>In rendering our opinion, we have relied upon and assumed, with your consent and without independent verification, the accuracy and completeness of all of the financial, legal, regulatory, tax,</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420"/>
          </w:cols>
          <w:pgMar w:left="240" w:top="439" w:right="239" w:bottom="1440" w:gutter="0" w:footer="0" w:header="0"/>
        </w:sectPr>
      </w:pPr>
    </w:p>
    <w:bookmarkStart w:id="325" w:name="page326"/>
    <w:bookmarkEnd w:id="3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 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61" w:lineRule="exact"/>
        <w:rPr>
          <w:sz w:val="20"/>
          <w:szCs w:val="20"/>
          <w:color w:val="auto"/>
        </w:rPr>
      </w:pPr>
    </w:p>
    <w:p>
      <w:pPr>
        <w:ind w:right="200" w:firstLine="800"/>
        <w:spacing w:after="0" w:line="259" w:lineRule="auto"/>
        <w:rPr>
          <w:sz w:val="20"/>
          <w:szCs w:val="20"/>
          <w:color w:val="auto"/>
        </w:rPr>
      </w:pPr>
      <w:r>
        <w:rPr>
          <w:rFonts w:ascii="Arial" w:cs="Arial" w:eastAsia="Arial" w:hAnsi="Arial"/>
          <w:sz w:val="18"/>
          <w:szCs w:val="18"/>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66" w:lineRule="exact"/>
        <w:rPr>
          <w:sz w:val="20"/>
          <w:szCs w:val="20"/>
          <w:color w:val="auto"/>
        </w:rPr>
      </w:pPr>
    </w:p>
    <w:p>
      <w:pPr>
        <w:ind w:right="140" w:firstLine="800"/>
        <w:spacing w:after="0" w:line="271" w:lineRule="auto"/>
        <w:rPr>
          <w:sz w:val="20"/>
          <w:szCs w:val="20"/>
          <w:color w:val="auto"/>
        </w:rPr>
      </w:pPr>
      <w:r>
        <w:rPr>
          <w:rFonts w:ascii="Arial" w:cs="Arial" w:eastAsia="Arial" w:hAnsi="Arial"/>
          <w:sz w:val="17"/>
          <w:szCs w:val="17"/>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C-3</w:t>
      </w:r>
    </w:p>
    <w:p>
      <w:pPr>
        <w:sectPr>
          <w:pgSz w:w="11900" w:h="16838" w:orient="portrait"/>
          <w:cols w:equalWidth="0" w:num="1">
            <w:col w:w="11420"/>
          </w:cols>
          <w:pgMar w:left="240" w:top="439" w:right="239" w:bottom="1440" w:gutter="0" w:footer="0" w:header="0"/>
        </w:sectPr>
      </w:pPr>
    </w:p>
    <w:bookmarkStart w:id="326" w:name="page327"/>
    <w:bookmarkEnd w:id="3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50" w:lineRule="exact"/>
        <w:rPr>
          <w:sz w:val="20"/>
          <w:szCs w:val="20"/>
          <w:color w:val="auto"/>
        </w:rPr>
      </w:pPr>
    </w:p>
    <w:p>
      <w:pPr>
        <w:ind w:right="40" w:firstLine="800"/>
        <w:spacing w:after="0" w:line="269" w:lineRule="auto"/>
        <w:rPr>
          <w:sz w:val="20"/>
          <w:szCs w:val="20"/>
          <w:color w:val="auto"/>
        </w:rPr>
      </w:pPr>
      <w:r>
        <w:rPr>
          <w:rFonts w:ascii="Arial" w:cs="Arial" w:eastAsia="Arial" w:hAnsi="Arial"/>
          <w:sz w:val="17"/>
          <w:szCs w:val="17"/>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60" w:lineRule="exact"/>
        <w:rPr>
          <w:sz w:val="20"/>
          <w:szCs w:val="20"/>
          <w:color w:val="auto"/>
        </w:rPr>
      </w:pPr>
    </w:p>
    <w:p>
      <w:pPr>
        <w:ind w:firstLine="800"/>
        <w:spacing w:after="0" w:line="259" w:lineRule="auto"/>
        <w:rPr>
          <w:sz w:val="20"/>
          <w:szCs w:val="20"/>
          <w:color w:val="auto"/>
        </w:rPr>
      </w:pPr>
      <w:r>
        <w:rPr>
          <w:rFonts w:ascii="Arial" w:cs="Arial" w:eastAsia="Arial" w:hAnsi="Arial"/>
          <w:sz w:val="18"/>
          <w:szCs w:val="18"/>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66" w:lineRule="exact"/>
        <w:rPr>
          <w:sz w:val="20"/>
          <w:szCs w:val="20"/>
          <w:color w:val="auto"/>
        </w:rPr>
      </w:pPr>
    </w:p>
    <w:p>
      <w:pPr>
        <w:ind w:right="380" w:firstLine="800"/>
        <w:spacing w:after="0" w:line="280"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Merger is fair, from a financial point of view, to holders of TWC Common Stock.</w:t>
      </w:r>
    </w:p>
    <w:p>
      <w:pPr>
        <w:spacing w:after="0" w:line="3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ALLEN &amp; COMPANY LLC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C-4</w:t>
      </w:r>
    </w:p>
    <w:p>
      <w:pPr>
        <w:sectPr>
          <w:pgSz w:w="11900" w:h="16838" w:orient="portrait"/>
          <w:cols w:equalWidth="0" w:num="1">
            <w:col w:w="11400"/>
          </w:cols>
          <w:pgMar w:left="240" w:top="439" w:right="259" w:bottom="1440" w:gutter="0" w:footer="0" w:header="0"/>
        </w:sectPr>
      </w:pPr>
    </w:p>
    <w:bookmarkStart w:id="327" w:name="page328"/>
    <w:bookmarkEnd w:id="3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68" w:lineRule="exact"/>
        <w:rPr>
          <w:sz w:val="20"/>
          <w:szCs w:val="20"/>
          <w:color w:val="auto"/>
        </w:rPr>
      </w:pPr>
    </w:p>
    <w:p>
      <w:pPr>
        <w:ind w:right="280"/>
        <w:spacing w:after="0" w:line="280" w:lineRule="auto"/>
        <w:rPr>
          <w:sz w:val="20"/>
          <w:szCs w:val="20"/>
          <w:color w:val="auto"/>
        </w:rPr>
      </w:pPr>
      <w:r>
        <w:rPr>
          <w:rFonts w:ascii="Arial" w:cs="Arial" w:eastAsia="Arial" w:hAnsi="Arial"/>
          <w:sz w:val="18"/>
          <w:szCs w:val="18"/>
          <w:color w:val="auto"/>
        </w:rPr>
        <w:t>In rendering our opinion, we have assumed and relied, without independent verification, upon the accuracy and completeness of all financial and other information and data publicly available or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11420"/>
          </w:cols>
          <w:pgMar w:left="240" w:top="439" w:right="239" w:bottom="1440" w:gutter="0" w:footer="0" w:header="0"/>
        </w:sectPr>
      </w:pPr>
    </w:p>
    <w:bookmarkStart w:id="328" w:name="page329"/>
    <w:bookmarkEnd w:id="3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 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 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D-2</w:t>
      </w:r>
    </w:p>
    <w:p>
      <w:pPr>
        <w:sectPr>
          <w:pgSz w:w="11900" w:h="16838" w:orient="portrait"/>
          <w:cols w:equalWidth="0" w:num="1">
            <w:col w:w="11400"/>
          </w:cols>
          <w:pgMar w:left="240" w:top="438" w:right="259" w:bottom="1440" w:gutter="0" w:footer="0" w:header="0"/>
        </w:sectPr>
      </w:pPr>
    </w:p>
    <w:bookmarkStart w:id="329" w:name="page330"/>
    <w:bookmarkEnd w:id="3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D-3</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 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 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ectPr>
          <w:pgSz w:w="11900" w:h="16838" w:orient="portrait"/>
          <w:cols w:equalWidth="0" w:num="1">
            <w:col w:w="11420"/>
          </w:cols>
          <w:pgMar w:left="240" w:top="439" w:right="239" w:bottom="1440" w:gutter="0" w:footer="0" w:header="0"/>
        </w:sectPr>
      </w:pPr>
    </w:p>
    <w:bookmarkStart w:id="330" w:name="page331"/>
    <w:bookmarkEnd w:id="3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D-4</w:t>
      </w:r>
    </w:p>
    <w:p>
      <w:pPr>
        <w:sectPr>
          <w:pgSz w:w="11900" w:h="16838" w:orient="portrait"/>
          <w:cols w:equalWidth="0" w:num="1">
            <w:col w:w="11160"/>
          </w:cols>
          <w:pgMar w:left="240" w:top="439" w:right="499" w:bottom="1440" w:gutter="0" w:footer="0" w:header="0"/>
        </w:sectPr>
      </w:pPr>
    </w:p>
    <w:bookmarkStart w:id="331" w:name="page332"/>
    <w:bookmarkEnd w:id="3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10680"/>
        <w:spacing w:after="0"/>
        <w:rPr>
          <w:sz w:val="20"/>
          <w:szCs w:val="20"/>
          <w:color w:val="auto"/>
        </w:rPr>
      </w:pPr>
      <w:r>
        <w:rPr>
          <w:rFonts w:ascii="Arial" w:cs="Arial" w:eastAsia="Arial" w:hAnsi="Arial"/>
          <w:sz w:val="18"/>
          <w:szCs w:val="18"/>
          <w:b w:val="1"/>
          <w:bCs w:val="1"/>
          <w:color w:val="auto"/>
        </w:rPr>
        <w:t>Annex 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MORGAN STANLEY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February 12,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8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You have asked for our opinion as to whether the Exchange Ratio pursuant to the Merger Agreement is fair from a financial point of view to the holders of shares of TWC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opinion set forth herein, we have:</w:t>
      </w:r>
    </w:p>
    <w:p>
      <w:pPr>
        <w:spacing w:after="0" w:line="233" w:lineRule="exact"/>
        <w:rPr>
          <w:sz w:val="20"/>
          <w:szCs w:val="20"/>
          <w:color w:val="auto"/>
        </w:rPr>
      </w:pPr>
    </w:p>
    <w:p>
      <w:pPr>
        <w:ind w:left="460" w:hanging="459"/>
        <w:spacing w:after="0"/>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TWC;</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Reviewed certain financial projections relating to TWC provided to or discussed with us by the management of TWC;</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(the “Comcast Public Projections”);</w:t>
      </w:r>
    </w:p>
    <w:p>
      <w:pPr>
        <w:spacing w:after="0" w:line="233" w:lineRule="exact"/>
        <w:rPr>
          <w:rFonts w:ascii="Arial" w:cs="Arial" w:eastAsia="Arial" w:hAnsi="Arial"/>
          <w:sz w:val="17"/>
          <w:szCs w:val="17"/>
          <w:color w:val="auto"/>
        </w:rPr>
      </w:pPr>
    </w:p>
    <w:p>
      <w:pPr>
        <w:ind w:left="460" w:hanging="459"/>
        <w:spacing w:after="0" w:line="270" w:lineRule="auto"/>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Reviewed information relating to certain strategic, financial and operational benefits (including potential cost savings) anticipated from the Merger prepared by the managements of TWC and Comcast;</w:t>
      </w:r>
    </w:p>
    <w:p>
      <w:pPr>
        <w:spacing w:after="0" w:line="190" w:lineRule="exact"/>
        <w:rPr>
          <w:rFonts w:ascii="Arial" w:cs="Arial" w:eastAsia="Arial" w:hAnsi="Arial"/>
          <w:sz w:val="17"/>
          <w:szCs w:val="17"/>
          <w:color w:val="auto"/>
        </w:rPr>
      </w:pPr>
    </w:p>
    <w:p>
      <w:pPr>
        <w:ind w:left="460" w:right="420" w:hanging="459"/>
        <w:spacing w:after="0" w:line="270" w:lineRule="auto"/>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0" w:lineRule="exact"/>
        <w:rPr>
          <w:rFonts w:ascii="Arial" w:cs="Arial" w:eastAsia="Arial" w:hAnsi="Arial"/>
          <w:sz w:val="17"/>
          <w:szCs w:val="17"/>
          <w:color w:val="auto"/>
        </w:rPr>
      </w:pPr>
    </w:p>
    <w:p>
      <w:pPr>
        <w:ind w:left="460" w:right="220" w:hanging="459"/>
        <w:spacing w:after="0" w:line="270" w:lineRule="auto"/>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0" w:lineRule="exact"/>
        <w:rPr>
          <w:rFonts w:ascii="Arial" w:cs="Arial" w:eastAsia="Arial" w:hAnsi="Arial"/>
          <w:sz w:val="17"/>
          <w:szCs w:val="17"/>
          <w:color w:val="auto"/>
        </w:rPr>
      </w:pPr>
    </w:p>
    <w:p>
      <w:pPr>
        <w:ind w:left="460" w:hanging="459"/>
        <w:spacing w:after="0"/>
        <w:tabs>
          <w:tab w:leader="none" w:pos="4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Comcast’s levered free cash flow per share;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420"/>
          </w:cols>
          <w:pgMar w:left="240" w:top="438" w:right="239" w:bottom="1440" w:gutter="0" w:footer="0" w:header="0"/>
        </w:sectPr>
      </w:pPr>
    </w:p>
    <w:bookmarkStart w:id="332" w:name="page333"/>
    <w:bookmarkEnd w:id="3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Reviewed the reported prices and trading activity for TWC Common Stock and Comcast Class A Common Stock;</w:t>
      </w:r>
    </w:p>
    <w:p>
      <w:pPr>
        <w:spacing w:after="0" w:line="119" w:lineRule="exact"/>
        <w:rPr>
          <w:rFonts w:ascii="Arial" w:cs="Arial" w:eastAsia="Arial" w:hAnsi="Arial"/>
          <w:sz w:val="17"/>
          <w:szCs w:val="17"/>
          <w:color w:val="auto"/>
        </w:rPr>
      </w:pPr>
    </w:p>
    <w:p>
      <w:pPr>
        <w:ind w:left="460" w:right="40" w:hanging="459"/>
        <w:spacing w:after="0" w:line="270" w:lineRule="auto"/>
        <w:tabs>
          <w:tab w:leader="none" w:pos="4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77" w:lineRule="exact"/>
        <w:rPr>
          <w:rFonts w:ascii="Arial" w:cs="Arial" w:eastAsia="Arial" w:hAnsi="Arial"/>
          <w:sz w:val="17"/>
          <w:szCs w:val="17"/>
          <w:color w:val="auto"/>
        </w:rPr>
      </w:pPr>
    </w:p>
    <w:p>
      <w:pPr>
        <w:ind w:left="460" w:hanging="459"/>
        <w:spacing w:after="0"/>
        <w:tabs>
          <w:tab w:leader="none" w:pos="4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Reviewed the financial terms, to the extent publicly available, of certain comparable acquisition transactions;</w:t>
      </w:r>
    </w:p>
    <w:p>
      <w:pPr>
        <w:spacing w:after="0" w:line="119" w:lineRule="exact"/>
        <w:rPr>
          <w:rFonts w:ascii="Arial" w:cs="Arial" w:eastAsia="Arial" w:hAnsi="Arial"/>
          <w:sz w:val="17"/>
          <w:szCs w:val="17"/>
          <w:color w:val="auto"/>
        </w:rPr>
      </w:pPr>
    </w:p>
    <w:p>
      <w:pPr>
        <w:ind w:left="460" w:hanging="459"/>
        <w:spacing w:after="0"/>
        <w:tabs>
          <w:tab w:leader="none" w:pos="46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31" w:lineRule="exact"/>
        <w:rPr>
          <w:rFonts w:ascii="Arial" w:cs="Arial" w:eastAsia="Arial" w:hAnsi="Arial"/>
          <w:sz w:val="16"/>
          <w:szCs w:val="16"/>
          <w:color w:val="auto"/>
        </w:rPr>
      </w:pPr>
    </w:p>
    <w:p>
      <w:pPr>
        <w:ind w:left="460" w:hanging="459"/>
        <w:spacing w:after="0"/>
        <w:tabs>
          <w:tab w:leader="none" w:pos="4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Reviewed the Merger Agreement and certain related documents; and</w:t>
      </w:r>
    </w:p>
    <w:p>
      <w:pPr>
        <w:spacing w:after="0" w:line="119" w:lineRule="exact"/>
        <w:rPr>
          <w:rFonts w:ascii="Arial" w:cs="Arial" w:eastAsia="Arial" w:hAnsi="Arial"/>
          <w:sz w:val="17"/>
          <w:szCs w:val="17"/>
          <w:color w:val="auto"/>
        </w:rPr>
      </w:pPr>
    </w:p>
    <w:p>
      <w:pPr>
        <w:ind w:left="460" w:hanging="459"/>
        <w:spacing w:after="0"/>
        <w:tabs>
          <w:tab w:leader="none" w:pos="4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we have deemed appropriate.</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E-2</w:t>
      </w:r>
    </w:p>
    <w:p>
      <w:pPr>
        <w:sectPr>
          <w:pgSz w:w="11900" w:h="16838" w:orient="portrait"/>
          <w:cols w:equalWidth="0" w:num="1">
            <w:col w:w="11400"/>
          </w:cols>
          <w:pgMar w:left="240" w:top="439" w:right="259" w:bottom="1440" w:gutter="0" w:footer="0" w:header="0"/>
        </w:sectPr>
      </w:pPr>
    </w:p>
    <w:bookmarkStart w:id="333" w:name="page334"/>
    <w:bookmarkEnd w:id="3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assessment of TWC and Comcast and their respective legal, tax or regulatory advisors with respect to legal, tax, or regulatory matters.</w:t>
      </w:r>
    </w:p>
    <w:p>
      <w:pPr>
        <w:spacing w:after="0" w:line="208"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 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57"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E-3</w:t>
      </w:r>
    </w:p>
    <w:p>
      <w:pPr>
        <w:sectPr>
          <w:pgSz w:w="11900" w:h="16838" w:orient="portrait"/>
          <w:cols w:equalWidth="0" w:num="1">
            <w:col w:w="11420"/>
          </w:cols>
          <w:pgMar w:left="240" w:top="439" w:right="239" w:bottom="1440" w:gutter="0" w:footer="0" w:header="0"/>
        </w:sectPr>
      </w:pPr>
    </w:p>
    <w:bookmarkStart w:id="334" w:name="page335"/>
    <w:bookmarkEnd w:id="3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66"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MORGAN STANLEY &amp; CO. LLC</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E-4</w:t>
      </w:r>
    </w:p>
    <w:p>
      <w:pPr>
        <w:sectPr>
          <w:pgSz w:w="11900" w:h="16838" w:orient="portrait"/>
          <w:cols w:equalWidth="0" w:num="1">
            <w:col w:w="11320"/>
          </w:cols>
          <w:pgMar w:left="240" w:top="438" w:right="339" w:bottom="1440" w:gutter="0" w:footer="0" w:header="0"/>
        </w:sectPr>
      </w:pPr>
    </w:p>
    <w:bookmarkStart w:id="335" w:name="page336"/>
    <w:bookmarkEnd w:id="3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31 West 52nd Street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New York, NY 10019</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12,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right="40" w:firstLine="800"/>
        <w:spacing w:after="0" w:line="265"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w:t>
      </w:r>
    </w:p>
    <w:p>
      <w:pPr>
        <w:spacing w:after="0" w:line="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2.8750 (the “Exchange Ratio”) shares of Class A common stock, par value $0.01 per share, of Comcast (“Comcast Class A Common Stock”). The terms and conditions of the Merger are more fully set forth in the Agreement.</w:t>
      </w:r>
    </w:p>
    <w:p>
      <w:pPr>
        <w:spacing w:after="0" w:line="163" w:lineRule="exact"/>
        <w:rPr>
          <w:sz w:val="20"/>
          <w:szCs w:val="20"/>
          <w:color w:val="auto"/>
        </w:rPr>
      </w:pPr>
    </w:p>
    <w:p>
      <w:pPr>
        <w:ind w:right="40" w:firstLine="800"/>
        <w:spacing w:after="0" w:line="256" w:lineRule="auto"/>
        <w:rPr>
          <w:sz w:val="20"/>
          <w:szCs w:val="20"/>
          <w:color w:val="auto"/>
        </w:rPr>
      </w:pPr>
      <w:r>
        <w:rPr>
          <w:rFonts w:ascii="Arial" w:cs="Arial" w:eastAsia="Arial" w:hAnsi="Arial"/>
          <w:sz w:val="18"/>
          <w:szCs w:val="18"/>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70" w:lineRule="exact"/>
        <w:rPr>
          <w:sz w:val="20"/>
          <w:szCs w:val="20"/>
          <w:color w:val="auto"/>
        </w:rPr>
      </w:pPr>
    </w:p>
    <w:p>
      <w:pPr>
        <w:jc w:val="both"/>
        <w:ind w:right="140" w:firstLine="800"/>
        <w:spacing w:after="0" w:line="301" w:lineRule="auto"/>
        <w:rPr>
          <w:sz w:val="20"/>
          <w:szCs w:val="20"/>
          <w:color w:val="auto"/>
        </w:rPr>
      </w:pPr>
      <w:r>
        <w:rPr>
          <w:rFonts w:ascii="Arial" w:cs="Arial" w:eastAsia="Arial" w:hAnsi="Arial"/>
          <w:sz w:val="16"/>
          <w:szCs w:val="16"/>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1420"/>
          </w:cols>
          <w:pgMar w:left="240" w:top="439" w:right="239" w:bottom="1440" w:gutter="0" w:footer="0" w:header="0"/>
        </w:sectPr>
      </w:pPr>
    </w:p>
    <w:bookmarkStart w:id="336" w:name="page337"/>
    <w:bookmarkEnd w:id="3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66" w:lineRule="exact"/>
        <w:rPr>
          <w:sz w:val="20"/>
          <w:szCs w:val="20"/>
          <w:color w:val="auto"/>
        </w:rPr>
      </w:pPr>
    </w:p>
    <w:p>
      <w:pPr>
        <w:ind w:firstLine="800"/>
        <w:spacing w:after="0" w:line="283" w:lineRule="auto"/>
        <w:rPr>
          <w:sz w:val="20"/>
          <w:szCs w:val="20"/>
          <w:color w:val="auto"/>
        </w:rPr>
      </w:pPr>
      <w:r>
        <w:rPr>
          <w:rFonts w:ascii="Arial" w:cs="Arial" w:eastAsia="Arial" w:hAnsi="Arial"/>
          <w:sz w:val="16"/>
          <w:szCs w:val="16"/>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 (v) certain other communications from TWC and Comcast to their respective stockholders; (vi) certain internal information relating to the business, operations, earnings, cash flow, assets, liabilities and prospects of TWC, including certain financial forecasts, analyses and projections relating to TWC prepared by management of TWC and furnished to us by TWC for purposes of our analysis (the “TWC Forecasts”) (collectively, the “TWC Internal Data”), (vii) 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375" w:lineRule="exact"/>
        <w:rPr>
          <w:sz w:val="20"/>
          <w:szCs w:val="20"/>
          <w:color w:val="auto"/>
        </w:rPr>
      </w:pPr>
    </w:p>
    <w:p>
      <w:pPr>
        <w:ind w:right="40" w:firstLine="800"/>
        <w:spacing w:after="0" w:line="292"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F-2</w:t>
      </w:r>
    </w:p>
    <w:p>
      <w:pPr>
        <w:sectPr>
          <w:pgSz w:w="11900" w:h="16838" w:orient="portrait"/>
          <w:cols w:equalWidth="0" w:num="1">
            <w:col w:w="11380"/>
          </w:cols>
          <w:pgMar w:left="240" w:top="439" w:right="279" w:bottom="1440" w:gutter="0" w:footer="0" w:header="0"/>
        </w:sectPr>
      </w:pPr>
    </w:p>
    <w:bookmarkStart w:id="337" w:name="page338"/>
    <w:bookmarkEnd w:id="3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48" w:lineRule="exact"/>
        <w:rPr>
          <w:sz w:val="20"/>
          <w:szCs w:val="20"/>
          <w:color w:val="auto"/>
        </w:rPr>
      </w:pPr>
    </w:p>
    <w:p>
      <w:pPr>
        <w:ind w:right="80" w:firstLine="800"/>
        <w:spacing w:after="0" w:line="266" w:lineRule="auto"/>
        <w:rPr>
          <w:sz w:val="20"/>
          <w:szCs w:val="20"/>
          <w:color w:val="auto"/>
        </w:rPr>
      </w:pPr>
      <w:r>
        <w:rPr>
          <w:rFonts w:ascii="Arial" w:cs="Arial" w:eastAsia="Arial" w:hAnsi="Arial"/>
          <w:sz w:val="17"/>
          <w:szCs w:val="17"/>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70" w:lineRule="exact"/>
        <w:rPr>
          <w:sz w:val="20"/>
          <w:szCs w:val="20"/>
          <w:color w:val="auto"/>
        </w:rPr>
      </w:pPr>
    </w:p>
    <w:p>
      <w:pPr>
        <w:jc w:val="both"/>
        <w:ind w:right="140" w:firstLine="800"/>
        <w:spacing w:after="0" w:line="264" w:lineRule="auto"/>
        <w:rPr>
          <w:sz w:val="20"/>
          <w:szCs w:val="20"/>
          <w:color w:val="auto"/>
        </w:rPr>
      </w:pPr>
      <w:r>
        <w:rPr>
          <w:rFonts w:ascii="Arial" w:cs="Arial" w:eastAsia="Arial" w:hAnsi="Arial"/>
          <w:sz w:val="18"/>
          <w:szCs w:val="18"/>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F-3</w:t>
      </w:r>
    </w:p>
    <w:p>
      <w:pPr>
        <w:sectPr>
          <w:pgSz w:w="11900" w:h="16838" w:orient="portrait"/>
          <w:cols w:equalWidth="0" w:num="1">
            <w:col w:w="11380"/>
          </w:cols>
          <w:pgMar w:left="240" w:top="439" w:right="279" w:bottom="1440" w:gutter="0" w:footer="0" w:header="0"/>
        </w:sectPr>
      </w:pPr>
    </w:p>
    <w:bookmarkStart w:id="338" w:name="page339"/>
    <w:bookmarkEnd w:id="3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51" w:lineRule="exact"/>
        <w:rPr>
          <w:sz w:val="20"/>
          <w:szCs w:val="20"/>
          <w:color w:val="auto"/>
        </w:rPr>
      </w:pPr>
    </w:p>
    <w:p>
      <w:pPr>
        <w:ind w:firstLine="800"/>
        <w:spacing w:after="0" w:line="253" w:lineRule="auto"/>
        <w:rPr>
          <w:sz w:val="20"/>
          <w:szCs w:val="20"/>
          <w:color w:val="auto"/>
        </w:rPr>
      </w:pPr>
      <w:r>
        <w:rPr>
          <w:rFonts w:ascii="Arial" w:cs="Arial" w:eastAsia="Arial" w:hAnsi="Arial"/>
          <w:sz w:val="18"/>
          <w:szCs w:val="18"/>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 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71" w:lineRule="exact"/>
        <w:rPr>
          <w:sz w:val="20"/>
          <w:szCs w:val="20"/>
          <w:color w:val="auto"/>
        </w:rPr>
      </w:pPr>
    </w:p>
    <w:p>
      <w:pPr>
        <w:ind w:firstLine="800"/>
        <w:spacing w:after="0" w:line="256"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70" w:lineRule="exact"/>
        <w:rPr>
          <w:sz w:val="20"/>
          <w:szCs w:val="20"/>
          <w:color w:val="auto"/>
        </w:rPr>
      </w:pPr>
    </w:p>
    <w:p>
      <w:pPr>
        <w:ind w:right="340" w:firstLine="800"/>
        <w:spacing w:after="0" w:line="264"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6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CENTERVIEW PARTNERS LLC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900" w:h="16838" w:orient="portrait"/>
          <w:cols w:equalWidth="0" w:num="1">
            <w:col w:w="11420"/>
          </w:cols>
          <w:pgMar w:left="240" w:top="439" w:right="239" w:bottom="1440" w:gutter="0" w:footer="0" w:header="0"/>
        </w:sectPr>
      </w:pPr>
    </w:p>
    <w:bookmarkStart w:id="339" w:name="page340"/>
    <w:bookmarkEnd w:id="3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161925</wp:posOffset>
            </wp:positionV>
            <wp:extent cx="1241425" cy="2565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41425" cy="25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11420"/>
          </w:cols>
          <w:pgMar w:left="240" w:top="439" w:right="239" w:bottom="1440" w:gutter="0" w:footer="0" w:header="0"/>
        </w:sectPr>
      </w:pPr>
    </w:p>
    <w:bookmarkStart w:id="340" w:name="page341"/>
    <w:bookmarkEnd w:id="3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7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opinion is necessarily based on economic, market and other conditions as in effect on, and the information made available to us as of, the date hereof. It should be understood that subsequent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G-2</w:t>
      </w:r>
    </w:p>
    <w:p>
      <w:pPr>
        <w:sectPr>
          <w:pgSz w:w="11900" w:h="16838" w:orient="portrait"/>
          <w:cols w:equalWidth="0" w:num="1">
            <w:col w:w="11420"/>
          </w:cols>
          <w:pgMar w:left="240" w:top="439" w:right="239" w:bottom="1440" w:gutter="0" w:footer="0" w:header="0"/>
        </w:sectPr>
      </w:pPr>
    </w:p>
    <w:bookmarkStart w:id="341" w:name="page342"/>
    <w:bookmarkEnd w:id="3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We are expressing no opinion herein as to the price at which the Merger Partner Common Stock or the Company Common Stock will trade at any future time.</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5" w:lineRule="exact"/>
        <w:rPr>
          <w:sz w:val="20"/>
          <w:szCs w:val="20"/>
          <w:color w:val="auto"/>
        </w:rPr>
      </w:pPr>
    </w:p>
    <w:p>
      <w:pPr>
        <w:ind w:right="360"/>
        <w:spacing w:after="0" w:line="280"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Company.</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 Morgan Securities LLC</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G-3</w:t>
      </w:r>
    </w:p>
    <w:p>
      <w:pPr>
        <w:sectPr>
          <w:pgSz w:w="11900" w:h="16838" w:orient="portrait"/>
          <w:cols w:equalWidth="0" w:num="1">
            <w:col w:w="11360"/>
          </w:cols>
          <w:pgMar w:left="240" w:top="439" w:right="299" w:bottom="1440" w:gutter="0" w:footer="0" w:header="0"/>
        </w:sectPr>
      </w:pPr>
    </w:p>
    <w:bookmarkStart w:id="342" w:name="page343"/>
    <w:bookmarkEnd w:id="3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Indemnification under Pennsylvania Law and Comcast’s Articles of Incorporation and By-laws.</w:t>
      </w:r>
    </w:p>
    <w:p>
      <w:pPr>
        <w:spacing w:after="0" w:line="208" w:lineRule="exact"/>
        <w:rPr>
          <w:sz w:val="20"/>
          <w:szCs w:val="20"/>
          <w:color w:val="auto"/>
        </w:rPr>
      </w:pPr>
    </w:p>
    <w:p>
      <w:pPr>
        <w:ind w:right="580" w:firstLine="457"/>
        <w:spacing w:after="0" w:line="270" w:lineRule="auto"/>
        <w:rPr>
          <w:sz w:val="20"/>
          <w:szCs w:val="20"/>
          <w:color w:val="auto"/>
        </w:rPr>
      </w:pPr>
      <w:r>
        <w:rPr>
          <w:rFonts w:ascii="Arial" w:cs="Arial" w:eastAsia="Arial" w:hAnsi="Arial"/>
          <w:sz w:val="17"/>
          <w:szCs w:val="17"/>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66"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7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9"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6"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w:t>
      </w:r>
    </w:p>
    <w:p>
      <w:pPr>
        <w:ind w:right="460" w:firstLine="1"/>
        <w:spacing w:after="0" w:line="286" w:lineRule="auto"/>
        <w:tabs>
          <w:tab w:leader="none" w:pos="201"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55" w:lineRule="exact"/>
        <w:rPr>
          <w:sz w:val="20"/>
          <w:szCs w:val="20"/>
          <w:color w:val="auto"/>
        </w:rPr>
      </w:pPr>
    </w:p>
    <w:p>
      <w:pPr>
        <w:jc w:val="both"/>
        <w:ind w:right="120" w:firstLine="457"/>
        <w:spacing w:after="0" w:line="276"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63" w:lineRule="exact"/>
        <w:rPr>
          <w:sz w:val="20"/>
          <w:szCs w:val="20"/>
          <w:color w:val="auto"/>
        </w:rPr>
      </w:pPr>
    </w:p>
    <w:p>
      <w:pPr>
        <w:ind w:right="180" w:firstLine="457"/>
        <w:spacing w:after="0" w:line="289" w:lineRule="auto"/>
        <w:rPr>
          <w:sz w:val="20"/>
          <w:szCs w:val="20"/>
          <w:color w:val="auto"/>
        </w:rPr>
      </w:pPr>
      <w:r>
        <w:rPr>
          <w:rFonts w:ascii="Arial" w:cs="Arial" w:eastAsia="Arial" w:hAnsi="Arial"/>
          <w:sz w:val="15"/>
          <w:szCs w:val="15"/>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w:t>
      </w:r>
    </w:p>
    <w:p>
      <w:pPr>
        <w:jc w:val="both"/>
        <w:ind w:right="260"/>
        <w:spacing w:after="0" w:line="251" w:lineRule="auto"/>
        <w:rPr>
          <w:sz w:val="20"/>
          <w:szCs w:val="20"/>
          <w:color w:val="auto"/>
        </w:rPr>
      </w:pPr>
      <w:r>
        <w:rPr>
          <w:rFonts w:ascii="Arial" w:cs="Arial" w:eastAsia="Arial" w:hAnsi="Arial"/>
          <w:sz w:val="17"/>
          <w:szCs w:val="17"/>
          <w:color w:val="auto"/>
        </w:rPr>
        <w:t>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39" w:right="239" w:bottom="1440" w:gutter="0" w:footer="0" w:header="0"/>
        </w:sectPr>
      </w:pPr>
    </w:p>
    <w:bookmarkStart w:id="343" w:name="page344"/>
    <w:bookmarkEnd w:id="3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20" w:firstLine="457"/>
        <w:spacing w:after="0" w:line="258"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77" w:lineRule="exact"/>
        <w:rPr>
          <w:sz w:val="20"/>
          <w:szCs w:val="20"/>
          <w:color w:val="auto"/>
        </w:rPr>
      </w:pPr>
    </w:p>
    <w:p>
      <w:pPr>
        <w:jc w:val="both"/>
        <w:ind w:right="140" w:firstLine="457"/>
        <w:spacing w:after="0" w:line="30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2"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77"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7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foregoing statements are subject to the detailed provisions of the PBCL and to the applicable provisions of Comcast’s articles and by-laws.</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439" w:right="239" w:bottom="1440" w:gutter="0" w:footer="0" w:header="0"/>
        </w:sectPr>
      </w:pPr>
    </w:p>
    <w:bookmarkStart w:id="344" w:name="page345"/>
    <w:bookmarkEnd w:id="3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 and Financial Statement Schedules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The following exhibits are filed herewith or incorporated herein by reference: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580" w:type="dxa"/>
            <w:vAlign w:val="bottom"/>
            <w:vMerge w:val="restart"/>
          </w:tcPr>
          <w:p>
            <w:pPr>
              <w:spacing w:after="0"/>
              <w:rPr>
                <w:sz w:val="13"/>
                <w:szCs w:val="13"/>
                <w:color w:val="auto"/>
              </w:rPr>
            </w:pPr>
          </w:p>
        </w:tc>
        <w:tc>
          <w:tcPr>
            <w:tcW w:w="5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580" w:type="dxa"/>
            <w:vAlign w:val="bottom"/>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Agreement and Plan of Merger, dated as of February 12, 2014, among Time Warner Cable Inc., Comcast Corporation and Tango Acquisition Sub,</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Inc. (included as Annex A to the joint proxy statement/prospectus forming part of this registration statement) (schedules have been omitted pursuant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3"/>
              </w:rPr>
              <w:t>Voting Agreement, dated as of February 12, 2014, among Time Warner Cable Inc., Brian L. Roberts, BRCC Holdings LLC, Irrevocable Deed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Trust of Brian L. Roberts for Children and Other Issue dated June 10, 1998 and Irrevocable Deed of Trust of Ralph J. Roberts for Brian L. Roberts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and Other Beneficiaries dated May 11, 1993 (included as Annex B to the joint proxy statement/prospectus forming part of this registration statement)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(schedules 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Amended and Restated Articles of Incorporation of Comcast Corporation (incorporated by reference to Exhibit 3.1 to Comcast’s Quarterly Report on</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Form 10-Q for the quarter ended June 30,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Amended and Restated By-Laws of Comcast Corporation (incorporated by reference to Exhibit 3.1 to Comcast’s Current Report on Form 8-K filed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on November 23,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4"/>
              </w:rPr>
              <w:t>Specimen Class A Common Stock Certificate (incorporated by reference to Exhibit 4.1 to Comcast’s Annual Report on Form 10-K for the year</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ended December 31, 2002 (SEC File No.: 000-50093)).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Indenture, dated January 7, 2003, between Comcast Corporation, the subsidiary guarantor party thereto, and The Bank of New York Mellon (f/k/a</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7"/>
              </w:rPr>
              <w:t>The Bank of New York), as trustee (incorporated by reference to Exhibit 4.4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4.3</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Supplemental Indenture, dated March 25, 2003, to the Indenture between Comcast Corporation, the subsidiary guarantors party thereto, and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Bank of New York Mellon (f/k/a The Bank of New York), as trustee, dated January 7, 2003 (incorporated by reference to Exhibit 4.5 to Comcast’s</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Annual Report on Form 10-K for the year ended 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4.4</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Second Supplemental Indenture, dated August 31, 2009,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The Bank of New York Mellon, as trustee, dated January 7, 2003, as supplemented by a First Supplemental Indenture dated March 25, 2003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4.5</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Third Supplemental Indenture, dated March 27, 2013,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The Bank of New York Mellon (f/k/a The Bank of New York), as trustee, dated January 7, 2003, as supplemented by a First Supplemental Indenture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dated March 25, 2003 and a second Supplemental Indenture dated August 31, 2009 (incorporated by reference to Exhibit 4.4 to Comcast’s Quarterly</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Report on Form 10-Q for the 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4.6</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Indenture, dated as of April 30, 2010, between NBC Universal, Inc. (n/k/a NBCUniversal Media, LLC) and The Bank of New York Mellon, as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trustee (incorporated by reference to Exhibit 4.1 to the Registration Statement on Form S-4 of NBCUniversal Media, LLC (SEC File No. 333-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174175) filed on May 13,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4.7</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First Supplemental Indenture, dated March 27, 2013, to the Indenture between NBCUniversal Media, LLC (f/k/a NBC Universal, Inc.) and The Bank</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of New York Mellon, as trustee, dated April 30, 2010 (incorporated by reference to Exhibit 4.3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39" w:right="239" w:bottom="1440" w:gutter="0" w:footer="0" w:header="0"/>
        </w:sectPr>
      </w:pPr>
    </w:p>
    <w:bookmarkStart w:id="345" w:name="page346"/>
    <w:bookmarkEnd w:id="3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10940" w:type="dxa"/>
            <w:vAlign w:val="bottom"/>
            <w:gridSpan w:val="3"/>
            <w:vMerge w:val="restart"/>
          </w:tcPr>
          <w:p>
            <w:pPr>
              <w:ind w:left="55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Number</w:t>
            </w:r>
          </w:p>
        </w:tc>
        <w:tc>
          <w:tcPr>
            <w:tcW w:w="10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4.8</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Indenture, dated March 19, 2013, among NBCUniversal Enterprise, Inc. (f/k/a Navy Holdings, Inc.), Comcast Corporation, the Cable Guarantors party</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thereto, and The Bank of New York Mellon, as trustee (incorporated by reference to Exhibit 4.1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4.9</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Certain instruments defining the rights of holders of long-term obligations of Comcast Corporation and certain of its subsidiaries (the total amount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88"/>
              </w:rPr>
              <w:t>securities authorized under each of which does not exceed ten percent of the total assets of Comcast Corporation and its subsidiaries on a consolidated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basis), are omitted pursuant to Item 601(b)(4)(iii)(A) of Regulation S-K. We agree to furnish copies of any such instruments to the SEC upon request.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Davis Polk &amp; Wardwell LLP.*</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Paul, Weiss, Rifkind, Wharton &amp; Garrison LLP.*</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21.1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6"/>
              </w:rPr>
              <w:t>Subsidiaries of Comcast Corporation (incorporated by reference to Exhibit 21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December 31, 2013).</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24.1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Power of Attorney (included in the signature page to the filing of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J.P. Morgan Securities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Allen &amp; Company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Citigroup Global Markets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99.6</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Morgan Stanley &amp; Co.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99.7</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To be filed by amendment.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20"/>
          </w:cols>
          <w:pgMar w:left="240" w:top="439" w:right="239" w:bottom="1440" w:gutter="0" w:footer="0" w:header="0"/>
        </w:sectPr>
      </w:pPr>
    </w:p>
    <w:bookmarkStart w:id="346" w:name="page347"/>
    <w:bookmarkEnd w:id="3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Undertakings</w:t>
      </w:r>
    </w:p>
    <w:p>
      <w:pPr>
        <w:spacing w:after="0" w:line="124" w:lineRule="exact"/>
        <w:rPr>
          <w:sz w:val="20"/>
          <w:szCs w:val="20"/>
          <w:color w:val="auto"/>
        </w:rPr>
      </w:pPr>
    </w:p>
    <w:p>
      <w:pPr>
        <w:ind w:left="900" w:hanging="445"/>
        <w:spacing w:after="0"/>
        <w:tabs>
          <w:tab w:leader="none" w:pos="90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119" w:lineRule="exact"/>
        <w:rPr>
          <w:rFonts w:ascii="Arial" w:cs="Arial" w:eastAsia="Arial" w:hAnsi="Arial"/>
          <w:sz w:val="17"/>
          <w:szCs w:val="17"/>
          <w:color w:val="auto"/>
        </w:rPr>
      </w:pPr>
    </w:p>
    <w:p>
      <w:pPr>
        <w:ind w:left="1480" w:hanging="571"/>
        <w:spacing w:after="0"/>
        <w:tabs>
          <w:tab w:leader="none" w:pos="14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9" w:lineRule="exact"/>
        <w:rPr>
          <w:rFonts w:ascii="Arial" w:cs="Arial" w:eastAsia="Arial" w:hAnsi="Arial"/>
          <w:sz w:val="17"/>
          <w:szCs w:val="17"/>
          <w:color w:val="auto"/>
        </w:rPr>
      </w:pPr>
    </w:p>
    <w:p>
      <w:pPr>
        <w:ind w:left="1940" w:hanging="464"/>
        <w:spacing w:after="0"/>
        <w:tabs>
          <w:tab w:leader="none" w:pos="194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19" w:lineRule="exact"/>
        <w:rPr>
          <w:rFonts w:ascii="Arial" w:cs="Arial" w:eastAsia="Arial" w:hAnsi="Arial"/>
          <w:sz w:val="17"/>
          <w:szCs w:val="17"/>
          <w:color w:val="auto"/>
        </w:rPr>
      </w:pPr>
    </w:p>
    <w:p>
      <w:pPr>
        <w:ind w:left="1940" w:right="120" w:hanging="464"/>
        <w:spacing w:after="0" w:line="269" w:lineRule="auto"/>
        <w:tabs>
          <w:tab w:leader="none" w:pos="1940" w:val="left"/>
        </w:tabs>
        <w:numPr>
          <w:ilvl w:val="2"/>
          <w:numId w:val="35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2" w:lineRule="exact"/>
        <w:rPr>
          <w:rFonts w:ascii="Arial" w:cs="Arial" w:eastAsia="Arial" w:hAnsi="Arial"/>
          <w:sz w:val="16"/>
          <w:szCs w:val="16"/>
          <w:color w:val="auto"/>
        </w:rPr>
      </w:pPr>
    </w:p>
    <w:p>
      <w:pPr>
        <w:ind w:left="1940" w:right="400" w:hanging="464"/>
        <w:spacing w:after="0" w:line="270" w:lineRule="auto"/>
        <w:tabs>
          <w:tab w:leader="none" w:pos="194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77" w:lineRule="exact"/>
        <w:rPr>
          <w:rFonts w:ascii="Arial" w:cs="Arial" w:eastAsia="Arial" w:hAnsi="Arial"/>
          <w:sz w:val="17"/>
          <w:szCs w:val="17"/>
          <w:color w:val="auto"/>
        </w:rPr>
      </w:pPr>
    </w:p>
    <w:p>
      <w:pPr>
        <w:ind w:left="1480" w:right="140" w:hanging="571"/>
        <w:spacing w:after="0" w:line="258" w:lineRule="auto"/>
        <w:tabs>
          <w:tab w:leader="none" w:pos="14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Arial" w:cs="Arial" w:eastAsia="Arial" w:hAnsi="Arial"/>
          <w:sz w:val="17"/>
          <w:szCs w:val="17"/>
          <w:color w:val="auto"/>
        </w:rPr>
      </w:pPr>
    </w:p>
    <w:p>
      <w:pPr>
        <w:ind w:left="1480" w:right="80" w:hanging="571"/>
        <w:spacing w:after="0" w:line="270" w:lineRule="auto"/>
        <w:tabs>
          <w:tab w:leader="none" w:pos="14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7" w:lineRule="exact"/>
        <w:rPr>
          <w:rFonts w:ascii="Arial" w:cs="Arial" w:eastAsia="Arial" w:hAnsi="Arial"/>
          <w:sz w:val="17"/>
          <w:szCs w:val="17"/>
          <w:color w:val="auto"/>
        </w:rPr>
      </w:pPr>
    </w:p>
    <w:p>
      <w:pPr>
        <w:ind w:left="1480" w:hanging="571"/>
        <w:spacing w:after="0" w:line="268" w:lineRule="auto"/>
        <w:tabs>
          <w:tab w:leader="none" w:pos="148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6"/>
          <w:szCs w:val="16"/>
          <w:color w:val="auto"/>
        </w:rPr>
      </w:pPr>
    </w:p>
    <w:p>
      <w:pPr>
        <w:ind w:left="1480" w:hanging="571"/>
        <w:spacing w:after="0" w:line="253" w:lineRule="auto"/>
        <w:tabs>
          <w:tab w:leader="none" w:pos="14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rFonts w:ascii="Arial" w:cs="Arial" w:eastAsia="Arial" w:hAnsi="Arial"/>
          <w:sz w:val="17"/>
          <w:szCs w:val="17"/>
          <w:color w:val="auto"/>
        </w:rPr>
      </w:pPr>
    </w:p>
    <w:p>
      <w:pPr>
        <w:ind w:left="1940" w:hanging="464"/>
        <w:spacing w:after="0"/>
        <w:tabs>
          <w:tab w:leader="none" w:pos="1940" w:val="left"/>
        </w:tabs>
        <w:numPr>
          <w:ilvl w:val="2"/>
          <w:numId w:val="354"/>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5"/>
          <w:szCs w:val="15"/>
          <w:color w:val="auto"/>
        </w:rPr>
      </w:pPr>
    </w:p>
    <w:p>
      <w:pPr>
        <w:ind w:left="1940" w:right="480" w:hanging="464"/>
        <w:spacing w:after="0" w:line="270" w:lineRule="auto"/>
        <w:tabs>
          <w:tab w:leader="none" w:pos="194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420"/>
          </w:cols>
          <w:pgMar w:left="240" w:top="439" w:right="239" w:bottom="1440" w:gutter="0" w:footer="0" w:header="0"/>
        </w:sectPr>
      </w:pPr>
    </w:p>
    <w:bookmarkStart w:id="347" w:name="page348"/>
    <w:bookmarkEnd w:id="3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940" w:right="140" w:hanging="464"/>
        <w:spacing w:after="0" w:line="270" w:lineRule="auto"/>
        <w:tabs>
          <w:tab w:leader="none" w:pos="1940" w:val="left"/>
        </w:tabs>
        <w:numPr>
          <w:ilvl w:val="2"/>
          <w:numId w:val="355"/>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77" w:lineRule="exact"/>
        <w:rPr>
          <w:rFonts w:ascii="Arial" w:cs="Arial" w:eastAsia="Arial" w:hAnsi="Arial"/>
          <w:sz w:val="17"/>
          <w:szCs w:val="17"/>
          <w:color w:val="auto"/>
        </w:rPr>
      </w:pPr>
    </w:p>
    <w:p>
      <w:pPr>
        <w:ind w:left="1940" w:hanging="464"/>
        <w:spacing w:after="0"/>
        <w:tabs>
          <w:tab w:leader="none" w:pos="1940" w:val="left"/>
        </w:tabs>
        <w:numPr>
          <w:ilvl w:val="2"/>
          <w:numId w:val="355"/>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19" w:lineRule="exact"/>
        <w:rPr>
          <w:rFonts w:ascii="Arial" w:cs="Arial" w:eastAsia="Arial" w:hAnsi="Arial"/>
          <w:sz w:val="17"/>
          <w:szCs w:val="17"/>
          <w:color w:val="auto"/>
        </w:rPr>
      </w:pPr>
    </w:p>
    <w:p>
      <w:pPr>
        <w:ind w:left="900" w:hanging="445"/>
        <w:spacing w:after="0" w:line="253" w:lineRule="auto"/>
        <w:tabs>
          <w:tab w:leader="none" w:pos="9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7"/>
          <w:szCs w:val="17"/>
          <w:color w:val="auto"/>
        </w:rPr>
      </w:pPr>
    </w:p>
    <w:p>
      <w:pPr>
        <w:ind w:left="900" w:right="100" w:hanging="445"/>
        <w:spacing w:after="0" w:line="276"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4" w:lineRule="exact"/>
        <w:rPr>
          <w:rFonts w:ascii="Arial" w:cs="Arial" w:eastAsia="Arial" w:hAnsi="Arial"/>
          <w:sz w:val="16"/>
          <w:szCs w:val="16"/>
          <w:color w:val="auto"/>
        </w:rPr>
      </w:pPr>
    </w:p>
    <w:p>
      <w:pPr>
        <w:ind w:left="1480" w:right="100" w:hanging="571"/>
        <w:spacing w:after="0" w:line="295" w:lineRule="auto"/>
        <w:tabs>
          <w:tab w:leader="none" w:pos="1480" w:val="left"/>
        </w:tabs>
        <w:numPr>
          <w:ilvl w:val="1"/>
          <w:numId w:val="356"/>
        </w:numPr>
        <w:rPr>
          <w:rFonts w:ascii="Arial" w:cs="Arial" w:eastAsia="Arial" w:hAnsi="Arial"/>
          <w:sz w:val="15"/>
          <w:szCs w:val="15"/>
          <w:color w:val="auto"/>
        </w:rPr>
      </w:pPr>
      <w:r>
        <w:rPr>
          <w:rFonts w:ascii="Arial" w:cs="Arial" w:eastAsia="Arial" w:hAnsi="Arial"/>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left="900" w:right="40" w:hanging="445"/>
        <w:spacing w:after="0" w:line="268"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4" w:lineRule="exact"/>
        <w:rPr>
          <w:rFonts w:ascii="Arial" w:cs="Arial" w:eastAsia="Arial" w:hAnsi="Arial"/>
          <w:sz w:val="16"/>
          <w:szCs w:val="16"/>
          <w:color w:val="auto"/>
        </w:rPr>
      </w:pPr>
    </w:p>
    <w:p>
      <w:pPr>
        <w:ind w:left="900" w:right="40" w:hanging="445"/>
        <w:spacing w:after="0" w:line="255" w:lineRule="auto"/>
        <w:tabs>
          <w:tab w:leader="none" w:pos="9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9" w:lineRule="exact"/>
        <w:rPr>
          <w:rFonts w:ascii="Arial" w:cs="Arial" w:eastAsia="Arial" w:hAnsi="Arial"/>
          <w:sz w:val="17"/>
          <w:szCs w:val="17"/>
          <w:color w:val="auto"/>
        </w:rPr>
      </w:pPr>
    </w:p>
    <w:p>
      <w:pPr>
        <w:ind w:left="900" w:right="40" w:hanging="445"/>
        <w:spacing w:after="0" w:line="302"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439" w:right="239" w:bottom="1440" w:gutter="0" w:footer="0" w:header="0"/>
        </w:sectPr>
      </w:pPr>
    </w:p>
    <w:bookmarkStart w:id="348" w:name="page349"/>
    <w:bookmarkEnd w:id="3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AND POWER OF ATTORNEY FOR COMCAST CORPORATION</w:t>
      </w:r>
    </w:p>
    <w:p>
      <w:pPr>
        <w:spacing w:after="0" w:line="212" w:lineRule="exact"/>
        <w:rPr>
          <w:sz w:val="20"/>
          <w:szCs w:val="20"/>
          <w:color w:val="auto"/>
        </w:rPr>
      </w:pPr>
    </w:p>
    <w:p>
      <w:pPr>
        <w:ind w:right="460" w:firstLine="457"/>
        <w:spacing w:after="0" w:line="270"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March 20, 2014.</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COMCAST CORPORATION</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14"/>
        </w:trPr>
        <w:tc>
          <w:tcPr>
            <w:tcW w:w="960" w:type="dxa"/>
            <w:vAlign w:val="bottom"/>
            <w:gridSpan w:val="2"/>
          </w:tcPr>
          <w:p>
            <w:pPr>
              <w:spacing w:after="0"/>
              <w:rPr>
                <w:sz w:val="20"/>
                <w:szCs w:val="20"/>
                <w:color w:val="auto"/>
              </w:rPr>
            </w:pPr>
            <w:r>
              <w:rPr>
                <w:rFonts w:ascii="Arial" w:cs="Arial" w:eastAsia="Arial" w:hAnsi="Arial"/>
                <w:sz w:val="17"/>
                <w:szCs w:val="17"/>
                <w:color w:val="auto"/>
              </w:rPr>
              <w:t>By:</w:t>
            </w:r>
          </w:p>
        </w:tc>
        <w:tc>
          <w:tcPr>
            <w:tcW w:w="3600" w:type="dxa"/>
            <w:vAlign w:val="bottom"/>
          </w:tcPr>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B</w:t>
            </w:r>
            <w:r>
              <w:rPr>
                <w:rFonts w:ascii="Arial" w:cs="Arial" w:eastAsia="Arial" w:hAnsi="Arial"/>
                <w:sz w:val="14"/>
                <w:szCs w:val="14"/>
                <w:color w:val="auto"/>
              </w:rPr>
              <w:t>RIAN</w:t>
            </w:r>
            <w:r>
              <w:rPr>
                <w:rFonts w:ascii="Arial" w:cs="Arial" w:eastAsia="Arial" w:hAnsi="Arial"/>
                <w:sz w:val="17"/>
                <w:szCs w:val="17"/>
                <w:color w:val="auto"/>
              </w:rPr>
              <w:t xml:space="preserve"> L. R</w:t>
            </w:r>
            <w:r>
              <w:rPr>
                <w:rFonts w:ascii="Arial" w:cs="Arial" w:eastAsia="Arial" w:hAnsi="Arial"/>
                <w:sz w:val="14"/>
                <w:szCs w:val="14"/>
                <w:color w:val="auto"/>
              </w:rPr>
              <w:t>OBERTS</w:t>
            </w:r>
          </w:p>
        </w:tc>
      </w:tr>
      <w:tr>
        <w:trPr>
          <w:trHeight w:val="182"/>
        </w:trPr>
        <w:tc>
          <w:tcPr>
            <w:tcW w:w="280" w:type="dxa"/>
            <w:vAlign w:val="bottom"/>
          </w:tcPr>
          <w:p>
            <w:pPr>
              <w:spacing w:after="0"/>
              <w:rPr>
                <w:sz w:val="15"/>
                <w:szCs w:val="15"/>
                <w:color w:val="auto"/>
              </w:rPr>
            </w:pPr>
          </w:p>
        </w:tc>
        <w:tc>
          <w:tcPr>
            <w:tcW w:w="68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7"/>
                <w:szCs w:val="17"/>
                <w:color w:val="auto"/>
              </w:rPr>
              <w:t>Name:</w:t>
            </w:r>
          </w:p>
        </w:tc>
        <w:tc>
          <w:tcPr>
            <w:tcW w:w="360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7"/>
                <w:szCs w:val="17"/>
                <w:color w:val="auto"/>
              </w:rPr>
              <w:t>Brian L. Roberts</w:t>
            </w:r>
          </w:p>
        </w:tc>
      </w:tr>
      <w:tr>
        <w:trPr>
          <w:trHeight w:val="214"/>
        </w:trPr>
        <w:tc>
          <w:tcPr>
            <w:tcW w:w="28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7"/>
                <w:szCs w:val="17"/>
                <w:color w:val="auto"/>
              </w:rPr>
              <w:t>Title:</w:t>
            </w:r>
          </w:p>
        </w:tc>
        <w:tc>
          <w:tcPr>
            <w:tcW w:w="3600" w:type="dxa"/>
            <w:vAlign w:val="bottom"/>
          </w:tcPr>
          <w:p>
            <w:pPr>
              <w:ind w:left="180"/>
              <w:spacing w:after="0"/>
              <w:rPr>
                <w:sz w:val="20"/>
                <w:szCs w:val="20"/>
                <w:color w:val="auto"/>
              </w:rPr>
            </w:pPr>
            <w:r>
              <w:rPr>
                <w:rFonts w:ascii="Arial" w:cs="Arial" w:eastAsia="Arial" w:hAnsi="Arial"/>
                <w:sz w:val="17"/>
                <w:szCs w:val="17"/>
                <w:color w:val="auto"/>
              </w:rPr>
              <w:t>Chairman and Chief Executive Officer</w:t>
            </w:r>
          </w:p>
        </w:tc>
      </w:tr>
    </w:tbl>
    <w:p>
      <w:pPr>
        <w:spacing w:after="0" w:line="190"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85"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2260" w:type="dxa"/>
            <w:vAlign w:val="bottom"/>
          </w:tcPr>
          <w:p>
            <w:pPr>
              <w:spacing w:after="0"/>
              <w:rPr>
                <w:sz w:val="14"/>
                <w:szCs w:val="14"/>
                <w:color w:val="auto"/>
              </w:rPr>
            </w:pPr>
          </w:p>
        </w:tc>
        <w:tc>
          <w:tcPr>
            <w:tcW w:w="4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Title</w:t>
            </w:r>
          </w:p>
        </w:tc>
        <w:tc>
          <w:tcPr>
            <w:tcW w:w="840" w:type="dxa"/>
            <w:vAlign w:val="bottom"/>
          </w:tcPr>
          <w:p>
            <w:pPr>
              <w:spacing w:after="0"/>
              <w:rPr>
                <w:sz w:val="14"/>
                <w:szCs w:val="14"/>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3"/>
        </w:trPr>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3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7"/>
                <w:szCs w:val="17"/>
                <w:color w:val="auto"/>
                <w:w w:val="95"/>
              </w:rPr>
              <w:t>B</w:t>
            </w:r>
            <w:r>
              <w:rPr>
                <w:rFonts w:ascii="Arial" w:cs="Arial" w:eastAsia="Arial" w:hAnsi="Arial"/>
                <w:sz w:val="14"/>
                <w:szCs w:val="14"/>
                <w:color w:val="auto"/>
                <w:w w:val="95"/>
              </w:rPr>
              <w:t>RIAN</w:t>
            </w:r>
            <w:r>
              <w:rPr>
                <w:rFonts w:ascii="Arial" w:cs="Arial" w:eastAsia="Arial" w:hAnsi="Arial"/>
                <w:sz w:val="17"/>
                <w:szCs w:val="17"/>
                <w:color w:val="auto"/>
                <w:w w:val="95"/>
              </w:rPr>
              <w:t xml:space="preserve"> L. R</w:t>
            </w:r>
            <w:r>
              <w:rPr>
                <w:rFonts w:ascii="Arial" w:cs="Arial" w:eastAsia="Arial" w:hAnsi="Arial"/>
                <w:sz w:val="14"/>
                <w:szCs w:val="14"/>
                <w:color w:val="auto"/>
                <w:w w:val="95"/>
              </w:rPr>
              <w:t>OBERTS</w:t>
            </w:r>
          </w:p>
        </w:tc>
        <w:tc>
          <w:tcPr>
            <w:tcW w:w="432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Chairman and CEO; Director (Principal Executive</w:t>
            </w:r>
          </w:p>
        </w:tc>
        <w:tc>
          <w:tcPr>
            <w:tcW w:w="1520" w:type="dxa"/>
            <w:vAlign w:val="bottom"/>
            <w:gridSpan w:val="3"/>
          </w:tcPr>
          <w:p>
            <w:pPr>
              <w:jc w:val="center"/>
              <w:ind w:left="356"/>
              <w:spacing w:after="0"/>
              <w:rPr>
                <w:sz w:val="20"/>
                <w:szCs w:val="20"/>
                <w:color w:val="auto"/>
              </w:rPr>
            </w:pPr>
            <w:r>
              <w:rPr>
                <w:rFonts w:ascii="Arial" w:cs="Arial" w:eastAsia="Arial" w:hAnsi="Arial"/>
                <w:sz w:val="17"/>
                <w:szCs w:val="17"/>
                <w:color w:val="auto"/>
                <w:w w:val="91"/>
              </w:rPr>
              <w:t>March 20, 2014</w:t>
            </w:r>
          </w:p>
        </w:tc>
      </w:tr>
      <w:tr>
        <w:trPr>
          <w:trHeight w:val="207"/>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91"/>
              </w:rPr>
              <w:t>Brian L. Roberts</w:t>
            </w:r>
          </w:p>
        </w:tc>
        <w:tc>
          <w:tcPr>
            <w:tcW w:w="4320" w:type="dxa"/>
            <w:vAlign w:val="bottom"/>
            <w:gridSpan w:val="3"/>
          </w:tcPr>
          <w:p>
            <w:pPr>
              <w:jc w:val="center"/>
              <w:ind w:right="180"/>
              <w:spacing w:after="0" w:line="194" w:lineRule="exact"/>
              <w:rPr>
                <w:sz w:val="20"/>
                <w:szCs w:val="20"/>
                <w:color w:val="auto"/>
              </w:rPr>
            </w:pPr>
            <w:r>
              <w:rPr>
                <w:rFonts w:ascii="Arial" w:cs="Arial" w:eastAsia="Arial" w:hAnsi="Arial"/>
                <w:sz w:val="17"/>
                <w:szCs w:val="17"/>
                <w:color w:val="auto"/>
                <w:w w:val="96"/>
              </w:rPr>
              <w:t>Officer)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4"/>
                <w:szCs w:val="14"/>
                <w:color w:val="auto"/>
                <w:w w:val="95"/>
              </w:rPr>
              <w:t>S</w:t>
            </w:r>
            <w:r>
              <w:rPr>
                <w:rFonts w:ascii="Arial" w:cs="Arial" w:eastAsia="Arial" w:hAnsi="Arial"/>
                <w:sz w:val="17"/>
                <w:szCs w:val="17"/>
                <w:color w:val="auto"/>
                <w:w w:val="95"/>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1"/>
              </w:rPr>
              <w:t>R</w:t>
            </w:r>
            <w:r>
              <w:rPr>
                <w:rFonts w:ascii="Arial" w:cs="Arial" w:eastAsia="Arial" w:hAnsi="Arial"/>
                <w:sz w:val="14"/>
                <w:szCs w:val="14"/>
                <w:color w:val="auto"/>
                <w:w w:val="91"/>
              </w:rPr>
              <w:t>ALPH</w:t>
            </w:r>
            <w:r>
              <w:rPr>
                <w:rFonts w:ascii="Arial" w:cs="Arial" w:eastAsia="Arial" w:hAnsi="Arial"/>
                <w:sz w:val="17"/>
                <w:szCs w:val="17"/>
                <w:color w:val="auto"/>
                <w:w w:val="91"/>
              </w:rPr>
              <w:t xml:space="preserve"> J. R</w:t>
            </w:r>
            <w:r>
              <w:rPr>
                <w:rFonts w:ascii="Arial" w:cs="Arial" w:eastAsia="Arial" w:hAnsi="Arial"/>
                <w:sz w:val="14"/>
                <w:szCs w:val="14"/>
                <w:color w:val="auto"/>
                <w:w w:val="91"/>
              </w:rPr>
              <w:t>OBERTS</w:t>
            </w:r>
          </w:p>
        </w:tc>
        <w:tc>
          <w:tcPr>
            <w:tcW w:w="4320" w:type="dxa"/>
            <w:vAlign w:val="bottom"/>
            <w:gridSpan w:val="3"/>
          </w:tcPr>
          <w:p>
            <w:pPr>
              <w:jc w:val="center"/>
              <w:ind w:right="200"/>
              <w:spacing w:after="0"/>
              <w:rPr>
                <w:sz w:val="20"/>
                <w:szCs w:val="20"/>
                <w:color w:val="auto"/>
              </w:rPr>
            </w:pPr>
            <w:r>
              <w:rPr>
                <w:rFonts w:ascii="Arial" w:cs="Arial" w:eastAsia="Arial" w:hAnsi="Arial"/>
                <w:sz w:val="17"/>
                <w:szCs w:val="17"/>
                <w:color w:val="auto"/>
                <w:w w:val="89"/>
              </w:rPr>
              <w:t>Founder; Chairman Emeritus of the Board</w:t>
            </w:r>
          </w:p>
        </w:tc>
        <w:tc>
          <w:tcPr>
            <w:tcW w:w="1520" w:type="dxa"/>
            <w:vAlign w:val="bottom"/>
            <w:gridSpan w:val="3"/>
          </w:tcPr>
          <w:p>
            <w:pPr>
              <w:jc w:val="center"/>
              <w:ind w:left="356"/>
              <w:spacing w:after="0"/>
              <w:rPr>
                <w:sz w:val="20"/>
                <w:szCs w:val="20"/>
                <w:color w:val="auto"/>
              </w:rPr>
            </w:pPr>
            <w:r>
              <w:rPr>
                <w:rFonts w:ascii="Arial" w:cs="Arial" w:eastAsia="Arial" w:hAnsi="Arial"/>
                <w:sz w:val="17"/>
                <w:szCs w:val="17"/>
                <w:color w:val="auto"/>
                <w:w w:val="91"/>
              </w:rPr>
              <w:t>March 20, 2014</w:t>
            </w:r>
          </w:p>
        </w:tc>
      </w:tr>
      <w:tr>
        <w:trPr>
          <w:trHeight w:val="207"/>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88"/>
              </w:rPr>
              <w:t>Ralph J. Roberts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6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w w:val="74"/>
              </w:rPr>
              <w:t>/</w:t>
            </w:r>
            <w:r>
              <w:rPr>
                <w:rFonts w:ascii="Arial" w:cs="Arial" w:eastAsia="Arial" w:hAnsi="Arial"/>
                <w:sz w:val="14"/>
                <w:szCs w:val="14"/>
                <w:color w:val="auto"/>
                <w:w w:val="74"/>
              </w:rPr>
              <w:t>S</w:t>
            </w:r>
            <w:r>
              <w:rPr>
                <w:rFonts w:ascii="Arial" w:cs="Arial" w:eastAsia="Arial" w:hAnsi="Arial"/>
                <w:sz w:val="17"/>
                <w:szCs w:val="17"/>
                <w:color w:val="auto"/>
                <w:w w:val="74"/>
              </w:rPr>
              <w:t>/</w:t>
            </w:r>
          </w:p>
        </w:tc>
        <w:tc>
          <w:tcPr>
            <w:tcW w:w="35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7"/>
                <w:szCs w:val="17"/>
                <w:color w:val="auto"/>
                <w:w w:val="98"/>
              </w:rPr>
              <w:t>M</w:t>
            </w:r>
            <w:r>
              <w:rPr>
                <w:rFonts w:ascii="Arial" w:cs="Arial" w:eastAsia="Arial" w:hAnsi="Arial"/>
                <w:sz w:val="14"/>
                <w:szCs w:val="14"/>
                <w:color w:val="auto"/>
                <w:w w:val="98"/>
              </w:rPr>
              <w:t>ICHAEL</w:t>
            </w:r>
            <w:r>
              <w:rPr>
                <w:rFonts w:ascii="Arial" w:cs="Arial" w:eastAsia="Arial" w:hAnsi="Arial"/>
                <w:sz w:val="17"/>
                <w:szCs w:val="17"/>
                <w:color w:val="auto"/>
                <w:w w:val="98"/>
              </w:rPr>
              <w:t xml:space="preserve"> J. A</w:t>
            </w:r>
            <w:r>
              <w:rPr>
                <w:rFonts w:ascii="Arial" w:cs="Arial" w:eastAsia="Arial" w:hAnsi="Arial"/>
                <w:sz w:val="14"/>
                <w:szCs w:val="14"/>
                <w:color w:val="auto"/>
                <w:w w:val="98"/>
              </w:rPr>
              <w:t>NGELAKIS</w:t>
            </w:r>
          </w:p>
        </w:tc>
        <w:tc>
          <w:tcPr>
            <w:tcW w:w="432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Vice Chairman and CFO (Principal Financial Officer)</w:t>
            </w:r>
          </w:p>
        </w:tc>
        <w:tc>
          <w:tcPr>
            <w:tcW w:w="1520" w:type="dxa"/>
            <w:vAlign w:val="bottom"/>
            <w:gridSpan w:val="3"/>
          </w:tcPr>
          <w:p>
            <w:pPr>
              <w:jc w:val="center"/>
              <w:ind w:left="356"/>
              <w:spacing w:after="0"/>
              <w:rPr>
                <w:sz w:val="20"/>
                <w:szCs w:val="20"/>
                <w:color w:val="auto"/>
              </w:rPr>
            </w:pPr>
            <w:r>
              <w:rPr>
                <w:rFonts w:ascii="Arial" w:cs="Arial" w:eastAsia="Arial" w:hAnsi="Arial"/>
                <w:sz w:val="17"/>
                <w:szCs w:val="17"/>
                <w:color w:val="auto"/>
                <w:w w:val="91"/>
              </w:rPr>
              <w:t>March 20, 2014</w:t>
            </w:r>
          </w:p>
        </w:tc>
      </w:tr>
      <w:tr>
        <w:trPr>
          <w:trHeight w:val="207"/>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jc w:val="center"/>
              <w:ind w:right="1800"/>
              <w:spacing w:after="0"/>
              <w:rPr>
                <w:sz w:val="20"/>
                <w:szCs w:val="20"/>
                <w:color w:val="auto"/>
              </w:rPr>
            </w:pPr>
            <w:r>
              <w:rPr>
                <w:rFonts w:ascii="Arial" w:cs="Arial" w:eastAsia="Arial" w:hAnsi="Arial"/>
                <w:sz w:val="17"/>
                <w:szCs w:val="17"/>
                <w:color w:val="auto"/>
                <w:w w:val="91"/>
              </w:rPr>
              <w:t>Michael J. Angelakis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780" w:type="dxa"/>
            <w:vAlign w:val="bottom"/>
            <w:tcBorders>
              <w:bottom w:val="single" w:sz="8" w:color="auto"/>
            </w:tcBorders>
            <w:gridSpan w:val="2"/>
          </w:tcPr>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4"/>
              </w:rPr>
              <w:t>L</w:t>
            </w:r>
            <w:r>
              <w:rPr>
                <w:rFonts w:ascii="Arial" w:cs="Arial" w:eastAsia="Arial" w:hAnsi="Arial"/>
                <w:sz w:val="14"/>
                <w:szCs w:val="14"/>
                <w:color w:val="auto"/>
                <w:w w:val="94"/>
              </w:rPr>
              <w:t>AWRENCE</w:t>
            </w:r>
            <w:r>
              <w:rPr>
                <w:rFonts w:ascii="Arial" w:cs="Arial" w:eastAsia="Arial" w:hAnsi="Arial"/>
                <w:sz w:val="17"/>
                <w:szCs w:val="17"/>
                <w:color w:val="auto"/>
                <w:w w:val="94"/>
              </w:rPr>
              <w:t xml:space="preserve"> J. S</w:t>
            </w:r>
            <w:r>
              <w:rPr>
                <w:rFonts w:ascii="Arial" w:cs="Arial" w:eastAsia="Arial" w:hAnsi="Arial"/>
                <w:sz w:val="14"/>
                <w:szCs w:val="14"/>
                <w:color w:val="auto"/>
                <w:w w:val="94"/>
              </w:rPr>
              <w:t>ALVA</w:t>
            </w:r>
          </w:p>
        </w:tc>
        <w:tc>
          <w:tcPr>
            <w:tcW w:w="432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Senior Vice President; Chief Accounting Officer and</w:t>
            </w:r>
          </w:p>
        </w:tc>
        <w:tc>
          <w:tcPr>
            <w:tcW w:w="1520" w:type="dxa"/>
            <w:vAlign w:val="bottom"/>
            <w:gridSpan w:val="3"/>
          </w:tcPr>
          <w:p>
            <w:pPr>
              <w:jc w:val="center"/>
              <w:ind w:left="356"/>
              <w:spacing w:after="0"/>
              <w:rPr>
                <w:sz w:val="20"/>
                <w:szCs w:val="20"/>
                <w:color w:val="auto"/>
              </w:rPr>
            </w:pPr>
            <w:r>
              <w:rPr>
                <w:rFonts w:ascii="Arial" w:cs="Arial" w:eastAsia="Arial" w:hAnsi="Arial"/>
                <w:sz w:val="17"/>
                <w:szCs w:val="17"/>
                <w:color w:val="auto"/>
                <w:w w:val="91"/>
              </w:rPr>
              <w:t>March 20, 2014</w:t>
            </w:r>
          </w:p>
        </w:tc>
      </w:tr>
      <w:tr>
        <w:trPr>
          <w:trHeight w:val="207"/>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jc w:val="center"/>
              <w:ind w:right="1800"/>
              <w:spacing w:after="0"/>
              <w:rPr>
                <w:sz w:val="20"/>
                <w:szCs w:val="20"/>
                <w:color w:val="auto"/>
              </w:rPr>
            </w:pPr>
            <w:r>
              <w:rPr>
                <w:rFonts w:ascii="Arial" w:cs="Arial" w:eastAsia="Arial" w:hAnsi="Arial"/>
                <w:sz w:val="17"/>
                <w:szCs w:val="17"/>
                <w:color w:val="auto"/>
                <w:w w:val="87"/>
              </w:rPr>
              <w:t>Lawrence J. Salva</w:t>
            </w:r>
          </w:p>
        </w:tc>
        <w:tc>
          <w:tcPr>
            <w:tcW w:w="4320" w:type="dxa"/>
            <w:vAlign w:val="bottom"/>
            <w:gridSpan w:val="3"/>
          </w:tcPr>
          <w:p>
            <w:pPr>
              <w:jc w:val="center"/>
              <w:ind w:right="200"/>
              <w:spacing w:after="0" w:line="194" w:lineRule="exact"/>
              <w:rPr>
                <w:sz w:val="20"/>
                <w:szCs w:val="20"/>
                <w:color w:val="auto"/>
              </w:rPr>
            </w:pPr>
            <w:r>
              <w:rPr>
                <w:rFonts w:ascii="Arial" w:cs="Arial" w:eastAsia="Arial" w:hAnsi="Arial"/>
                <w:sz w:val="17"/>
                <w:szCs w:val="17"/>
                <w:color w:val="auto"/>
                <w:w w:val="93"/>
              </w:rPr>
              <w:t>Controller (Principal Accounting Officer)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780" w:type="dxa"/>
            <w:vAlign w:val="bottom"/>
            <w:tcBorders>
              <w:bottom w:val="single" w:sz="8" w:color="auto"/>
            </w:tcBorders>
            <w:gridSpan w:val="2"/>
          </w:tcPr>
          <w:p>
            <w:pPr>
              <w:ind w:left="15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6"/>
              </w:rPr>
              <w:t>K</w:t>
            </w:r>
            <w:r>
              <w:rPr>
                <w:rFonts w:ascii="Arial" w:cs="Arial" w:eastAsia="Arial" w:hAnsi="Arial"/>
                <w:sz w:val="14"/>
                <w:szCs w:val="14"/>
                <w:color w:val="auto"/>
                <w:w w:val="96"/>
              </w:rPr>
              <w:t>ENNETH</w:t>
            </w:r>
            <w:r>
              <w:rPr>
                <w:rFonts w:ascii="Arial" w:cs="Arial" w:eastAsia="Arial" w:hAnsi="Arial"/>
                <w:sz w:val="17"/>
                <w:szCs w:val="17"/>
                <w:color w:val="auto"/>
                <w:w w:val="96"/>
              </w:rPr>
              <w:t xml:space="preserve"> J. B</w:t>
            </w:r>
            <w:r>
              <w:rPr>
                <w:rFonts w:ascii="Arial" w:cs="Arial" w:eastAsia="Arial" w:hAnsi="Arial"/>
                <w:sz w:val="14"/>
                <w:szCs w:val="14"/>
                <w:color w:val="auto"/>
                <w:w w:val="96"/>
              </w:rPr>
              <w:t>ACON</w:t>
            </w:r>
          </w:p>
        </w:tc>
        <w:tc>
          <w:tcPr>
            <w:tcW w:w="4320" w:type="dxa"/>
            <w:vAlign w:val="bottom"/>
            <w:gridSpan w:val="3"/>
          </w:tcPr>
          <w:p>
            <w:pPr>
              <w:jc w:val="center"/>
              <w:ind w:right="200"/>
              <w:spacing w:after="0"/>
              <w:rPr>
                <w:sz w:val="20"/>
                <w:szCs w:val="20"/>
                <w:color w:val="auto"/>
              </w:rPr>
            </w:pPr>
            <w:r>
              <w:rPr>
                <w:rFonts w:ascii="Arial" w:cs="Arial" w:eastAsia="Arial" w:hAnsi="Arial"/>
                <w:sz w:val="17"/>
                <w:szCs w:val="17"/>
                <w:color w:val="auto"/>
                <w:w w:val="94"/>
              </w:rPr>
              <w:t>Director</w:t>
            </w:r>
          </w:p>
        </w:tc>
        <w:tc>
          <w:tcPr>
            <w:tcW w:w="1520" w:type="dxa"/>
            <w:vAlign w:val="bottom"/>
            <w:gridSpan w:val="3"/>
          </w:tcPr>
          <w:p>
            <w:pPr>
              <w:jc w:val="center"/>
              <w:ind w:left="356"/>
              <w:spacing w:after="0"/>
              <w:rPr>
                <w:sz w:val="20"/>
                <w:szCs w:val="20"/>
                <w:color w:val="auto"/>
              </w:rPr>
            </w:pPr>
            <w:r>
              <w:rPr>
                <w:rFonts w:ascii="Arial" w:cs="Arial" w:eastAsia="Arial" w:hAnsi="Arial"/>
                <w:sz w:val="17"/>
                <w:szCs w:val="17"/>
                <w:color w:val="auto"/>
                <w:w w:val="91"/>
              </w:rPr>
              <w:t>March 20, 2014</w:t>
            </w:r>
          </w:p>
        </w:tc>
      </w:tr>
      <w:tr>
        <w:trPr>
          <w:trHeight w:val="207"/>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89"/>
              </w:rPr>
              <w:t>Kenneth J. Bacon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6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w w:val="84"/>
              </w:rPr>
              <w:t>/</w:t>
            </w:r>
            <w:r>
              <w:rPr>
                <w:rFonts w:ascii="Arial" w:cs="Arial" w:eastAsia="Arial" w:hAnsi="Arial"/>
                <w:sz w:val="14"/>
                <w:szCs w:val="14"/>
                <w:color w:val="auto"/>
                <w:w w:val="84"/>
              </w:rPr>
              <w:t>S</w:t>
            </w:r>
            <w:r>
              <w:rPr>
                <w:rFonts w:ascii="Arial" w:cs="Arial" w:eastAsia="Arial" w:hAnsi="Arial"/>
                <w:sz w:val="17"/>
                <w:szCs w:val="17"/>
                <w:color w:val="auto"/>
                <w:w w:val="84"/>
              </w:rPr>
              <w:t>/</w:t>
            </w:r>
          </w:p>
        </w:tc>
        <w:tc>
          <w:tcPr>
            <w:tcW w:w="352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7"/>
                <w:szCs w:val="17"/>
                <w:color w:val="auto"/>
                <w:w w:val="97"/>
              </w:rPr>
              <w:t>S</w:t>
            </w:r>
            <w:r>
              <w:rPr>
                <w:rFonts w:ascii="Arial" w:cs="Arial" w:eastAsia="Arial" w:hAnsi="Arial"/>
                <w:sz w:val="14"/>
                <w:szCs w:val="14"/>
                <w:color w:val="auto"/>
                <w:w w:val="97"/>
              </w:rPr>
              <w:t>HELDON</w:t>
            </w:r>
            <w:r>
              <w:rPr>
                <w:rFonts w:ascii="Arial" w:cs="Arial" w:eastAsia="Arial" w:hAnsi="Arial"/>
                <w:sz w:val="17"/>
                <w:szCs w:val="17"/>
                <w:color w:val="auto"/>
                <w:w w:val="97"/>
              </w:rPr>
              <w:t xml:space="preserve"> M. B</w:t>
            </w:r>
            <w:r>
              <w:rPr>
                <w:rFonts w:ascii="Arial" w:cs="Arial" w:eastAsia="Arial" w:hAnsi="Arial"/>
                <w:sz w:val="14"/>
                <w:szCs w:val="14"/>
                <w:color w:val="auto"/>
                <w:w w:val="97"/>
              </w:rPr>
              <w:t>ONOVITZ</w:t>
            </w:r>
          </w:p>
        </w:tc>
        <w:tc>
          <w:tcPr>
            <w:tcW w:w="4320" w:type="dxa"/>
            <w:vAlign w:val="bottom"/>
            <w:gridSpan w:val="3"/>
          </w:tcPr>
          <w:p>
            <w:pPr>
              <w:jc w:val="center"/>
              <w:ind w:right="200"/>
              <w:spacing w:after="0"/>
              <w:rPr>
                <w:sz w:val="20"/>
                <w:szCs w:val="20"/>
                <w:color w:val="auto"/>
              </w:rPr>
            </w:pPr>
            <w:r>
              <w:rPr>
                <w:rFonts w:ascii="Arial" w:cs="Arial" w:eastAsia="Arial" w:hAnsi="Arial"/>
                <w:sz w:val="17"/>
                <w:szCs w:val="17"/>
                <w:color w:val="auto"/>
                <w:w w:val="94"/>
              </w:rPr>
              <w:t>Director</w:t>
            </w:r>
          </w:p>
        </w:tc>
        <w:tc>
          <w:tcPr>
            <w:tcW w:w="1520" w:type="dxa"/>
            <w:vAlign w:val="bottom"/>
            <w:gridSpan w:val="3"/>
          </w:tcPr>
          <w:p>
            <w:pPr>
              <w:jc w:val="center"/>
              <w:ind w:left="356"/>
              <w:spacing w:after="0"/>
              <w:rPr>
                <w:sz w:val="20"/>
                <w:szCs w:val="20"/>
                <w:color w:val="auto"/>
              </w:rPr>
            </w:pPr>
            <w:r>
              <w:rPr>
                <w:rFonts w:ascii="Arial" w:cs="Arial" w:eastAsia="Arial" w:hAnsi="Arial"/>
                <w:sz w:val="17"/>
                <w:szCs w:val="17"/>
                <w:color w:val="auto"/>
                <w:w w:val="91"/>
              </w:rPr>
              <w:t>March 20, 2014</w:t>
            </w:r>
          </w:p>
        </w:tc>
      </w:tr>
      <w:tr>
        <w:trPr>
          <w:trHeight w:val="207"/>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92"/>
              </w:rPr>
              <w:t>Sheldon M. Bonovitz</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bl>
    <w:p>
      <w:pPr>
        <w:sectPr>
          <w:pgSz w:w="11900" w:h="16838" w:orient="portrait"/>
          <w:cols w:equalWidth="0" w:num="1">
            <w:col w:w="11420"/>
          </w:cols>
          <w:pgMar w:left="240" w:top="439" w:right="239" w:bottom="1440" w:gutter="0" w:footer="0" w:header="0"/>
        </w:sectPr>
      </w:pPr>
    </w:p>
    <w:bookmarkStart w:id="349" w:name="page350"/>
    <w:bookmarkEnd w:id="3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2260" w:type="dxa"/>
            <w:vAlign w:val="bottom"/>
          </w:tcPr>
          <w:p>
            <w:pPr>
              <w:spacing w:after="0"/>
              <w:rPr>
                <w:sz w:val="14"/>
                <w:szCs w:val="14"/>
                <w:color w:val="auto"/>
              </w:rPr>
            </w:pPr>
          </w:p>
        </w:tc>
        <w:tc>
          <w:tcPr>
            <w:tcW w:w="3560" w:type="dxa"/>
            <w:vAlign w:val="bottom"/>
            <w:gridSpan w:val="3"/>
          </w:tcPr>
          <w:p>
            <w:pPr>
              <w:jc w:val="center"/>
              <w:ind w:left="498"/>
              <w:spacing w:after="0"/>
              <w:rPr>
                <w:sz w:val="20"/>
                <w:szCs w:val="20"/>
                <w:color w:val="auto"/>
              </w:rPr>
            </w:pPr>
            <w:r>
              <w:rPr>
                <w:rFonts w:ascii="Arial" w:cs="Arial" w:eastAsia="Arial" w:hAnsi="Arial"/>
                <w:sz w:val="13"/>
                <w:szCs w:val="13"/>
                <w:b w:val="1"/>
                <w:bCs w:val="1"/>
                <w:color w:val="auto"/>
                <w:w w:val="97"/>
              </w:rPr>
              <w:t>Title</w:t>
            </w:r>
          </w:p>
        </w:tc>
        <w:tc>
          <w:tcPr>
            <w:tcW w:w="1600" w:type="dxa"/>
            <w:vAlign w:val="bottom"/>
          </w:tcPr>
          <w:p>
            <w:pPr>
              <w:spacing w:after="0"/>
              <w:rPr>
                <w:sz w:val="14"/>
                <w:szCs w:val="14"/>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3"/>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5"/>
              </w:rPr>
              <w:t>E</w:t>
            </w:r>
            <w:r>
              <w:rPr>
                <w:rFonts w:ascii="Arial" w:cs="Arial" w:eastAsia="Arial" w:hAnsi="Arial"/>
                <w:sz w:val="14"/>
                <w:szCs w:val="14"/>
                <w:color w:val="auto"/>
                <w:w w:val="95"/>
              </w:rPr>
              <w:t>DWARD</w:t>
            </w:r>
            <w:r>
              <w:rPr>
                <w:rFonts w:ascii="Arial" w:cs="Arial" w:eastAsia="Arial" w:hAnsi="Arial"/>
                <w:sz w:val="17"/>
                <w:szCs w:val="17"/>
                <w:color w:val="auto"/>
                <w:w w:val="95"/>
              </w:rPr>
              <w:t xml:space="preserve"> D. B</w:t>
            </w:r>
            <w:r>
              <w:rPr>
                <w:rFonts w:ascii="Arial" w:cs="Arial" w:eastAsia="Arial" w:hAnsi="Arial"/>
                <w:sz w:val="14"/>
                <w:szCs w:val="14"/>
                <w:color w:val="auto"/>
                <w:w w:val="95"/>
              </w:rPr>
              <w:t>REEN</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89"/>
              </w:rPr>
              <w:t>Edward D. Breen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4"/>
                <w:szCs w:val="14"/>
                <w:color w:val="auto"/>
                <w:w w:val="95"/>
              </w:rPr>
              <w:t>S</w:t>
            </w:r>
            <w:r>
              <w:rPr>
                <w:rFonts w:ascii="Arial" w:cs="Arial" w:eastAsia="Arial" w:hAnsi="Arial"/>
                <w:sz w:val="17"/>
                <w:szCs w:val="17"/>
                <w:color w:val="auto"/>
                <w:w w:val="95"/>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1"/>
              </w:rPr>
              <w:t>J</w:t>
            </w:r>
            <w:r>
              <w:rPr>
                <w:rFonts w:ascii="Arial" w:cs="Arial" w:eastAsia="Arial" w:hAnsi="Arial"/>
                <w:sz w:val="14"/>
                <w:szCs w:val="14"/>
                <w:color w:val="auto"/>
                <w:w w:val="91"/>
              </w:rPr>
              <w:t>OSEPH</w:t>
            </w:r>
            <w:r>
              <w:rPr>
                <w:rFonts w:ascii="Arial" w:cs="Arial" w:eastAsia="Arial" w:hAnsi="Arial"/>
                <w:sz w:val="17"/>
                <w:szCs w:val="17"/>
                <w:color w:val="auto"/>
                <w:w w:val="91"/>
              </w:rPr>
              <w:t xml:space="preserve"> J. C</w:t>
            </w:r>
            <w:r>
              <w:rPr>
                <w:rFonts w:ascii="Arial" w:cs="Arial" w:eastAsia="Arial" w:hAnsi="Arial"/>
                <w:sz w:val="14"/>
                <w:szCs w:val="14"/>
                <w:color w:val="auto"/>
                <w:w w:val="91"/>
              </w:rPr>
              <w:t>OLLINS</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800"/>
              <w:spacing w:after="0"/>
              <w:rPr>
                <w:sz w:val="20"/>
                <w:szCs w:val="20"/>
                <w:color w:val="auto"/>
              </w:rPr>
            </w:pPr>
            <w:r>
              <w:rPr>
                <w:rFonts w:ascii="Arial" w:cs="Arial" w:eastAsia="Arial" w:hAnsi="Arial"/>
                <w:sz w:val="17"/>
                <w:szCs w:val="17"/>
                <w:color w:val="auto"/>
                <w:w w:val="88"/>
              </w:rPr>
              <w:t>Joseph J. Collins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4"/>
                <w:szCs w:val="14"/>
                <w:color w:val="auto"/>
                <w:w w:val="84"/>
              </w:rPr>
              <w:t>S</w:t>
            </w:r>
            <w:r>
              <w:rPr>
                <w:rFonts w:ascii="Arial" w:cs="Arial" w:eastAsia="Arial" w:hAnsi="Arial"/>
                <w:sz w:val="17"/>
                <w:szCs w:val="17"/>
                <w:color w:val="auto"/>
                <w:w w:val="84"/>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6"/>
              </w:rPr>
              <w:t>J. M</w:t>
            </w:r>
            <w:r>
              <w:rPr>
                <w:rFonts w:ascii="Arial" w:cs="Arial" w:eastAsia="Arial" w:hAnsi="Arial"/>
                <w:sz w:val="14"/>
                <w:szCs w:val="14"/>
                <w:color w:val="auto"/>
                <w:w w:val="96"/>
              </w:rPr>
              <w:t>ICHAEL</w:t>
            </w:r>
            <w:r>
              <w:rPr>
                <w:rFonts w:ascii="Arial" w:cs="Arial" w:eastAsia="Arial" w:hAnsi="Arial"/>
                <w:sz w:val="17"/>
                <w:szCs w:val="17"/>
                <w:color w:val="auto"/>
                <w:w w:val="96"/>
              </w:rPr>
              <w:t xml:space="preserve"> C</w:t>
            </w:r>
            <w:r>
              <w:rPr>
                <w:rFonts w:ascii="Arial" w:cs="Arial" w:eastAsia="Arial" w:hAnsi="Arial"/>
                <w:sz w:val="14"/>
                <w:szCs w:val="14"/>
                <w:color w:val="auto"/>
                <w:w w:val="96"/>
              </w:rPr>
              <w:t>OOK</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800"/>
              <w:spacing w:after="0"/>
              <w:rPr>
                <w:sz w:val="20"/>
                <w:szCs w:val="20"/>
                <w:color w:val="auto"/>
              </w:rPr>
            </w:pPr>
            <w:r>
              <w:rPr>
                <w:rFonts w:ascii="Arial" w:cs="Arial" w:eastAsia="Arial" w:hAnsi="Arial"/>
                <w:sz w:val="17"/>
                <w:szCs w:val="17"/>
                <w:color w:val="auto"/>
                <w:w w:val="90"/>
              </w:rPr>
              <w:t>J. Michael Cook</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780" w:type="dxa"/>
            <w:vAlign w:val="bottom"/>
            <w:tcBorders>
              <w:bottom w:val="single" w:sz="8" w:color="auto"/>
            </w:tcBorders>
            <w:gridSpan w:val="2"/>
          </w:tcPr>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8"/>
              </w:rPr>
              <w:t>G</w:t>
            </w:r>
            <w:r>
              <w:rPr>
                <w:rFonts w:ascii="Arial" w:cs="Arial" w:eastAsia="Arial" w:hAnsi="Arial"/>
                <w:sz w:val="14"/>
                <w:szCs w:val="14"/>
                <w:color w:val="auto"/>
                <w:w w:val="98"/>
              </w:rPr>
              <w:t>ERALD</w:t>
            </w:r>
            <w:r>
              <w:rPr>
                <w:rFonts w:ascii="Arial" w:cs="Arial" w:eastAsia="Arial" w:hAnsi="Arial"/>
                <w:sz w:val="17"/>
                <w:szCs w:val="17"/>
                <w:color w:val="auto"/>
                <w:w w:val="98"/>
              </w:rPr>
              <w:t xml:space="preserve"> L. H</w:t>
            </w:r>
            <w:r>
              <w:rPr>
                <w:rFonts w:ascii="Arial" w:cs="Arial" w:eastAsia="Arial" w:hAnsi="Arial"/>
                <w:sz w:val="14"/>
                <w:szCs w:val="14"/>
                <w:color w:val="auto"/>
                <w:w w:val="98"/>
              </w:rPr>
              <w:t>ASSELL</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800"/>
              <w:spacing w:after="0"/>
              <w:rPr>
                <w:sz w:val="20"/>
                <w:szCs w:val="20"/>
                <w:color w:val="auto"/>
              </w:rPr>
            </w:pPr>
            <w:r>
              <w:rPr>
                <w:rFonts w:ascii="Arial" w:cs="Arial" w:eastAsia="Arial" w:hAnsi="Arial"/>
                <w:sz w:val="17"/>
                <w:szCs w:val="17"/>
                <w:color w:val="auto"/>
                <w:w w:val="90"/>
              </w:rPr>
              <w:t>Gerald L. Hassell</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4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w w:val="84"/>
              </w:rPr>
              <w:t>/</w:t>
            </w:r>
            <w:r>
              <w:rPr>
                <w:rFonts w:ascii="Arial" w:cs="Arial" w:eastAsia="Arial" w:hAnsi="Arial"/>
                <w:sz w:val="14"/>
                <w:szCs w:val="14"/>
                <w:color w:val="auto"/>
                <w:w w:val="84"/>
              </w:rPr>
              <w:t>S</w:t>
            </w:r>
            <w:r>
              <w:rPr>
                <w:rFonts w:ascii="Arial" w:cs="Arial" w:eastAsia="Arial" w:hAnsi="Arial"/>
                <w:sz w:val="17"/>
                <w:szCs w:val="17"/>
                <w:color w:val="auto"/>
                <w:w w:val="84"/>
              </w:rPr>
              <w:t>/</w:t>
            </w:r>
          </w:p>
        </w:tc>
        <w:tc>
          <w:tcPr>
            <w:tcW w:w="354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7"/>
                <w:szCs w:val="17"/>
                <w:color w:val="auto"/>
                <w:w w:val="97"/>
              </w:rPr>
              <w:t>J</w:t>
            </w:r>
            <w:r>
              <w:rPr>
                <w:rFonts w:ascii="Arial" w:cs="Arial" w:eastAsia="Arial" w:hAnsi="Arial"/>
                <w:sz w:val="14"/>
                <w:szCs w:val="14"/>
                <w:color w:val="auto"/>
                <w:w w:val="97"/>
              </w:rPr>
              <w:t>EFFREY</w:t>
            </w:r>
            <w:r>
              <w:rPr>
                <w:rFonts w:ascii="Arial" w:cs="Arial" w:eastAsia="Arial" w:hAnsi="Arial"/>
                <w:sz w:val="17"/>
                <w:szCs w:val="17"/>
                <w:color w:val="auto"/>
                <w:w w:val="97"/>
              </w:rPr>
              <w:t xml:space="preserve"> A. H</w:t>
            </w:r>
            <w:r>
              <w:rPr>
                <w:rFonts w:ascii="Arial" w:cs="Arial" w:eastAsia="Arial" w:hAnsi="Arial"/>
                <w:sz w:val="14"/>
                <w:szCs w:val="14"/>
                <w:color w:val="auto"/>
                <w:w w:val="97"/>
              </w:rPr>
              <w:t>ONICKMAN</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800"/>
              <w:spacing w:after="0"/>
              <w:rPr>
                <w:sz w:val="20"/>
                <w:szCs w:val="20"/>
                <w:color w:val="auto"/>
              </w:rPr>
            </w:pPr>
            <w:r>
              <w:rPr>
                <w:rFonts w:ascii="Arial" w:cs="Arial" w:eastAsia="Arial" w:hAnsi="Arial"/>
                <w:sz w:val="17"/>
                <w:szCs w:val="17"/>
                <w:color w:val="auto"/>
                <w:w w:val="92"/>
              </w:rPr>
              <w:t>Jeffrey A. Honickman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780" w:type="dxa"/>
            <w:vAlign w:val="bottom"/>
            <w:tcBorders>
              <w:bottom w:val="single" w:sz="8" w:color="auto"/>
            </w:tcBorders>
            <w:gridSpan w:val="2"/>
          </w:tcPr>
          <w:p>
            <w:pPr>
              <w:ind w:left="146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3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7"/>
                <w:szCs w:val="17"/>
                <w:color w:val="auto"/>
                <w:w w:val="94"/>
              </w:rPr>
              <w:t>E</w:t>
            </w:r>
            <w:r>
              <w:rPr>
                <w:rFonts w:ascii="Arial" w:cs="Arial" w:eastAsia="Arial" w:hAnsi="Arial"/>
                <w:sz w:val="14"/>
                <w:szCs w:val="14"/>
                <w:color w:val="auto"/>
                <w:w w:val="94"/>
              </w:rPr>
              <w:t>DUARDO</w:t>
            </w:r>
            <w:r>
              <w:rPr>
                <w:rFonts w:ascii="Arial" w:cs="Arial" w:eastAsia="Arial" w:hAnsi="Arial"/>
                <w:sz w:val="17"/>
                <w:szCs w:val="17"/>
                <w:color w:val="auto"/>
                <w:w w:val="94"/>
              </w:rPr>
              <w:t xml:space="preserve"> G. M</w:t>
            </w:r>
            <w:r>
              <w:rPr>
                <w:rFonts w:ascii="Arial" w:cs="Arial" w:eastAsia="Arial" w:hAnsi="Arial"/>
                <w:sz w:val="14"/>
                <w:szCs w:val="14"/>
                <w:color w:val="auto"/>
                <w:w w:val="94"/>
              </w:rPr>
              <w:t>ESTRE</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89"/>
              </w:rPr>
              <w:t>Eduardo G. Mestre</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40" w:type="dxa"/>
            <w:vAlign w:val="bottom"/>
            <w:tcBorders>
              <w:bottom w:val="single" w:sz="8" w:color="auto"/>
            </w:tcBorders>
          </w:tcPr>
          <w:p>
            <w:pPr>
              <w:ind w:left="1340"/>
              <w:spacing w:after="0"/>
              <w:rPr>
                <w:sz w:val="20"/>
                <w:szCs w:val="20"/>
                <w:color w:val="auto"/>
              </w:rPr>
            </w:pPr>
            <w:r>
              <w:rPr>
                <w:rFonts w:ascii="Arial" w:cs="Arial" w:eastAsia="Arial" w:hAnsi="Arial"/>
                <w:sz w:val="17"/>
                <w:szCs w:val="17"/>
                <w:color w:val="auto"/>
                <w:w w:val="95"/>
              </w:rPr>
              <w:t>/</w:t>
            </w:r>
            <w:r>
              <w:rPr>
                <w:rFonts w:ascii="Arial" w:cs="Arial" w:eastAsia="Arial" w:hAnsi="Arial"/>
                <w:sz w:val="14"/>
                <w:szCs w:val="14"/>
                <w:color w:val="auto"/>
                <w:w w:val="95"/>
              </w:rPr>
              <w:t>S</w:t>
            </w:r>
            <w:r>
              <w:rPr>
                <w:rFonts w:ascii="Arial" w:cs="Arial" w:eastAsia="Arial" w:hAnsi="Arial"/>
                <w:sz w:val="17"/>
                <w:szCs w:val="17"/>
                <w:color w:val="auto"/>
                <w:w w:val="95"/>
              </w:rPr>
              <w:t>/</w:t>
            </w:r>
          </w:p>
        </w:tc>
        <w:tc>
          <w:tcPr>
            <w:tcW w:w="354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7"/>
                <w:szCs w:val="17"/>
                <w:color w:val="auto"/>
                <w:w w:val="94"/>
              </w:rPr>
              <w:t>J</w:t>
            </w:r>
            <w:r>
              <w:rPr>
                <w:rFonts w:ascii="Arial" w:cs="Arial" w:eastAsia="Arial" w:hAnsi="Arial"/>
                <w:sz w:val="14"/>
                <w:szCs w:val="14"/>
                <w:color w:val="auto"/>
                <w:w w:val="94"/>
              </w:rPr>
              <w:t>OHNATHAN</w:t>
            </w:r>
            <w:r>
              <w:rPr>
                <w:rFonts w:ascii="Arial" w:cs="Arial" w:eastAsia="Arial" w:hAnsi="Arial"/>
                <w:sz w:val="17"/>
                <w:szCs w:val="17"/>
                <w:color w:val="auto"/>
                <w:w w:val="94"/>
              </w:rPr>
              <w:t xml:space="preserve"> A. R</w:t>
            </w:r>
            <w:r>
              <w:rPr>
                <w:rFonts w:ascii="Arial" w:cs="Arial" w:eastAsia="Arial" w:hAnsi="Arial"/>
                <w:sz w:val="14"/>
                <w:szCs w:val="14"/>
                <w:color w:val="auto"/>
                <w:w w:val="94"/>
              </w:rPr>
              <w:t>ODGERS</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87"/>
              </w:rPr>
              <w:t>Johnathan A. Rodgers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4"/>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4"/>
                <w:szCs w:val="14"/>
                <w:color w:val="auto"/>
                <w:w w:val="95"/>
              </w:rPr>
              <w:t>S</w:t>
            </w:r>
            <w:r>
              <w:rPr>
                <w:rFonts w:ascii="Arial" w:cs="Arial" w:eastAsia="Arial" w:hAnsi="Arial"/>
                <w:sz w:val="17"/>
                <w:szCs w:val="17"/>
                <w:color w:val="auto"/>
                <w:w w:val="95"/>
              </w:rPr>
              <w:t>/</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7"/>
                <w:szCs w:val="17"/>
                <w:color w:val="auto"/>
                <w:w w:val="96"/>
              </w:rPr>
              <w:t>D</w:t>
            </w:r>
            <w:r>
              <w:rPr>
                <w:rFonts w:ascii="Arial" w:cs="Arial" w:eastAsia="Arial" w:hAnsi="Arial"/>
                <w:sz w:val="14"/>
                <w:szCs w:val="14"/>
                <w:color w:val="auto"/>
                <w:w w:val="96"/>
              </w:rPr>
              <w:t>R</w:t>
            </w:r>
            <w:r>
              <w:rPr>
                <w:rFonts w:ascii="Arial" w:cs="Arial" w:eastAsia="Arial" w:hAnsi="Arial"/>
                <w:sz w:val="17"/>
                <w:szCs w:val="17"/>
                <w:color w:val="auto"/>
                <w:w w:val="96"/>
              </w:rPr>
              <w:t>. J</w:t>
            </w:r>
            <w:r>
              <w:rPr>
                <w:rFonts w:ascii="Arial" w:cs="Arial" w:eastAsia="Arial" w:hAnsi="Arial"/>
                <w:sz w:val="14"/>
                <w:szCs w:val="14"/>
                <w:color w:val="auto"/>
                <w:w w:val="96"/>
              </w:rPr>
              <w:t>UDITH</w:t>
            </w:r>
            <w:r>
              <w:rPr>
                <w:rFonts w:ascii="Arial" w:cs="Arial" w:eastAsia="Arial" w:hAnsi="Arial"/>
                <w:sz w:val="17"/>
                <w:szCs w:val="17"/>
                <w:color w:val="auto"/>
                <w:w w:val="96"/>
              </w:rPr>
              <w:t xml:space="preserve"> R</w:t>
            </w:r>
            <w:r>
              <w:rPr>
                <w:rFonts w:ascii="Arial" w:cs="Arial" w:eastAsia="Arial" w:hAnsi="Arial"/>
                <w:sz w:val="14"/>
                <w:szCs w:val="14"/>
                <w:color w:val="auto"/>
                <w:w w:val="96"/>
              </w:rPr>
              <w:t>ODIN</w:t>
            </w:r>
          </w:p>
        </w:tc>
        <w:tc>
          <w:tcPr>
            <w:tcW w:w="3560" w:type="dxa"/>
            <w:vAlign w:val="bottom"/>
            <w:gridSpan w:val="3"/>
          </w:tcPr>
          <w:p>
            <w:pPr>
              <w:jc w:val="center"/>
              <w:ind w:left="478"/>
              <w:spacing w:after="0"/>
              <w:rPr>
                <w:sz w:val="20"/>
                <w:szCs w:val="20"/>
                <w:color w:val="auto"/>
              </w:rPr>
            </w:pPr>
            <w:r>
              <w:rPr>
                <w:rFonts w:ascii="Arial" w:cs="Arial" w:eastAsia="Arial" w:hAnsi="Arial"/>
                <w:sz w:val="17"/>
                <w:szCs w:val="17"/>
                <w:color w:val="auto"/>
                <w:w w:val="94"/>
              </w:rPr>
              <w:t>Director</w:t>
            </w:r>
          </w:p>
        </w:tc>
        <w:tc>
          <w:tcPr>
            <w:tcW w:w="2280" w:type="dxa"/>
            <w:vAlign w:val="bottom"/>
            <w:gridSpan w:val="3"/>
          </w:tcPr>
          <w:p>
            <w:pPr>
              <w:jc w:val="center"/>
              <w:ind w:left="1116"/>
              <w:spacing w:after="0"/>
              <w:rPr>
                <w:sz w:val="20"/>
                <w:szCs w:val="20"/>
                <w:color w:val="auto"/>
              </w:rPr>
            </w:pPr>
            <w:r>
              <w:rPr>
                <w:rFonts w:ascii="Arial" w:cs="Arial" w:eastAsia="Arial" w:hAnsi="Arial"/>
                <w:sz w:val="17"/>
                <w:szCs w:val="17"/>
                <w:color w:val="auto"/>
                <w:w w:val="91"/>
              </w:rPr>
              <w:t>March 20, 2014</w:t>
            </w:r>
          </w:p>
        </w:tc>
      </w:tr>
      <w:tr>
        <w:trPr>
          <w:trHeight w:val="207"/>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7"/>
                <w:szCs w:val="17"/>
                <w:color w:val="auto"/>
                <w:w w:val="91"/>
              </w:rPr>
              <w:t>Dr. Judith Rodin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bl>
    <w:p>
      <w:pPr>
        <w:sectPr>
          <w:pgSz w:w="11900" w:h="16838" w:orient="portrait"/>
          <w:cols w:equalWidth="0" w:num="1">
            <w:col w:w="10920"/>
          </w:cols>
          <w:pgMar w:left="240" w:top="439" w:right="739" w:bottom="1440" w:gutter="0" w:footer="0" w:header="0"/>
        </w:sectPr>
      </w:pPr>
    </w:p>
    <w:bookmarkStart w:id="350" w:name="page351"/>
    <w:bookmarkEnd w:id="3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10940" w:type="dxa"/>
            <w:vAlign w:val="bottom"/>
            <w:gridSpan w:val="3"/>
          </w:tcPr>
          <w:p>
            <w:pPr>
              <w:ind w:left="45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46"/>
        </w:trPr>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580" w:type="dxa"/>
            <w:vAlign w:val="bottom"/>
            <w:vMerge w:val="restart"/>
          </w:tcPr>
          <w:p>
            <w:pPr>
              <w:spacing w:after="0"/>
              <w:rPr>
                <w:sz w:val="24"/>
                <w:szCs w:val="2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580" w:type="dxa"/>
            <w:vAlign w:val="bottom"/>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Agreement and Plan of Merger, dated as of February 12, 2014, among Time Warner Cable Inc., Comcast Corporation and Tango Acquisition Sub,</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Inc. (included as Annex A to the joint proxy statement/prospectus forming part of this registration statement) (schedules have been omitted pursuant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3"/>
              </w:rPr>
              <w:t>Voting Agreement, dated as of February 12, 2014, among Time Warner Cable Inc., Brian L. Roberts, BRCC Holdings LLC, Irrevocable Deed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Trust of Brian L. Roberts for Children and Other Issue dated June 10, 1998 and Irrevocable Deed of Trust of Ralph J. Roberts for Brian L. Roberts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and Other Beneficiaries dated May 11, 1993 (included as Annex B to the joint proxy statement/prospectus forming part of this registration statement)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(schedules 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Amended and Restated Articles of Incorporation of Comcast Corporation (incorporated by reference to Exhibit 3.1 to Comcast’s Quarterly Report on</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Form 10-Q for the quarter ended June 30,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Amended and Restated By-Laws of Comcast Corporation (incorporated by reference to Exhibit 3.1 to Comcast’s Current Report on Form 8-K filed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on November 23,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4"/>
              </w:rPr>
              <w:t>Specimen Class A Common Stock Certificate (incorporated by reference to Exhibit 4.1 to Comcast’s Annual Report on Form 10-K for the year</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ended December 31, 2002 (SEC File No.: 000-50093)).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Indenture, dated January 7, 2003, between Comcast Corporation, the subsidiary guarantor party thereto, and The Bank of New York Mellon (f/k/a</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7"/>
              </w:rPr>
              <w:t>The Bank of New York), as trustee (incorporated by reference to Exhibit 4.4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4.3</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Supplemental Indenture, dated March 25, 2003, to the Indenture between Comcast Corporation, the subsidiary guarantors party thereto, and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Bank of New York Mellon (f/k/a The Bank of New York), as trustee, dated January 7, 2003 (incorporated by reference to Exhibit 4.5 to Comcast’s</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Annual Report on Form 10-K for the year ended 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4.4</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Second Supplemental Indenture, dated August 31, 2009,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The Bank of New York Mellon, as trustee, dated January 7, 2003, as supplemented by a First Supplemental Indenture dated March 25, 2003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4.5</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Third Supplemental Indenture, dated March 27, 2013,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The Bank of New York Mellon (f/k/a The Bank of New York), as trustee, dated January 7, 2003, as supplemented by a First Supplemental Indenture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dated March 25, 2003 and a second Supplemental Indenture dated August 31, 2009 (incorporated by reference to Exhibit 4.4 to Comcast’s Quarterly</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Report on Form 10-Q for the 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4.6</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Indenture, dated as of April 30, 2010, between NBC Universal, Inc. (n/k/a NBCUniversal Media, LLC) and The Bank of New York Mellon, as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trustee (incorporated by reference to Exhibit 4.1 to the Registration Statement on Form S-4 of NBCUniversal Media, LLC (SEC File No. 333-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174175) filed on May 13,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4.7</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First Supplemental Indenture, dated March 27, 2013, to the Indenture between NBCUniversal Media, LLC (f/k/a NBC Universal, Inc.) and The Bank</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of New York Mellon, as trustee, dated April 30, 2010 (incorporated by reference to Exhibit 4.3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9" w:right="239" w:bottom="1440" w:gutter="0" w:footer="0" w:header="0"/>
        </w:sectPr>
      </w:pPr>
    </w:p>
    <w:bookmarkStart w:id="351" w:name="page352"/>
    <w:bookmarkEnd w:id="3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9">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10940" w:type="dxa"/>
            <w:vAlign w:val="bottom"/>
            <w:gridSpan w:val="3"/>
            <w:vMerge w:val="restart"/>
          </w:tcPr>
          <w:p>
            <w:pPr>
              <w:ind w:left="55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Number</w:t>
            </w:r>
          </w:p>
        </w:tc>
        <w:tc>
          <w:tcPr>
            <w:tcW w:w="10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4.8</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Indenture, dated March 19, 2013, among NBCUniversal Enterprise, Inc. (f/k/a Navy Holdings, Inc.), Comcast Corporation, the Cable Guarantors party</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thereto, and The Bank of New York Mellon, as trustee (incorporated by reference to Exhibit 4.1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4.9</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Certain instruments defining the rights of holders of long-term obligations of Comcast Corporation and certain of its subsidiaries (the total amount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88"/>
              </w:rPr>
              <w:t>securities authorized under each of which does not exceed ten percent of the total assets of Comcast Corporation and its subsidiaries on a consolidated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basis), are omitted pursuant to Item 601(b)(4)(iii)(A) of Regulation S-K. We agree to furnish copies of any such instruments to the SEC upon request.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Davis Polk &amp; Wardwell LLP.*</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Paul, Weiss, Rifkind, Wharton &amp; Garrison LLP.*</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21.1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6"/>
              </w:rPr>
              <w:t>Subsidiaries of Comcast Corporation (incorporated by reference to Exhibit 21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December 31, 2013).</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24.1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Power of Attorney (included in the signature page to the filing of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J.P. Morgan Securities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Allen &amp; Company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Citigroup Global Markets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99.6</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Morgan Stanley &amp; Co.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99.7</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To be filed by amendment.</w:t>
      </w:r>
    </w:p>
    <w:p>
      <w:pPr>
        <w:sectPr>
          <w:pgSz w:w="11900" w:h="16838" w:orient="portrait"/>
          <w:cols w:equalWidth="0" w:num="1">
            <w:col w:w="11420"/>
          </w:cols>
          <w:pgMar w:left="240" w:top="438"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7"/>
          <w:szCs w:val="17"/>
          <w:b w:val="1"/>
          <w:bCs w:val="1"/>
          <w:color w:val="auto"/>
        </w:rPr>
        <w:t>Exhibit 23.1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11" w:lineRule="exact"/>
        <w:rPr>
          <w:sz w:val="20"/>
          <w:szCs w:val="20"/>
          <w:color w:val="auto"/>
        </w:rPr>
      </w:pPr>
    </w:p>
    <w:p>
      <w:pPr>
        <w:ind w:right="220" w:firstLine="457"/>
        <w:spacing w:after="0" w:line="276"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February 12, 2014,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2013, and to the reference to us under the heading “Experts” in the joint proxy statement/prospectus,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p>
      <w:pPr>
        <w:sectPr>
          <w:pgSz w:w="11900" w:h="16838" w:orient="portrait"/>
          <w:cols w:equalWidth="0" w:num="1">
            <w:col w:w="11420"/>
          </w:cols>
          <w:pgMar w:left="240" w:top="123" w:right="2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7"/>
          <w:szCs w:val="17"/>
          <w:b w:val="1"/>
          <w:bCs w:val="1"/>
          <w:color w:val="auto"/>
        </w:rPr>
        <w:t>Exhibit 23.2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consent to the reference to our firm under the captions “Experts” and “Selected Historical Consolidated Financial Data of TWC” in the Registration Statement (Form S-4) and related joint proxy statement/prospectus of Comcast Corporation and to the incorporation by reference therein of our reports dated February 18, 2014, with respect to the consolidated financial statements and the effectiveness of internal control over financial reporting of Time Warner Cable Inc. in its Annual Report (Form 10-K) for the year ended December 31, 2013 filed with the Securities and Exchange Commission.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p>
      <w:pPr>
        <w:sectPr>
          <w:pgSz w:w="11900" w:h="16838" w:orient="portrait"/>
          <w:cols w:equalWidth="0" w:num="1">
            <w:col w:w="11420"/>
          </w:cols>
          <w:pgMar w:left="240" w:top="123" w:right="239" w:bottom="1440" w:gutter="0" w:footer="0" w:header="0"/>
        </w:sectPr>
      </w:pPr>
    </w:p>
    <w:bookmarkStart w:id="354" w:name="page355"/>
    <w:bookmarkEnd w:id="354"/>
    <w:p>
      <w:pPr>
        <w:ind w:left="10560"/>
        <w:spacing w:after="0"/>
        <w:rPr>
          <w:sz w:val="20"/>
          <w:szCs w:val="20"/>
          <w:color w:val="auto"/>
        </w:rPr>
      </w:pPr>
      <w:r>
        <w:rPr>
          <w:rFonts w:ascii="Arial" w:cs="Arial" w:eastAsia="Arial" w:hAnsi="Arial"/>
          <w:sz w:val="15"/>
          <w:szCs w:val="15"/>
          <w:b w:val="1"/>
          <w:bCs w:val="1"/>
          <w:color w:val="auto"/>
        </w:rPr>
        <w:t>Exhibit 99.1</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158750</wp:posOffset>
            </wp:positionV>
            <wp:extent cx="1625600" cy="5924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62560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158750</wp:posOffset>
            </wp:positionV>
            <wp:extent cx="1825625" cy="5124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2562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ONE COMCAST CENTER</w:t>
      </w:r>
    </w:p>
    <w:p>
      <w:pPr>
        <w:ind w:left="6060"/>
        <w:spacing w:after="0" w:line="193" w:lineRule="auto"/>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r>
        <w:rPr>
          <w:rFonts w:ascii="Arial" w:cs="Arial" w:eastAsia="Arial" w:hAnsi="Arial"/>
          <w:sz w:val="9"/>
          <w:szCs w:val="9"/>
          <w:b w:val="1"/>
          <w:bCs w:val="1"/>
          <w:color w:val="auto"/>
        </w:rPr>
        <w:t xml:space="preserve"> or scan the QR Barcode above </w:t>
      </w:r>
      <w:r>
        <w:rPr>
          <w:rFonts w:ascii="Arial" w:cs="Arial" w:eastAsia="Arial" w:hAnsi="Arial"/>
          <w:sz w:val="9"/>
          <w:szCs w:val="9"/>
          <w:color w:val="auto"/>
        </w:rPr>
        <w:t>Use the Internet</w:t>
      </w:r>
    </w:p>
    <w:p>
      <w:pPr>
        <w:ind w:left="340"/>
        <w:spacing w:after="0"/>
        <w:tabs>
          <w:tab w:leader="none" w:pos="6040" w:val="left"/>
        </w:tabs>
        <w:rPr>
          <w:sz w:val="20"/>
          <w:szCs w:val="20"/>
          <w:color w:val="auto"/>
        </w:rPr>
      </w:pPr>
      <w:r>
        <w:rPr>
          <w:rFonts w:ascii="Arial" w:cs="Arial" w:eastAsia="Arial" w:hAnsi="Arial"/>
          <w:sz w:val="17"/>
          <w:szCs w:val="17"/>
          <w:b w:val="1"/>
          <w:bCs w:val="1"/>
          <w:i w:val="1"/>
          <w:iCs w:val="1"/>
          <w:color w:val="auto"/>
        </w:rPr>
        <w:t>PHILADELPHIA, PA 19103</w:t>
      </w:r>
      <w:r>
        <w:rPr>
          <w:sz w:val="20"/>
          <w:szCs w:val="20"/>
          <w:color w:val="auto"/>
        </w:rPr>
        <w:tab/>
      </w:r>
      <w:r>
        <w:rPr>
          <w:rFonts w:ascii="Arial" w:cs="Arial" w:eastAsia="Arial" w:hAnsi="Arial"/>
          <w:sz w:val="12"/>
          <w:szCs w:val="12"/>
          <w:color w:val="auto"/>
        </w:rPr>
        <w:t>to transmit your voting instructions up until 11:59 PM (Eastern Time) on [—], 2014. Please have</w:t>
      </w:r>
    </w:p>
    <w:p>
      <w:pPr>
        <w:ind w:left="6060"/>
        <w:spacing w:after="0"/>
        <w:rPr>
          <w:sz w:val="20"/>
          <w:szCs w:val="20"/>
          <w:color w:val="auto"/>
        </w:rPr>
      </w:pPr>
      <w:r>
        <w:rPr>
          <w:rFonts w:ascii="Arial" w:cs="Arial" w:eastAsia="Arial" w:hAnsi="Arial"/>
          <w:sz w:val="12"/>
          <w:szCs w:val="12"/>
          <w:color w:val="auto"/>
        </w:rPr>
        <w:t>your proxy card in hand when you access the website and follow the instructions to obtain your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3"/>
          <w:szCs w:val="13"/>
          <w:color w:val="auto"/>
        </w:rPr>
        <w:t>records and to create an electronic voting instruction form.</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auto"/>
        </w:rPr>
        <w:t>VOTE BY PHONE - 1-800-690-6903</w:t>
      </w:r>
    </w:p>
    <w:p>
      <w:pPr>
        <w:ind w:left="6060"/>
        <w:spacing w:after="0" w:line="227" w:lineRule="auto"/>
        <w:rPr>
          <w:sz w:val="20"/>
          <w:szCs w:val="20"/>
          <w:color w:val="auto"/>
        </w:rPr>
      </w:pPr>
      <w:r>
        <w:rPr>
          <w:rFonts w:ascii="Arial" w:cs="Arial" w:eastAsia="Arial" w:hAnsi="Arial"/>
          <w:sz w:val="13"/>
          <w:szCs w:val="13"/>
          <w:color w:val="auto"/>
        </w:rPr>
        <w:t>Use any touch-tone telephone to transmit your voting instructions up until 11:59 PM (Eastern</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2"/>
          <w:szCs w:val="12"/>
          <w:color w:val="auto"/>
        </w:rPr>
        <w:t>Time) on [—], 2014. Have your proxy card in hand when you call and then follow the instructions.</w:t>
      </w:r>
    </w:p>
    <w:p>
      <w:pPr>
        <w:spacing w:after="0" w:line="214"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auto"/>
        </w:rPr>
        <w:t>VOTE BY MAIL</w:t>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2"/>
          <w:szCs w:val="12"/>
          <w:color w:val="auto"/>
        </w:rPr>
        <w:t>Sign, date and mark your proxy card and return it in the postage-paid envelope we have provided</w:t>
      </w:r>
    </w:p>
    <w:p>
      <w:pPr>
        <w:ind w:left="6060"/>
        <w:spacing w:after="0" w:line="223" w:lineRule="auto"/>
        <w:rPr>
          <w:sz w:val="20"/>
          <w:szCs w:val="20"/>
          <w:color w:val="auto"/>
        </w:rPr>
      </w:pPr>
      <w:r>
        <w:rPr>
          <w:rFonts w:ascii="Arial" w:cs="Arial" w:eastAsia="Arial" w:hAnsi="Arial"/>
          <w:sz w:val="13"/>
          <w:szCs w:val="13"/>
          <w:color w:val="auto"/>
        </w:rPr>
        <w:t>or return it to Vote Processing, Comcast Corporation, c/o Broadridge, 51 Mercedes Way,</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3"/>
          <w:szCs w:val="13"/>
          <w:color w:val="auto"/>
        </w:rPr>
        <w:t>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580" w:type="dxa"/>
            <w:vAlign w:val="bottom"/>
            <w:gridSpan w:val="5"/>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40" w:type="dxa"/>
            <w:vAlign w:val="bottom"/>
          </w:tcPr>
          <w:p>
            <w:pPr>
              <w:ind w:left="1040"/>
              <w:spacing w:after="0"/>
              <w:rPr>
                <w:sz w:val="20"/>
                <w:szCs w:val="20"/>
                <w:color w:val="auto"/>
              </w:rPr>
            </w:pPr>
            <w:r>
              <w:rPr>
                <w:rFonts w:ascii="Arial" w:cs="Arial" w:eastAsia="Arial" w:hAnsi="Arial"/>
                <w:sz w:val="13"/>
                <w:szCs w:val="13"/>
                <w:color w:val="auto"/>
              </w:rPr>
              <w:t>M70110-TBD</w:t>
            </w:r>
          </w:p>
        </w:tc>
        <w:tc>
          <w:tcPr>
            <w:tcW w:w="3220" w:type="dxa"/>
            <w:vAlign w:val="bottom"/>
            <w:gridSpan w:val="6"/>
          </w:tcPr>
          <w:p>
            <w:pPr>
              <w:jc w:val="right"/>
              <w:ind w:right="2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7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220" w:type="dxa"/>
            <w:vAlign w:val="bottom"/>
            <w:gridSpan w:val="6"/>
          </w:tcPr>
          <w:p>
            <w:pPr>
              <w:jc w:val="right"/>
              <w:ind w:right="2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39"/>
        </w:trPr>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7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50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00" w:type="dxa"/>
            <w:vAlign w:val="bottom"/>
            <w:tcBorders>
              <w:left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COMCAST CORPORATION</w:t>
            </w: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2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76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Borders>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2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76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Comcast Proposals — The Board of Directors recommends a vote “FOR” Proposals 1 and 2:</w:t>
            </w:r>
          </w:p>
        </w:tc>
        <w:tc>
          <w:tcPr>
            <w:tcW w:w="660" w:type="dxa"/>
            <w:vAlign w:val="bottom"/>
            <w:vMerge w:val="restart"/>
          </w:tcPr>
          <w:p>
            <w:pPr>
              <w:spacing w:after="0"/>
              <w:rPr>
                <w:sz w:val="24"/>
                <w:szCs w:val="24"/>
                <w:color w:val="auto"/>
              </w:rPr>
            </w:pPr>
          </w:p>
        </w:tc>
        <w:tc>
          <w:tcPr>
            <w:tcW w:w="860" w:type="dxa"/>
            <w:vAlign w:val="bottom"/>
            <w:vMerge w:val="restart"/>
          </w:tcPr>
          <w:p>
            <w:pPr>
              <w:spacing w:after="0"/>
              <w:rPr>
                <w:sz w:val="24"/>
                <w:szCs w:val="24"/>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Against</w:t>
            </w:r>
          </w:p>
        </w:tc>
        <w:tc>
          <w:tcPr>
            <w:tcW w:w="80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02"/>
        </w:trPr>
        <w:tc>
          <w:tcPr>
            <w:tcW w:w="220" w:type="dxa"/>
            <w:vAlign w:val="bottom"/>
            <w:tcBorders>
              <w:left w:val="single" w:sz="8" w:color="auto"/>
              <w:right w:val="single" w:sz="8" w:color="auto"/>
            </w:tcBorders>
          </w:tcPr>
          <w:p>
            <w:pPr>
              <w:spacing w:after="0"/>
              <w:rPr>
                <w:sz w:val="17"/>
                <w:szCs w:val="17"/>
                <w:color w:val="auto"/>
              </w:rPr>
            </w:pPr>
          </w:p>
        </w:tc>
        <w:tc>
          <w:tcPr>
            <w:tcW w:w="240" w:type="dxa"/>
            <w:vAlign w:val="bottom"/>
            <w:shd w:val="clear" w:color="auto" w:fill="000000"/>
          </w:tcPr>
          <w:p>
            <w:pPr>
              <w:ind w:left="80"/>
              <w:spacing w:after="0"/>
              <w:rPr>
                <w:sz w:val="20"/>
                <w:szCs w:val="20"/>
                <w:color w:val="auto"/>
              </w:rPr>
            </w:pPr>
            <w:r>
              <w:rPr>
                <w:rFonts w:ascii="Arial" w:cs="Arial" w:eastAsia="Arial" w:hAnsi="Arial"/>
                <w:sz w:val="17"/>
                <w:szCs w:val="17"/>
                <w:b w:val="1"/>
                <w:bCs w:val="1"/>
                <w:color w:val="FFFFFF"/>
              </w:rPr>
              <w:t>A</w:t>
            </w:r>
          </w:p>
        </w:tc>
        <w:tc>
          <w:tcPr>
            <w:tcW w:w="7760" w:type="dxa"/>
            <w:vAlign w:val="bottom"/>
            <w:gridSpan w:val="4"/>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20" w:type="dxa"/>
            <w:vAlign w:val="bottom"/>
            <w:tcBorders>
              <w:left w:val="single" w:sz="8" w:color="auto"/>
            </w:tcBorders>
          </w:tcPr>
          <w:p>
            <w:pPr>
              <w:spacing w:after="0"/>
              <w:rPr>
                <w:sz w:val="24"/>
                <w:szCs w:val="24"/>
                <w:color w:val="auto"/>
              </w:rPr>
            </w:pPr>
          </w:p>
        </w:tc>
        <w:tc>
          <w:tcPr>
            <w:tcW w:w="8000" w:type="dxa"/>
            <w:vAlign w:val="bottom"/>
            <w:gridSpan w:val="5"/>
          </w:tcPr>
          <w:p>
            <w:pPr>
              <w:ind w:left="80"/>
              <w:spacing w:after="0"/>
              <w:rPr>
                <w:sz w:val="20"/>
                <w:szCs w:val="20"/>
                <w:color w:val="auto"/>
              </w:rPr>
            </w:pPr>
            <w:r>
              <w:rPr>
                <w:rFonts w:ascii="Arial" w:cs="Arial" w:eastAsia="Arial" w:hAnsi="Arial"/>
                <w:sz w:val="13"/>
                <w:szCs w:val="13"/>
                <w:color w:val="auto"/>
              </w:rPr>
              <w:t>1.   To approve the issuance of shares of Comcast Class A common stock to Time Warner Cable Inc. stockholders in the merger.</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00" w:type="dxa"/>
            <w:vAlign w:val="bottom"/>
            <w:tcBorders>
              <w:right w:val="single" w:sz="8" w:color="auto"/>
            </w:tcBorders>
            <w:gridSpan w:val="2"/>
          </w:tcPr>
          <w:p>
            <w:pPr>
              <w:jc w:val="center"/>
              <w:ind w:right="12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303"/>
        </w:trPr>
        <w:tc>
          <w:tcPr>
            <w:tcW w:w="220" w:type="dxa"/>
            <w:vAlign w:val="bottom"/>
            <w:tcBorders>
              <w:left w:val="single" w:sz="8" w:color="auto"/>
            </w:tcBorders>
          </w:tcPr>
          <w:p>
            <w:pPr>
              <w:spacing w:after="0"/>
              <w:rPr>
                <w:sz w:val="24"/>
                <w:szCs w:val="24"/>
                <w:color w:val="auto"/>
              </w:rPr>
            </w:pPr>
          </w:p>
        </w:tc>
        <w:tc>
          <w:tcPr>
            <w:tcW w:w="8000" w:type="dxa"/>
            <w:vAlign w:val="bottom"/>
            <w:gridSpan w:val="5"/>
          </w:tcPr>
          <w:p>
            <w:pPr>
              <w:ind w:left="80"/>
              <w:spacing w:after="0"/>
              <w:rPr>
                <w:sz w:val="20"/>
                <w:szCs w:val="20"/>
                <w:color w:val="auto"/>
              </w:rPr>
            </w:pPr>
            <w:r>
              <w:rPr>
                <w:rFonts w:ascii="Arial" w:cs="Arial" w:eastAsia="Arial" w:hAnsi="Arial"/>
                <w:sz w:val="13"/>
                <w:szCs w:val="13"/>
                <w:color w:val="auto"/>
              </w:rPr>
              <w:t>2.   To approve the adjournment of the Comcast special meeting if necessary to solicit additional proxies.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00" w:type="dxa"/>
            <w:vAlign w:val="bottom"/>
            <w:tcBorders>
              <w:right w:val="single" w:sz="8" w:color="auto"/>
            </w:tcBorders>
            <w:gridSpan w:val="2"/>
          </w:tcPr>
          <w:p>
            <w:pPr>
              <w:jc w:val="center"/>
              <w:ind w:right="12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539"/>
        </w:trPr>
        <w:tc>
          <w:tcPr>
            <w:tcW w:w="22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76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w w:val="98"/>
              </w:rPr>
              <w:t>Authorized Signatures — This section must be completed for your vote to be counted — Date and Sign Within the Box Below</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 w:type="dxa"/>
            <w:vAlign w:val="bottom"/>
            <w:tcBorders>
              <w:left w:val="single" w:sz="8" w:color="auto"/>
              <w:right w:val="single" w:sz="8" w:color="auto"/>
            </w:tcBorders>
          </w:tcPr>
          <w:p>
            <w:pPr>
              <w:spacing w:after="0"/>
              <w:rPr>
                <w:sz w:val="17"/>
                <w:szCs w:val="17"/>
                <w:color w:val="auto"/>
              </w:rPr>
            </w:pPr>
          </w:p>
        </w:tc>
        <w:tc>
          <w:tcPr>
            <w:tcW w:w="240" w:type="dxa"/>
            <w:vAlign w:val="bottom"/>
            <w:shd w:val="clear" w:color="auto" w:fill="000000"/>
          </w:tcPr>
          <w:p>
            <w:pPr>
              <w:ind w:left="80"/>
              <w:spacing w:after="0"/>
              <w:rPr>
                <w:sz w:val="20"/>
                <w:szCs w:val="20"/>
                <w:color w:val="auto"/>
              </w:rPr>
            </w:pPr>
            <w:r>
              <w:rPr>
                <w:rFonts w:ascii="Arial" w:cs="Arial" w:eastAsia="Arial" w:hAnsi="Arial"/>
                <w:sz w:val="17"/>
                <w:szCs w:val="17"/>
                <w:b w:val="1"/>
                <w:bCs w:val="1"/>
                <w:color w:val="FFFFFF"/>
              </w:rPr>
              <w:t>B</w:t>
            </w:r>
          </w:p>
        </w:tc>
        <w:tc>
          <w:tcPr>
            <w:tcW w:w="776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20" w:type="dxa"/>
            <w:vAlign w:val="bottom"/>
            <w:tcBorders>
              <w:left w:val="single" w:sz="8" w:color="auto"/>
            </w:tcBorders>
          </w:tcPr>
          <w:p>
            <w:pPr>
              <w:spacing w:after="0"/>
              <w:rPr>
                <w:sz w:val="10"/>
                <w:szCs w:val="10"/>
                <w:color w:val="auto"/>
              </w:rPr>
            </w:pPr>
          </w:p>
        </w:tc>
        <w:tc>
          <w:tcPr>
            <w:tcW w:w="9900" w:type="dxa"/>
            <w:vAlign w:val="bottom"/>
            <w:gridSpan w:val="8"/>
          </w:tcPr>
          <w:p>
            <w:pPr>
              <w:ind w:left="80"/>
              <w:spacing w:after="0" w:line="121" w:lineRule="exact"/>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w:t>
            </w: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3"/>
                <w:szCs w:val="13"/>
                <w:color w:val="auto"/>
              </w:rPr>
              <w:t>trustee or in any other representative capacity.</w:t>
            </w: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0" w:type="dxa"/>
            <w:vAlign w:val="bottom"/>
            <w:tcBorders>
              <w:left w:val="single" w:sz="8" w:color="auto"/>
            </w:tcBorders>
          </w:tcPr>
          <w:p>
            <w:pPr>
              <w:spacing w:after="0"/>
              <w:rPr>
                <w:sz w:val="10"/>
                <w:szCs w:val="10"/>
                <w:color w:val="auto"/>
              </w:rPr>
            </w:pPr>
          </w:p>
        </w:tc>
        <w:tc>
          <w:tcPr>
            <w:tcW w:w="3280" w:type="dxa"/>
            <w:vAlign w:val="bottom"/>
            <w:tcBorders>
              <w:bottom w:val="single" w:sz="8" w:color="auto"/>
            </w:tcBorders>
            <w:gridSpan w:val="2"/>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20" w:type="dxa"/>
            <w:vAlign w:val="bottom"/>
            <w:tcBorders>
              <w:left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220" w:type="dxa"/>
            <w:vAlign w:val="bottom"/>
            <w:vMerge w:val="restart"/>
          </w:tcPr>
          <w:p>
            <w:pPr>
              <w:spacing w:after="0"/>
              <w:rPr>
                <w:sz w:val="23"/>
                <w:szCs w:val="23"/>
                <w:color w:val="auto"/>
              </w:rPr>
            </w:pPr>
          </w:p>
        </w:tc>
        <w:tc>
          <w:tcPr>
            <w:tcW w:w="2640" w:type="dxa"/>
            <w:vAlign w:val="bottom"/>
            <w:tcBorders>
              <w:left w:val="single" w:sz="8" w:color="auto"/>
              <w:bottom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380" w:type="dxa"/>
            <w:vAlign w:val="bottom"/>
            <w:vMerge w:val="restart"/>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220" w:type="dxa"/>
            <w:vAlign w:val="bottom"/>
            <w:tcBorders>
              <w:left w:val="single" w:sz="8" w:color="auto"/>
              <w:bottom w:val="single" w:sz="8" w:color="auto"/>
            </w:tcBorders>
          </w:tcPr>
          <w:p>
            <w:pPr>
              <w:spacing w:after="0"/>
              <w:rPr>
                <w:sz w:val="11"/>
                <w:szCs w:val="11"/>
                <w:color w:val="auto"/>
              </w:rPr>
            </w:pPr>
          </w:p>
        </w:tc>
        <w:tc>
          <w:tcPr>
            <w:tcW w:w="3280" w:type="dxa"/>
            <w:vAlign w:val="bottom"/>
            <w:tcBorders>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Signature [PLEASE SIGN WITHIN BOX]</w:t>
            </w:r>
          </w:p>
        </w:tc>
        <w:tc>
          <w:tcPr>
            <w:tcW w:w="860" w:type="dxa"/>
            <w:vAlign w:val="bottom"/>
            <w:tcBorders>
              <w:bottom w:val="single" w:sz="8" w:color="auto"/>
            </w:tcBorders>
          </w:tcPr>
          <w:p>
            <w:pPr>
              <w:ind w:left="100"/>
              <w:spacing w:after="0" w:line="131" w:lineRule="exact"/>
              <w:rPr>
                <w:sz w:val="20"/>
                <w:szCs w:val="20"/>
                <w:color w:val="auto"/>
              </w:rPr>
            </w:pPr>
            <w:r>
              <w:rPr>
                <w:rFonts w:ascii="Arial" w:cs="Arial" w:eastAsia="Arial" w:hAnsi="Arial"/>
                <w:sz w:val="13"/>
                <w:szCs w:val="13"/>
                <w:color w:val="auto"/>
              </w:rPr>
              <w:t>Date</w:t>
            </w:r>
          </w:p>
        </w:tc>
        <w:tc>
          <w:tcPr>
            <w:tcW w:w="1220" w:type="dxa"/>
            <w:vAlign w:val="bottom"/>
            <w:tcBorders>
              <w:bottom w:val="single" w:sz="8" w:color="auto"/>
            </w:tcBorders>
            <w:vMerge w:val="continue"/>
          </w:tcPr>
          <w:p>
            <w:pPr>
              <w:spacing w:after="0"/>
              <w:rPr>
                <w:sz w:val="11"/>
                <w:szCs w:val="11"/>
                <w:color w:val="auto"/>
              </w:rPr>
            </w:pPr>
          </w:p>
        </w:tc>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3"/>
                <w:szCs w:val="13"/>
                <w:color w:val="auto"/>
              </w:rPr>
              <w:t>Signature (Joint Owners)</w:t>
            </w:r>
          </w:p>
        </w:tc>
        <w:tc>
          <w:tcPr>
            <w:tcW w:w="6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80"/>
              <w:spacing w:after="0" w:line="131" w:lineRule="exact"/>
              <w:rPr>
                <w:sz w:val="20"/>
                <w:szCs w:val="20"/>
                <w:color w:val="auto"/>
              </w:rPr>
            </w:pPr>
            <w:r>
              <w:rPr>
                <w:rFonts w:ascii="Arial" w:cs="Arial" w:eastAsia="Arial" w:hAnsi="Arial"/>
                <w:sz w:val="13"/>
                <w:szCs w:val="13"/>
                <w:color w:val="auto"/>
              </w:rPr>
              <w:t>Date</w:t>
            </w:r>
          </w:p>
        </w:tc>
        <w:tc>
          <w:tcPr>
            <w:tcW w:w="3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55" w:name="page356"/>
    <w:bookmarkEnd w:id="3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Important Notice Regarding the Availability of Proxy Materials for the Special Meeting: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joint proxy statement/prospectus is also available at www.proxyvote.com.</w:t>
      </w:r>
    </w:p>
    <w:p>
      <w:pPr>
        <w:spacing w:after="0" w:line="394" w:lineRule="exact"/>
        <w:rPr>
          <w:sz w:val="20"/>
          <w:szCs w:val="20"/>
          <w:color w:val="auto"/>
        </w:rPr>
      </w:pPr>
    </w:p>
    <w:p>
      <w:pPr>
        <w:jc w:val="center"/>
        <w:ind w:left="260" w:right="40"/>
        <w:spacing w:after="0" w:line="275" w:lineRule="auto"/>
        <w:rPr>
          <w:sz w:val="20"/>
          <w:szCs w:val="20"/>
          <w:color w:val="auto"/>
        </w:rPr>
      </w:pPr>
      <w:r>
        <w:rPr>
          <w:rFonts w:ascii="Arial" w:cs="Arial" w:eastAsia="Arial" w:hAnsi="Arial"/>
          <w:sz w:val="17"/>
          <w:szCs w:val="17"/>
          <w:color w:val="auto"/>
        </w:rPr>
        <w:t xml:space="preserve">q </w:t>
      </w:r>
      <w:r>
        <w:rPr>
          <w:rFonts w:ascii="Arial" w:cs="Arial" w:eastAsia="Arial" w:hAnsi="Arial"/>
          <w:sz w:val="17"/>
          <w:szCs w:val="17"/>
          <w:b w:val="1"/>
          <w:bCs w:val="1"/>
          <w:color w:val="auto"/>
        </w:rPr>
        <w:t>IF YOU HAVE NOT VOTED VIA THE INTERNET OR TELEPHONE, FOLD ALONG THE PERFORATION, DETACH AND RETURN THE BOTTOM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PORTION IN THE ENCLOSED ENVELOPE. </w:t>
      </w:r>
      <w:r>
        <w:rPr>
          <w:rFonts w:ascii="Arial" w:cs="Arial" w:eastAsia="Arial" w:hAnsi="Arial"/>
          <w:sz w:val="17"/>
          <w:szCs w:val="17"/>
          <w:color w:val="auto"/>
        </w:rPr>
        <w:t>q</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M70111-TBD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284085" cy="38004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4085" cy="380047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COMCAST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THIS PROXY IS SOLICITED ON BEHALF OF THE BOARD OF DIRECTORS FOR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SPECIAL MEETING OF SHAREHOLDERS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196" w:lineRule="exact"/>
        <w:rPr>
          <w:sz w:val="20"/>
          <w:szCs w:val="20"/>
          <w:color w:val="auto"/>
        </w:rPr>
      </w:pPr>
    </w:p>
    <w:p>
      <w:pPr>
        <w:ind w:left="260" w:right="220"/>
        <w:spacing w:after="0" w:line="270" w:lineRule="auto"/>
        <w:rPr>
          <w:sz w:val="20"/>
          <w:szCs w:val="20"/>
          <w:color w:val="auto"/>
        </w:rPr>
      </w:pPr>
      <w:r>
        <w:rPr>
          <w:rFonts w:ascii="Arial" w:cs="Arial" w:eastAsia="Arial" w:hAnsi="Arial"/>
          <w:sz w:val="16"/>
          <w:szCs w:val="16"/>
          <w:color w:val="auto"/>
        </w:rPr>
        <w:t>I hereby appoint Arthur R. Block and David L. Cohen and each of them acting individually, as proxies, with the powers I would possess if personally present, and with full power of substitution, to vote all shares in Comcast Corporation at the special meeting of shareholders to be held at the [—], located at [—], at [—] AM Eastern Time on [—], 2014, and at any adjournment or postponement thereof, upon all matters described in the joint proxy statement/prospectus that may properly come before the meeting, in accordance with my instructions on the reverse side of this proxy card. In the event that any other matter may properly come before the special meeting, or any adjournment or postponement thereof, the proxies are each authorized to vote on such matter in their discretion. I hereby revoke all previous proxies given to vote at the special meeting or any adjournment or postponement thereof.</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 acknowledge receipt of the notice of special meeting of Comcast Corporation shareholders, and the joint proxy statement/prospectus.</w:t>
      </w:r>
    </w:p>
    <w:p>
      <w:pPr>
        <w:spacing w:after="0" w:line="208" w:lineRule="exact"/>
        <w:rPr>
          <w:sz w:val="20"/>
          <w:szCs w:val="20"/>
          <w:color w:val="auto"/>
        </w:rPr>
      </w:pPr>
    </w:p>
    <w:p>
      <w:pPr>
        <w:jc w:val="both"/>
        <w:ind w:left="260" w:right="440"/>
        <w:spacing w:after="0" w:line="286" w:lineRule="auto"/>
        <w:rPr>
          <w:sz w:val="20"/>
          <w:szCs w:val="20"/>
          <w:color w:val="auto"/>
        </w:rPr>
      </w:pPr>
      <w:r>
        <w:rPr>
          <w:rFonts w:ascii="Arial" w:cs="Arial" w:eastAsia="Arial" w:hAnsi="Arial"/>
          <w:sz w:val="15"/>
          <w:szCs w:val="15"/>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5"/>
          <w:szCs w:val="15"/>
          <w:b w:val="1"/>
          <w:bCs w:val="1"/>
          <w:color w:val="auto"/>
        </w:rPr>
        <w:t>Except in the case of shares held in the Comcast Corporation</w:t>
      </w:r>
    </w:p>
    <w:p>
      <w:pPr>
        <w:spacing w:after="0" w:line="1" w:lineRule="exact"/>
        <w:rPr>
          <w:sz w:val="20"/>
          <w:szCs w:val="20"/>
          <w:color w:val="auto"/>
        </w:rPr>
      </w:pPr>
    </w:p>
    <w:p>
      <w:pPr>
        <w:ind w:left="260" w:right="200"/>
        <w:spacing w:after="0" w:line="287" w:lineRule="auto"/>
        <w:rPr>
          <w:sz w:val="20"/>
          <w:szCs w:val="20"/>
          <w:color w:val="auto"/>
        </w:rPr>
      </w:pPr>
      <w:r>
        <w:rPr>
          <w:rFonts w:ascii="Arial" w:cs="Arial" w:eastAsia="Arial" w:hAnsi="Arial"/>
          <w:sz w:val="15"/>
          <w:szCs w:val="15"/>
          <w:b w:val="1"/>
          <w:bCs w:val="1"/>
          <w:color w:val="auto"/>
        </w:rPr>
        <w:t xml:space="preserve">Retirement-Investment Plan or the Comcast Spectacor 401(k) Plan, if your card is signed and returned without instructions, the shares will be voted in favor of Proposals 1 and 2. </w:t>
      </w:r>
      <w:r>
        <w:rPr>
          <w:rFonts w:ascii="Arial" w:cs="Arial" w:eastAsia="Arial" w:hAnsi="Arial"/>
          <w:sz w:val="15"/>
          <w:szCs w:val="15"/>
          <w:color w:val="auto"/>
        </w:rPr>
        <w:t>If you hold shares in the Comcast Corporation Retirement-Investment Plan or the Comcast Spectacor 401(k) Plan and do not vote, or</w:t>
      </w:r>
      <w:r>
        <w:rPr>
          <w:rFonts w:ascii="Arial" w:cs="Arial" w:eastAsia="Arial" w:hAnsi="Arial"/>
          <w:sz w:val="15"/>
          <w:szCs w:val="15"/>
          <w:b w:val="1"/>
          <w:bCs w:val="1"/>
          <w:color w:val="auto"/>
        </w:rPr>
        <w:t xml:space="preserve"> </w:t>
      </w:r>
      <w:r>
        <w:rPr>
          <w:rFonts w:ascii="Arial" w:cs="Arial" w:eastAsia="Arial" w:hAnsi="Arial"/>
          <w:sz w:val="15"/>
          <w:szCs w:val="15"/>
          <w:color w:val="auto"/>
        </w:rPr>
        <w:t>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the 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 and to be signed on reverse side</w:t>
      </w:r>
    </w:p>
    <w:p>
      <w:pPr>
        <w:sectPr>
          <w:pgSz w:w="11900" w:h="16838" w:orient="portrait"/>
          <w:cols w:equalWidth="0" w:num="1">
            <w:col w:w="11420"/>
          </w:cols>
          <w:pgMar w:left="240" w:top="1440" w:right="239" w:bottom="1440" w:gutter="0" w:footer="0" w:header="0"/>
        </w:sectPr>
      </w:pPr>
    </w:p>
    <w:bookmarkStart w:id="356" w:name="page357"/>
    <w:bookmarkEnd w:id="356"/>
    <w:tbl>
      <w:tblPr>
        <w:tblLayout w:type="fixed"/>
        <w:tblInd w:w="100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tcPr>
          <w:p>
            <w:pPr>
              <w:ind w:left="980"/>
              <w:spacing w:after="0"/>
              <w:rPr>
                <w:sz w:val="20"/>
                <w:szCs w:val="20"/>
                <w:color w:val="auto"/>
              </w:rPr>
            </w:pPr>
            <w:r>
              <w:rPr>
                <w:rFonts w:ascii="Arial" w:cs="Arial" w:eastAsia="Arial" w:hAnsi="Arial"/>
                <w:sz w:val="17"/>
                <w:szCs w:val="17"/>
                <w:b w:val="1"/>
                <w:bCs w:val="1"/>
                <w:color w:val="auto"/>
                <w:w w:val="88"/>
              </w:rPr>
              <w:t>Exhibit 99.2</w:t>
            </w:r>
          </w:p>
        </w:tc>
        <w:tc>
          <w:tcPr>
            <w:tcW w:w="0" w:type="dxa"/>
            <w:vAlign w:val="bottom"/>
          </w:tcPr>
          <w:p>
            <w:pPr>
              <w:spacing w:after="0"/>
              <w:rPr>
                <w:sz w:val="1"/>
                <w:szCs w:val="1"/>
                <w:color w:val="auto"/>
              </w:rPr>
            </w:pPr>
          </w:p>
        </w:tc>
      </w:tr>
      <w:tr>
        <w:trPr>
          <w:trHeight w:val="404"/>
        </w:trPr>
        <w:tc>
          <w:tcPr>
            <w:tcW w:w="10420" w:type="dxa"/>
            <w:vAlign w:val="bottom"/>
            <w:gridSpan w:val="4"/>
          </w:tcPr>
          <w:p>
            <w:pPr>
              <w:ind w:left="2060"/>
              <w:spacing w:after="0"/>
              <w:rPr>
                <w:sz w:val="20"/>
                <w:szCs w:val="20"/>
                <w:color w:val="auto"/>
              </w:rPr>
            </w:pPr>
            <w:r>
              <w:rPr>
                <w:rFonts w:ascii="Arial" w:cs="Arial" w:eastAsia="Arial" w:hAnsi="Arial"/>
                <w:sz w:val="17"/>
                <w:szCs w:val="17"/>
                <w:b w:val="1"/>
                <w:bCs w:val="1"/>
                <w:color w:val="auto"/>
              </w:rPr>
              <w:t>PRELIMINARY PROXY MATERIALS – SUBJECT TO COMPLETION</w:t>
            </w:r>
          </w:p>
        </w:tc>
        <w:tc>
          <w:tcPr>
            <w:tcW w:w="0" w:type="dxa"/>
            <w:vAlign w:val="bottom"/>
          </w:tcPr>
          <w:p>
            <w:pPr>
              <w:spacing w:after="0"/>
              <w:rPr>
                <w:sz w:val="1"/>
                <w:szCs w:val="1"/>
                <w:color w:val="auto"/>
              </w:rPr>
            </w:pPr>
          </w:p>
        </w:tc>
      </w:tr>
      <w:tr>
        <w:trPr>
          <w:trHeight w:val="278"/>
        </w:trPr>
        <w:tc>
          <w:tcPr>
            <w:tcW w:w="3560" w:type="dxa"/>
            <w:vAlign w:val="bottom"/>
          </w:tcPr>
          <w:p>
            <w:pPr>
              <w:spacing w:after="0"/>
              <w:rPr>
                <w:sz w:val="24"/>
                <w:szCs w:val="24"/>
                <w:color w:val="auto"/>
              </w:rPr>
            </w:pPr>
          </w:p>
        </w:tc>
        <w:tc>
          <w:tcPr>
            <w:tcW w:w="6860" w:type="dxa"/>
            <w:vAlign w:val="bottom"/>
            <w:gridSpan w:val="3"/>
          </w:tcPr>
          <w:p>
            <w:pPr>
              <w:ind w:left="1400"/>
              <w:spacing w:after="0"/>
              <w:rPr>
                <w:sz w:val="20"/>
                <w:szCs w:val="20"/>
                <w:color w:val="auto"/>
              </w:rPr>
            </w:pPr>
            <w:r>
              <w:rPr>
                <w:rFonts w:ascii="Arial" w:cs="Arial" w:eastAsia="Arial" w:hAnsi="Arial"/>
                <w:sz w:val="17"/>
                <w:szCs w:val="17"/>
                <w:b w:val="1"/>
                <w:bCs w:val="1"/>
                <w:color w:val="auto"/>
              </w:rPr>
              <w:t xml:space="preserve">VOTE BY INTERNET: </w:t>
            </w:r>
            <w:r>
              <w:rPr>
                <w:rFonts w:ascii="Arial" w:cs="Arial" w:eastAsia="Arial" w:hAnsi="Arial"/>
                <w:sz w:val="17"/>
                <w:szCs w:val="17"/>
                <w:color w:val="auto"/>
              </w:rPr>
              <w:t>Go to</w:t>
            </w:r>
            <w:r>
              <w:rPr>
                <w:rFonts w:ascii="Arial" w:cs="Arial" w:eastAsia="Arial" w:hAnsi="Arial"/>
                <w:sz w:val="17"/>
                <w:szCs w:val="17"/>
                <w:b w:val="1"/>
                <w:bCs w:val="1"/>
                <w:color w:val="auto"/>
              </w:rPr>
              <w:t xml:space="preserve"> www.proxyvote.com</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TIME WARNER CABLE INC.</w:t>
            </w:r>
          </w:p>
        </w:tc>
        <w:tc>
          <w:tcPr>
            <w:tcW w:w="3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560" w:type="dxa"/>
            <w:vAlign w:val="bottom"/>
            <w:vMerge w:val="continue"/>
          </w:tcPr>
          <w:p>
            <w:pPr>
              <w:spacing w:after="0"/>
              <w:rPr>
                <w:sz w:val="24"/>
                <w:szCs w:val="24"/>
                <w:color w:val="auto"/>
              </w:rPr>
            </w:pPr>
          </w:p>
        </w:tc>
        <w:tc>
          <w:tcPr>
            <w:tcW w:w="6860" w:type="dxa"/>
            <w:vAlign w:val="bottom"/>
            <w:gridSpan w:val="3"/>
          </w:tcPr>
          <w:p>
            <w:pPr>
              <w:ind w:left="1400"/>
              <w:spacing w:after="0"/>
              <w:rPr>
                <w:sz w:val="20"/>
                <w:szCs w:val="20"/>
                <w:color w:val="auto"/>
              </w:rPr>
            </w:pPr>
            <w:r>
              <w:rPr>
                <w:rFonts w:ascii="Arial" w:cs="Arial" w:eastAsia="Arial" w:hAnsi="Arial"/>
                <w:sz w:val="17"/>
                <w:szCs w:val="17"/>
                <w:color w:val="auto"/>
                <w:w w:val="93"/>
              </w:rPr>
              <w:t>Use the Internet to transmit your voting instructions and for electronic delivery</w:t>
            </w:r>
          </w:p>
        </w:tc>
        <w:tc>
          <w:tcPr>
            <w:tcW w:w="0" w:type="dxa"/>
            <w:vAlign w:val="bottom"/>
          </w:tcPr>
          <w:p>
            <w:pPr>
              <w:spacing w:after="0"/>
              <w:rPr>
                <w:sz w:val="1"/>
                <w:szCs w:val="1"/>
                <w:color w:val="auto"/>
              </w:rPr>
            </w:pPr>
          </w:p>
        </w:tc>
      </w:tr>
      <w:tr>
        <w:trPr>
          <w:trHeight w:val="202"/>
        </w:trPr>
        <w:tc>
          <w:tcPr>
            <w:tcW w:w="3560" w:type="dxa"/>
            <w:vAlign w:val="bottom"/>
          </w:tcPr>
          <w:p>
            <w:pPr>
              <w:spacing w:after="0"/>
              <w:rPr>
                <w:sz w:val="20"/>
                <w:szCs w:val="20"/>
                <w:color w:val="auto"/>
              </w:rPr>
            </w:pPr>
            <w:r>
              <w:rPr>
                <w:rFonts w:ascii="Arial" w:cs="Arial" w:eastAsia="Arial" w:hAnsi="Arial"/>
                <w:sz w:val="17"/>
                <w:szCs w:val="17"/>
                <w:b w:val="1"/>
                <w:bCs w:val="1"/>
                <w:i w:val="1"/>
                <w:iCs w:val="1"/>
                <w:color w:val="auto"/>
              </w:rPr>
              <w:t>60 COLUMBUS CIRCLE</w:t>
            </w:r>
          </w:p>
        </w:tc>
        <w:tc>
          <w:tcPr>
            <w:tcW w:w="6860" w:type="dxa"/>
            <w:vAlign w:val="bottom"/>
            <w:gridSpan w:val="3"/>
          </w:tcPr>
          <w:p>
            <w:pPr>
              <w:ind w:left="1400"/>
              <w:spacing w:after="0"/>
              <w:rPr>
                <w:sz w:val="20"/>
                <w:szCs w:val="20"/>
                <w:color w:val="auto"/>
              </w:rPr>
            </w:pPr>
            <w:r>
              <w:rPr>
                <w:rFonts w:ascii="Arial" w:cs="Arial" w:eastAsia="Arial" w:hAnsi="Arial"/>
                <w:sz w:val="17"/>
                <w:szCs w:val="17"/>
                <w:color w:val="auto"/>
                <w:w w:val="98"/>
              </w:rPr>
              <w:t>of information up until 11:59 PM (Eastern Time) on [XX, 2014]. Have your</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20"/>
                <w:szCs w:val="20"/>
                <w:color w:val="auto"/>
              </w:rPr>
            </w:pPr>
            <w:r>
              <w:rPr>
                <w:rFonts w:ascii="Arial" w:cs="Arial" w:eastAsia="Arial" w:hAnsi="Arial"/>
                <w:sz w:val="17"/>
                <w:szCs w:val="17"/>
                <w:b w:val="1"/>
                <w:bCs w:val="1"/>
                <w:i w:val="1"/>
                <w:iCs w:val="1"/>
                <w:color w:val="auto"/>
              </w:rPr>
              <w:t>NEW YORK, NY 10023</w:t>
            </w:r>
          </w:p>
        </w:tc>
        <w:tc>
          <w:tcPr>
            <w:tcW w:w="6860" w:type="dxa"/>
            <w:vAlign w:val="bottom"/>
            <w:gridSpan w:val="3"/>
          </w:tcPr>
          <w:p>
            <w:pPr>
              <w:ind w:left="1400"/>
              <w:spacing w:after="0"/>
              <w:rPr>
                <w:sz w:val="20"/>
                <w:szCs w:val="20"/>
                <w:color w:val="auto"/>
              </w:rPr>
            </w:pPr>
            <w:r>
              <w:rPr>
                <w:rFonts w:ascii="Arial" w:cs="Arial" w:eastAsia="Arial" w:hAnsi="Arial"/>
                <w:sz w:val="17"/>
                <w:szCs w:val="17"/>
                <w:color w:val="auto"/>
                <w:w w:val="92"/>
              </w:rPr>
              <w:t>proxy card in hand when you access the web site and follow the instructions to</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6860" w:type="dxa"/>
            <w:vAlign w:val="bottom"/>
            <w:gridSpan w:val="3"/>
          </w:tcPr>
          <w:p>
            <w:pPr>
              <w:ind w:left="1400"/>
              <w:spacing w:after="0"/>
              <w:rPr>
                <w:sz w:val="20"/>
                <w:szCs w:val="20"/>
                <w:color w:val="auto"/>
              </w:rPr>
            </w:pPr>
            <w:r>
              <w:rPr>
                <w:rFonts w:ascii="Arial" w:cs="Arial" w:eastAsia="Arial" w:hAnsi="Arial"/>
                <w:sz w:val="17"/>
                <w:szCs w:val="17"/>
                <w:color w:val="auto"/>
              </w:rPr>
              <w:t>obtain your records and to create an electronic voting instruction form.</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VOTE BY PHONE - 1-800-690-6903</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Use any touch-tone telephone to transmit your voting instructions up until</w:t>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11:59 PM (Eastern Time) on [ XX, 2014]. Have your proxy card in hand when</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you call and then follow the instructions.</w:t>
      </w:r>
    </w:p>
    <w:p>
      <w:pPr>
        <w:spacing w:after="0" w:line="217"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VOTE BY MAIL</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Sign, date and mark your proxy card and return it in the postage-paid envelope</w:t>
      </w:r>
    </w:p>
    <w:p>
      <w:pPr>
        <w:spacing w:after="0" w:line="4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we have provided or return it to Vote Processing, c/o Broadridge, 51 Mercedes</w:t>
      </w:r>
    </w:p>
    <w:p>
      <w:pPr>
        <w:spacing w:after="0" w:line="2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Way, Edgewood, NY 11717.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 VOTE, MARK BLOCKS BELOW IN BLUE OR BLACK INK AS FOLLOWS: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KEEP THIS PORTION FOR YOUR RECORDS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 — — — — — — — — — — — — — — — — — — — — — — — — — — — — — — — — — — — — — — — — — —</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DETACH AND RETURN THIS PORTION ONLY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PROXY CARD IS VALID ONLY WHEN SIGNED AND DATED.</w:t>
      </w:r>
    </w:p>
    <w:p>
      <w:pPr>
        <w:sectPr>
          <w:pgSz w:w="11900" w:h="16838" w:orient="portrait"/>
          <w:cols w:equalWidth="0" w:num="1">
            <w:col w:w="11420"/>
          </w:cols>
          <w:pgMar w:left="240" w:top="123" w:right="23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Time Warner Cable Inc.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The Board of Directors recommends a vote “FOR” the following Proposals:</w:t>
      </w:r>
    </w:p>
    <w:p>
      <w:pPr>
        <w:spacing w:after="0" w:line="149" w:lineRule="exact"/>
        <w:rPr>
          <w:sz w:val="20"/>
          <w:szCs w:val="20"/>
          <w:color w:val="auto"/>
        </w:rPr>
      </w:pPr>
    </w:p>
    <w:p>
      <w:pPr>
        <w:ind w:left="500" w:hanging="247"/>
        <w:spacing w:after="0" w:line="302" w:lineRule="auto"/>
        <w:tabs>
          <w:tab w:leader="none" w:pos="5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February 12, 2014, as may be amended, among Time Warner Cable Inc. (“TWC”), Comcast Corporation and Tango Acquisition Sub, Inc.</w:t>
      </w:r>
    </w:p>
    <w:p>
      <w:pPr>
        <w:spacing w:after="0" w:line="41" w:lineRule="exact"/>
        <w:rPr>
          <w:rFonts w:ascii="Arial" w:cs="Arial" w:eastAsia="Arial" w:hAnsi="Arial"/>
          <w:sz w:val="16"/>
          <w:szCs w:val="16"/>
          <w:color w:val="auto"/>
        </w:rPr>
      </w:pPr>
    </w:p>
    <w:p>
      <w:pPr>
        <w:ind w:left="500" w:right="120" w:hanging="247"/>
        <w:spacing w:after="0" w:line="270" w:lineRule="auto"/>
        <w:tabs>
          <w:tab w:leader="none" w:pos="50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paid by TWC to its named executive officers in connection with the merger.</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address change/comments, mark here.</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(see reverse for instructions)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Please indicate if you plan to attend this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20" w:val="left"/>
          <w:tab w:leader="none" w:pos="18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66" w:lineRule="exact"/>
        <w:rPr>
          <w:sz w:val="20"/>
          <w:szCs w:val="20"/>
          <w:color w:val="auto"/>
        </w:rPr>
      </w:pPr>
    </w:p>
    <w:p>
      <w:pPr>
        <w:ind w:left="60"/>
        <w:spacing w:after="0" w:line="171" w:lineRule="exact"/>
        <w:tabs>
          <w:tab w:leader="none" w:pos="1020" w:val="left"/>
          <w:tab w:leader="none" w:pos="21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6"/>
          <w:szCs w:val="16"/>
          <w:color w:val="auto"/>
        </w:rPr>
        <w:t>☐</w:t>
      </w:r>
    </w:p>
    <w:p>
      <w:pPr>
        <w:spacing w:after="0" w:line="334" w:lineRule="exact"/>
        <w:rPr>
          <w:sz w:val="20"/>
          <w:szCs w:val="20"/>
          <w:color w:val="auto"/>
        </w:rPr>
      </w:pPr>
    </w:p>
    <w:p>
      <w:pPr>
        <w:ind w:left="60"/>
        <w:spacing w:after="0" w:line="171" w:lineRule="exact"/>
        <w:tabs>
          <w:tab w:leader="none" w:pos="1020" w:val="left"/>
          <w:tab w:leader="none" w:pos="21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6"/>
          <w:szCs w:val="16"/>
          <w:color w:val="auto"/>
        </w:rPr>
        <w:t>☐</w:t>
      </w:r>
    </w:p>
    <w:p>
      <w:pPr>
        <w:spacing w:after="0" w:line="334" w:lineRule="exact"/>
        <w:rPr>
          <w:sz w:val="20"/>
          <w:szCs w:val="20"/>
          <w:color w:val="auto"/>
        </w:rPr>
      </w:pPr>
    </w:p>
    <w:p>
      <w:pPr>
        <w:ind w:left="60"/>
        <w:spacing w:after="0" w:line="171" w:lineRule="exact"/>
        <w:rPr>
          <w:sz w:val="20"/>
          <w:szCs w:val="20"/>
          <w:color w:val="auto"/>
        </w:rPr>
      </w:pPr>
      <w:r>
        <w:rPr>
          <w:rFonts w:ascii="MS PGothic" w:cs="MS PGothic" w:eastAsia="MS PGothic" w:hAnsi="MS PGothic"/>
          <w:sz w:val="17"/>
          <w:szCs w:val="17"/>
          <w:color w:val="auto"/>
        </w:rPr>
        <w:t>☐</w:t>
      </w:r>
    </w:p>
    <w:p>
      <w:pPr>
        <w:spacing w:after="0" w:line="246" w:lineRule="exact"/>
        <w:rPr>
          <w:sz w:val="20"/>
          <w:szCs w:val="20"/>
          <w:color w:val="auto"/>
        </w:rPr>
      </w:pPr>
    </w:p>
    <w:p>
      <w:pPr>
        <w:ind w:left="60"/>
        <w:spacing w:after="0" w:line="171" w:lineRule="exact"/>
        <w:tabs>
          <w:tab w:leader="none" w:pos="10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16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7"/>
          <w:szCs w:val="17"/>
          <w:b w:val="1"/>
          <w:bCs w:val="1"/>
          <w:color w:val="auto"/>
        </w:rPr>
        <w:t>Yes</w:t>
      </w:r>
      <w:r>
        <w:rPr>
          <w:sz w:val="20"/>
          <w:szCs w:val="20"/>
          <w:color w:val="auto"/>
        </w:rPr>
        <w:tab/>
      </w:r>
      <w:r>
        <w:rPr>
          <w:rFonts w:ascii="Arial" w:cs="Arial" w:eastAsia="Arial" w:hAnsi="Arial"/>
          <w:sz w:val="17"/>
          <w:szCs w:val="17"/>
          <w:b w:val="1"/>
          <w:bCs w:val="1"/>
          <w:color w:val="auto"/>
        </w:rPr>
        <w:t>No</w:t>
      </w:r>
    </w:p>
    <w:p>
      <w:pPr>
        <w:spacing w:after="0" w:line="22" w:lineRule="exact"/>
        <w:rPr>
          <w:sz w:val="20"/>
          <w:szCs w:val="20"/>
          <w:color w:val="auto"/>
        </w:rPr>
      </w:pPr>
    </w:p>
    <w:p>
      <w:pPr>
        <w:sectPr>
          <w:pgSz w:w="11900" w:h="16838" w:orient="portrait"/>
          <w:cols w:equalWidth="0" w:num="2">
            <w:col w:w="7880" w:space="340"/>
            <w:col w:w="3200"/>
          </w:cols>
          <w:pgMar w:left="240" w:top="123" w:right="239" w:bottom="1440" w:gutter="0" w:footer="0" w:header="0"/>
          <w:type w:val="continuous"/>
        </w:sectPr>
      </w:pPr>
    </w:p>
    <w:p>
      <w:pPr>
        <w:ind w:left="260" w:right="3580"/>
        <w:spacing w:after="0" w:line="274" w:lineRule="auto"/>
        <w:rPr>
          <w:sz w:val="20"/>
          <w:szCs w:val="20"/>
          <w:color w:val="auto"/>
        </w:rPr>
      </w:pPr>
      <w:r>
        <w:rPr>
          <w:rFonts w:ascii="Arial" w:cs="Arial" w:eastAsia="Arial" w:hAnsi="Arial"/>
          <w:sz w:val="16"/>
          <w:szCs w:val="16"/>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136525</wp:posOffset>
            </wp:positionV>
            <wp:extent cx="6294755" cy="280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29475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tabs>
          <w:tab w:leader="none" w:pos="3560" w:val="left"/>
          <w:tab w:leader="none" w:pos="5500" w:val="left"/>
          <w:tab w:leader="none" w:pos="8920" w:val="left"/>
        </w:tabs>
        <w:rPr>
          <w:sz w:val="20"/>
          <w:szCs w:val="20"/>
          <w:color w:val="auto"/>
        </w:rPr>
      </w:pPr>
      <w:r>
        <w:rPr>
          <w:rFonts w:ascii="Arial" w:cs="Arial" w:eastAsia="Arial" w:hAnsi="Arial"/>
          <w:sz w:val="17"/>
          <w:szCs w:val="17"/>
          <w:color w:val="auto"/>
        </w:rPr>
        <w:t>Signature [PLEASE SIGN WITHIN BOX]</w:t>
      </w:r>
      <w:r>
        <w:rPr>
          <w:sz w:val="20"/>
          <w:szCs w:val="20"/>
          <w:color w:val="auto"/>
        </w:rPr>
        <w:tab/>
      </w: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420"/>
          </w:cols>
          <w:pgMar w:left="240" w:top="123" w:right="239" w:bottom="1440" w:gutter="0" w:footer="0" w:header="0"/>
          <w:type w:val="continuous"/>
        </w:sectPr>
      </w:pPr>
    </w:p>
    <w:bookmarkStart w:id="357" w:name="page358"/>
    <w:bookmarkEnd w:id="357"/>
    <w:p>
      <w:pPr>
        <w:jc w:val="center"/>
        <w:ind w:right="-1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6785" cy="36195"/>
                    </a:xfrm>
                    <a:prstGeom prst="rect">
                      <a:avLst/>
                    </a:prstGeom>
                    <a:noFill/>
                  </pic:spPr>
                </pic:pic>
              </a:graphicData>
            </a:graphic>
          </wp:anchor>
        </w:drawing>
        <w:t>Important Notice Regarding the Availability of Proxy Materials for the Special Meeting:</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Notice and Joint Proxy Statement/Prospectus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PROXY</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TIME WARNER CABLE INC.</w:t>
      </w:r>
    </w:p>
    <w:p>
      <w:pPr>
        <w:spacing w:after="0" w:line="217" w:lineRule="exact"/>
        <w:rPr>
          <w:sz w:val="20"/>
          <w:szCs w:val="20"/>
          <w:color w:val="auto"/>
        </w:rPr>
      </w:pPr>
    </w:p>
    <w:p>
      <w:pPr>
        <w:jc w:val="center"/>
        <w:ind w:left="680" w:right="2040"/>
        <w:spacing w:after="0" w:line="261" w:lineRule="auto"/>
        <w:rPr>
          <w:sz w:val="20"/>
          <w:szCs w:val="20"/>
          <w:color w:val="auto"/>
        </w:rPr>
      </w:pPr>
      <w:r>
        <w:rPr>
          <w:rFonts w:ascii="Arial" w:cs="Arial" w:eastAsia="Arial" w:hAnsi="Arial"/>
          <w:sz w:val="17"/>
          <w:szCs w:val="17"/>
          <w:b w:val="1"/>
          <w:bCs w:val="1"/>
          <w:color w:val="auto"/>
        </w:rPr>
        <w:t>PROXY SOLICITED ON BEHALF OF THE BOARD OF DIRECTORS OF TIME WARNER CABLE INC. FOR THE SPECIAL MEETING OF STOCKHOLDERS [XX, 2014]</w:t>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undersigned hereby acknowledges receipt of the Time Warner Cable Inc. Notice of Special Meeting and Joint Proxy Statement/Prospectus and hereby constitutes and appoints Ellen East, Marc Lawrence-Apfelbaum and Arthur T. Minson, Jr., and each of them, its true and lawful agents and proxies, with full power of substitution in each, to attend the Special Meeting of Stockholders of TIME WARNER CABLE INC. on [XX, 2014], and any adjournment or postponement thereof, and to vote on the matters indicated in accordance with the instructions on the reverse side all of the shares of common stock that the undersigned would be entitled to vote if personally present.</w:t>
      </w:r>
    </w:p>
    <w:p>
      <w:pPr>
        <w:spacing w:after="0" w:line="18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PLEASE SIGN, DATE AND MARK THIS PROXY CARD ON THE REVERSE SIDE AND RETURN IT PROMPTLY USING THE ENCLOSED REPLY ENVELOPE.</w:t>
      </w:r>
    </w:p>
    <w:p>
      <w:pPr>
        <w:spacing w:after="0" w:line="18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color w:val="auto"/>
        </w:rPr>
        <w:t>THIS PROXY WHEN PROPERLY EXECUTED WILL BE VOTED IN THE MANNER DIRECTED HEREIN. IF NO DIRECTION IS MADE, THIS PROXY WILL BE VOTED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134620</wp:posOffset>
            </wp:positionV>
            <wp:extent cx="5878195" cy="4806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78195" cy="480695"/>
                    </a:xfrm>
                    <a:prstGeom prst="rect">
                      <a:avLst/>
                    </a:prstGeom>
                    <a:noFill/>
                  </pic:spPr>
                </pic:pic>
              </a:graphicData>
            </a:graphic>
          </wp:anchor>
        </w:drawing>
      </w:r>
    </w:p>
    <w:p>
      <w:pPr>
        <w:spacing w:after="0" w:line="301"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Address Change/Comments:</w:t>
      </w: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(If you noted any Address Changes and/or Comments above, please mark corresponding box on the reverse side.)</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 and to be signed on reverse side</w:t>
      </w:r>
    </w:p>
    <w:p>
      <w:pPr>
        <w:sectPr>
          <w:pgSz w:w="11900" w:h="16838" w:orient="portrait"/>
          <w:cols w:equalWidth="0" w:num="1">
            <w:col w:w="10540"/>
          </w:cols>
          <w:pgMar w:left="600" w:top="690" w:right="75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t>PRELIMINARY PROXY MATERIALS — SUBJECT TO COMPLETION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Voting Instruction for Savings Plan</w:t>
      </w:r>
    </w:p>
    <w:p>
      <w:pPr>
        <w:sectPr>
          <w:pgSz w:w="11900" w:h="16838" w:orient="portrait"/>
          <w:cols w:equalWidth="0" w:num="1">
            <w:col w:w="11420"/>
          </w:cols>
          <w:pgMar w:left="240" w:top="262"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 WARNER CABLE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 TIME WARNER CABLE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 BOX 145430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CINCINNATI, OH 45250-5430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auto"/>
        </w:rPr>
        <w:t xml:space="preserve">You must provide instructions to the Trustee by [XX, 2014] for your instructions to be tabulated. You may issue instructions by telephone or the Internet until 11:59 PM (Eastern Time) on that day. If you are sending instructions by mail, the Trustee must receive your executed instruction card by 5:00 PM (Eastern Time) on [XX, 2014]. If you submit your instructions by telephone or the Internet, there is no need to mail back your instruction card. </w:t>
      </w:r>
      <w:r>
        <w:rPr>
          <w:rFonts w:ascii="Arial" w:cs="Arial" w:eastAsia="Arial" w:hAnsi="Arial"/>
          <w:sz w:val="15"/>
          <w:szCs w:val="15"/>
          <w:b w:val="1"/>
          <w:bCs w:val="1"/>
          <w:color w:val="auto"/>
        </w:rPr>
        <w:t>If you do not provide instructions to the Trustee, the Trustee will vote your interests as</w:t>
      </w:r>
      <w:r>
        <w:rPr>
          <w:rFonts w:ascii="Arial" w:cs="Arial" w:eastAsia="Arial" w:hAnsi="Arial"/>
          <w:sz w:val="15"/>
          <w:szCs w:val="15"/>
          <w:color w:val="auto"/>
        </w:rPr>
        <w:t xml:space="preserve"> </w:t>
      </w:r>
      <w:r>
        <w:rPr>
          <w:rFonts w:ascii="Arial" w:cs="Arial" w:eastAsia="Arial" w:hAnsi="Arial"/>
          <w:sz w:val="15"/>
          <w:szCs w:val="15"/>
          <w:b w:val="1"/>
          <w:bCs w:val="1"/>
          <w:color w:val="auto"/>
        </w:rPr>
        <w:t>required by the terms of the Plan and described on the reverse side of the card.</w:t>
      </w:r>
    </w:p>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color w:val="auto"/>
        </w:rPr>
        <w:t>You may send your voting instructions to the Trustee on the Internet, over the telephone or by mail,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4709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091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INTERNET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u w:val="single" w:color="auto"/>
          <w:color w:val="auto"/>
        </w:rPr>
        <w:t>www.proxyvote.com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Use the Internet to transmit your voting instructions and for electronic delivery of information up until</w:t>
      </w:r>
    </w:p>
    <w:p>
      <w:pPr>
        <w:spacing w:after="0" w:line="30"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11:59 PM (Eastern Time) on [ XX, 2014]. Have your voting instruction card in hand when you access the web site and follow the instructions to obtain your records and to create an electronic voting instruction form.</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PHONE - 1-800-690-6903</w:t>
      </w:r>
    </w:p>
    <w:p>
      <w:pPr>
        <w:spacing w:after="0" w:line="12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Use any touch-tone telephone to transmit your voting instructions up until 11:59 PM (Eastern Time) on [XX, 2014]. Have your voting instruction card in hand when you call and then follow the instructions.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MAIL</w:t>
      </w:r>
    </w:p>
    <w:p>
      <w:pPr>
        <w:spacing w:after="0" w:line="12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Sign, date and mark your voting instruction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300" w:space="720"/>
            <w:col w:w="7400"/>
          </w:cols>
          <w:pgMar w:left="240" w:top="262" w:right="2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TO VOTE, MARK BLOCKS BELOW IN BLUE OR BLACK INK AS FOLLOWS: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KEEP THIS PORTION FOR YOUR RECORDS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 — — — — — — — — — — — — — — — — — — — — — — — — — — — — — — — — — — — — — — — — — —</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DETACH AND RETURN THIS PORTION ONLY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VOTING INSTRUCTION CARD IS VALID ONLY WHEN SIGNED AND DATED.</w:t>
      </w:r>
    </w:p>
    <w:p>
      <w:pPr>
        <w:sectPr>
          <w:pgSz w:w="11900" w:h="16838" w:orient="portrait"/>
          <w:cols w:equalWidth="0" w:num="1">
            <w:col w:w="11420"/>
          </w:cols>
          <w:pgMar w:left="240" w:top="262" w:right="239" w:bottom="1440" w:gutter="0" w:footer="0" w:header="0"/>
          <w:type w:val="continuous"/>
        </w:sectPr>
      </w:pPr>
    </w:p>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Time Warner Cable Inc.</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The Board of Directors recommends a vote “FOR” the following Proposals:</w:t>
      </w:r>
    </w:p>
    <w:p>
      <w:pPr>
        <w:spacing w:after="0" w:line="149" w:lineRule="exact"/>
        <w:rPr>
          <w:sz w:val="20"/>
          <w:szCs w:val="20"/>
          <w:color w:val="auto"/>
        </w:rPr>
      </w:pPr>
    </w:p>
    <w:p>
      <w:pPr>
        <w:jc w:val="both"/>
        <w:ind w:left="500" w:right="240" w:hanging="247"/>
        <w:spacing w:after="0" w:line="338" w:lineRule="auto"/>
        <w:tabs>
          <w:tab w:leader="none" w:pos="50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To adopt the Agreement and Plan of Merger, dated as of February 12, 2014, as may be amended, among Time Warner Cable Inc. (“TWC”), Comcast Corporation and Tango Acquisition Sub, Inc.</w:t>
      </w:r>
    </w:p>
    <w:p>
      <w:pPr>
        <w:spacing w:after="0" w:line="18" w:lineRule="exact"/>
        <w:rPr>
          <w:rFonts w:ascii="Arial" w:cs="Arial" w:eastAsia="Arial" w:hAnsi="Arial"/>
          <w:sz w:val="15"/>
          <w:szCs w:val="15"/>
          <w:color w:val="auto"/>
        </w:rPr>
      </w:pPr>
    </w:p>
    <w:p>
      <w:pPr>
        <w:ind w:left="500" w:hanging="247"/>
        <w:spacing w:after="0" w:line="338" w:lineRule="auto"/>
        <w:tabs>
          <w:tab w:leader="none" w:pos="50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To approve, on an advisory (non-binding) basis, the “golden parachute” compensation payments that will or may be paid by TWC to its named executive officers in connection with the merger.</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address change/comments, mark here.</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(see reverse for instructions)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Please indicate if you plan to attend this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80" w:val="left"/>
          <w:tab w:leader="none" w:pos="202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66" w:lineRule="exact"/>
        <w:rPr>
          <w:sz w:val="20"/>
          <w:szCs w:val="20"/>
          <w:color w:val="auto"/>
        </w:rPr>
      </w:pPr>
    </w:p>
    <w:p>
      <w:pPr>
        <w:ind w:left="60"/>
        <w:spacing w:after="0" w:line="171" w:lineRule="exact"/>
        <w:tabs>
          <w:tab w:leader="none" w:pos="1180" w:val="left"/>
          <w:tab w:leader="none" w:pos="2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6"/>
          <w:szCs w:val="16"/>
          <w:color w:val="auto"/>
        </w:rPr>
        <w:t>☐</w:t>
      </w:r>
    </w:p>
    <w:p>
      <w:pPr>
        <w:spacing w:after="0" w:line="334" w:lineRule="exact"/>
        <w:rPr>
          <w:sz w:val="20"/>
          <w:szCs w:val="20"/>
          <w:color w:val="auto"/>
        </w:rPr>
      </w:pPr>
    </w:p>
    <w:p>
      <w:pPr>
        <w:ind w:left="60"/>
        <w:spacing w:after="0" w:line="171" w:lineRule="exact"/>
        <w:tabs>
          <w:tab w:leader="none" w:pos="1180" w:val="left"/>
          <w:tab w:leader="none" w:pos="2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6"/>
          <w:szCs w:val="16"/>
          <w:color w:val="auto"/>
        </w:rPr>
        <w:t>☐</w:t>
      </w:r>
    </w:p>
    <w:p>
      <w:pPr>
        <w:spacing w:after="0" w:line="334" w:lineRule="exact"/>
        <w:rPr>
          <w:sz w:val="20"/>
          <w:szCs w:val="20"/>
          <w:color w:val="auto"/>
        </w:rPr>
      </w:pPr>
    </w:p>
    <w:p>
      <w:pPr>
        <w:ind w:left="60"/>
        <w:spacing w:after="0" w:line="171" w:lineRule="exact"/>
        <w:rPr>
          <w:sz w:val="20"/>
          <w:szCs w:val="20"/>
          <w:color w:val="auto"/>
        </w:rPr>
      </w:pPr>
      <w:r>
        <w:rPr>
          <w:rFonts w:ascii="MS PGothic" w:cs="MS PGothic" w:eastAsia="MS PGothic" w:hAnsi="MS PGothic"/>
          <w:sz w:val="17"/>
          <w:szCs w:val="17"/>
          <w:color w:val="auto"/>
        </w:rPr>
        <w:t>☐</w:t>
      </w:r>
    </w:p>
    <w:p>
      <w:pPr>
        <w:spacing w:after="0" w:line="246" w:lineRule="exact"/>
        <w:rPr>
          <w:sz w:val="20"/>
          <w:szCs w:val="20"/>
          <w:color w:val="auto"/>
        </w:rPr>
      </w:pPr>
    </w:p>
    <w:p>
      <w:pPr>
        <w:ind w:left="60"/>
        <w:spacing w:after="0" w:line="171" w:lineRule="exact"/>
        <w:tabs>
          <w:tab w:leader="none" w:pos="118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16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7"/>
          <w:szCs w:val="17"/>
          <w:b w:val="1"/>
          <w:bCs w:val="1"/>
          <w:color w:val="auto"/>
        </w:rPr>
        <w:t>Yes</w:t>
      </w:r>
      <w:r>
        <w:rPr>
          <w:sz w:val="20"/>
          <w:szCs w:val="20"/>
          <w:color w:val="auto"/>
        </w:rPr>
        <w:tab/>
      </w:r>
      <w:r>
        <w:rPr>
          <w:rFonts w:ascii="Arial" w:cs="Arial" w:eastAsia="Arial" w:hAnsi="Arial"/>
          <w:sz w:val="17"/>
          <w:szCs w:val="17"/>
          <w:b w:val="1"/>
          <w:bCs w:val="1"/>
          <w:color w:val="auto"/>
        </w:rPr>
        <w:t>No</w:t>
      </w:r>
    </w:p>
    <w:p>
      <w:pPr>
        <w:spacing w:after="0" w:line="22" w:lineRule="exact"/>
        <w:rPr>
          <w:sz w:val="20"/>
          <w:szCs w:val="20"/>
          <w:color w:val="auto"/>
        </w:rPr>
      </w:pPr>
    </w:p>
    <w:p>
      <w:pPr>
        <w:sectPr>
          <w:pgSz w:w="11900" w:h="16838" w:orient="portrait"/>
          <w:cols w:equalWidth="0" w:num="2">
            <w:col w:w="7260" w:space="560"/>
            <w:col w:w="3600"/>
          </w:cols>
          <w:pgMar w:left="240" w:top="262" w:right="239" w:bottom="1440" w:gutter="0" w:footer="0" w:header="0"/>
          <w:type w:val="continuous"/>
        </w:sectPr>
      </w:pPr>
    </w:p>
    <w:p>
      <w:pPr>
        <w:ind w:left="260" w:right="4100"/>
        <w:spacing w:after="0" w:line="250" w:lineRule="auto"/>
        <w:rPr>
          <w:sz w:val="20"/>
          <w:szCs w:val="20"/>
          <w:color w:val="auto"/>
        </w:rPr>
      </w:pPr>
      <w:r>
        <w:rPr>
          <w:rFonts w:ascii="Arial" w:cs="Arial" w:eastAsia="Arial" w:hAnsi="Arial"/>
          <w:sz w:val="17"/>
          <w:szCs w:val="17"/>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147955</wp:posOffset>
            </wp:positionV>
            <wp:extent cx="6294755" cy="280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29475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tabs>
          <w:tab w:leader="none" w:pos="3560" w:val="left"/>
          <w:tab w:leader="none" w:pos="5500" w:val="left"/>
          <w:tab w:leader="none" w:pos="8920" w:val="left"/>
        </w:tabs>
        <w:rPr>
          <w:sz w:val="20"/>
          <w:szCs w:val="20"/>
          <w:color w:val="auto"/>
        </w:rPr>
      </w:pPr>
      <w:r>
        <w:rPr>
          <w:rFonts w:ascii="Arial" w:cs="Arial" w:eastAsia="Arial" w:hAnsi="Arial"/>
          <w:sz w:val="17"/>
          <w:szCs w:val="17"/>
          <w:color w:val="auto"/>
        </w:rPr>
        <w:t>Signature [PLEASE SIGN WITHIN BOX]</w:t>
      </w:r>
      <w:r>
        <w:rPr>
          <w:sz w:val="20"/>
          <w:szCs w:val="20"/>
          <w:color w:val="auto"/>
        </w:rPr>
        <w:tab/>
      </w: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420"/>
          </w:cols>
          <w:pgMar w:left="240" w:top="262" w:right="239" w:bottom="1440" w:gutter="0" w:footer="0" w:header="0"/>
          <w:type w:val="continuous"/>
        </w:sectPr>
      </w:pPr>
    </w:p>
    <w:bookmarkStart w:id="359" w:name="page360"/>
    <w:bookmarkEnd w:id="359"/>
    <w:p>
      <w:pPr>
        <w:jc w:val="center"/>
        <w:ind w:righ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SUBMIT YOUR CONFIDENTIAL VOTING INSTRUCTIONS</w:t>
      </w: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BY TELEPHONE, INTERNET OR MAIL</w:t>
      </w: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TWC SAVINGS PLAN</w:t>
      </w:r>
    </w:p>
    <w:p>
      <w:pPr>
        <w:spacing w:after="0" w:line="200" w:lineRule="exact"/>
        <w:rPr>
          <w:sz w:val="20"/>
          <w:szCs w:val="20"/>
          <w:color w:val="auto"/>
        </w:rPr>
      </w:pPr>
    </w:p>
    <w:p>
      <w:pPr>
        <w:spacing w:after="0" w:line="235"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TIME WARNER CABLE INC.</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CONFIDENTIAL VOTING INSTRUCTIONS</w:t>
      </w:r>
    </w:p>
    <w:p>
      <w:pPr>
        <w:spacing w:after="0" w:line="192"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Instructions solicited by Fidelity Management Trust Company on behalf of the Board of Directors</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for the Time Warner Cable Inc. Special Meeting of Stockholders on [XX, 2014].</w:t>
      </w:r>
    </w:p>
    <w:p>
      <w:pPr>
        <w:spacing w:after="0" w:line="200" w:lineRule="exact"/>
        <w:rPr>
          <w:sz w:val="20"/>
          <w:szCs w:val="20"/>
          <w:color w:val="auto"/>
        </w:rPr>
      </w:pPr>
    </w:p>
    <w:p>
      <w:pPr>
        <w:spacing w:after="0" w:line="248"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undersigned hereby instructs Fidelity Management Trust Company (“Fidelity”), as Trustee, to vote as follows by proxy at the Special Meeting of Stockholders of Time Warner Cable Inc. to be held on [XX, 2014], and at any adjournment or postponement thereof, the undersigned’s proportionate interest in the shares of Time Warner Cable Inc. Common Stock held in the Time Warner Cable Inc. Stock Fund under the TWC Savings Plan (the “Plan”).</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Under the provisions of the Trust relating to the Plan, Fidelity, as Trustee, is required to request your confidential instructions as to how your proportionate interests in the shares of Time Warner Cable Inc. Common Stock held in the Time Warner Cable Inc. Stock Fund under the Plan (an “interest”) is to be voted at the Special Meeting of Stockholders scheduled to be held on [XX, 2014]. Your instructions to Fidelity will not be divulged or revealed to anyone at Time Warner Cable Inc. If Fidelity does not receive your instructions on or prior to 5:00 PM (Eastern Time) via a voting instruction card or 11:59 PM (Eastern Time) via telephone or the Internet on [XX, 2014], your interest will be voted at the Special Meeting in the same proportion as other participants’ interests in the Plan for which Fidelity has received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284480</wp:posOffset>
            </wp:positionV>
            <wp:extent cx="6174740" cy="4806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174740" cy="4806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Address Change/Comments:</w:t>
      </w:r>
    </w:p>
    <w:p>
      <w:pPr>
        <w:spacing w:after="0" w:line="200" w:lineRule="exact"/>
        <w:rPr>
          <w:sz w:val="20"/>
          <w:szCs w:val="20"/>
          <w:color w:val="auto"/>
        </w:rPr>
      </w:pP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(If you noted any Address Changes and/or Comments above, please mark corresponding box on the reverse side.)</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Continued and to be signed on reverse side</w:t>
      </w:r>
    </w:p>
    <w:p>
      <w:pPr>
        <w:sectPr>
          <w:pgSz w:w="11900" w:h="16838" w:orient="portrait"/>
          <w:cols w:equalWidth="0" w:num="1">
            <w:col w:w="10560"/>
          </w:cols>
          <w:pgMar w:left="880" w:top="690" w:right="459" w:bottom="1440" w:gutter="0" w:footer="0" w:header="0"/>
        </w:sectPr>
      </w:pPr>
    </w:p>
    <w:bookmarkStart w:id="360" w:name="page361"/>
    <w:bookmarkEnd w:id="360"/>
    <w:p>
      <w:pPr>
        <w:jc w:val="right"/>
        <w:spacing w:after="0"/>
        <w:rPr>
          <w:sz w:val="20"/>
          <w:szCs w:val="20"/>
          <w:color w:val="auto"/>
        </w:rPr>
      </w:pPr>
      <w:r>
        <w:rPr>
          <w:rFonts w:ascii="Arial" w:cs="Arial" w:eastAsia="Arial" w:hAnsi="Arial"/>
          <w:sz w:val="17"/>
          <w:szCs w:val="17"/>
          <w:b w:val="1"/>
          <w:bCs w:val="1"/>
          <w:color w:val="auto"/>
        </w:rPr>
        <w:t>Exhibit 99.3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J.P. MORGAN SECURITIES LLC</w:t>
      </w:r>
    </w:p>
    <w:p>
      <w:pPr>
        <w:spacing w:after="0" w:line="208" w:lineRule="exact"/>
        <w:rPr>
          <w:sz w:val="20"/>
          <w:szCs w:val="20"/>
          <w:color w:val="auto"/>
        </w:rPr>
      </w:pPr>
    </w:p>
    <w:p>
      <w:pPr>
        <w:ind w:right="100" w:firstLine="457"/>
        <w:spacing w:after="0" w:line="292" w:lineRule="auto"/>
        <w:rPr>
          <w:sz w:val="20"/>
          <w:szCs w:val="20"/>
          <w:color w:val="auto"/>
        </w:rPr>
      </w:pPr>
      <w:r>
        <w:rPr>
          <w:rFonts w:ascii="Arial" w:cs="Arial" w:eastAsia="Arial" w:hAnsi="Arial"/>
          <w:sz w:val="15"/>
          <w:szCs w:val="15"/>
          <w:color w:val="auto"/>
        </w:rPr>
        <w:t>We hereby consent to (i) the use of our opinion letter dated February 12, 2014 to the Board of Directors of Comcast Corporation (the “Company”) included in Annex G to the Joint Proxy Statement/Prospectus relating to the proposed merger of Tango Acquisition Sub, Inc., a wholly owned subsidiary of the Company, and Time Warner Cable Inc.,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J.P. MORGAN SECURITIES LLC</w:t>
      </w:r>
    </w:p>
    <w:p>
      <w:pPr>
        <w:spacing w:after="0" w:line="20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J.P. Morgan Securities LLC</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7"/>
          <w:szCs w:val="17"/>
          <w:u w:val="single" w:color="auto"/>
          <w:color w:val="auto"/>
        </w:rPr>
        <w:t>J.P. Morgan Securities LLC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p>
      <w:pPr>
        <w:sectPr>
          <w:pgSz w:w="11900" w:h="16838" w:orient="portrait"/>
          <w:cols w:equalWidth="0" w:num="1">
            <w:col w:w="11420"/>
          </w:cols>
          <w:pgMar w:left="240" w:top="123"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7"/>
          <w:szCs w:val="17"/>
          <w:b w:val="1"/>
          <w:bCs w:val="1"/>
          <w:color w:val="auto"/>
        </w:rPr>
        <w:t>Exhibit 99.4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ALLEN &amp; COMPANY LLC]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8"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We hereby consent to the inclusion of our opinion letter, dated February 12, 2014, to the Board of Directors of Time Warner Cable Inc. (“TWC”) as Annex C to, and reference thereto under the headings “Summary — Opinions of TWC’s Financial Advisors — Opinion of Allen &amp; Company LLC” and “TWC Proposal I: Adoption of the Merger Agreement and Comcast Proposal I: Approval of the Stock Issuance — Opinions of TWC’s Financial Advisors — Opinion of Allen &amp; Company LLC” in, the joint proxy statement/prospectus relating to the proposed merger involving TWC and Comcast Corporation (“Comcast”), which joint proxy statement/prospectus forms a part of the Registration Statement on Form S-4 of Comcast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00" w:lineRule="exact"/>
        <w:rPr>
          <w:sz w:val="20"/>
          <w:szCs w:val="20"/>
          <w:color w:val="auto"/>
        </w:rPr>
      </w:pP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12065</wp:posOffset>
            </wp:positionV>
            <wp:extent cx="289877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ALLEN &amp; COMPANY LLC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p>
      <w:pPr>
        <w:sectPr>
          <w:pgSz w:w="11900" w:h="16838" w:orient="portrait"/>
          <w:cols w:equalWidth="0" w:num="1">
            <w:col w:w="11420"/>
          </w:cols>
          <w:pgMar w:left="240" w:top="123" w:right="2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7"/>
          <w:szCs w:val="17"/>
          <w:b w:val="1"/>
          <w:bCs w:val="1"/>
          <w:color w:val="auto"/>
        </w:rPr>
        <w:t>Exhibit 99.5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CITIGROUP GLOBAL MARKETS INC.]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hereby consent to the inclusion of our opinion letter, dated February 12, 2014, to the Board of Directors of Time Warner Cable Inc. (“TWC”) as Annex D to, and reference thereto under the headings “Summary — Opinions of TWC’s Financial Advisors — Opinion of Citigroup Global Markets Inc.” and “TWC Proposal I: Adoption of the Merger Agreement and Comcast Proposal I: Approval of the Stock Issuance — Opinions of TWC’s Financial Advisors — Opinion of Citigroup Global Markets Inc.” in, the joint proxy statement/prospectus relating to the proposed merger involving TWC and Comcast Corporation (“Comcast”), which joint proxy statement/prospectus forms a part of the Registration Statement on Form S-4 of Comcast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12065</wp:posOffset>
            </wp:positionV>
            <wp:extent cx="289877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CITIGROUP GLOBAL MARKETS INC.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p>
      <w:pPr>
        <w:sectPr>
          <w:pgSz w:w="11900" w:h="16838" w:orient="portrait"/>
          <w:cols w:equalWidth="0" w:num="1">
            <w:col w:w="11420"/>
          </w:cols>
          <w:pgMar w:left="240" w:top="123" w:right="2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7"/>
          <w:szCs w:val="17"/>
          <w:b w:val="1"/>
          <w:bCs w:val="1"/>
          <w:color w:val="auto"/>
        </w:rPr>
        <w:t>Exhibit 99.6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MORGAN STANLEY &amp; CO. LLC]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20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hereby consent to the inclusion of our opinion letter, dated February 12, 2014, to the Board of Directors of Time Warner Cable Inc. (“TWC”) as Annex E to, and reference thereto under the headings “Summary — Opinions of TWC’s Financial Advisors — Opinion of Morgan Stanley &amp; Co. LLC” and “TWC Proposal I: Adoption of the Merger Agreement and Comcast Proposal I: Approval of the Stock Issuance — Opinions of TWC’s Financial Advisors — Opinion of Morgan Stanley &amp; Co. LLC” in, the joint proxy statement/prospectus relating to the proposed merger involving TWC and Comcast Corporation (“Comcast”), which joint proxy statement/prospectus forms a part of the Registration Statement on Form S-4 of Comcast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12065</wp:posOffset>
            </wp:positionV>
            <wp:extent cx="289877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MORGAN STANLEY &amp; CO. LLC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p>
      <w:pPr>
        <w:sectPr>
          <w:pgSz w:w="11900" w:h="16838" w:orient="portrait"/>
          <w:cols w:equalWidth="0" w:num="1">
            <w:col w:w="11420"/>
          </w:cols>
          <w:pgMar w:left="240" w:top="123" w:right="2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7"/>
          <w:szCs w:val="17"/>
          <w:b w:val="1"/>
          <w:bCs w:val="1"/>
          <w:color w:val="auto"/>
        </w:rPr>
        <w:t>Exhibit 99.7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CENTERVIEW PARTNERS LLC]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We hereby consent to the inclusion of our opinion letter, dated February 12, 2014, to the Board of Directors of Time Warner Cable Inc. (“TWC”) as Annex F to, and reference thereto under the headings “Summary — Opinion of Financial Advisor to the TWC Independent Directors — Opinion of Centerview Partners LLC” and “TWC Proposal I: Adoption of the Merger Agreement and Comcast Proposal I: Approval of the Stock Issuance — Opinion of Financial Advisor to the TWC Independent Directors — Opinion of Centerview Partners LLC” in, the joint proxy statement/prospectus relating to the proposed merger involving TWC and Comcast Corporation (“Comcast”), which joint proxy statement/prospectus forms a part of the Registration Statement on Form S-4 of Comcast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12065</wp:posOffset>
            </wp:positionV>
            <wp:extent cx="28987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CENTERVIEW PARTNERS LLC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March 20, 2014</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4479DA"/>
    <w:multiLevelType w:val="hybridMultilevel"/>
    <w:lvl w:ilvl="0">
      <w:lvlJc w:val="left"/>
      <w:lvlText w:val="(%1)"/>
      <w:numFmt w:val="decimal"/>
      <w:start w:val="1"/>
    </w:lvl>
  </w:abstractNum>
  <w:abstractNum w:abstractNumId="1">
    <w:nsid w:val="1A9A9E69"/>
    <w:multiLevelType w:val="hybridMultilevel"/>
    <w:lvl w:ilvl="0">
      <w:lvlJc w:val="left"/>
      <w:lvlText w:val="•"/>
      <w:numFmt w:val="bullet"/>
      <w:start w:val="1"/>
    </w:lvl>
  </w:abstractNum>
  <w:abstractNum w:abstractNumId="2">
    <w:nsid w:val="475E256A"/>
    <w:multiLevelType w:val="hybridMultilevel"/>
    <w:lvl w:ilvl="0">
      <w:lvlJc w:val="left"/>
      <w:lvlText w:val="(%1)"/>
      <w:numFmt w:val="decimal"/>
      <w:start w:val="3"/>
    </w:lvl>
  </w:abstractNum>
  <w:abstractNum w:abstractNumId="3">
    <w:nsid w:val="368DB37E"/>
    <w:multiLevelType w:val="hybridMultilevel"/>
    <w:lvl w:ilvl="0">
      <w:lvlJc w:val="left"/>
      <w:lvlText w:val="•"/>
      <w:numFmt w:val="bullet"/>
      <w:start w:val="1"/>
    </w:lvl>
  </w:abstractNum>
  <w:abstractNum w:abstractNumId="4">
    <w:nsid w:val="6A3B714C"/>
    <w:multiLevelType w:val="hybridMultilevel"/>
    <w:lvl w:ilvl="0">
      <w:lvlJc w:val="left"/>
      <w:lvlText w:val="%1:"/>
      <w:numFmt w:val="upperLetter"/>
      <w:start w:val="17"/>
    </w:lvl>
  </w:abstractNum>
  <w:abstractNum w:abstractNumId="5">
    <w:nsid w:val="327B517E"/>
    <w:multiLevelType w:val="hybridMultilevel"/>
    <w:lvl w:ilvl="0">
      <w:lvlJc w:val="left"/>
      <w:lvlText w:val="%1:"/>
      <w:numFmt w:val="upperLetter"/>
      <w:start w:val="1"/>
    </w:lvl>
  </w:abstractNum>
  <w:abstractNum w:abstractNumId="6">
    <w:nsid w:val="1F461B51"/>
    <w:multiLevelType w:val="hybridMultilevel"/>
    <w:lvl w:ilvl="0">
      <w:lvlJc w:val="left"/>
      <w:lvlText w:val="%1:"/>
      <w:numFmt w:val="upperLetter"/>
      <w:start w:val="17"/>
    </w:lvl>
  </w:abstractNum>
  <w:abstractNum w:abstractNumId="7">
    <w:nsid w:val="29BACF25"/>
    <w:multiLevelType w:val="hybridMultilevel"/>
    <w:lvl w:ilvl="0">
      <w:lvlJc w:val="left"/>
      <w:lvlText w:val="%1:"/>
      <w:numFmt w:val="upperLetter"/>
      <w:start w:val="1"/>
    </w:lvl>
  </w:abstractNum>
  <w:abstractNum w:abstractNumId="8">
    <w:nsid w:val="5D5BABB3"/>
    <w:multiLevelType w:val="hybridMultilevel"/>
    <w:lvl w:ilvl="0">
      <w:lvlJc w:val="left"/>
      <w:lvlText w:val="%1:"/>
      <w:numFmt w:val="upperLetter"/>
      <w:start w:val="17"/>
    </w:lvl>
  </w:abstractNum>
  <w:abstractNum w:abstractNumId="9">
    <w:nsid w:val="51BF6B48"/>
    <w:multiLevelType w:val="hybridMultilevel"/>
    <w:lvl w:ilvl="0">
      <w:lvlJc w:val="left"/>
      <w:lvlText w:val="%1:"/>
      <w:numFmt w:val="upperLetter"/>
      <w:start w:val="1"/>
    </w:lvl>
  </w:abstractNum>
  <w:abstractNum w:abstractNumId="10">
    <w:nsid w:val="7E0F6384"/>
    <w:multiLevelType w:val="hybridMultilevel"/>
    <w:lvl w:ilvl="0">
      <w:lvlJc w:val="left"/>
      <w:lvlText w:val="%1:"/>
      <w:numFmt w:val="upperLetter"/>
      <w:start w:val="17"/>
    </w:lvl>
  </w:abstractNum>
  <w:abstractNum w:abstractNumId="11">
    <w:nsid w:val="2B4B8B53"/>
    <w:multiLevelType w:val="hybridMultilevel"/>
    <w:lvl w:ilvl="0">
      <w:lvlJc w:val="left"/>
      <w:lvlText w:val="%1:"/>
      <w:numFmt w:val="upperLetter"/>
      <w:start w:val="1"/>
    </w:lvl>
    <w:lvl w:ilvl="1">
      <w:lvlJc w:val="left"/>
      <w:lvlText w:val="•"/>
      <w:numFmt w:val="bullet"/>
      <w:start w:val="1"/>
    </w:lvl>
  </w:abstractNum>
  <w:abstractNum w:abstractNumId="12">
    <w:nsid w:val="72E3413A"/>
    <w:multiLevelType w:val="hybridMultilevel"/>
    <w:lvl w:ilvl="0">
      <w:lvlJc w:val="left"/>
      <w:lvlText w:val="%1:"/>
      <w:numFmt w:val="upperLetter"/>
      <w:start w:val="17"/>
    </w:lvl>
  </w:abstractNum>
  <w:abstractNum w:abstractNumId="13">
    <w:nsid w:val="116AE494"/>
    <w:multiLevelType w:val="hybridMultilevel"/>
    <w:lvl w:ilvl="0">
      <w:lvlJc w:val="left"/>
      <w:lvlText w:val="%1:"/>
      <w:numFmt w:val="upperLetter"/>
      <w:start w:val="1"/>
    </w:lvl>
    <w:lvl w:ilvl="1">
      <w:lvlJc w:val="left"/>
      <w:lvlText w:val="•"/>
      <w:numFmt w:val="bullet"/>
      <w:start w:val="1"/>
    </w:lvl>
  </w:abstractNum>
  <w:abstractNum w:abstractNumId="14">
    <w:nsid w:val="3494B2FB"/>
    <w:multiLevelType w:val="hybridMultilevel"/>
    <w:lvl w:ilvl="0">
      <w:lvlJc w:val="left"/>
      <w:lvlText w:val="%1:"/>
      <w:numFmt w:val="upperLetter"/>
      <w:start w:val="17"/>
    </w:lvl>
  </w:abstractNum>
  <w:abstractNum w:abstractNumId="15">
    <w:nsid w:val="B13A31"/>
    <w:multiLevelType w:val="hybridMultilevel"/>
    <w:lvl w:ilvl="0">
      <w:lvlJc w:val="left"/>
      <w:lvlText w:val="%1:"/>
      <w:numFmt w:val="upperLetter"/>
      <w:start w:val="1"/>
    </w:lvl>
  </w:abstractNum>
  <w:abstractNum w:abstractNumId="16">
    <w:nsid w:val="64429599"/>
    <w:multiLevelType w:val="hybridMultilevel"/>
    <w:lvl w:ilvl="0">
      <w:lvlJc w:val="left"/>
      <w:lvlText w:val="%1:"/>
      <w:numFmt w:val="upperLetter"/>
      <w:start w:val="17"/>
    </w:lvl>
  </w:abstractNum>
  <w:abstractNum w:abstractNumId="17">
    <w:nsid w:val="631F1690"/>
    <w:multiLevelType w:val="hybridMultilevel"/>
    <w:lvl w:ilvl="0">
      <w:lvlJc w:val="left"/>
      <w:lvlText w:val="%1:"/>
      <w:numFmt w:val="upperLetter"/>
      <w:start w:val="1"/>
    </w:lvl>
  </w:abstractNum>
  <w:abstractNum w:abstractNumId="18">
    <w:nsid w:val="25973E32"/>
    <w:multiLevelType w:val="hybridMultilevel"/>
    <w:lvl w:ilvl="0">
      <w:lvlJc w:val="left"/>
      <w:lvlText w:val="%1:"/>
      <w:numFmt w:val="upperLetter"/>
      <w:start w:val="17"/>
    </w:lvl>
  </w:abstractNum>
  <w:abstractNum w:abstractNumId="19">
    <w:nsid w:val="EAD6F57"/>
    <w:multiLevelType w:val="hybridMultilevel"/>
    <w:lvl w:ilvl="0">
      <w:lvlJc w:val="left"/>
      <w:lvlText w:val="%1:"/>
      <w:numFmt w:val="upperLetter"/>
      <w:start w:val="1"/>
    </w:lvl>
  </w:abstractNum>
  <w:abstractNum w:abstractNumId="20">
    <w:nsid w:val="6EC9D844"/>
    <w:multiLevelType w:val="hybridMultilevel"/>
    <w:lvl w:ilvl="0">
      <w:lvlJc w:val="left"/>
      <w:lvlText w:val="%1:"/>
      <w:numFmt w:val="upperLetter"/>
      <w:start w:val="17"/>
    </w:lvl>
  </w:abstractNum>
  <w:abstractNum w:abstractNumId="21">
    <w:nsid w:val="5C49EAEE"/>
    <w:multiLevelType w:val="hybridMultilevel"/>
    <w:lvl w:ilvl="0">
      <w:lvlJc w:val="left"/>
      <w:lvlText w:val="%1:"/>
      <w:numFmt w:val="upperLetter"/>
      <w:start w:val="1"/>
    </w:lvl>
  </w:abstractNum>
  <w:abstractNum w:abstractNumId="22">
    <w:nsid w:val="64AF49B"/>
    <w:multiLevelType w:val="hybridMultilevel"/>
    <w:lvl w:ilvl="0">
      <w:lvlJc w:val="left"/>
      <w:lvlText w:val="%1:"/>
      <w:numFmt w:val="upperLetter"/>
      <w:start w:val="17"/>
    </w:lvl>
  </w:abstractNum>
  <w:abstractNum w:abstractNumId="23">
    <w:nsid w:val="397C46BC"/>
    <w:multiLevelType w:val="hybridMultilevel"/>
    <w:lvl w:ilvl="0">
      <w:lvlJc w:val="left"/>
      <w:lvlText w:val="%1:"/>
      <w:numFmt w:val="upperLetter"/>
      <w:start w:val="1"/>
    </w:lvl>
  </w:abstractNum>
  <w:abstractNum w:abstractNumId="24">
    <w:nsid w:val="7E448DE9"/>
    <w:multiLevelType w:val="hybridMultilevel"/>
    <w:lvl w:ilvl="0">
      <w:lvlJc w:val="left"/>
      <w:lvlText w:val="%1:"/>
      <w:numFmt w:val="upperLetter"/>
      <w:start w:val="17"/>
    </w:lvl>
  </w:abstractNum>
  <w:abstractNum w:abstractNumId="25">
    <w:nsid w:val="5A9CC3E5"/>
    <w:multiLevelType w:val="hybridMultilevel"/>
    <w:lvl w:ilvl="0">
      <w:lvlJc w:val="left"/>
      <w:lvlText w:val="%1:"/>
      <w:numFmt w:val="upperLetter"/>
      <w:start w:val="1"/>
    </w:lvl>
  </w:abstractNum>
  <w:abstractNum w:abstractNumId="26">
    <w:nsid w:val="1AFE3625"/>
    <w:multiLevelType w:val="hybridMultilevel"/>
    <w:lvl w:ilvl="0">
      <w:lvlJc w:val="left"/>
      <w:lvlText w:val="%1:"/>
      <w:numFmt w:val="upperLetter"/>
      <w:start w:val="17"/>
    </w:lvl>
  </w:abstractNum>
  <w:abstractNum w:abstractNumId="27">
    <w:nsid w:val="3CA88ECF"/>
    <w:multiLevelType w:val="hybridMultilevel"/>
    <w:lvl w:ilvl="0">
      <w:lvlJc w:val="left"/>
      <w:lvlText w:val="%1:"/>
      <w:numFmt w:val="upperLetter"/>
      <w:start w:val="1"/>
    </w:lvl>
    <w:lvl w:ilvl="1">
      <w:lvlJc w:val="left"/>
      <w:lvlText w:val="•"/>
      <w:numFmt w:val="bullet"/>
      <w:start w:val="1"/>
    </w:lvl>
  </w:abstractNum>
  <w:abstractNum w:abstractNumId="28">
    <w:nsid w:val="6EBE4208"/>
    <w:multiLevelType w:val="hybridMultilevel"/>
    <w:lvl w:ilvl="0">
      <w:lvlJc w:val="left"/>
      <w:lvlText w:val="%1:"/>
      <w:numFmt w:val="upperLetter"/>
      <w:start w:val="17"/>
    </w:lvl>
  </w:abstractNum>
  <w:abstractNum w:abstractNumId="29">
    <w:nsid w:val="C058DF5"/>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30">
    <w:nsid w:val="CBE5BE9"/>
    <w:multiLevelType w:val="hybridMultilevel"/>
    <w:lvl w:ilvl="0">
      <w:lvlJc w:val="left"/>
      <w:lvlText w:val="%1:"/>
      <w:numFmt w:val="upperLetter"/>
      <w:start w:val="16"/>
    </w:lvl>
    <w:lvl w:ilvl="1">
      <w:lvlJc w:val="left"/>
      <w:lvlText w:val="•"/>
      <w:numFmt w:val="bullet"/>
      <w:start w:val="1"/>
    </w:lvl>
  </w:abstractNum>
  <w:abstractNum w:abstractNumId="31">
    <w:nsid w:val="3102BBE2"/>
    <w:multiLevelType w:val="hybridMultilevel"/>
    <w:lvl w:ilvl="0">
      <w:lvlJc w:val="left"/>
      <w:lvlText w:val="%1:"/>
      <w:numFmt w:val="upperLetter"/>
      <w:start w:val="1"/>
    </w:lvl>
  </w:abstractNum>
  <w:abstractNum w:abstractNumId="32">
    <w:nsid w:val="26A02C5E"/>
    <w:multiLevelType w:val="hybridMultilevel"/>
    <w:lvl w:ilvl="0">
      <w:lvlJc w:val="left"/>
      <w:lvlText w:val="%1:"/>
      <w:numFmt w:val="upperLetter"/>
      <w:start w:val="17"/>
    </w:lvl>
  </w:abstractNum>
  <w:abstractNum w:abstractNumId="33">
    <w:nsid w:val="541C8153"/>
    <w:multiLevelType w:val="hybridMultilevel"/>
    <w:lvl w:ilvl="0">
      <w:lvlJc w:val="left"/>
      <w:lvlText w:val="%1:"/>
      <w:numFmt w:val="upperLetter"/>
      <w:start w:val="1"/>
    </w:lvl>
  </w:abstractNum>
  <w:abstractNum w:abstractNumId="34">
    <w:nsid w:val="67906F60"/>
    <w:multiLevelType w:val="hybridMultilevel"/>
    <w:lvl w:ilvl="0">
      <w:lvlJc w:val="left"/>
      <w:lvlText w:val="%1:"/>
      <w:numFmt w:val="upperLetter"/>
      <w:start w:val="17"/>
    </w:lvl>
  </w:abstractNum>
  <w:abstractNum w:abstractNumId="35">
    <w:nsid w:val="10DB9DAA"/>
    <w:multiLevelType w:val="hybridMultilevel"/>
    <w:lvl w:ilvl="0">
      <w:lvlJc w:val="left"/>
      <w:lvlText w:val="%1:"/>
      <w:numFmt w:val="upperLetter"/>
      <w:start w:val="1"/>
    </w:lvl>
  </w:abstractNum>
  <w:abstractNum w:abstractNumId="36">
    <w:nsid w:val="697D2D2"/>
    <w:multiLevelType w:val="hybridMultilevel"/>
    <w:lvl w:ilvl="0">
      <w:lvlJc w:val="left"/>
      <w:lvlText w:val="%1:"/>
      <w:numFmt w:val="upperLetter"/>
      <w:start w:val="17"/>
    </w:lvl>
  </w:abstractNum>
  <w:abstractNum w:abstractNumId="37">
    <w:nsid w:val="6D68AB2"/>
    <w:multiLevelType w:val="hybridMultilevel"/>
    <w:lvl w:ilvl="0">
      <w:lvlJc w:val="left"/>
      <w:lvlText w:val="%1:"/>
      <w:numFmt w:val="upperLetter"/>
      <w:start w:val="1"/>
    </w:lvl>
  </w:abstractNum>
  <w:abstractNum w:abstractNumId="38">
    <w:nsid w:val="3A966CD0"/>
    <w:multiLevelType w:val="hybridMultilevel"/>
    <w:lvl w:ilvl="0">
      <w:lvlJc w:val="left"/>
      <w:lvlText w:val="%1:"/>
      <w:numFmt w:val="upperLetter"/>
      <w:start w:val="17"/>
    </w:lvl>
  </w:abstractNum>
  <w:abstractNum w:abstractNumId="39">
    <w:nsid w:val="63F37E85"/>
    <w:multiLevelType w:val="hybridMultilevel"/>
    <w:lvl w:ilvl="0">
      <w:lvlJc w:val="left"/>
      <w:lvlText w:val="%1:"/>
      <w:numFmt w:val="upperLetter"/>
      <w:start w:val="1"/>
    </w:lvl>
  </w:abstractNum>
  <w:abstractNum w:abstractNumId="40">
    <w:nsid w:val="5895F5FA"/>
    <w:multiLevelType w:val="hybridMultilevel"/>
    <w:lvl w:ilvl="0">
      <w:lvlJc w:val="left"/>
      <w:lvlText w:val="%1:"/>
      <w:numFmt w:val="upperLetter"/>
      <w:start w:val="17"/>
    </w:lvl>
  </w:abstractNum>
  <w:abstractNum w:abstractNumId="41">
    <w:nsid w:val="38A5D054"/>
    <w:multiLevelType w:val="hybridMultilevel"/>
    <w:lvl w:ilvl="0">
      <w:lvlJc w:val="left"/>
      <w:lvlText w:val="%1:"/>
      <w:numFmt w:val="upperLetter"/>
      <w:start w:val="1"/>
    </w:lvl>
  </w:abstractNum>
  <w:abstractNum w:abstractNumId="42">
    <w:nsid w:val="F3F09D8"/>
    <w:multiLevelType w:val="hybridMultilevel"/>
    <w:lvl w:ilvl="0">
      <w:lvlJc w:val="left"/>
      <w:lvlText w:val="%1:"/>
      <w:numFmt w:val="upperLetter"/>
      <w:start w:val="17"/>
    </w:lvl>
  </w:abstractNum>
  <w:abstractNum w:abstractNumId="43">
    <w:nsid w:val="4B793735"/>
    <w:multiLevelType w:val="hybridMultilevel"/>
    <w:lvl w:ilvl="0">
      <w:lvlJc w:val="left"/>
      <w:lvlText w:val="%1:"/>
      <w:numFmt w:val="upperLetter"/>
      <w:start w:val="1"/>
    </w:lvl>
  </w:abstractNum>
  <w:abstractNum w:abstractNumId="44">
    <w:nsid w:val="4A10B4E8"/>
    <w:multiLevelType w:val="hybridMultilevel"/>
    <w:lvl w:ilvl="0">
      <w:lvlJc w:val="left"/>
      <w:lvlText w:val="%1:"/>
      <w:numFmt w:val="upperLetter"/>
      <w:start w:val="17"/>
    </w:lvl>
  </w:abstractNum>
  <w:abstractNum w:abstractNumId="45">
    <w:nsid w:val="43D3BCD4"/>
    <w:multiLevelType w:val="hybridMultilevel"/>
    <w:lvl w:ilvl="0">
      <w:lvlJc w:val="left"/>
      <w:lvlText w:val="%1:"/>
      <w:numFmt w:val="upperLetter"/>
      <w:start w:val="1"/>
    </w:lvl>
  </w:abstractNum>
  <w:abstractNum w:abstractNumId="46">
    <w:nsid w:val="4C2A7166"/>
    <w:multiLevelType w:val="hybridMultilevel"/>
    <w:lvl w:ilvl="0">
      <w:lvlJc w:val="left"/>
      <w:lvlText w:val="%1:"/>
      <w:numFmt w:val="upperLetter"/>
      <w:start w:val="17"/>
    </w:lvl>
  </w:abstractNum>
  <w:abstractNum w:abstractNumId="47">
    <w:nsid w:val="2E534A82"/>
    <w:multiLevelType w:val="hybridMultilevel"/>
    <w:lvl w:ilvl="0">
      <w:lvlJc w:val="left"/>
      <w:lvlText w:val="%1:"/>
      <w:numFmt w:val="upperLetter"/>
      <w:start w:val="1"/>
    </w:lvl>
  </w:abstractNum>
  <w:abstractNum w:abstractNumId="48">
    <w:nsid w:val="26F2D364"/>
    <w:multiLevelType w:val="hybridMultilevel"/>
    <w:lvl w:ilvl="0">
      <w:lvlJc w:val="left"/>
      <w:lvlText w:val="%1:"/>
      <w:numFmt w:val="upperLetter"/>
      <w:start w:val="17"/>
    </w:lvl>
  </w:abstractNum>
  <w:abstractNum w:abstractNumId="49">
    <w:nsid w:val="71C1AF98"/>
    <w:multiLevelType w:val="hybridMultilevel"/>
    <w:lvl w:ilvl="0">
      <w:lvlJc w:val="left"/>
      <w:lvlText w:val="%1:"/>
      <w:numFmt w:val="upperLetter"/>
      <w:start w:val="1"/>
    </w:lvl>
  </w:abstractNum>
  <w:abstractNum w:abstractNumId="50">
    <w:nsid w:val="3D00B9D9"/>
    <w:multiLevelType w:val="hybridMultilevel"/>
    <w:lvl w:ilvl="0">
      <w:lvlJc w:val="left"/>
      <w:lvlText w:val="%1:"/>
      <w:numFmt w:val="upperLetter"/>
      <w:start w:val="17"/>
    </w:lvl>
  </w:abstractNum>
  <w:abstractNum w:abstractNumId="51">
    <w:nsid w:val="15BCABA8"/>
    <w:multiLevelType w:val="hybridMultilevel"/>
    <w:lvl w:ilvl="0">
      <w:lvlJc w:val="left"/>
      <w:lvlText w:val="%1:"/>
      <w:numFmt w:val="upperLetter"/>
      <w:start w:val="1"/>
    </w:lvl>
  </w:abstractNum>
  <w:abstractNum w:abstractNumId="52">
    <w:nsid w:val="4E0B9A87"/>
    <w:multiLevelType w:val="hybridMultilevel"/>
    <w:lvl w:ilvl="0">
      <w:lvlJc w:val="left"/>
      <w:lvlText w:val="%1:"/>
      <w:numFmt w:val="upperLetter"/>
      <w:start w:val="17"/>
    </w:lvl>
  </w:abstractNum>
  <w:abstractNum w:abstractNumId="53">
    <w:nsid w:val="434BAE75"/>
    <w:multiLevelType w:val="hybridMultilevel"/>
    <w:lvl w:ilvl="0">
      <w:lvlJc w:val="left"/>
      <w:lvlText w:val="%1:"/>
      <w:numFmt w:val="upperLetter"/>
      <w:start w:val="1"/>
    </w:lvl>
  </w:abstractNum>
  <w:abstractNum w:abstractNumId="54">
    <w:nsid w:val="4F38F265"/>
    <w:multiLevelType w:val="hybridMultilevel"/>
    <w:lvl w:ilvl="0">
      <w:lvlJc w:val="left"/>
      <w:lvlText w:val="%1:"/>
      <w:numFmt w:val="upperLetter"/>
      <w:start w:val="17"/>
    </w:lvl>
  </w:abstractNum>
  <w:abstractNum w:abstractNumId="55">
    <w:nsid w:val="4C502870"/>
    <w:multiLevelType w:val="hybridMultilevel"/>
    <w:lvl w:ilvl="0">
      <w:lvlJc w:val="left"/>
      <w:lvlText w:val="%1:"/>
      <w:numFmt w:val="upperLetter"/>
      <w:start w:val="1"/>
    </w:lvl>
  </w:abstractNum>
  <w:abstractNum w:abstractNumId="56">
    <w:nsid w:val="1DE8725A"/>
    <w:multiLevelType w:val="hybridMultilevel"/>
    <w:lvl w:ilvl="0">
      <w:lvlJc w:val="left"/>
      <w:lvlText w:val="%1:"/>
      <w:numFmt w:val="upperLetter"/>
      <w:start w:val="17"/>
    </w:lvl>
  </w:abstractNum>
  <w:abstractNum w:abstractNumId="57">
    <w:nsid w:val="6A37288A"/>
    <w:multiLevelType w:val="hybridMultilevel"/>
    <w:lvl w:ilvl="0">
      <w:lvlJc w:val="left"/>
      <w:lvlText w:val="%1:"/>
      <w:numFmt w:val="upperLetter"/>
      <w:start w:val="1"/>
    </w:lvl>
  </w:abstractNum>
  <w:abstractNum w:abstractNumId="58">
    <w:nsid w:val="8F8B73F"/>
    <w:multiLevelType w:val="hybridMultilevel"/>
    <w:lvl w:ilvl="0">
      <w:lvlJc w:val="left"/>
      <w:lvlText w:val="%1:"/>
      <w:numFmt w:val="upperLetter"/>
      <w:start w:val="17"/>
    </w:lvl>
  </w:abstractNum>
  <w:abstractNum w:abstractNumId="59">
    <w:nsid w:val="CA6B462"/>
    <w:multiLevelType w:val="hybridMultilevel"/>
    <w:lvl w:ilvl="0">
      <w:lvlJc w:val="left"/>
      <w:lvlText w:val="%1:"/>
      <w:numFmt w:val="upperLetter"/>
      <w:start w:val="1"/>
    </w:lvl>
  </w:abstractNum>
  <w:abstractNum w:abstractNumId="60">
    <w:nsid w:val="763CB680"/>
    <w:multiLevelType w:val="hybridMultilevel"/>
    <w:lvl w:ilvl="0">
      <w:lvlJc w:val="left"/>
      <w:lvlText w:val="%1:"/>
      <w:numFmt w:val="upperLetter"/>
      <w:start w:val="17"/>
    </w:lvl>
  </w:abstractNum>
  <w:abstractNum w:abstractNumId="61">
    <w:nsid w:val="15B71329"/>
    <w:multiLevelType w:val="hybridMultilevel"/>
    <w:lvl w:ilvl="0">
      <w:lvlJc w:val="left"/>
      <w:lvlText w:val="%1:"/>
      <w:numFmt w:val="upperLetter"/>
      <w:start w:val="1"/>
    </w:lvl>
  </w:abstractNum>
  <w:abstractNum w:abstractNumId="62">
    <w:nsid w:val="3DA97044"/>
    <w:multiLevelType w:val="hybridMultilevel"/>
    <w:lvl w:ilvl="0">
      <w:lvlJc w:val="left"/>
      <w:lvlText w:val="%1:"/>
      <w:numFmt w:val="upperLetter"/>
      <w:start w:val="17"/>
    </w:lvl>
  </w:abstractNum>
  <w:abstractNum w:abstractNumId="63">
    <w:nsid w:val="1CDCE2DE"/>
    <w:multiLevelType w:val="hybridMultilevel"/>
    <w:lvl w:ilvl="0">
      <w:lvlJc w:val="left"/>
      <w:lvlText w:val="%1:"/>
      <w:numFmt w:val="upperLetter"/>
      <w:start w:val="1"/>
    </w:lvl>
  </w:abstractNum>
  <w:abstractNum w:abstractNumId="64">
    <w:nsid w:val="69D3947C"/>
    <w:multiLevelType w:val="hybridMultilevel"/>
    <w:lvl w:ilvl="0">
      <w:lvlJc w:val="left"/>
      <w:lvlText w:val="%1."/>
      <w:numFmt w:val="upperLetter"/>
      <w:start w:val="17"/>
    </w:lvl>
  </w:abstractNum>
  <w:abstractNum w:abstractNumId="65">
    <w:nsid w:val="2539DFA5"/>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6">
    <w:nsid w:val="2DB88089"/>
    <w:multiLevelType w:val="hybridMultilevel"/>
    <w:lvl w:ilvl="0">
      <w:lvlJc w:val="left"/>
      <w:lvlText w:val="•"/>
      <w:numFmt w:val="bullet"/>
      <w:start w:val="1"/>
    </w:lvl>
  </w:abstractNum>
  <w:abstractNum w:abstractNumId="67">
    <w:nsid w:val="706B674E"/>
    <w:multiLevelType w:val="hybridMultilevel"/>
    <w:lvl w:ilvl="0">
      <w:lvlJc w:val="left"/>
      <w:lvlText w:val="•"/>
      <w:numFmt w:val="bullet"/>
      <w:start w:val="1"/>
    </w:lvl>
  </w:abstractNum>
  <w:abstractNum w:abstractNumId="68">
    <w:nsid w:val="2C106A57"/>
    <w:multiLevelType w:val="hybridMultilevel"/>
    <w:lvl w:ilvl="0">
      <w:lvlJc w:val="left"/>
      <w:lvlText w:val="%1:"/>
      <w:numFmt w:val="upperLetter"/>
      <w:start w:val="17"/>
    </w:lvl>
  </w:abstractNum>
  <w:abstractNum w:abstractNumId="69">
    <w:nsid w:val="684EED59"/>
    <w:multiLevelType w:val="hybridMultilevel"/>
    <w:lvl w:ilvl="0">
      <w:lvlJc w:val="left"/>
      <w:lvlText w:val="%1:"/>
      <w:numFmt w:val="upperLetter"/>
      <w:start w:val="1"/>
    </w:lvl>
  </w:abstractNum>
  <w:abstractNum w:abstractNumId="70">
    <w:nsid w:val="545EE5D3"/>
    <w:multiLevelType w:val="hybridMultilevel"/>
    <w:lvl w:ilvl="0">
      <w:lvlJc w:val="left"/>
      <w:lvlText w:val="%1:"/>
      <w:numFmt w:val="upperLetter"/>
      <w:start w:val="17"/>
    </w:lvl>
  </w:abstractNum>
  <w:abstractNum w:abstractNumId="71">
    <w:nsid w:val="4A66051"/>
    <w:multiLevelType w:val="hybridMultilevel"/>
    <w:lvl w:ilvl="0">
      <w:lvlJc w:val="left"/>
      <w:lvlText w:val="%1:"/>
      <w:numFmt w:val="upperLetter"/>
      <w:start w:val="1"/>
    </w:lvl>
  </w:abstractNum>
  <w:abstractNum w:abstractNumId="72">
    <w:nsid w:val="20F4BDAD"/>
    <w:multiLevelType w:val="hybridMultilevel"/>
    <w:lvl w:ilvl="0">
      <w:lvlJc w:val="left"/>
      <w:lvlText w:val="%1:"/>
      <w:numFmt w:val="upperLetter"/>
      <w:start w:val="17"/>
    </w:lvl>
  </w:abstractNum>
  <w:abstractNum w:abstractNumId="73">
    <w:nsid w:val="639DEFAC"/>
    <w:multiLevelType w:val="hybridMultilevel"/>
    <w:lvl w:ilvl="0">
      <w:lvlJc w:val="left"/>
      <w:lvlText w:val="%1:"/>
      <w:numFmt w:val="upperLetter"/>
      <w:start w:val="1"/>
    </w:lvl>
  </w:abstractNum>
  <w:abstractNum w:abstractNumId="74">
    <w:nsid w:val="501F9786"/>
    <w:multiLevelType w:val="hybridMultilevel"/>
    <w:lvl w:ilvl="0">
      <w:lvlJc w:val="left"/>
      <w:lvlText w:val="%1:"/>
      <w:numFmt w:val="upperLetter"/>
      <w:start w:val="17"/>
    </w:lvl>
  </w:abstractNum>
  <w:abstractNum w:abstractNumId="75">
    <w:nsid w:val="6B057295"/>
    <w:multiLevelType w:val="hybridMultilevel"/>
    <w:lvl w:ilvl="0">
      <w:lvlJc w:val="left"/>
      <w:lvlText w:val="%1:"/>
      <w:numFmt w:val="upperLetter"/>
      <w:start w:val="1"/>
    </w:lvl>
  </w:abstractNum>
  <w:abstractNum w:abstractNumId="76">
    <w:nsid w:val="2771AC80"/>
    <w:multiLevelType w:val="hybridMultilevel"/>
    <w:lvl w:ilvl="0">
      <w:lvlJc w:val="left"/>
      <w:lvlText w:val="%1:"/>
      <w:numFmt w:val="upperLetter"/>
      <w:start w:val="17"/>
    </w:lvl>
  </w:abstractNum>
  <w:abstractNum w:abstractNumId="77">
    <w:nsid w:val="1C4A08EC"/>
    <w:multiLevelType w:val="hybridMultilevel"/>
    <w:lvl w:ilvl="0">
      <w:lvlJc w:val="left"/>
      <w:lvlText w:val="%1:"/>
      <w:numFmt w:val="upperLetter"/>
      <w:start w:val="1"/>
    </w:lvl>
  </w:abstractNum>
  <w:abstractNum w:abstractNumId="78">
    <w:nsid w:val="1958BD17"/>
    <w:multiLevelType w:val="hybridMultilevel"/>
    <w:lvl w:ilvl="0">
      <w:lvlJc w:val="left"/>
      <w:lvlText w:val="%1:"/>
      <w:numFmt w:val="upperLetter"/>
      <w:start w:val="17"/>
    </w:lvl>
  </w:abstractNum>
  <w:abstractNum w:abstractNumId="79">
    <w:nsid w:val="4E647FE4"/>
    <w:multiLevelType w:val="hybridMultilevel"/>
    <w:lvl w:ilvl="0">
      <w:lvlJc w:val="left"/>
      <w:lvlText w:val="%1:"/>
      <w:numFmt w:val="upperLetter"/>
      <w:start w:val="1"/>
    </w:lvl>
  </w:abstractNum>
  <w:abstractNum w:abstractNumId="80">
    <w:nsid w:val="E0BB885"/>
    <w:multiLevelType w:val="hybridMultilevel"/>
    <w:lvl w:ilvl="0">
      <w:lvlJc w:val="left"/>
      <w:lvlText w:val="%1:"/>
      <w:numFmt w:val="upperLetter"/>
      <w:start w:val="17"/>
    </w:lvl>
  </w:abstractNum>
  <w:abstractNum w:abstractNumId="81">
    <w:nsid w:val="565976F1"/>
    <w:multiLevelType w:val="hybridMultilevel"/>
    <w:lvl w:ilvl="0">
      <w:lvlJc w:val="left"/>
      <w:lvlText w:val="%1:"/>
      <w:numFmt w:val="upperLetter"/>
      <w:start w:val="1"/>
    </w:lvl>
    <w:lvl w:ilvl="1">
      <w:lvlJc w:val="left"/>
      <w:lvlText w:val="•"/>
      <w:numFmt w:val="bullet"/>
      <w:start w:val="1"/>
    </w:lvl>
  </w:abstractNum>
  <w:abstractNum w:abstractNumId="82">
    <w:nsid w:val="64212B8C"/>
    <w:multiLevelType w:val="hybridMultilevel"/>
    <w:lvl w:ilvl="0">
      <w:lvlJc w:val="left"/>
      <w:lvlText w:val="%1:"/>
      <w:numFmt w:val="upperLetter"/>
      <w:start w:val="17"/>
    </w:lvl>
  </w:abstractNum>
  <w:abstractNum w:abstractNumId="83">
    <w:nsid w:val="5C17530C"/>
    <w:multiLevelType w:val="hybridMultilevel"/>
    <w:lvl w:ilvl="0">
      <w:lvlJc w:val="left"/>
      <w:lvlText w:val="%1:"/>
      <w:numFmt w:val="upperLetter"/>
      <w:start w:val="1"/>
    </w:lvl>
  </w:abstractNum>
  <w:abstractNum w:abstractNumId="84">
    <w:nsid w:val="19A52566"/>
    <w:multiLevelType w:val="hybridMultilevel"/>
    <w:lvl w:ilvl="0">
      <w:lvlJc w:val="left"/>
      <w:lvlText w:val="%1:"/>
      <w:numFmt w:val="upperLetter"/>
      <w:start w:val="17"/>
    </w:lvl>
  </w:abstractNum>
  <w:abstractNum w:abstractNumId="85">
    <w:nsid w:val="335A1DF1"/>
    <w:multiLevelType w:val="hybridMultilevel"/>
    <w:lvl w:ilvl="0">
      <w:lvlJc w:val="left"/>
      <w:lvlText w:val="%1:"/>
      <w:numFmt w:val="upperLetter"/>
      <w:start w:val="1"/>
    </w:lvl>
  </w:abstractNum>
  <w:abstractNum w:abstractNumId="86">
    <w:nsid w:val="28677B7C"/>
    <w:multiLevelType w:val="hybridMultilevel"/>
    <w:lvl w:ilvl="0">
      <w:lvlJc w:val="left"/>
      <w:lvlText w:val="%1:"/>
      <w:numFmt w:val="upperLetter"/>
      <w:start w:val="17"/>
    </w:lvl>
  </w:abstractNum>
  <w:abstractNum w:abstractNumId="87">
    <w:nsid w:val="378D97C0"/>
    <w:multiLevelType w:val="hybridMultilevel"/>
    <w:lvl w:ilvl="0">
      <w:lvlJc w:val="left"/>
      <w:lvlText w:val="%1:"/>
      <w:numFmt w:val="upperLetter"/>
      <w:start w:val="1"/>
    </w:lvl>
  </w:abstractNum>
  <w:abstractNum w:abstractNumId="88">
    <w:nsid w:val="1D91467C"/>
    <w:multiLevelType w:val="hybridMultilevel"/>
    <w:lvl w:ilvl="0">
      <w:lvlJc w:val="left"/>
      <w:lvlText w:val="%1:"/>
      <w:numFmt w:val="upperLetter"/>
      <w:start w:val="17"/>
    </w:lvl>
  </w:abstractNum>
  <w:abstractNum w:abstractNumId="89">
    <w:nsid w:val="316032BB"/>
    <w:multiLevelType w:val="hybridMultilevel"/>
    <w:lvl w:ilvl="0">
      <w:lvlJc w:val="left"/>
      <w:lvlText w:val="%1:"/>
      <w:numFmt w:val="upperLetter"/>
      <w:start w:val="1"/>
    </w:lvl>
  </w:abstractNum>
  <w:abstractNum w:abstractNumId="90">
    <w:nsid w:val="44344C22"/>
    <w:multiLevelType w:val="hybridMultilevel"/>
    <w:lvl w:ilvl="0">
      <w:lvlJc w:val="left"/>
      <w:lvlText w:val="%1:"/>
      <w:numFmt w:val="upperLetter"/>
      <w:start w:val="17"/>
    </w:lvl>
  </w:abstractNum>
  <w:abstractNum w:abstractNumId="91">
    <w:nsid w:val="13CDFCFC"/>
    <w:multiLevelType w:val="hybridMultilevel"/>
    <w:lvl w:ilvl="0">
      <w:lvlJc w:val="left"/>
      <w:lvlText w:val="%1:"/>
      <w:numFmt w:val="upperLetter"/>
      <w:start w:val="1"/>
    </w:lvl>
  </w:abstractNum>
  <w:abstractNum w:abstractNumId="92">
    <w:nsid w:val="471745E4"/>
    <w:multiLevelType w:val="hybridMultilevel"/>
    <w:lvl w:ilvl="0">
      <w:lvlJc w:val="left"/>
      <w:lvlText w:val="%1:"/>
      <w:numFmt w:val="upperLetter"/>
      <w:start w:val="17"/>
    </w:lvl>
  </w:abstractNum>
  <w:abstractNum w:abstractNumId="93">
    <w:nsid w:val="1DDBC66"/>
    <w:multiLevelType w:val="hybridMultilevel"/>
    <w:lvl w:ilvl="0">
      <w:lvlJc w:val="left"/>
      <w:lvlText w:val="%1:"/>
      <w:numFmt w:val="upperLetter"/>
      <w:start w:val="1"/>
    </w:lvl>
  </w:abstractNum>
  <w:abstractNum w:abstractNumId="94">
    <w:nsid w:val="30AADFDA"/>
    <w:multiLevelType w:val="hybridMultilevel"/>
    <w:lvl w:ilvl="0">
      <w:lvlJc w:val="left"/>
      <w:lvlText w:val="[\emdash ]"/>
      <w:numFmt w:val="bullet"/>
      <w:start w:val="1"/>
    </w:lvl>
  </w:abstractNum>
  <w:abstractNum w:abstractNumId="95">
    <w:nsid w:val="30EADA61"/>
    <w:multiLevelType w:val="hybridMultilevel"/>
    <w:lvl w:ilvl="0">
      <w:lvlJc w:val="left"/>
      <w:lvlText w:val="•"/>
      <w:numFmt w:val="bullet"/>
      <w:start w:val="1"/>
    </w:lvl>
  </w:abstractNum>
  <w:abstractNum w:abstractNumId="96">
    <w:nsid w:val="27179C0B"/>
    <w:multiLevelType w:val="hybridMultilevel"/>
    <w:lvl w:ilvl="0">
      <w:lvlJc w:val="left"/>
      <w:lvlText w:val="•"/>
      <w:numFmt w:val="bullet"/>
      <w:start w:val="1"/>
    </w:lvl>
  </w:abstractNum>
  <w:abstractNum w:abstractNumId="97">
    <w:nsid w:val="5E636063"/>
    <w:multiLevelType w:val="hybridMultilevel"/>
    <w:lvl w:ilvl="0">
      <w:lvlJc w:val="left"/>
      <w:lvlText w:val="•"/>
      <w:numFmt w:val="bullet"/>
      <w:start w:val="1"/>
    </w:lvl>
  </w:abstractNum>
  <w:abstractNum w:abstractNumId="98">
    <w:nsid w:val="215641AF"/>
    <w:multiLevelType w:val="hybridMultilevel"/>
    <w:lvl w:ilvl="0">
      <w:lvlJc w:val="left"/>
      <w:lvlText w:val="(%1)"/>
      <w:numFmt w:val="lowerRoman"/>
      <w:start w:val="1"/>
    </w:lvl>
  </w:abstractNum>
  <w:abstractNum w:abstractNumId="99">
    <w:nsid w:val="53280662"/>
    <w:multiLevelType w:val="hybridMultilevel"/>
    <w:lvl w:ilvl="0">
      <w:lvlJc w:val="left"/>
      <w:lvlText w:val="[\emdash ]"/>
      <w:numFmt w:val="bullet"/>
      <w:start w:val="1"/>
    </w:lvl>
  </w:abstractNum>
  <w:abstractNum w:abstractNumId="100">
    <w:nsid w:val="46B24DBC"/>
    <w:multiLevelType w:val="hybridMultilevel"/>
    <w:lvl w:ilvl="0">
      <w:lvlJc w:val="left"/>
      <w:lvlText w:val="•"/>
      <w:numFmt w:val="bullet"/>
      <w:start w:val="1"/>
    </w:lvl>
  </w:abstractNum>
  <w:abstractNum w:abstractNumId="101">
    <w:nsid w:val="75B52783"/>
    <w:multiLevelType w:val="hybridMultilevel"/>
    <w:lvl w:ilvl="0">
      <w:lvlJc w:val="left"/>
      <w:lvlText w:val="•"/>
      <w:numFmt w:val="bullet"/>
      <w:start w:val="1"/>
    </w:lvl>
  </w:abstractNum>
  <w:abstractNum w:abstractNumId="102">
    <w:nsid w:val="57CE66B4"/>
    <w:multiLevelType w:val="hybridMultilevel"/>
    <w:lvl w:ilvl="0">
      <w:lvlJc w:val="left"/>
      <w:lvlText w:val="•"/>
      <w:numFmt w:val="bullet"/>
      <w:start w:val="1"/>
    </w:lvl>
  </w:abstractNum>
  <w:abstractNum w:abstractNumId="103">
    <w:nsid w:val="67A70B69"/>
    <w:multiLevelType w:val="hybridMultilevel"/>
    <w:lvl w:ilvl="0">
      <w:lvlJc w:val="left"/>
      <w:lvlText w:val="•"/>
      <w:numFmt w:val="bullet"/>
      <w:start w:val="1"/>
    </w:lvl>
  </w:abstractNum>
  <w:abstractNum w:abstractNumId="104">
    <w:nsid w:val="5953172F"/>
    <w:multiLevelType w:val="hybridMultilevel"/>
    <w:lvl w:ilvl="0">
      <w:lvlJc w:val="left"/>
      <w:lvlText w:val="•"/>
      <w:numFmt w:val="bullet"/>
      <w:start w:val="1"/>
    </w:lvl>
  </w:abstractNum>
  <w:abstractNum w:abstractNumId="105">
    <w:nsid w:val="27EDFE3A"/>
    <w:multiLevelType w:val="hybridMultilevel"/>
    <w:lvl w:ilvl="0">
      <w:lvlJc w:val="left"/>
      <w:lvlText w:val="(%1)"/>
      <w:numFmt w:val="lowerRoman"/>
      <w:start w:val="2"/>
    </w:lvl>
  </w:abstractNum>
  <w:abstractNum w:abstractNumId="106">
    <w:nsid w:val="52AC7DFF"/>
    <w:multiLevelType w:val="hybridMultilevel"/>
    <w:lvl w:ilvl="0">
      <w:lvlJc w:val="left"/>
      <w:lvlText w:val="•"/>
      <w:numFmt w:val="bullet"/>
      <w:start w:val="1"/>
    </w:lvl>
  </w:abstractNum>
  <w:abstractNum w:abstractNumId="107">
    <w:nsid w:val="C4C3AF"/>
    <w:multiLevelType w:val="hybridMultilevel"/>
    <w:lvl w:ilvl="0">
      <w:lvlJc w:val="left"/>
      <w:lvlText w:val="•"/>
      <w:numFmt w:val="bullet"/>
      <w:start w:val="1"/>
    </w:lvl>
    <w:lvl w:ilvl="1">
      <w:lvlJc w:val="left"/>
      <w:lvlText w:val="•"/>
      <w:numFmt w:val="bullet"/>
      <w:start w:val="1"/>
    </w:lvl>
  </w:abstractNum>
  <w:abstractNum w:abstractNumId="108">
    <w:nsid w:val="44380727"/>
    <w:multiLevelType w:val="hybridMultilevel"/>
    <w:lvl w:ilvl="0">
      <w:lvlJc w:val="left"/>
      <w:lvlText w:val="•"/>
      <w:numFmt w:val="bullet"/>
      <w:start w:val="1"/>
    </w:lvl>
    <w:lvl w:ilvl="1">
      <w:lvlJc w:val="left"/>
      <w:lvlText w:val="•"/>
      <w:numFmt w:val="bullet"/>
      <w:start w:val="1"/>
    </w:lvl>
  </w:abstractNum>
  <w:abstractNum w:abstractNumId="109">
    <w:nsid w:val="6C053B16"/>
    <w:multiLevelType w:val="hybridMultilevel"/>
    <w:lvl w:ilvl="0">
      <w:lvlJc w:val="left"/>
      <w:lvlText w:val="(%1)"/>
      <w:numFmt w:val="decimal"/>
      <w:start w:val="1"/>
    </w:lvl>
  </w:abstractNum>
  <w:abstractNum w:abstractNumId="110">
    <w:nsid w:val="4F294393"/>
    <w:multiLevelType w:val="hybridMultilevel"/>
    <w:lvl w:ilvl="0">
      <w:lvlJc w:val="left"/>
      <w:lvlText w:val="(%1)"/>
      <w:numFmt w:val="decimal"/>
      <w:start w:val="1"/>
    </w:lvl>
  </w:abstractNum>
  <w:abstractNum w:abstractNumId="111">
    <w:nsid w:val="5243BFAC"/>
    <w:multiLevelType w:val="hybridMultilevel"/>
    <w:lvl w:ilvl="0">
      <w:lvlJc w:val="left"/>
      <w:lvlText w:val="[\emdash ]"/>
      <w:numFmt w:val="bullet"/>
      <w:start w:val="1"/>
    </w:lvl>
  </w:abstractNum>
  <w:abstractNum w:abstractNumId="112">
    <w:nsid w:val="425EB207"/>
    <w:multiLevelType w:val="hybridMultilevel"/>
    <w:lvl w:ilvl="0">
      <w:lvlJc w:val="left"/>
      <w:lvlText w:val="(%1)"/>
      <w:numFmt w:val="decimal"/>
      <w:start w:val="1"/>
    </w:lvl>
  </w:abstractNum>
  <w:abstractNum w:abstractNumId="113">
    <w:nsid w:val="334A6F1F"/>
    <w:multiLevelType w:val="hybridMultilevel"/>
    <w:lvl w:ilvl="0">
      <w:lvlJc w:val="left"/>
      <w:lvlText w:val="(%1)"/>
      <w:numFmt w:val="lowerLetter"/>
      <w:start w:val="1"/>
    </w:lvl>
  </w:abstractNum>
  <w:abstractNum w:abstractNumId="114">
    <w:nsid w:val="2E5B12B8"/>
    <w:multiLevelType w:val="hybridMultilevel"/>
    <w:lvl w:ilvl="0">
      <w:lvlJc w:val="left"/>
      <w:lvlText w:val="(%1)"/>
      <w:numFmt w:val="lowerLetter"/>
      <w:start w:val="5"/>
    </w:lvl>
  </w:abstractNum>
  <w:abstractNum w:abstractNumId="115">
    <w:nsid w:val="5C03D76D"/>
    <w:multiLevelType w:val="hybridMultilevel"/>
    <w:lvl w:ilvl="0">
      <w:lvlJc w:val="left"/>
      <w:lvlText w:val="(%1)"/>
      <w:numFmt w:val="lowerLetter"/>
      <w:start w:val="6"/>
    </w:lvl>
  </w:abstractNum>
  <w:abstractNum w:abstractNumId="116">
    <w:nsid w:val="66A48D11"/>
    <w:multiLevelType w:val="hybridMultilevel"/>
    <w:lvl w:ilvl="0">
      <w:lvlJc w:val="left"/>
      <w:lvlText w:val="(%1)"/>
      <w:numFmt w:val="lowerLetter"/>
      <w:start w:val="13"/>
    </w:lvl>
  </w:abstractNum>
  <w:abstractNum w:abstractNumId="117">
    <w:nsid w:val="56C28E34"/>
    <w:multiLevelType w:val="hybridMultilevel"/>
    <w:lvl w:ilvl="0">
      <w:lvlJc w:val="left"/>
      <w:lvlText w:val="(%1)"/>
      <w:numFmt w:val="lowerLetter"/>
      <w:start w:val="1"/>
    </w:lvl>
  </w:abstractNum>
  <w:abstractNum w:abstractNumId="118">
    <w:nsid w:val="13916F2D"/>
    <w:multiLevelType w:val="hybridMultilevel"/>
    <w:lvl w:ilvl="0">
      <w:lvlJc w:val="left"/>
      <w:lvlText w:val="•"/>
      <w:numFmt w:val="bullet"/>
      <w:start w:val="1"/>
    </w:lvl>
  </w:abstractNum>
  <w:abstractNum w:abstractNumId="119">
    <w:nsid w:val="435D38D"/>
    <w:multiLevelType w:val="hybridMultilevel"/>
    <w:lvl w:ilvl="0">
      <w:lvlJc w:val="left"/>
      <w:lvlText w:val="•"/>
      <w:numFmt w:val="bullet"/>
      <w:start w:val="1"/>
    </w:lvl>
  </w:abstractNum>
  <w:abstractNum w:abstractNumId="120">
    <w:nsid w:val="822C0EF"/>
    <w:multiLevelType w:val="hybridMultilevel"/>
    <w:lvl w:ilvl="0">
      <w:lvlJc w:val="left"/>
      <w:lvlText w:val="•"/>
      <w:numFmt w:val="bullet"/>
      <w:start w:val="1"/>
    </w:lvl>
  </w:abstractNum>
  <w:abstractNum w:abstractNumId="121">
    <w:nsid w:val="57C5BB4F"/>
    <w:multiLevelType w:val="hybridMultilevel"/>
    <w:lvl w:ilvl="0">
      <w:lvlJc w:val="left"/>
      <w:lvlText w:val="•"/>
      <w:numFmt w:val="bullet"/>
      <w:start w:val="1"/>
    </w:lvl>
  </w:abstractNum>
  <w:abstractNum w:abstractNumId="122">
    <w:nsid w:val="1803D089"/>
    <w:multiLevelType w:val="hybridMultilevel"/>
    <w:lvl w:ilvl="0">
      <w:lvlJc w:val="left"/>
      <w:lvlText w:val="•"/>
      <w:numFmt w:val="bullet"/>
      <w:start w:val="1"/>
    </w:lvl>
  </w:abstractNum>
  <w:abstractNum w:abstractNumId="123">
    <w:nsid w:val="4F3A06D4"/>
    <w:multiLevelType w:val="hybridMultilevel"/>
    <w:lvl w:ilvl="0">
      <w:lvlJc w:val="left"/>
      <w:lvlText w:val="•"/>
      <w:numFmt w:val="bullet"/>
      <w:start w:val="1"/>
    </w:lvl>
  </w:abstractNum>
  <w:abstractNum w:abstractNumId="124">
    <w:nsid w:val="59A377B6"/>
    <w:multiLevelType w:val="hybridMultilevel"/>
    <w:lvl w:ilvl="0">
      <w:lvlJc w:val="left"/>
      <w:lvlText w:val="•"/>
      <w:numFmt w:val="bullet"/>
      <w:start w:val="1"/>
    </w:lvl>
  </w:abstractNum>
  <w:abstractNum w:abstractNumId="125">
    <w:nsid w:val="48AEB063"/>
    <w:multiLevelType w:val="hybridMultilevel"/>
    <w:lvl w:ilvl="0">
      <w:lvlJc w:val="left"/>
      <w:lvlText w:val="(%1)"/>
      <w:numFmt w:val="decimal"/>
      <w:start w:val="800"/>
    </w:lvl>
  </w:abstractNum>
  <w:abstractNum w:abstractNumId="126">
    <w:nsid w:val="24E135"/>
    <w:multiLevelType w:val="hybridMultilevel"/>
    <w:lvl w:ilvl="0">
      <w:lvlJc w:val="left"/>
      <w:lvlText w:val="•"/>
      <w:numFmt w:val="bullet"/>
      <w:start w:val="1"/>
    </w:lvl>
  </w:abstractNum>
  <w:abstractNum w:abstractNumId="127">
    <w:nsid w:val="BB13C1"/>
    <w:multiLevelType w:val="hybridMultilevel"/>
    <w:lvl w:ilvl="0">
      <w:lvlJc w:val="left"/>
      <w:lvlText w:val="•"/>
      <w:numFmt w:val="bullet"/>
      <w:start w:val="1"/>
    </w:lvl>
  </w:abstractNum>
  <w:abstractNum w:abstractNumId="128">
    <w:nsid w:val="271210C7"/>
    <w:multiLevelType w:val="hybridMultilevel"/>
    <w:lvl w:ilvl="0">
      <w:lvlJc w:val="left"/>
      <w:lvlText w:val="•"/>
      <w:numFmt w:val="bullet"/>
      <w:start w:val="1"/>
    </w:lvl>
  </w:abstractNum>
  <w:abstractNum w:abstractNumId="129">
    <w:nsid w:val="217B22E4"/>
    <w:multiLevelType w:val="hybridMultilevel"/>
    <w:lvl w:ilvl="0">
      <w:lvlJc w:val="left"/>
      <w:lvlText w:val="•"/>
      <w:numFmt w:val="bullet"/>
      <w:start w:val="1"/>
    </w:lvl>
  </w:abstractNum>
  <w:abstractNum w:abstractNumId="130">
    <w:nsid w:val="53E31A24"/>
    <w:multiLevelType w:val="hybridMultilevel"/>
    <w:lvl w:ilvl="0">
      <w:lvlJc w:val="left"/>
      <w:lvlText w:val="•"/>
      <w:numFmt w:val="bullet"/>
      <w:start w:val="1"/>
    </w:lvl>
    <w:lvl w:ilvl="1">
      <w:lvlJc w:val="left"/>
      <w:lvlText w:val="•"/>
      <w:numFmt w:val="bullet"/>
      <w:start w:val="1"/>
    </w:lvl>
  </w:abstractNum>
  <w:abstractNum w:abstractNumId="131">
    <w:nsid w:val="6DC45E8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2">
    <w:nsid w:val="17304A67"/>
    <w:multiLevelType w:val="hybridMultilevel"/>
    <w:lvl w:ilvl="0">
      <w:lvlJc w:val="left"/>
      <w:lvlText w:val="•"/>
      <w:numFmt w:val="bullet"/>
      <w:start w:val="1"/>
    </w:lvl>
    <w:lvl w:ilvl="1">
      <w:lvlJc w:val="left"/>
      <w:lvlText w:val="•"/>
      <w:numFmt w:val="bullet"/>
      <w:start w:val="1"/>
    </w:lvl>
  </w:abstractNum>
  <w:abstractNum w:abstractNumId="133">
    <w:nsid w:val="2BB180D8"/>
    <w:multiLevelType w:val="hybridMultilevel"/>
    <w:lvl w:ilvl="0">
      <w:lvlJc w:val="left"/>
      <w:lvlText w:val="•"/>
      <w:numFmt w:val="bullet"/>
      <w:start w:val="1"/>
    </w:lvl>
    <w:lvl w:ilvl="1">
      <w:lvlJc w:val="left"/>
      <w:lvlText w:val="•"/>
      <w:numFmt w:val="bullet"/>
      <w:start w:val="1"/>
    </w:lvl>
  </w:abstractNum>
  <w:abstractNum w:abstractNumId="134">
    <w:nsid w:val="556B69ED"/>
    <w:multiLevelType w:val="hybridMultilevel"/>
    <w:lvl w:ilvl="0">
      <w:lvlJc w:val="left"/>
      <w:lvlText w:val="•"/>
      <w:numFmt w:val="bullet"/>
      <w:start w:val="1"/>
    </w:lvl>
    <w:lvl w:ilvl="1">
      <w:lvlJc w:val="left"/>
      <w:lvlText w:val="•"/>
      <w:numFmt w:val="bullet"/>
      <w:start w:val="1"/>
    </w:lvl>
  </w:abstractNum>
  <w:abstractNum w:abstractNumId="135">
    <w:nsid w:val="70836196"/>
    <w:multiLevelType w:val="hybridMultilevel"/>
    <w:lvl w:ilvl="0">
      <w:lvlJc w:val="left"/>
      <w:lvlText w:val="•"/>
      <w:numFmt w:val="bullet"/>
      <w:start w:val="1"/>
    </w:lvl>
  </w:abstractNum>
  <w:abstractNum w:abstractNumId="136">
    <w:nsid w:val="539F7F12"/>
    <w:multiLevelType w:val="hybridMultilevel"/>
    <w:lvl w:ilvl="0">
      <w:lvlJc w:val="left"/>
      <w:lvlText w:val="•"/>
      <w:numFmt w:val="bullet"/>
      <w:start w:val="1"/>
    </w:lvl>
  </w:abstractNum>
  <w:abstractNum w:abstractNumId="137">
    <w:nsid w:val="2817E7EC"/>
    <w:multiLevelType w:val="hybridMultilevel"/>
    <w:lvl w:ilvl="0">
      <w:lvlJc w:val="left"/>
      <w:lvlText w:val="•"/>
      <w:numFmt w:val="bullet"/>
      <w:start w:val="1"/>
    </w:lvl>
  </w:abstractNum>
  <w:abstractNum w:abstractNumId="138">
    <w:nsid w:val="71482545"/>
    <w:multiLevelType w:val="hybridMultilevel"/>
    <w:lvl w:ilvl="0">
      <w:lvlJc w:val="left"/>
      <w:lvlText w:val="•"/>
      <w:numFmt w:val="bullet"/>
      <w:start w:val="1"/>
    </w:lvl>
  </w:abstractNum>
  <w:abstractNum w:abstractNumId="139">
    <w:nsid w:val="17D78639"/>
    <w:multiLevelType w:val="hybridMultilevel"/>
    <w:lvl w:ilvl="0">
      <w:lvlJc w:val="left"/>
      <w:lvlText w:val="•"/>
      <w:numFmt w:val="bullet"/>
      <w:start w:val="1"/>
    </w:lvl>
  </w:abstractNum>
  <w:abstractNum w:abstractNumId="140">
    <w:nsid w:val="141D2302"/>
    <w:multiLevelType w:val="hybridMultilevel"/>
    <w:lvl w:ilvl="0">
      <w:lvlJc w:val="left"/>
      <w:lvlText w:val="•"/>
      <w:numFmt w:val="bullet"/>
      <w:start w:val="1"/>
    </w:lvl>
  </w:abstractNum>
  <w:abstractNum w:abstractNumId="141">
    <w:nsid w:val="407168D8"/>
    <w:multiLevelType w:val="hybridMultilevel"/>
    <w:lvl w:ilvl="0">
      <w:lvlJc w:val="left"/>
      <w:lvlText w:val="•"/>
      <w:numFmt w:val="bullet"/>
      <w:start w:val="1"/>
    </w:lvl>
  </w:abstractNum>
  <w:abstractNum w:abstractNumId="142">
    <w:nsid w:val="6A1B45E5"/>
    <w:multiLevelType w:val="hybridMultilevel"/>
    <w:lvl w:ilvl="0">
      <w:lvlJc w:val="left"/>
      <w:lvlText w:val="(%1)"/>
      <w:numFmt w:val="lowerRoman"/>
      <w:start w:val="3"/>
    </w:lvl>
  </w:abstractNum>
  <w:abstractNum w:abstractNumId="143">
    <w:nsid w:val="567BD50A"/>
    <w:multiLevelType w:val="hybridMultilevel"/>
    <w:lvl w:ilvl="0">
      <w:lvlJc w:val="left"/>
      <w:lvlText w:val="•"/>
      <w:numFmt w:val="bullet"/>
      <w:start w:val="1"/>
    </w:lvl>
  </w:abstractNum>
  <w:abstractNum w:abstractNumId="144">
    <w:nsid w:val="73BBD7F8"/>
    <w:multiLevelType w:val="hybridMultilevel"/>
    <w:lvl w:ilvl="0">
      <w:lvlJc w:val="left"/>
      <w:lvlText w:val="•"/>
      <w:numFmt w:val="bullet"/>
      <w:start w:val="1"/>
    </w:lvl>
  </w:abstractNum>
  <w:abstractNum w:abstractNumId="145">
    <w:nsid w:val="1876589D"/>
    <w:multiLevelType w:val="hybridMultilevel"/>
    <w:lvl w:ilvl="0">
      <w:lvlJc w:val="left"/>
      <w:lvlText w:val="•"/>
      <w:numFmt w:val="bullet"/>
      <w:start w:val="1"/>
    </w:lvl>
  </w:abstractNum>
  <w:abstractNum w:abstractNumId="146">
    <w:nsid w:val="327FAC77"/>
    <w:multiLevelType w:val="hybridMultilevel"/>
    <w:lvl w:ilvl="0">
      <w:lvlJc w:val="left"/>
      <w:lvlText w:val="•"/>
      <w:numFmt w:val="bullet"/>
      <w:start w:val="1"/>
    </w:lvl>
  </w:abstractNum>
  <w:abstractNum w:abstractNumId="147">
    <w:nsid w:val="5A606509"/>
    <w:multiLevelType w:val="hybridMultilevel"/>
    <w:lvl w:ilvl="0">
      <w:lvlJc w:val="left"/>
      <w:lvlText w:val="•"/>
      <w:numFmt w:val="bullet"/>
      <w:start w:val="1"/>
    </w:lvl>
  </w:abstractNum>
  <w:abstractNum w:abstractNumId="148">
    <w:nsid w:val="6F38E6D1"/>
    <w:multiLevelType w:val="hybridMultilevel"/>
    <w:lvl w:ilvl="0">
      <w:lvlJc w:val="left"/>
      <w:lvlText w:val="•"/>
      <w:numFmt w:val="bullet"/>
      <w:start w:val="1"/>
    </w:lvl>
  </w:abstractNum>
  <w:abstractNum w:abstractNumId="149">
    <w:nsid w:val="46111BA5"/>
    <w:multiLevelType w:val="hybridMultilevel"/>
    <w:lvl w:ilvl="0">
      <w:lvlJc w:val="left"/>
      <w:lvlText w:val="•"/>
      <w:numFmt w:val="bullet"/>
      <w:start w:val="1"/>
    </w:lvl>
  </w:abstractNum>
  <w:abstractNum w:abstractNumId="150">
    <w:nsid w:val="5E963896"/>
    <w:multiLevelType w:val="hybridMultilevel"/>
    <w:lvl w:ilvl="0">
      <w:lvlJc w:val="left"/>
      <w:lvlText w:val="•"/>
      <w:numFmt w:val="bullet"/>
      <w:start w:val="1"/>
    </w:lvl>
  </w:abstractNum>
  <w:abstractNum w:abstractNumId="151">
    <w:nsid w:val="775BA7C1"/>
    <w:multiLevelType w:val="hybridMultilevel"/>
    <w:lvl w:ilvl="0">
      <w:lvlJc w:val="left"/>
      <w:lvlText w:val="•"/>
      <w:numFmt w:val="bullet"/>
      <w:start w:val="1"/>
    </w:lvl>
  </w:abstractNum>
  <w:abstractNum w:abstractNumId="152">
    <w:nsid w:val="1DD6D6F4"/>
    <w:multiLevelType w:val="hybridMultilevel"/>
    <w:lvl w:ilvl="0">
      <w:lvlJc w:val="left"/>
      <w:lvlText w:val="•"/>
      <w:numFmt w:val="bullet"/>
      <w:start w:val="1"/>
    </w:lvl>
  </w:abstractNum>
  <w:abstractNum w:abstractNumId="153">
    <w:nsid w:val="769A091F"/>
    <w:multiLevelType w:val="hybridMultilevel"/>
    <w:lvl w:ilvl="0">
      <w:lvlJc w:val="left"/>
      <w:lvlText w:val="•"/>
      <w:numFmt w:val="bullet"/>
      <w:start w:val="1"/>
    </w:lvl>
  </w:abstractNum>
  <w:abstractNum w:abstractNumId="154">
    <w:nsid w:val="4695AE95"/>
    <w:multiLevelType w:val="hybridMultilevel"/>
    <w:lvl w:ilvl="0">
      <w:lvlJc w:val="left"/>
      <w:lvlText w:val="•"/>
      <w:numFmt w:val="bullet"/>
      <w:start w:val="1"/>
    </w:lvl>
  </w:abstractNum>
  <w:abstractNum w:abstractNumId="155">
    <w:nsid w:val="777A4EAA"/>
    <w:multiLevelType w:val="hybridMultilevel"/>
    <w:lvl w:ilvl="0">
      <w:lvlJc w:val="left"/>
      <w:lvlText w:val="•"/>
      <w:numFmt w:val="bullet"/>
      <w:start w:val="1"/>
    </w:lvl>
  </w:abstractNum>
  <w:abstractNum w:abstractNumId="156">
    <w:nsid w:val="3F48B982"/>
    <w:multiLevelType w:val="hybridMultilevel"/>
    <w:lvl w:ilvl="0">
      <w:lvlJc w:val="left"/>
      <w:lvlText w:val="•"/>
      <w:numFmt w:val="bullet"/>
      <w:start w:val="1"/>
    </w:lvl>
  </w:abstractNum>
  <w:abstractNum w:abstractNumId="157">
    <w:nsid w:val="46BA8FCA"/>
    <w:multiLevelType w:val="hybridMultilevel"/>
    <w:lvl w:ilvl="0">
      <w:lvlJc w:val="left"/>
      <w:lvlText w:val="•"/>
      <w:numFmt w:val="bullet"/>
      <w:start w:val="1"/>
    </w:lvl>
  </w:abstractNum>
  <w:abstractNum w:abstractNumId="158">
    <w:nsid w:val="7835626C"/>
    <w:multiLevelType w:val="hybridMultilevel"/>
    <w:lvl w:ilvl="0">
      <w:lvlJc w:val="left"/>
      <w:lvlText w:val="•"/>
      <w:numFmt w:val="bullet"/>
      <w:start w:val="1"/>
    </w:lvl>
  </w:abstractNum>
  <w:abstractNum w:abstractNumId="159">
    <w:nsid w:val="665ACA49"/>
    <w:multiLevelType w:val="hybridMultilevel"/>
    <w:lvl w:ilvl="0">
      <w:lvlJc w:val="left"/>
      <w:lvlText w:val="•"/>
      <w:numFmt w:val="bullet"/>
      <w:start w:val="1"/>
    </w:lvl>
  </w:abstractNum>
  <w:abstractNum w:abstractNumId="160">
    <w:nsid w:val="6835B2AE"/>
    <w:multiLevelType w:val="hybridMultilevel"/>
    <w:lvl w:ilvl="0">
      <w:lvlJc w:val="left"/>
      <w:lvlText w:val="(%1)"/>
      <w:numFmt w:val="decimal"/>
      <w:start w:val="2"/>
    </w:lvl>
  </w:abstractNum>
  <w:abstractNum w:abstractNumId="161">
    <w:nsid w:val="4C187C90"/>
    <w:multiLevelType w:val="hybridMultilevel"/>
    <w:lvl w:ilvl="0">
      <w:lvlJc w:val="left"/>
      <w:lvlText w:val="(%1)"/>
      <w:numFmt w:val="decimal"/>
      <w:start w:val="1"/>
    </w:lvl>
  </w:abstractNum>
  <w:abstractNum w:abstractNumId="162">
    <w:nsid w:val="541F28CD"/>
    <w:multiLevelType w:val="hybridMultilevel"/>
    <w:lvl w:ilvl="0">
      <w:lvlJc w:val="left"/>
      <w:lvlText w:val="(%1)"/>
      <w:numFmt w:val="decimal"/>
      <w:start w:val="1"/>
    </w:lvl>
  </w:abstractNum>
  <w:abstractNum w:abstractNumId="163">
    <w:nsid w:val="7F65FD16"/>
    <w:multiLevelType w:val="hybridMultilevel"/>
    <w:lvl w:ilvl="0">
      <w:lvlJc w:val="left"/>
      <w:lvlText w:val="(%1)"/>
      <w:numFmt w:val="decimal"/>
      <w:start w:val="1"/>
    </w:lvl>
  </w:abstractNum>
  <w:abstractNum w:abstractNumId="164">
    <w:nsid w:val="77C9FD68"/>
    <w:multiLevelType w:val="hybridMultilevel"/>
    <w:lvl w:ilvl="0">
      <w:lvlJc w:val="left"/>
      <w:lvlText w:val="(%1)"/>
      <w:numFmt w:val="decimal"/>
      <w:start w:val="1"/>
    </w:lvl>
  </w:abstractNum>
  <w:abstractNum w:abstractNumId="165">
    <w:nsid w:val="298A92BA"/>
    <w:multiLevelType w:val="hybridMultilevel"/>
    <w:lvl w:ilvl="0">
      <w:lvlJc w:val="left"/>
      <w:lvlText w:val="(%1)"/>
      <w:numFmt w:val="decimal"/>
      <w:start w:val="1"/>
    </w:lvl>
  </w:abstractNum>
  <w:abstractNum w:abstractNumId="166">
    <w:nsid w:val="6FE95EAC"/>
    <w:multiLevelType w:val="hybridMultilevel"/>
    <w:lvl w:ilvl="0">
      <w:lvlJc w:val="left"/>
      <w:lvlText w:val="(%1)"/>
      <w:numFmt w:val="decimal"/>
      <w:start w:val="1"/>
    </w:lvl>
  </w:abstractNum>
  <w:abstractNum w:abstractNumId="167">
    <w:nsid w:val="4B697C7A"/>
    <w:multiLevelType w:val="hybridMultilevel"/>
    <w:lvl w:ilvl="0">
      <w:lvlJc w:val="left"/>
      <w:lvlText w:val="•"/>
      <w:numFmt w:val="bullet"/>
      <w:start w:val="1"/>
    </w:lvl>
  </w:abstractNum>
  <w:abstractNum w:abstractNumId="168">
    <w:nsid w:val="51A27AA6"/>
    <w:multiLevelType w:val="hybridMultilevel"/>
    <w:lvl w:ilvl="0">
      <w:lvlJc w:val="left"/>
      <w:lvlText w:val="•"/>
      <w:numFmt w:val="bullet"/>
      <w:start w:val="1"/>
    </w:lvl>
  </w:abstractNum>
  <w:abstractNum w:abstractNumId="169">
    <w:nsid w:val="613183F2"/>
    <w:multiLevelType w:val="hybridMultilevel"/>
    <w:lvl w:ilvl="0">
      <w:lvlJc w:val="left"/>
      <w:lvlText w:val="(%1)"/>
      <w:numFmt w:val="lowerRoman"/>
      <w:start w:val="2"/>
    </w:lvl>
  </w:abstractNum>
  <w:abstractNum w:abstractNumId="170">
    <w:nsid w:val="634102B4"/>
    <w:multiLevelType w:val="hybridMultilevel"/>
    <w:lvl w:ilvl="0">
      <w:lvlJc w:val="left"/>
      <w:lvlText w:val="•"/>
      <w:numFmt w:val="bullet"/>
      <w:start w:val="1"/>
    </w:lvl>
  </w:abstractNum>
  <w:abstractNum w:abstractNumId="171">
    <w:nsid w:val="65BF9DA8"/>
    <w:multiLevelType w:val="hybridMultilevel"/>
    <w:lvl w:ilvl="0">
      <w:lvlJc w:val="left"/>
      <w:lvlText w:val="•"/>
      <w:numFmt w:val="bullet"/>
      <w:start w:val="1"/>
    </w:lvl>
  </w:abstractNum>
  <w:abstractNum w:abstractNumId="172">
    <w:nsid w:val="21A2ECCA"/>
    <w:multiLevelType w:val="hybridMultilevel"/>
    <w:lvl w:ilvl="0">
      <w:lvlJc w:val="left"/>
      <w:lvlText w:val="•"/>
      <w:numFmt w:val="bullet"/>
      <w:start w:val="1"/>
    </w:lvl>
  </w:abstractNum>
  <w:abstractNum w:abstractNumId="173">
    <w:nsid w:val="4D5C4899"/>
    <w:multiLevelType w:val="hybridMultilevel"/>
    <w:lvl w:ilvl="0">
      <w:lvlJc w:val="left"/>
      <w:lvlText w:val="•"/>
      <w:numFmt w:val="bullet"/>
      <w:start w:val="1"/>
    </w:lvl>
  </w:abstractNum>
  <w:abstractNum w:abstractNumId="174">
    <w:nsid w:val="3C3B72B2"/>
    <w:multiLevelType w:val="hybridMultilevel"/>
    <w:lvl w:ilvl="0">
      <w:lvlJc w:val="left"/>
      <w:lvlText w:val="•"/>
      <w:numFmt w:val="bullet"/>
      <w:start w:val="1"/>
    </w:lvl>
  </w:abstractNum>
  <w:abstractNum w:abstractNumId="175">
    <w:nsid w:val="155EC4C2"/>
    <w:multiLevelType w:val="hybridMultilevel"/>
    <w:lvl w:ilvl="0">
      <w:lvlJc w:val="left"/>
      <w:lvlText w:val="•"/>
      <w:numFmt w:val="bullet"/>
      <w:start w:val="1"/>
    </w:lvl>
  </w:abstractNum>
  <w:abstractNum w:abstractNumId="176">
    <w:nsid w:val="65D2A137"/>
    <w:multiLevelType w:val="hybridMultilevel"/>
    <w:lvl w:ilvl="0">
      <w:lvlJc w:val="left"/>
      <w:lvlText w:val="•"/>
      <w:numFmt w:val="bullet"/>
      <w:start w:val="1"/>
    </w:lvl>
  </w:abstractNum>
  <w:abstractNum w:abstractNumId="177">
    <w:nsid w:val="6EBB1F2A"/>
    <w:multiLevelType w:val="hybridMultilevel"/>
    <w:lvl w:ilvl="0">
      <w:lvlJc w:val="left"/>
      <w:lvlText w:val="•"/>
      <w:numFmt w:val="bullet"/>
      <w:start w:val="1"/>
    </w:lvl>
  </w:abstractNum>
  <w:abstractNum w:abstractNumId="178">
    <w:nsid w:val="6FBF29CB"/>
    <w:multiLevelType w:val="hybridMultilevel"/>
    <w:lvl w:ilvl="0">
      <w:lvlJc w:val="left"/>
      <w:lvlText w:val="•"/>
      <w:numFmt w:val="bullet"/>
      <w:start w:val="1"/>
    </w:lvl>
  </w:abstractNum>
  <w:abstractNum w:abstractNumId="179">
    <w:nsid w:val="550B8808"/>
    <w:multiLevelType w:val="hybridMultilevel"/>
    <w:lvl w:ilvl="0">
      <w:lvlJc w:val="left"/>
      <w:lvlText w:val="•"/>
      <w:numFmt w:val="bullet"/>
      <w:start w:val="1"/>
    </w:lvl>
  </w:abstractNum>
  <w:abstractNum w:abstractNumId="180">
    <w:nsid w:val="34CC3ACF"/>
    <w:multiLevelType w:val="hybridMultilevel"/>
    <w:lvl w:ilvl="0">
      <w:lvlJc w:val="left"/>
      <w:lvlText w:val="•"/>
      <w:numFmt w:val="bullet"/>
      <w:start w:val="1"/>
    </w:lvl>
  </w:abstractNum>
  <w:abstractNum w:abstractNumId="181">
    <w:nsid w:val="4E556261"/>
    <w:multiLevelType w:val="hybridMultilevel"/>
    <w:lvl w:ilvl="0">
      <w:lvlJc w:val="left"/>
      <w:lvlText w:val="•"/>
      <w:numFmt w:val="bullet"/>
      <w:start w:val="1"/>
    </w:lvl>
  </w:abstractNum>
  <w:abstractNum w:abstractNumId="182">
    <w:nsid w:val="4C672FC9"/>
    <w:multiLevelType w:val="hybridMultilevel"/>
    <w:lvl w:ilvl="0">
      <w:lvlJc w:val="left"/>
      <w:lvlText w:val="•"/>
      <w:numFmt w:val="bullet"/>
      <w:start w:val="1"/>
    </w:lvl>
  </w:abstractNum>
  <w:abstractNum w:abstractNumId="183">
    <w:nsid w:val="52A311C3"/>
    <w:multiLevelType w:val="hybridMultilevel"/>
    <w:lvl w:ilvl="0">
      <w:lvlJc w:val="left"/>
      <w:lvlText w:val="•"/>
      <w:numFmt w:val="bullet"/>
      <w:start w:val="1"/>
    </w:lvl>
  </w:abstractNum>
  <w:abstractNum w:abstractNumId="184">
    <w:nsid w:val="44EF6B80"/>
    <w:multiLevelType w:val="hybridMultilevel"/>
    <w:lvl w:ilvl="0">
      <w:lvlJc w:val="left"/>
      <w:lvlText w:val="•"/>
      <w:numFmt w:val="bullet"/>
      <w:start w:val="1"/>
    </w:lvl>
    <w:lvl w:ilvl="1">
      <w:lvlJc w:val="left"/>
      <w:lvlText w:val="(%2)"/>
      <w:numFmt w:val="lowerLetter"/>
      <w:start w:val="24"/>
    </w:lvl>
  </w:abstractNum>
  <w:abstractNum w:abstractNumId="185">
    <w:nsid w:val="12FCDE5E"/>
    <w:multiLevelType w:val="hybridMultilevel"/>
    <w:lvl w:ilvl="0">
      <w:lvlJc w:val="left"/>
      <w:lvlText w:val="•"/>
      <w:numFmt w:val="bullet"/>
      <w:start w:val="1"/>
    </w:lvl>
    <w:lvl w:ilvl="1">
      <w:lvlJc w:val="left"/>
      <w:lvlText w:val="(%2)"/>
      <w:numFmt w:val="lowerRoman"/>
      <w:start w:val="2"/>
    </w:lvl>
  </w:abstractNum>
  <w:abstractNum w:abstractNumId="186">
    <w:nsid w:val="4A1D606E"/>
    <w:multiLevelType w:val="hybridMultilevel"/>
    <w:lvl w:ilvl="0">
      <w:lvlJc w:val="left"/>
      <w:lvlText w:val="•"/>
      <w:numFmt w:val="bullet"/>
      <w:start w:val="1"/>
    </w:lvl>
  </w:abstractNum>
  <w:abstractNum w:abstractNumId="187">
    <w:nsid w:val="4382503"/>
    <w:multiLevelType w:val="hybridMultilevel"/>
    <w:lvl w:ilvl="0">
      <w:lvlJc w:val="left"/>
      <w:lvlText w:val="•"/>
      <w:numFmt w:val="bullet"/>
      <w:start w:val="1"/>
    </w:lvl>
  </w:abstractNum>
  <w:abstractNum w:abstractNumId="188">
    <w:nsid w:val="59B76E28"/>
    <w:multiLevelType w:val="hybridMultilevel"/>
    <w:lvl w:ilvl="0">
      <w:lvlJc w:val="left"/>
      <w:lvlText w:val="•"/>
      <w:numFmt w:val="bullet"/>
      <w:start w:val="1"/>
    </w:lvl>
  </w:abstractNum>
  <w:abstractNum w:abstractNumId="189">
    <w:nsid w:val="4252C2DA"/>
    <w:multiLevelType w:val="hybridMultilevel"/>
    <w:lvl w:ilvl="0">
      <w:lvlJc w:val="left"/>
      <w:lvlText w:val="•"/>
      <w:numFmt w:val="bullet"/>
      <w:start w:val="1"/>
    </w:lvl>
  </w:abstractNum>
  <w:abstractNum w:abstractNumId="190">
    <w:nsid w:val="6A92EF4C"/>
    <w:multiLevelType w:val="hybridMultilevel"/>
    <w:lvl w:ilvl="0">
      <w:lvlJc w:val="left"/>
      <w:lvlText w:val="(%1)"/>
      <w:numFmt w:val="lowerRoman"/>
      <w:start w:val="2"/>
    </w:lvl>
  </w:abstractNum>
  <w:abstractNum w:abstractNumId="191">
    <w:nsid w:val="41ED20D7"/>
    <w:multiLevelType w:val="hybridMultilevel"/>
    <w:lvl w:ilvl="0">
      <w:lvlJc w:val="left"/>
      <w:lvlText w:val="•"/>
      <w:numFmt w:val="bullet"/>
      <w:start w:val="1"/>
    </w:lvl>
  </w:abstractNum>
  <w:abstractNum w:abstractNumId="192">
    <w:nsid w:val="E6B3F6A"/>
    <w:multiLevelType w:val="hybridMultilevel"/>
    <w:lvl w:ilvl="0">
      <w:lvlJc w:val="left"/>
      <w:lvlText w:val="•"/>
      <w:numFmt w:val="bullet"/>
      <w:start w:val="1"/>
    </w:lvl>
  </w:abstractNum>
  <w:abstractNum w:abstractNumId="193">
    <w:nsid w:val="3EB21819"/>
    <w:multiLevelType w:val="hybridMultilevel"/>
    <w:lvl w:ilvl="0">
      <w:lvlJc w:val="left"/>
      <w:lvlText w:val="•"/>
      <w:numFmt w:val="bullet"/>
      <w:start w:val="1"/>
    </w:lvl>
  </w:abstractNum>
  <w:abstractNum w:abstractNumId="194">
    <w:nsid w:val="41531DED"/>
    <w:multiLevelType w:val="hybridMultilevel"/>
    <w:lvl w:ilvl="0">
      <w:lvlJc w:val="left"/>
      <w:lvlText w:val="•"/>
      <w:numFmt w:val="bullet"/>
      <w:start w:val="1"/>
    </w:lvl>
    <w:lvl w:ilvl="1">
      <w:lvlJc w:val="left"/>
      <w:lvlText w:val="•"/>
      <w:numFmt w:val="bullet"/>
      <w:start w:val="1"/>
    </w:lvl>
  </w:abstractNum>
  <w:abstractNum w:abstractNumId="195">
    <w:nsid w:val="6353CD2"/>
    <w:multiLevelType w:val="hybridMultilevel"/>
    <w:lvl w:ilvl="0">
      <w:lvlJc w:val="left"/>
      <w:lvlText w:val="•"/>
      <w:numFmt w:val="bullet"/>
      <w:start w:val="1"/>
    </w:lvl>
    <w:lvl w:ilvl="1">
      <w:lvlJc w:val="left"/>
      <w:lvlText w:val="•"/>
      <w:numFmt w:val="bullet"/>
      <w:start w:val="1"/>
    </w:lvl>
  </w:abstractNum>
  <w:abstractNum w:abstractNumId="196">
    <w:nsid w:val="683CAAD3"/>
    <w:multiLevelType w:val="hybridMultilevel"/>
    <w:lvl w:ilvl="0">
      <w:lvlJc w:val="left"/>
      <w:lvlText w:val="•"/>
      <w:numFmt w:val="bullet"/>
      <w:start w:val="1"/>
    </w:lvl>
  </w:abstractNum>
  <w:abstractNum w:abstractNumId="197">
    <w:nsid w:val="313C7C99"/>
    <w:multiLevelType w:val="hybridMultilevel"/>
    <w:lvl w:ilvl="0">
      <w:lvlJc w:val="left"/>
      <w:lvlText w:val="•"/>
      <w:numFmt w:val="bullet"/>
      <w:start w:val="1"/>
    </w:lvl>
  </w:abstractNum>
  <w:abstractNum w:abstractNumId="198">
    <w:nsid w:val="519EB94C"/>
    <w:multiLevelType w:val="hybridMultilevel"/>
    <w:lvl w:ilvl="0">
      <w:lvlJc w:val="left"/>
      <w:lvlText w:val="•"/>
      <w:numFmt w:val="bullet"/>
      <w:start w:val="1"/>
    </w:lvl>
  </w:abstractNum>
  <w:abstractNum w:abstractNumId="199">
    <w:nsid w:val="39DF2579"/>
    <w:multiLevelType w:val="hybridMultilevel"/>
    <w:lvl w:ilvl="0">
      <w:lvlJc w:val="left"/>
      <w:lvlText w:val="•"/>
      <w:numFmt w:val="bullet"/>
      <w:start w:val="1"/>
    </w:lvl>
    <w:lvl w:ilvl="1">
      <w:lvlJc w:val="left"/>
      <w:lvlText w:val="•"/>
      <w:numFmt w:val="bullet"/>
      <w:start w:val="1"/>
    </w:lvl>
  </w:abstractNum>
  <w:abstractNum w:abstractNumId="200">
    <w:nsid w:val="126E008B"/>
    <w:multiLevelType w:val="hybridMultilevel"/>
    <w:lvl w:ilvl="0">
      <w:lvlJc w:val="left"/>
      <w:lvlText w:val="•"/>
      <w:numFmt w:val="bullet"/>
      <w:start w:val="1"/>
    </w:lvl>
  </w:abstractNum>
  <w:abstractNum w:abstractNumId="201">
    <w:nsid w:val="34DFBC00"/>
    <w:multiLevelType w:val="hybridMultilevel"/>
    <w:lvl w:ilvl="0">
      <w:lvlJc w:val="left"/>
      <w:lvlText w:val="•"/>
      <w:numFmt w:val="bullet"/>
      <w:start w:val="1"/>
    </w:lvl>
  </w:abstractNum>
  <w:abstractNum w:abstractNumId="202">
    <w:nsid w:val="1F9EC322"/>
    <w:multiLevelType w:val="hybridMultilevel"/>
    <w:lvl w:ilvl="0">
      <w:lvlJc w:val="left"/>
      <w:lvlText w:val="•"/>
      <w:numFmt w:val="bullet"/>
      <w:start w:val="1"/>
    </w:lvl>
  </w:abstractNum>
  <w:abstractNum w:abstractNumId="203">
    <w:nsid w:val="3410ED56"/>
    <w:multiLevelType w:val="hybridMultilevel"/>
    <w:lvl w:ilvl="0">
      <w:lvlJc w:val="left"/>
      <w:lvlText w:val="(%1)"/>
      <w:numFmt w:val="decimal"/>
      <w:start w:val="1"/>
    </w:lvl>
  </w:abstractNum>
  <w:abstractNum w:abstractNumId="204">
    <w:nsid w:val="23C049A"/>
    <w:multiLevelType w:val="hybridMultilevel"/>
    <w:lvl w:ilvl="0">
      <w:lvlJc w:val="left"/>
      <w:lvlText w:val="(%1)"/>
      <w:numFmt w:val="decimal"/>
      <w:start w:val="3"/>
    </w:lvl>
  </w:abstractNum>
  <w:abstractNum w:abstractNumId="205">
    <w:nsid w:val="5BDA35D4"/>
    <w:multiLevelType w:val="hybridMultilevel"/>
    <w:lvl w:ilvl="0">
      <w:lvlJc w:val="left"/>
      <w:lvlText w:val="•"/>
      <w:numFmt w:val="bullet"/>
      <w:start w:val="1"/>
    </w:lvl>
    <w:lvl w:ilvl="1">
      <w:lvlJc w:val="left"/>
      <w:lvlText w:val="•"/>
      <w:numFmt w:val="bullet"/>
      <w:start w:val="1"/>
    </w:lvl>
  </w:abstractNum>
  <w:abstractNum w:abstractNumId="206">
    <w:nsid w:val="496FB218"/>
    <w:multiLevelType w:val="hybridMultilevel"/>
    <w:lvl w:ilvl="0">
      <w:lvlJc w:val="left"/>
      <w:lvlText w:val="•"/>
      <w:numFmt w:val="bullet"/>
      <w:start w:val="1"/>
    </w:lvl>
  </w:abstractNum>
  <w:abstractNum w:abstractNumId="207">
    <w:nsid w:val="680EA5D1"/>
    <w:multiLevelType w:val="hybridMultilevel"/>
    <w:lvl w:ilvl="0">
      <w:lvlJc w:val="left"/>
      <w:lvlText w:val="•"/>
      <w:numFmt w:val="bullet"/>
      <w:start w:val="1"/>
    </w:lvl>
  </w:abstractNum>
  <w:abstractNum w:abstractNumId="208">
    <w:nsid w:val="4A9554FE"/>
    <w:multiLevelType w:val="hybridMultilevel"/>
    <w:lvl w:ilvl="0">
      <w:lvlJc w:val="left"/>
      <w:lvlText w:val="(%1)"/>
      <w:numFmt w:val="lowerRoman"/>
      <w:start w:val="2"/>
    </w:lvl>
  </w:abstractNum>
  <w:abstractNum w:abstractNumId="209">
    <w:nsid w:val="392EDBE4"/>
    <w:multiLevelType w:val="hybridMultilevel"/>
    <w:lvl w:ilvl="0">
      <w:lvlJc w:val="left"/>
      <w:lvlText w:val="(%1)"/>
      <w:numFmt w:val="lowerRoman"/>
      <w:start w:val="4"/>
    </w:lvl>
  </w:abstractNum>
  <w:abstractNum w:abstractNumId="210">
    <w:nsid w:val="3D1A2DD9"/>
    <w:multiLevelType w:val="hybridMultilevel"/>
    <w:lvl w:ilvl="0">
      <w:lvlJc w:val="left"/>
      <w:lvlText w:val="•"/>
      <w:numFmt w:val="bullet"/>
      <w:start w:val="1"/>
    </w:lvl>
  </w:abstractNum>
  <w:abstractNum w:abstractNumId="211">
    <w:nsid w:val="7F618FCD"/>
    <w:multiLevelType w:val="hybridMultilevel"/>
    <w:lvl w:ilvl="0">
      <w:lvlJc w:val="left"/>
      <w:lvlText w:val="*"/>
      <w:numFmt w:val="bullet"/>
      <w:start w:val="1"/>
    </w:lvl>
  </w:abstractNum>
  <w:abstractNum w:abstractNumId="212">
    <w:nsid w:val="7843E45"/>
    <w:multiLevelType w:val="hybridMultilevel"/>
    <w:lvl w:ilvl="0">
      <w:lvlJc w:val="left"/>
      <w:lvlText w:val="(%1)"/>
      <w:numFmt w:val="decimal"/>
      <w:start w:val="1"/>
    </w:lvl>
  </w:abstractNum>
  <w:abstractNum w:abstractNumId="213">
    <w:nsid w:val="9815DA3"/>
    <w:multiLevelType w:val="hybridMultilevel"/>
    <w:lvl w:ilvl="0">
      <w:lvlJc w:val="left"/>
      <w:lvlText w:val="(%1)"/>
      <w:numFmt w:val="decimal"/>
      <w:start w:val="3"/>
    </w:lvl>
  </w:abstractNum>
  <w:abstractNum w:abstractNumId="214">
    <w:nsid w:val="5204A191"/>
    <w:multiLevelType w:val="hybridMultilevel"/>
    <w:lvl w:ilvl="0">
      <w:lvlJc w:val="left"/>
      <w:lvlText w:val="(%1)"/>
      <w:numFmt w:val="decimal"/>
      <w:start w:val="1"/>
    </w:lvl>
  </w:abstractNum>
  <w:abstractNum w:abstractNumId="215">
    <w:nsid w:val="4C73A9C6"/>
    <w:multiLevelType w:val="hybridMultilevel"/>
    <w:lvl w:ilvl="0">
      <w:lvlJc w:val="left"/>
      <w:lvlText w:val="•"/>
      <w:numFmt w:val="bullet"/>
      <w:start w:val="1"/>
    </w:lvl>
  </w:abstractNum>
  <w:abstractNum w:abstractNumId="216">
    <w:nsid w:val="1C7E3C01"/>
    <w:multiLevelType w:val="hybridMultilevel"/>
    <w:lvl w:ilvl="0">
      <w:lvlJc w:val="left"/>
      <w:lvlText w:val="*"/>
      <w:numFmt w:val="bullet"/>
      <w:start w:val="1"/>
    </w:lvl>
  </w:abstractNum>
  <w:abstractNum w:abstractNumId="217">
    <w:nsid w:val="1C2201FF"/>
    <w:multiLevelType w:val="hybridMultilevel"/>
    <w:lvl w:ilvl="0">
      <w:lvlJc w:val="left"/>
      <w:lvlText w:val="(%1)"/>
      <w:numFmt w:val="decimal"/>
      <w:start w:val="1"/>
    </w:lvl>
  </w:abstractNum>
  <w:abstractNum w:abstractNumId="218">
    <w:nsid w:val="50ABCEC9"/>
    <w:multiLevelType w:val="hybridMultilevel"/>
    <w:lvl w:ilvl="0">
      <w:lvlJc w:val="left"/>
      <w:lvlText w:val="(%1)"/>
      <w:numFmt w:val="decimal"/>
      <w:start w:val="3"/>
    </w:lvl>
  </w:abstractNum>
  <w:abstractNum w:abstractNumId="219">
    <w:nsid w:val="7635AA2A"/>
    <w:multiLevelType w:val="hybridMultilevel"/>
    <w:lvl w:ilvl="0">
      <w:lvlJc w:val="left"/>
      <w:lvlText w:val="(%1)"/>
      <w:numFmt w:val="decimal"/>
      <w:start w:val="1"/>
    </w:lvl>
  </w:abstractNum>
  <w:abstractNum w:abstractNumId="220">
    <w:nsid w:val="5E74C4D9"/>
    <w:multiLevelType w:val="hybridMultilevel"/>
    <w:lvl w:ilvl="0">
      <w:lvlJc w:val="left"/>
      <w:lvlText w:val="(%1)"/>
      <w:numFmt w:val="lowerRoman"/>
      <w:start w:val="1"/>
    </w:lvl>
  </w:abstractNum>
  <w:abstractNum w:abstractNumId="221">
    <w:nsid w:val="3B3EBE15"/>
    <w:multiLevelType w:val="hybridMultilevel"/>
    <w:lvl w:ilvl="0">
      <w:lvlJc w:val="left"/>
      <w:lvlText w:val="(%1)"/>
      <w:numFmt w:val="lowerRoman"/>
      <w:start w:val="1"/>
    </w:lvl>
  </w:abstractNum>
  <w:abstractNum w:abstractNumId="222">
    <w:nsid w:val="3822CB01"/>
    <w:multiLevelType w:val="hybridMultilevel"/>
    <w:lvl w:ilvl="0">
      <w:lvlJc w:val="left"/>
      <w:lvlText w:val="(%1)"/>
      <w:numFmt w:val="lowerRoman"/>
      <w:start w:val="2"/>
    </w:lvl>
  </w:abstractNum>
  <w:abstractNum w:abstractNumId="223">
    <w:nsid w:val="6CE00443"/>
    <w:multiLevelType w:val="hybridMultilevel"/>
    <w:lvl w:ilvl="0">
      <w:lvlJc w:val="left"/>
      <w:lvlText w:val="•"/>
      <w:numFmt w:val="bullet"/>
      <w:start w:val="1"/>
    </w:lvl>
  </w:abstractNum>
  <w:abstractNum w:abstractNumId="224">
    <w:nsid w:val="79F0D62F"/>
    <w:multiLevelType w:val="hybridMultilevel"/>
    <w:lvl w:ilvl="0">
      <w:lvlJc w:val="left"/>
      <w:lvlText w:val="•"/>
      <w:numFmt w:val="bullet"/>
      <w:start w:val="1"/>
    </w:lvl>
  </w:abstractNum>
  <w:abstractNum w:abstractNumId="225">
    <w:nsid w:val="7975E8EE"/>
    <w:multiLevelType w:val="hybridMultilevel"/>
    <w:lvl w:ilvl="0">
      <w:lvlJc w:val="left"/>
      <w:lvlText w:val="(%1)"/>
      <w:numFmt w:val="upperLetter"/>
      <w:start w:val="3"/>
    </w:lvl>
  </w:abstractNum>
  <w:abstractNum w:abstractNumId="226">
    <w:nsid w:val="73154115"/>
    <w:multiLevelType w:val="hybridMultilevel"/>
    <w:lvl w:ilvl="0">
      <w:lvlJc w:val="left"/>
      <w:lvlText w:val="(%1)"/>
      <w:numFmt w:val="lowerRoman"/>
      <w:start w:val="7"/>
    </w:lvl>
  </w:abstractNum>
  <w:abstractNum w:abstractNumId="227">
    <w:nsid w:val="622D8102"/>
    <w:multiLevelType w:val="hybridMultilevel"/>
    <w:lvl w:ilvl="0">
      <w:lvlJc w:val="left"/>
      <w:lvlText w:val="(%1)"/>
      <w:numFmt w:val="lowerRoman"/>
      <w:start w:val="1"/>
    </w:lvl>
  </w:abstractNum>
  <w:abstractNum w:abstractNumId="228">
    <w:nsid w:val="2AB26587"/>
    <w:multiLevelType w:val="hybridMultilevel"/>
    <w:lvl w:ilvl="0">
      <w:lvlJc w:val="left"/>
      <w:lvlText w:val="(%1)"/>
      <w:numFmt w:val="lowerLetter"/>
      <w:start w:val="2"/>
    </w:lvl>
  </w:abstractNum>
  <w:abstractNum w:abstractNumId="229">
    <w:nsid w:val="44B3FA61"/>
    <w:multiLevelType w:val="hybridMultilevel"/>
    <w:lvl w:ilvl="0">
      <w:lvlJc w:val="left"/>
      <w:lvlText w:val="(%1)"/>
      <w:numFmt w:val="lowerLetter"/>
      <w:start w:val="2"/>
    </w:lvl>
  </w:abstractNum>
  <w:abstractNum w:abstractNumId="230">
    <w:nsid w:val="1C0CA67C"/>
    <w:multiLevelType w:val="hybridMultilevel"/>
    <w:lvl w:ilvl="0">
      <w:lvlJc w:val="left"/>
      <w:lvlText w:val="(%1)"/>
      <w:numFmt w:val="lowerLetter"/>
      <w:start w:val="1"/>
    </w:lvl>
  </w:abstractNum>
  <w:abstractNum w:abstractNumId="231">
    <w:nsid w:val="3D206613"/>
    <w:multiLevelType w:val="hybridMultilevel"/>
    <w:lvl w:ilvl="0">
      <w:lvlJc w:val="left"/>
      <w:lvlText w:val="(%1)"/>
      <w:numFmt w:val="lowerLetter"/>
      <w:start w:val="2"/>
    </w:lvl>
  </w:abstractNum>
  <w:abstractNum w:abstractNumId="232">
    <w:nsid w:val="7993B662"/>
    <w:multiLevelType w:val="hybridMultilevel"/>
    <w:lvl w:ilvl="0">
      <w:lvlJc w:val="left"/>
      <w:lvlText w:val="(%1)"/>
      <w:numFmt w:val="lowerLetter"/>
      <w:start w:val="2"/>
    </w:lvl>
  </w:abstractNum>
  <w:abstractNum w:abstractNumId="233">
    <w:nsid w:val="3BAB699E"/>
    <w:multiLevelType w:val="hybridMultilevel"/>
    <w:lvl w:ilvl="0">
      <w:lvlJc w:val="left"/>
      <w:lvlText w:val="(%1)"/>
      <w:numFmt w:val="lowerLetter"/>
      <w:start w:val="3"/>
    </w:lvl>
  </w:abstractNum>
  <w:abstractNum w:abstractNumId="234">
    <w:nsid w:val="71315369"/>
    <w:multiLevelType w:val="hybridMultilevel"/>
    <w:lvl w:ilvl="0">
      <w:lvlJc w:val="left"/>
      <w:lvlText w:val="(%1)"/>
      <w:numFmt w:val="lowerLetter"/>
      <w:start w:val="7"/>
    </w:lvl>
  </w:abstractNum>
  <w:abstractNum w:abstractNumId="235">
    <w:nsid w:val="7BCFBAFC"/>
    <w:multiLevelType w:val="hybridMultilevel"/>
    <w:lvl w:ilvl="0">
      <w:lvlJc w:val="left"/>
      <w:lvlText w:val="(%1)"/>
      <w:numFmt w:val="upperLetter"/>
      <w:start w:val="1"/>
    </w:lvl>
    <w:lvl w:ilvl="1">
      <w:lvlJc w:val="left"/>
      <w:lvlText w:val="(%2)"/>
      <w:numFmt w:val="lowerLetter"/>
      <w:start w:val="2"/>
    </w:lvl>
  </w:abstractNum>
  <w:abstractNum w:abstractNumId="236">
    <w:nsid w:val="17859F7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7">
    <w:nsid w:val="3AA10581"/>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35"/>
    </w:lvl>
  </w:abstractNum>
  <w:abstractNum w:abstractNumId="238">
    <w:nsid w:val="63DE60CD"/>
    <w:multiLevelType w:val="hybridMultilevel"/>
    <w:lvl w:ilvl="0">
      <w:lvlJc w:val="left"/>
      <w:lvlText w:val="(%1)"/>
      <w:numFmt w:val="lowerLetter"/>
      <w:start w:val="5"/>
    </w:lvl>
  </w:abstractNum>
  <w:abstractNum w:abstractNumId="239">
    <w:nsid w:val="621AF471"/>
    <w:multiLevelType w:val="hybridMultilevel"/>
    <w:lvl w:ilvl="0">
      <w:lvlJc w:val="left"/>
      <w:lvlText w:val="(%1)"/>
      <w:numFmt w:val="lowerLetter"/>
      <w:start w:val="2"/>
    </w:lvl>
  </w:abstractNum>
  <w:abstractNum w:abstractNumId="240">
    <w:nsid w:val="73CFE165"/>
    <w:multiLevelType w:val="hybridMultilevel"/>
    <w:lvl w:ilvl="0">
      <w:lvlJc w:val="left"/>
      <w:lvlText w:val="%1"/>
      <w:numFmt w:val="lowerLetter"/>
      <w:start w:val="1"/>
    </w:lvl>
    <w:lvl w:ilvl="1">
      <w:lvlJc w:val="left"/>
      <w:lvlText w:val="(%2)"/>
      <w:numFmt w:val="lowerLetter"/>
      <w:start w:val="2"/>
    </w:lvl>
  </w:abstractNum>
  <w:abstractNum w:abstractNumId="241">
    <w:nsid w:val="20F88EA6"/>
    <w:multiLevelType w:val="hybridMultilevel"/>
    <w:lvl w:ilvl="0">
      <w:lvlJc w:val="left"/>
      <w:lvlText w:val="(%1)"/>
      <w:numFmt w:val="lowerLetter"/>
      <w:start w:val="9"/>
    </w:lvl>
    <w:lvl w:ilvl="1">
      <w:lvlJc w:val="left"/>
      <w:lvlText w:val="%2"/>
      <w:numFmt w:val="lowerLetter"/>
      <w:start w:val="1"/>
    </w:lvl>
  </w:abstractNum>
  <w:abstractNum w:abstractNumId="242">
    <w:nsid w:val="617C843E"/>
    <w:multiLevelType w:val="hybridMultilevel"/>
    <w:lvl w:ilvl="0">
      <w:lvlJc w:val="left"/>
      <w:lvlText w:val="(%1)"/>
      <w:numFmt w:val="lowerRoman"/>
      <w:start w:val="3"/>
    </w:lvl>
  </w:abstractNum>
  <w:abstractNum w:abstractNumId="243">
    <w:nsid w:val="7B541FAB"/>
    <w:multiLevelType w:val="hybridMultilevel"/>
    <w:lvl w:ilvl="0">
      <w:lvlJc w:val="left"/>
      <w:lvlText w:val="(%1)"/>
      <w:numFmt w:val="upperLetter"/>
      <w:start w:val="1"/>
    </w:lvl>
  </w:abstractNum>
  <w:abstractNum w:abstractNumId="244">
    <w:nsid w:val="2A79EC49"/>
    <w:multiLevelType w:val="hybridMultilevel"/>
    <w:lvl w:ilvl="0">
      <w:lvlJc w:val="left"/>
      <w:lvlText w:val="%1"/>
      <w:numFmt w:val="lowerLetter"/>
      <w:start w:val="1"/>
    </w:lvl>
    <w:lvl w:ilvl="1">
      <w:lvlJc w:val="left"/>
      <w:lvlText w:val="(%2)"/>
      <w:numFmt w:val="lowerLetter"/>
      <w:start w:val="2"/>
    </w:lvl>
  </w:abstractNum>
  <w:abstractNum w:abstractNumId="245">
    <w:nsid w:val="338125CF"/>
    <w:multiLevelType w:val="hybridMultilevel"/>
    <w:lvl w:ilvl="0">
      <w:lvlJc w:val="left"/>
      <w:lvlText w:val="(%1)"/>
      <w:numFmt w:val="lowerLetter"/>
      <w:start w:val="35"/>
    </w:lvl>
    <w:lvl w:ilvl="1">
      <w:lvlJc w:val="left"/>
      <w:lvlText w:val="%2"/>
      <w:numFmt w:val="lowerLetter"/>
      <w:start w:val="1"/>
    </w:lvl>
  </w:abstractNum>
  <w:abstractNum w:abstractNumId="246">
    <w:nsid w:val="47C7C971"/>
    <w:multiLevelType w:val="hybridMultilevel"/>
    <w:lvl w:ilvl="0">
      <w:lvlJc w:val="left"/>
      <w:lvlText w:val="%1"/>
      <w:numFmt w:val="lowerLetter"/>
      <w:start w:val="1"/>
    </w:lvl>
    <w:lvl w:ilvl="1">
      <w:lvlJc w:val="left"/>
      <w:lvlText w:val="(%2)"/>
      <w:numFmt w:val="lowerLetter"/>
      <w:start w:val="2"/>
    </w:lvl>
  </w:abstractNum>
  <w:abstractNum w:abstractNumId="247">
    <w:nsid w:val="46F8284B"/>
    <w:multiLevelType w:val="hybridMultilevel"/>
    <w:lvl w:ilvl="0">
      <w:lvlJc w:val="left"/>
      <w:lvlText w:val="(%1)"/>
      <w:numFmt w:val="lowerLetter"/>
      <w:start w:val="35"/>
    </w:lvl>
    <w:lvl w:ilvl="1">
      <w:lvlJc w:val="left"/>
      <w:lvlText w:val="(%2)"/>
      <w:numFmt w:val="lowerLetter"/>
      <w:start w:val="3"/>
    </w:lvl>
  </w:abstractNum>
  <w:abstractNum w:abstractNumId="248">
    <w:nsid w:val="4FA327CE"/>
    <w:multiLevelType w:val="hybridMultilevel"/>
    <w:lvl w:ilvl="0">
      <w:lvlJc w:val="left"/>
      <w:lvlText w:val="(%1)"/>
      <w:numFmt w:val="lowerLetter"/>
      <w:start w:val="2"/>
    </w:lvl>
  </w:abstractNum>
  <w:abstractNum w:abstractNumId="249">
    <w:nsid w:val="1873983A"/>
    <w:multiLevelType w:val="hybridMultilevel"/>
    <w:lvl w:ilvl="0">
      <w:lvlJc w:val="left"/>
      <w:lvlText w:val="(%1)"/>
      <w:numFmt w:val="lowerLetter"/>
      <w:start w:val="3"/>
    </w:lvl>
  </w:abstractNum>
  <w:abstractNum w:abstractNumId="250">
    <w:nsid w:val="3D2DD275"/>
    <w:multiLevelType w:val="hybridMultilevel"/>
    <w:lvl w:ilvl="0">
      <w:lvlJc w:val="left"/>
      <w:lvlText w:val="(%1)"/>
      <w:numFmt w:val="lowerLetter"/>
      <w:start w:val="8"/>
    </w:lvl>
  </w:abstractNum>
  <w:abstractNum w:abstractNumId="251">
    <w:nsid w:val="2E17ECA7"/>
    <w:multiLevelType w:val="hybridMultilevel"/>
    <w:lvl w:ilvl="0">
      <w:lvlJc w:val="left"/>
      <w:lvlText w:val="(%1)"/>
      <w:numFmt w:val="lowerLetter"/>
      <w:start w:val="2"/>
    </w:lvl>
  </w:abstractNum>
  <w:abstractNum w:abstractNumId="252">
    <w:nsid w:val="53B2564F"/>
    <w:multiLevelType w:val="hybridMultilevel"/>
    <w:lvl w:ilvl="0">
      <w:lvlJc w:val="left"/>
      <w:lvlText w:val="(%1)"/>
      <w:numFmt w:val="lowerLetter"/>
      <w:start w:val="1"/>
    </w:lvl>
  </w:abstractNum>
  <w:abstractNum w:abstractNumId="253">
    <w:nsid w:val="75509D76"/>
    <w:multiLevelType w:val="hybridMultilevel"/>
    <w:lvl w:ilvl="0">
      <w:lvlJc w:val="left"/>
      <w:lvlText w:val="(%1)"/>
      <w:numFmt w:val="lowerLetter"/>
      <w:start w:val="3"/>
    </w:lvl>
  </w:abstractNum>
  <w:abstractNum w:abstractNumId="254">
    <w:nsid w:val="1AF7F0EA"/>
    <w:multiLevelType w:val="hybridMultilevel"/>
    <w:lvl w:ilvl="0">
      <w:lvlJc w:val="left"/>
      <w:lvlText w:val="(%1)"/>
      <w:numFmt w:val="lowerLetter"/>
      <w:start w:val="2"/>
    </w:lvl>
  </w:abstractNum>
  <w:abstractNum w:abstractNumId="255">
    <w:nsid w:val="4DA32C7E"/>
    <w:multiLevelType w:val="hybridMultilevel"/>
    <w:lvl w:ilvl="0">
      <w:lvlJc w:val="left"/>
      <w:lvlText w:val="(%1)"/>
      <w:numFmt w:val="lowerLetter"/>
      <w:start w:val="2"/>
    </w:lvl>
  </w:abstractNum>
  <w:abstractNum w:abstractNumId="256">
    <w:nsid w:val="6EC68664"/>
    <w:multiLevelType w:val="hybridMultilevel"/>
    <w:lvl w:ilvl="0">
      <w:lvlJc w:val="left"/>
      <w:lvlText w:val="(%1)"/>
      <w:numFmt w:val="lowerLetter"/>
      <w:start w:val="2"/>
    </w:lvl>
  </w:abstractNum>
  <w:abstractNum w:abstractNumId="257">
    <w:nsid w:val="E0D31FF"/>
    <w:multiLevelType w:val="hybridMultilevel"/>
    <w:lvl w:ilvl="0">
      <w:lvlJc w:val="left"/>
      <w:lvlText w:val="(%1)"/>
      <w:numFmt w:val="lowerLetter"/>
      <w:start w:val="4"/>
    </w:lvl>
  </w:abstractNum>
  <w:abstractNum w:abstractNumId="258">
    <w:nsid w:val="2FD0AD81"/>
    <w:multiLevelType w:val="hybridMultilevel"/>
    <w:lvl w:ilvl="0">
      <w:lvlJc w:val="left"/>
      <w:lvlText w:val="(%1)"/>
      <w:numFmt w:val="lowerLetter"/>
      <w:start w:val="1"/>
    </w:lvl>
    <w:lvl w:ilvl="1">
      <w:lvlJc w:val="left"/>
      <w:lvlText w:val="(%2)"/>
      <w:numFmt w:val="lowerRoman"/>
      <w:start w:val="2"/>
    </w:lvl>
  </w:abstractNum>
  <w:abstractNum w:abstractNumId="259">
    <w:nsid w:val="1978EBEB"/>
    <w:multiLevelType w:val="hybridMultilevel"/>
    <w:lvl w:ilvl="0">
      <w:lvlJc w:val="left"/>
      <w:lvlText w:val="%1"/>
      <w:numFmt w:val="lowerLetter"/>
      <w:start w:val="1"/>
    </w:lvl>
    <w:lvl w:ilvl="1">
      <w:lvlJc w:val="left"/>
      <w:lvlText w:val="(%2)"/>
      <w:numFmt w:val="lowerRoman"/>
      <w:start w:val="6"/>
    </w:lvl>
  </w:abstractNum>
  <w:abstractNum w:abstractNumId="260">
    <w:nsid w:val="52C12C61"/>
    <w:multiLevelType w:val="hybridMultilevel"/>
    <w:lvl w:ilvl="0">
      <w:lvlJc w:val="left"/>
      <w:lvlText w:val="(%1)"/>
      <w:numFmt w:val="lowerLetter"/>
      <w:start w:val="2"/>
    </w:lvl>
    <w:lvl w:ilvl="1">
      <w:lvlJc w:val="left"/>
      <w:lvlText w:val="%2"/>
      <w:numFmt w:val="lowerRoman"/>
      <w:start w:val="1"/>
    </w:lvl>
  </w:abstractNum>
  <w:abstractNum w:abstractNumId="261">
    <w:nsid w:val="4BDD53FD"/>
    <w:multiLevelType w:val="hybridMultilevel"/>
    <w:lvl w:ilvl="0">
      <w:lvlJc w:val="left"/>
      <w:lvlText w:val="(%1)"/>
      <w:numFmt w:val="lowerLetter"/>
      <w:start w:val="2"/>
    </w:lvl>
  </w:abstractNum>
  <w:abstractNum w:abstractNumId="262">
    <w:nsid w:val="569951FE"/>
    <w:multiLevelType w:val="hybridMultilevel"/>
    <w:lvl w:ilvl="0">
      <w:lvlJc w:val="left"/>
      <w:lvlText w:val="(%1)"/>
      <w:numFmt w:val="lowerLetter"/>
      <w:start w:val="5"/>
    </w:lvl>
  </w:abstractNum>
  <w:abstractNum w:abstractNumId="263">
    <w:nsid w:val="4C54E2C3"/>
    <w:multiLevelType w:val="hybridMultilevel"/>
    <w:lvl w:ilvl="0">
      <w:lvlJc w:val="left"/>
      <w:lvlText w:val="(%1)"/>
      <w:numFmt w:val="lowerLetter"/>
      <w:start w:val="11"/>
    </w:lvl>
  </w:abstractNum>
  <w:abstractNum w:abstractNumId="264">
    <w:nsid w:val="788BD9B"/>
    <w:multiLevelType w:val="hybridMultilevel"/>
    <w:lvl w:ilvl="0">
      <w:lvlJc w:val="left"/>
      <w:lvlText w:val="(%1)"/>
      <w:numFmt w:val="lowerLetter"/>
      <w:start w:val="2"/>
    </w:lvl>
  </w:abstractNum>
  <w:abstractNum w:abstractNumId="265">
    <w:nsid w:val="47CAA567"/>
    <w:multiLevelType w:val="hybridMultilevel"/>
    <w:lvl w:ilvl="0">
      <w:lvlJc w:val="left"/>
      <w:lvlText w:val="(%1)"/>
      <w:numFmt w:val="lowerRoman"/>
      <w:start w:val="1"/>
    </w:lvl>
  </w:abstractNum>
  <w:abstractNum w:abstractNumId="266">
    <w:nsid w:val="48249DBF"/>
    <w:multiLevelType w:val="hybridMultilevel"/>
    <w:lvl w:ilvl="0">
      <w:lvlJc w:val="left"/>
      <w:lvlText w:val="(%1)"/>
      <w:numFmt w:val="lowerRoman"/>
      <w:start w:val="6"/>
    </w:lvl>
  </w:abstractNum>
  <w:abstractNum w:abstractNumId="267">
    <w:nsid w:val="1F0E5D0D"/>
    <w:multiLevelType w:val="hybridMultilevel"/>
    <w:lvl w:ilvl="0">
      <w:lvlJc w:val="left"/>
      <w:lvlText w:val="(%1)"/>
      <w:numFmt w:val="lowerLetter"/>
      <w:start w:val="2"/>
    </w:lvl>
  </w:abstractNum>
  <w:abstractNum w:abstractNumId="268">
    <w:nsid w:val="26BAAE9"/>
    <w:multiLevelType w:val="hybridMultilevel"/>
    <w:lvl w:ilvl="0">
      <w:lvlJc w:val="left"/>
      <w:lvlText w:val="(%1)"/>
      <w:numFmt w:val="lowerLetter"/>
      <w:start w:val="2"/>
    </w:lvl>
  </w:abstractNum>
  <w:abstractNum w:abstractNumId="269">
    <w:nsid w:val="2C02FE8C"/>
    <w:multiLevelType w:val="hybridMultilevel"/>
    <w:lvl w:ilvl="0">
      <w:lvlJc w:val="left"/>
      <w:lvlText w:val="(%1)"/>
      <w:numFmt w:val="lowerLetter"/>
      <w:start w:val="2"/>
    </w:lvl>
  </w:abstractNum>
  <w:abstractNum w:abstractNumId="270">
    <w:nsid w:val="129517E"/>
    <w:multiLevelType w:val="hybridMultilevel"/>
    <w:lvl w:ilvl="0">
      <w:lvlJc w:val="left"/>
      <w:lvlText w:val="(%1)"/>
      <w:numFmt w:val="lowerLetter"/>
      <w:start w:val="22"/>
    </w:lvl>
    <w:lvl w:ilvl="1">
      <w:lvlJc w:val="left"/>
      <w:lvlText w:val="(%2)"/>
      <w:numFmt w:val="lowerLetter"/>
      <w:start w:val="3"/>
    </w:lvl>
  </w:abstractNum>
  <w:abstractNum w:abstractNumId="271">
    <w:nsid w:val="763B8C4E"/>
    <w:multiLevelType w:val="hybridMultilevel"/>
    <w:lvl w:ilvl="0">
      <w:lvlJc w:val="left"/>
      <w:lvlText w:val="%1"/>
      <w:numFmt w:val="lowerRoman"/>
      <w:start w:val="1"/>
    </w:lvl>
    <w:lvl w:ilvl="1">
      <w:lvlJc w:val="left"/>
      <w:lvlText w:val="(%2)"/>
      <w:numFmt w:val="lowerLetter"/>
      <w:start w:val="2"/>
    </w:lvl>
  </w:abstractNum>
  <w:abstractNum w:abstractNumId="272">
    <w:nsid w:val="4CFB8D32"/>
    <w:multiLevelType w:val="hybridMultilevel"/>
    <w:lvl w:ilvl="0">
      <w:lvlJc w:val="left"/>
      <w:lvlText w:val="(%1)"/>
      <w:numFmt w:val="lowerRoman"/>
      <w:start w:val="1"/>
    </w:lvl>
    <w:lvl w:ilvl="1">
      <w:lvlJc w:val="left"/>
      <w:lvlText w:val="%2"/>
      <w:numFmt w:val="lowerLetter"/>
      <w:start w:val="1"/>
    </w:lvl>
  </w:abstractNum>
  <w:abstractNum w:abstractNumId="273">
    <w:nsid w:val="62A5D5BD"/>
    <w:multiLevelType w:val="hybridMultilevel"/>
    <w:lvl w:ilvl="0">
      <w:lvlJc w:val="left"/>
      <w:lvlText w:val="%1"/>
      <w:numFmt w:val="lowerRoman"/>
      <w:start w:val="1"/>
    </w:lvl>
    <w:lvl w:ilvl="1">
      <w:lvlJc w:val="left"/>
      <w:lvlText w:val="(%2)"/>
      <w:numFmt w:val="lowerLetter"/>
      <w:start w:val="2"/>
    </w:lvl>
  </w:abstractNum>
  <w:abstractNum w:abstractNumId="274">
    <w:nsid w:val="718FABF9"/>
    <w:multiLevelType w:val="hybridMultilevel"/>
    <w:lvl w:ilvl="0">
      <w:lvlJc w:val="left"/>
      <w:lvlText w:val="(%1)"/>
      <w:numFmt w:val="lowerRoman"/>
      <w:start w:val="4"/>
    </w:lvl>
    <w:lvl w:ilvl="1">
      <w:lvlJc w:val="left"/>
      <w:lvlText w:val="(%2)"/>
      <w:numFmt w:val="lowerLetter"/>
      <w:start w:val="3"/>
    </w:lvl>
  </w:abstractNum>
  <w:abstractNum w:abstractNumId="275">
    <w:nsid w:val="7775797C"/>
    <w:multiLevelType w:val="hybridMultilevel"/>
    <w:lvl w:ilvl="0">
      <w:lvlJc w:val="left"/>
      <w:lvlText w:val="(%1)"/>
      <w:numFmt w:val="lowerLetter"/>
      <w:start w:val="2"/>
    </w:lvl>
  </w:abstractNum>
  <w:abstractNum w:abstractNumId="276">
    <w:nsid w:val="1626FB8C"/>
    <w:multiLevelType w:val="hybridMultilevel"/>
    <w:lvl w:ilvl="0">
      <w:lvlJc w:val="left"/>
      <w:lvlText w:val="(%1)"/>
      <w:numFmt w:val="lowerRoman"/>
      <w:start w:val="2"/>
    </w:lvl>
  </w:abstractNum>
  <w:abstractNum w:abstractNumId="277">
    <w:nsid w:val="3957756A"/>
    <w:multiLevelType w:val="hybridMultilevel"/>
    <w:lvl w:ilvl="0">
      <w:lvlJc w:val="left"/>
      <w:lvlText w:val="(%1)"/>
      <w:numFmt w:val="lowerLetter"/>
      <w:start w:val="2"/>
    </w:lvl>
  </w:abstractNum>
  <w:abstractNum w:abstractNumId="278">
    <w:nsid w:val="3E6DA1C7"/>
    <w:multiLevelType w:val="hybridMultilevel"/>
    <w:lvl w:ilvl="0">
      <w:lvlJc w:val="left"/>
      <w:lvlText w:val="(%1)"/>
      <w:numFmt w:val="lowerLetter"/>
      <w:start w:val="5"/>
    </w:lvl>
  </w:abstractNum>
  <w:abstractNum w:abstractNumId="279">
    <w:nsid w:val="65CA235B"/>
    <w:multiLevelType w:val="hybridMultilevel"/>
    <w:lvl w:ilvl="0">
      <w:lvlJc w:val="left"/>
      <w:lvlText w:val="(%1)"/>
      <w:numFmt w:val="lowerLetter"/>
      <w:start w:val="1"/>
    </w:lvl>
  </w:abstractNum>
  <w:abstractNum w:abstractNumId="280">
    <w:nsid w:val="51CB0DA4"/>
    <w:multiLevelType w:val="hybridMultilevel"/>
    <w:lvl w:ilvl="0">
      <w:lvlJc w:val="left"/>
      <w:lvlText w:val="(%1)"/>
      <w:numFmt w:val="lowerLetter"/>
      <w:start w:val="3"/>
    </w:lvl>
  </w:abstractNum>
  <w:abstractNum w:abstractNumId="281">
    <w:nsid w:val="7B9B743C"/>
    <w:multiLevelType w:val="hybridMultilevel"/>
    <w:lvl w:ilvl="0">
      <w:lvlJc w:val="left"/>
      <w:lvlText w:val="(%1)"/>
      <w:numFmt w:val="lowerLetter"/>
      <w:start w:val="2"/>
    </w:lvl>
  </w:abstractNum>
  <w:abstractNum w:abstractNumId="282">
    <w:nsid w:val="13E21002"/>
    <w:multiLevelType w:val="hybridMultilevel"/>
    <w:lvl w:ilvl="0">
      <w:lvlJc w:val="left"/>
      <w:lvlText w:val="(%1)"/>
      <w:numFmt w:val="lowerRoman"/>
      <w:start w:val="1"/>
    </w:lvl>
  </w:abstractNum>
  <w:abstractNum w:abstractNumId="283">
    <w:nsid w:val="257D63F4"/>
    <w:multiLevelType w:val="hybridMultilevel"/>
    <w:lvl w:ilvl="0">
      <w:lvlJc w:val="left"/>
      <w:lvlText w:val="(%1)"/>
      <w:numFmt w:val="lowerLetter"/>
      <w:start w:val="1"/>
    </w:lvl>
    <w:lvl w:ilvl="1">
      <w:lvlJc w:val="left"/>
      <w:lvlText w:val="(%2)"/>
      <w:numFmt w:val="lowerLetter"/>
      <w:start w:val="35"/>
    </w:lvl>
  </w:abstractNum>
  <w:abstractNum w:abstractNumId="284">
    <w:nsid w:val="70EC11B2"/>
    <w:multiLevelType w:val="hybridMultilevel"/>
    <w:lvl w:ilvl="0">
      <w:lvlJc w:val="left"/>
      <w:lvlText w:val="%1"/>
      <w:numFmt w:val="lowerLetter"/>
      <w:start w:val="1"/>
    </w:lvl>
    <w:lvl w:ilvl="1">
      <w:lvlJc w:val="left"/>
      <w:lvlText w:val="(%2)"/>
      <w:numFmt w:val="lowerRoman"/>
      <w:start w:val="3"/>
    </w:lvl>
  </w:abstractNum>
  <w:abstractNum w:abstractNumId="285">
    <w:nsid w:val="2EDA00ED"/>
    <w:multiLevelType w:val="hybridMultilevel"/>
    <w:lvl w:ilvl="0">
      <w:lvlJc w:val="left"/>
      <w:lvlText w:val="(%1)"/>
      <w:numFmt w:val="lowerLetter"/>
      <w:start w:val="2"/>
    </w:lvl>
    <w:lvl w:ilvl="1">
      <w:lvlJc w:val="left"/>
      <w:lvlText w:val="%2"/>
      <w:numFmt w:val="lowerRoman"/>
      <w:start w:val="1"/>
    </w:lvl>
  </w:abstractNum>
  <w:abstractNum w:abstractNumId="286">
    <w:nsid w:val="73209072"/>
    <w:multiLevelType w:val="hybridMultilevel"/>
    <w:lvl w:ilvl="0">
      <w:lvlJc w:val="left"/>
      <w:lvlText w:val="(%1)"/>
      <w:numFmt w:val="lowerLetter"/>
      <w:start w:val="2"/>
    </w:lvl>
  </w:abstractNum>
  <w:abstractNum w:abstractNumId="287">
    <w:nsid w:val="5FB29816"/>
    <w:multiLevelType w:val="hybridMultilevel"/>
    <w:lvl w:ilvl="0">
      <w:lvlJc w:val="left"/>
      <w:lvlText w:val="(%1)"/>
      <w:numFmt w:val="lowerLetter"/>
      <w:start w:val="2"/>
    </w:lvl>
  </w:abstractNum>
  <w:abstractNum w:abstractNumId="288">
    <w:nsid w:val="3CE732EC"/>
    <w:multiLevelType w:val="hybridMultilevel"/>
    <w:lvl w:ilvl="0">
      <w:lvlJc w:val="left"/>
      <w:lvlText w:val="(%1)"/>
      <w:numFmt w:val="lowerLetter"/>
      <w:start w:val="1"/>
    </w:lvl>
  </w:abstractNum>
  <w:abstractNum w:abstractNumId="289">
    <w:nsid w:val="22F13DF3"/>
    <w:multiLevelType w:val="hybridMultilevel"/>
    <w:lvl w:ilvl="0">
      <w:lvlJc w:val="left"/>
      <w:lvlText w:val="%1"/>
      <w:numFmt w:val="lowerRoman"/>
      <w:start w:val="1"/>
    </w:lvl>
    <w:lvl w:ilvl="1">
      <w:lvlJc w:val="left"/>
      <w:lvlText w:val="(%2)"/>
      <w:numFmt w:val="lowerLetter"/>
      <w:start w:val="3"/>
    </w:lvl>
  </w:abstractNum>
  <w:abstractNum w:abstractNumId="290">
    <w:nsid w:val="792B8401"/>
    <w:multiLevelType w:val="hybridMultilevel"/>
    <w:lvl w:ilvl="0">
      <w:lvlJc w:val="left"/>
      <w:lvlText w:val="(%1)"/>
      <w:numFmt w:val="lowerRoman"/>
      <w:start w:val="3"/>
    </w:lvl>
    <w:lvl w:ilvl="1">
      <w:lvlJc w:val="left"/>
      <w:lvlText w:val="(%2)"/>
      <w:numFmt w:val="lowerLetter"/>
      <w:start w:val="6"/>
    </w:lvl>
  </w:abstractNum>
  <w:abstractNum w:abstractNumId="291">
    <w:nsid w:val="FA85F4D"/>
    <w:multiLevelType w:val="hybridMultilevel"/>
    <w:lvl w:ilvl="0">
      <w:lvlJc w:val="left"/>
      <w:lvlText w:val="(%1)"/>
      <w:numFmt w:val="lowerRoman"/>
      <w:start w:val="4"/>
    </w:lvl>
    <w:lvl w:ilvl="1">
      <w:lvlJc w:val="left"/>
      <w:lvlText w:val="(%2)"/>
      <w:numFmt w:val="lowerLetter"/>
      <w:start w:val="7"/>
    </w:lvl>
  </w:abstractNum>
  <w:abstractNum w:abstractNumId="292">
    <w:nsid w:val="6ECE91F0"/>
    <w:multiLevelType w:val="hybridMultilevel"/>
    <w:lvl w:ilvl="0">
      <w:lvlJc w:val="left"/>
      <w:lvlText w:val="(%1)"/>
      <w:numFmt w:val="lowerLetter"/>
      <w:start w:val="8"/>
    </w:lvl>
  </w:abstractNum>
  <w:abstractNum w:abstractNumId="293">
    <w:nsid w:val="4FC4D600"/>
    <w:multiLevelType w:val="hybridMultilevel"/>
    <w:lvl w:ilvl="0">
      <w:lvlJc w:val="left"/>
      <w:lvlText w:val="%1"/>
      <w:numFmt w:val="lowerLetter"/>
      <w:start w:val="1"/>
    </w:lvl>
    <w:lvl w:ilvl="1">
      <w:lvlJc w:val="left"/>
      <w:lvlText w:val="(%2)"/>
      <w:numFmt w:val="lowerLetter"/>
      <w:start w:val="14"/>
    </w:lvl>
  </w:abstractNum>
  <w:abstractNum w:abstractNumId="294">
    <w:nsid w:val="5BFD4210"/>
    <w:multiLevelType w:val="hybridMultilevel"/>
    <w:lvl w:ilvl="0">
      <w:lvlJc w:val="left"/>
      <w:lvlText w:val="(%1)"/>
      <w:numFmt w:val="lowerLetter"/>
      <w:start w:val="25"/>
    </w:lvl>
    <w:lvl w:ilvl="1">
      <w:lvlJc w:val="left"/>
      <w:lvlText w:val="%2"/>
      <w:numFmt w:val="lowerLetter"/>
      <w:start w:val="1"/>
    </w:lvl>
  </w:abstractNum>
  <w:abstractNum w:abstractNumId="295">
    <w:nsid w:val="76574F8B"/>
    <w:multiLevelType w:val="hybridMultilevel"/>
    <w:lvl w:ilvl="0">
      <w:lvlJc w:val="left"/>
      <w:lvlText w:val="(%1)"/>
      <w:numFmt w:val="lowerLetter"/>
      <w:start w:val="17"/>
    </w:lvl>
  </w:abstractNum>
  <w:abstractNum w:abstractNumId="296">
    <w:nsid w:val="178F7B67"/>
    <w:multiLevelType w:val="hybridMultilevel"/>
    <w:lvl w:ilvl="0">
      <w:lvlJc w:val="left"/>
      <w:lvlText w:val="(%1)"/>
      <w:numFmt w:val="lowerRoman"/>
      <w:start w:val="3"/>
    </w:lvl>
  </w:abstractNum>
  <w:abstractNum w:abstractNumId="297">
    <w:nsid w:val="2421DFCF"/>
    <w:multiLevelType w:val="hybridMultilevel"/>
    <w:lvl w:ilvl="0">
      <w:lvlJc w:val="left"/>
      <w:lvlText w:val="(%1)"/>
      <w:numFmt w:val="lowerRoman"/>
      <w:start w:val="7"/>
    </w:lvl>
  </w:abstractNum>
  <w:abstractNum w:abstractNumId="298">
    <w:nsid w:val="1565AC99"/>
    <w:multiLevelType w:val="hybridMultilevel"/>
    <w:lvl w:ilvl="0">
      <w:lvlJc w:val="left"/>
      <w:lvlText w:val="(%1)"/>
      <w:numFmt w:val="lowerLetter"/>
      <w:start w:val="2"/>
    </w:lvl>
    <w:lvl w:ilvl="1">
      <w:lvlJc w:val="left"/>
      <w:lvlText w:val="(%2)"/>
      <w:numFmt w:val="lowerLetter"/>
      <w:start w:val="9"/>
    </w:lvl>
  </w:abstractNum>
  <w:abstractNum w:abstractNumId="299">
    <w:nsid w:val="19FB2650"/>
    <w:multiLevelType w:val="hybridMultilevel"/>
    <w:lvl w:ilvl="0">
      <w:lvlJc w:val="left"/>
      <w:lvlText w:val="(%1)"/>
      <w:numFmt w:val="lowerRoman"/>
      <w:start w:val="2"/>
    </w:lvl>
  </w:abstractNum>
  <w:abstractNum w:abstractNumId="300">
    <w:nsid w:val="5024DE5B"/>
    <w:multiLevelType w:val="hybridMultilevel"/>
    <w:lvl w:ilvl="0">
      <w:lvlJc w:val="left"/>
      <w:lvlText w:val="(%1)"/>
      <w:numFmt w:val="lowerLetter"/>
      <w:start w:val="3"/>
    </w:lvl>
  </w:abstractNum>
  <w:abstractNum w:abstractNumId="301">
    <w:nsid w:val="168EFE17"/>
    <w:multiLevelType w:val="hybridMultilevel"/>
    <w:lvl w:ilvl="0">
      <w:lvlJc w:val="left"/>
      <w:lvlText w:val="(%1)"/>
      <w:numFmt w:val="lowerLetter"/>
      <w:start w:val="5"/>
    </w:lvl>
  </w:abstractNum>
  <w:abstractNum w:abstractNumId="302">
    <w:nsid w:val="1036B29F"/>
    <w:multiLevelType w:val="hybridMultilevel"/>
    <w:lvl w:ilvl="0">
      <w:lvlJc w:val="left"/>
      <w:lvlText w:val="(%1)"/>
      <w:numFmt w:val="lowerLetter"/>
      <w:start w:val="2"/>
    </w:lvl>
  </w:abstractNum>
  <w:abstractNum w:abstractNumId="303">
    <w:nsid w:val="1D206B8E"/>
    <w:multiLevelType w:val="hybridMultilevel"/>
    <w:lvl w:ilvl="0">
      <w:lvlJc w:val="left"/>
      <w:lvlText w:val="(%1)"/>
      <w:numFmt w:val="lowerLetter"/>
      <w:start w:val="1"/>
    </w:lvl>
  </w:abstractNum>
  <w:abstractNum w:abstractNumId="304">
    <w:nsid w:val="7934D3D4"/>
    <w:multiLevelType w:val="hybridMultilevel"/>
    <w:lvl w:ilvl="0">
      <w:lvlJc w:val="left"/>
      <w:lvlText w:val="(%1)"/>
      <w:numFmt w:val="lowerRoman"/>
      <w:start w:val="2"/>
    </w:lvl>
  </w:abstractNum>
  <w:abstractNum w:abstractNumId="305">
    <w:nsid w:val="1C65E98"/>
    <w:multiLevelType w:val="hybridMultilevel"/>
    <w:lvl w:ilvl="0">
      <w:lvlJc w:val="left"/>
      <w:lvlText w:val="(%1)"/>
      <w:numFmt w:val="lowerLetter"/>
      <w:start w:val="2"/>
    </w:lvl>
  </w:abstractNum>
  <w:abstractNum w:abstractNumId="306">
    <w:nsid w:val="1495E50A"/>
    <w:multiLevelType w:val="hybridMultilevel"/>
    <w:lvl w:ilvl="0">
      <w:lvlJc w:val="left"/>
      <w:lvlText w:val="(%1)"/>
      <w:numFmt w:val="lowerLetter"/>
      <w:start w:val="4"/>
    </w:lvl>
  </w:abstractNum>
  <w:abstractNum w:abstractNumId="307">
    <w:nsid w:val="F5BCF61"/>
    <w:multiLevelType w:val="hybridMultilevel"/>
    <w:lvl w:ilvl="0">
      <w:lvlJc w:val="left"/>
      <w:lvlText w:val="(%1)"/>
      <w:numFmt w:val="lowerLetter"/>
      <w:start w:val="2"/>
    </w:lvl>
  </w:abstractNum>
  <w:abstractNum w:abstractNumId="308">
    <w:nsid w:val="3B1DD403"/>
    <w:multiLevelType w:val="hybridMultilevel"/>
    <w:lvl w:ilvl="0">
      <w:lvlJc w:val="left"/>
      <w:lvlText w:val="(%1)"/>
      <w:numFmt w:val="lowerLetter"/>
      <w:start w:val="4"/>
    </w:lvl>
  </w:abstractNum>
  <w:abstractNum w:abstractNumId="309">
    <w:nsid w:val="530386D1"/>
    <w:multiLevelType w:val="hybridMultilevel"/>
    <w:lvl w:ilvl="0">
      <w:lvlJc w:val="left"/>
      <w:lvlText w:val="(%1)"/>
      <w:numFmt w:val="lowerLetter"/>
      <w:start w:val="5"/>
    </w:lvl>
  </w:abstractNum>
  <w:abstractNum w:abstractNumId="310">
    <w:nsid w:val="7525F2BC"/>
    <w:multiLevelType w:val="hybridMultilevel"/>
    <w:lvl w:ilvl="0">
      <w:lvlJc w:val="left"/>
      <w:lvlText w:val="(%1)"/>
      <w:numFmt w:val="lowerLetter"/>
      <w:start w:val="2"/>
    </w:lvl>
  </w:abstractNum>
  <w:abstractNum w:abstractNumId="311">
    <w:nsid w:val="CE8E1A7"/>
    <w:multiLevelType w:val="hybridMultilevel"/>
    <w:lvl w:ilvl="0">
      <w:lvlJc w:val="left"/>
      <w:lvlText w:val="(%1)"/>
      <w:numFmt w:val="lowerLetter"/>
      <w:start w:val="3"/>
    </w:lvl>
  </w:abstractNum>
  <w:abstractNum w:abstractNumId="312">
    <w:nsid w:val="4E9EFB0D"/>
    <w:multiLevelType w:val="hybridMultilevel"/>
    <w:lvl w:ilvl="0">
      <w:lvlJc w:val="left"/>
      <w:lvlText w:val="(%1)"/>
      <w:numFmt w:val="lowerLetter"/>
      <w:start w:val="5"/>
    </w:lvl>
  </w:abstractNum>
  <w:abstractNum w:abstractNumId="313">
    <w:nsid w:val="90802BE"/>
    <w:multiLevelType w:val="hybridMultilevel"/>
    <w:lvl w:ilvl="0">
      <w:lvlJc w:val="left"/>
      <w:lvlText w:val="%1"/>
      <w:numFmt w:val="lowerLetter"/>
      <w:start w:val="1"/>
    </w:lvl>
    <w:lvl w:ilvl="1">
      <w:lvlJc w:val="left"/>
      <w:lvlText w:val="(%2)"/>
      <w:numFmt w:val="lowerLetter"/>
      <w:start w:val="6"/>
    </w:lvl>
  </w:abstractNum>
  <w:abstractNum w:abstractNumId="314">
    <w:nsid w:val="3266459B"/>
    <w:multiLevelType w:val="hybridMultilevel"/>
    <w:lvl w:ilvl="0">
      <w:lvlJc w:val="left"/>
      <w:lvlText w:val="(%1)"/>
      <w:numFmt w:val="lowerLetter"/>
      <w:start w:val="9"/>
    </w:lvl>
    <w:lvl w:ilvl="1">
      <w:lvlJc w:val="left"/>
      <w:lvlText w:val="(%2)"/>
      <w:numFmt w:val="lowerLetter"/>
      <w:start w:val="8"/>
    </w:lvl>
  </w:abstractNum>
  <w:abstractNum w:abstractNumId="315">
    <w:nsid w:val="3F8B0CBF"/>
    <w:multiLevelType w:val="hybridMultilevel"/>
    <w:lvl w:ilvl="0">
      <w:lvlJc w:val="left"/>
      <w:lvlText w:val="(%1)"/>
      <w:numFmt w:val="lowerLetter"/>
      <w:start w:val="24"/>
    </w:lvl>
    <w:lvl w:ilvl="1">
      <w:lvlJc w:val="left"/>
      <w:lvlText w:val="(%2)"/>
      <w:numFmt w:val="lowerLetter"/>
      <w:start w:val="2"/>
    </w:lvl>
  </w:abstractNum>
  <w:abstractNum w:abstractNumId="316">
    <w:nsid w:val="37E203AB"/>
    <w:multiLevelType w:val="hybridMultilevel"/>
    <w:lvl w:ilvl="0">
      <w:lvlJc w:val="left"/>
      <w:lvlText w:val="(%1)"/>
      <w:numFmt w:val="lowerLetter"/>
      <w:start w:val="9"/>
    </w:lvl>
    <w:lvl w:ilvl="1">
      <w:lvlJc w:val="left"/>
      <w:lvlText w:val="(%2)"/>
      <w:numFmt w:val="lowerLetter"/>
      <w:start w:val="4"/>
    </w:lvl>
  </w:abstractNum>
  <w:abstractNum w:abstractNumId="317">
    <w:nsid w:val="2586D60E"/>
    <w:multiLevelType w:val="hybridMultilevel"/>
    <w:lvl w:ilvl="0">
      <w:lvlJc w:val="left"/>
      <w:lvlText w:val="(%1)"/>
      <w:numFmt w:val="lowerLetter"/>
      <w:start w:val="61"/>
    </w:lvl>
    <w:lvl w:ilvl="1">
      <w:lvlJc w:val="left"/>
      <w:lvlText w:val="%2"/>
      <w:numFmt w:val="lowerLetter"/>
      <w:start w:val="1"/>
    </w:lvl>
  </w:abstractNum>
  <w:abstractNum w:abstractNumId="318">
    <w:nsid w:val="1F3DA4D5"/>
    <w:multiLevelType w:val="hybridMultilevel"/>
    <w:lvl w:ilvl="0">
      <w:lvlJc w:val="left"/>
      <w:lvlText w:val="(%1)"/>
      <w:numFmt w:val="lowerLetter"/>
      <w:start w:val="2"/>
    </w:lvl>
  </w:abstractNum>
  <w:abstractNum w:abstractNumId="319">
    <w:nsid w:val="74C93698"/>
    <w:multiLevelType w:val="hybridMultilevel"/>
    <w:lvl w:ilvl="0">
      <w:lvlJc w:val="left"/>
      <w:lvlText w:val="(%1)"/>
      <w:numFmt w:val="lowerLetter"/>
      <w:start w:val="1"/>
    </w:lvl>
  </w:abstractNum>
  <w:abstractNum w:abstractNumId="320">
    <w:nsid w:val="48781401"/>
    <w:multiLevelType w:val="hybridMultilevel"/>
    <w:lvl w:ilvl="0">
      <w:lvlJc w:val="left"/>
      <w:lvlText w:val="(%1)"/>
      <w:numFmt w:val="lowerLetter"/>
      <w:start w:val="2"/>
    </w:lvl>
  </w:abstractNum>
  <w:abstractNum w:abstractNumId="321">
    <w:nsid w:val="186928D6"/>
    <w:multiLevelType w:val="hybridMultilevel"/>
    <w:lvl w:ilvl="0">
      <w:lvlJc w:val="left"/>
      <w:lvlText w:val="%1"/>
      <w:numFmt w:val="lowerLetter"/>
      <w:start w:val="1"/>
    </w:lvl>
    <w:lvl w:ilvl="1">
      <w:lvlJc w:val="left"/>
      <w:lvlText w:val="(%2)"/>
      <w:numFmt w:val="lowerLetter"/>
      <w:start w:val="1"/>
    </w:lvl>
  </w:abstractNum>
  <w:abstractNum w:abstractNumId="322">
    <w:nsid w:val="47195E5"/>
    <w:multiLevelType w:val="hybridMultilevel"/>
    <w:lvl w:ilvl="0">
      <w:lvlJc w:val="left"/>
      <w:lvlText w:val="(%1)"/>
      <w:numFmt w:val="lowerLetter"/>
      <w:start w:val="9"/>
    </w:lvl>
    <w:lvl w:ilvl="1">
      <w:lvlJc w:val="left"/>
      <w:lvlText w:val="(%2)"/>
      <w:numFmt w:val="lowerLetter"/>
      <w:start w:val="5"/>
    </w:lvl>
  </w:abstractNum>
  <w:abstractNum w:abstractNumId="323">
    <w:nsid w:val="3746A5F2"/>
    <w:multiLevelType w:val="hybridMultilevel"/>
    <w:lvl w:ilvl="0">
      <w:lvlJc w:val="left"/>
      <w:lvlText w:val="(%1)"/>
      <w:numFmt w:val="lowerLetter"/>
      <w:start w:val="6"/>
    </w:lvl>
  </w:abstractNum>
  <w:abstractNum w:abstractNumId="324">
    <w:nsid w:val="682DFED6"/>
    <w:multiLevelType w:val="hybridMultilevel"/>
    <w:lvl w:ilvl="0">
      <w:lvlJc w:val="left"/>
      <w:lvlText w:val="(%1)"/>
      <w:numFmt w:val="lowerLetter"/>
      <w:start w:val="1"/>
    </w:lvl>
  </w:abstractNum>
  <w:abstractNum w:abstractNumId="325">
    <w:nsid w:val="606ED7F6"/>
    <w:multiLevelType w:val="hybridMultilevel"/>
    <w:lvl w:ilvl="0">
      <w:lvlJc w:val="left"/>
      <w:lvlText w:val="(%1)"/>
      <w:numFmt w:val="lowerLetter"/>
      <w:start w:val="3"/>
    </w:lvl>
  </w:abstractNum>
  <w:abstractNum w:abstractNumId="326">
    <w:nsid w:val="2D9DF57D"/>
    <w:multiLevelType w:val="hybridMultilevel"/>
    <w:lvl w:ilvl="0">
      <w:lvlJc w:val="left"/>
      <w:lvlText w:val="(%1)"/>
      <w:numFmt w:val="lowerLetter"/>
      <w:start w:val="1"/>
    </w:lvl>
  </w:abstractNum>
  <w:abstractNum w:abstractNumId="327">
    <w:nsid w:val="7FBD7A3E"/>
    <w:multiLevelType w:val="hybridMultilevel"/>
    <w:lvl w:ilvl="0">
      <w:lvlJc w:val="left"/>
      <w:lvlText w:val="(%1)"/>
      <w:numFmt w:val="lowerLetter"/>
      <w:start w:val="3"/>
    </w:lvl>
  </w:abstractNum>
  <w:abstractNum w:abstractNumId="328">
    <w:nsid w:val="490B7C5"/>
    <w:multiLevelType w:val="hybridMultilevel"/>
    <w:lvl w:ilvl="0">
      <w:lvlJc w:val="left"/>
      <w:lvlText w:val="(%1)"/>
      <w:numFmt w:val="lowerLetter"/>
      <w:start w:val="1"/>
    </w:lvl>
    <w:lvl w:ilvl="1">
      <w:lvlJc w:val="left"/>
      <w:lvlText w:val="(%2)"/>
      <w:numFmt w:val="lowerRoman"/>
      <w:start w:val="1"/>
    </w:lvl>
  </w:abstractNum>
  <w:abstractNum w:abstractNumId="329">
    <w:nsid w:val="4303A216"/>
    <w:multiLevelType w:val="hybridMultilevel"/>
    <w:lvl w:ilvl="0">
      <w:lvlJc w:val="left"/>
      <w:lvlText w:val="%1"/>
      <w:numFmt w:val="lowerLetter"/>
      <w:start w:val="1"/>
    </w:lvl>
    <w:lvl w:ilvl="1">
      <w:lvlJc w:val="left"/>
      <w:lvlText w:val="(%2)"/>
      <w:numFmt w:val="lowerLetter"/>
      <w:start w:val="61"/>
    </w:lvl>
  </w:abstractNum>
  <w:abstractNum w:abstractNumId="330">
    <w:nsid w:val="19B8A08E"/>
    <w:multiLevelType w:val="hybridMultilevel"/>
    <w:lvl w:ilvl="0">
      <w:lvlJc w:val="left"/>
      <w:lvlText w:val="(%1)"/>
      <w:numFmt w:val="lowerLetter"/>
      <w:start w:val="3"/>
    </w:lvl>
    <w:lvl w:ilvl="1">
      <w:lvlJc w:val="left"/>
      <w:lvlText w:val="(%2)"/>
      <w:numFmt w:val="lowerLetter"/>
      <w:start w:val="9"/>
    </w:lvl>
  </w:abstractNum>
  <w:abstractNum w:abstractNumId="331">
    <w:nsid w:val="54B59621"/>
    <w:multiLevelType w:val="hybridMultilevel"/>
    <w:lvl w:ilvl="0">
      <w:lvlJc w:val="left"/>
      <w:lvlText w:val="%1"/>
      <w:numFmt w:val="upperLetter"/>
      <w:start w:val="1"/>
    </w:lvl>
    <w:lvl w:ilvl="1">
      <w:lvlJc w:val="left"/>
      <w:lvlText w:val="(%2)"/>
      <w:numFmt w:val="lowerRoman"/>
      <w:start w:val="2"/>
    </w:lvl>
  </w:abstractNum>
  <w:abstractNum w:abstractNumId="332">
    <w:nsid w:val="5992A02E"/>
    <w:multiLevelType w:val="hybridMultilevel"/>
    <w:lvl w:ilvl="0">
      <w:lvlJc w:val="left"/>
      <w:lvlText w:val="(%1)"/>
      <w:numFmt w:val="upperLetter"/>
      <w:start w:val="1"/>
    </w:lvl>
    <w:lvl w:ilvl="1">
      <w:lvlJc w:val="left"/>
      <w:lvlText w:val="%2"/>
      <w:numFmt w:val="lowerRoman"/>
      <w:start w:val="1"/>
    </w:lvl>
  </w:abstractNum>
  <w:abstractNum w:abstractNumId="333">
    <w:nsid w:val="29EF532D"/>
    <w:multiLevelType w:val="hybridMultilevel"/>
    <w:lvl w:ilvl="0">
      <w:lvlJc w:val="left"/>
      <w:lvlText w:val="(%1)"/>
      <w:numFmt w:val="lowerLetter"/>
      <w:start w:val="4"/>
    </w:lvl>
    <w:lvl w:ilvl="1">
      <w:lvlJc w:val="left"/>
      <w:lvlText w:val="(%2)"/>
      <w:numFmt w:val="lowerRoman"/>
      <w:start w:val="1"/>
    </w:lvl>
  </w:abstractNum>
  <w:abstractNum w:abstractNumId="334">
    <w:nsid w:val="71D601AF"/>
    <w:multiLevelType w:val="hybridMultilevel"/>
    <w:lvl w:ilvl="0">
      <w:lvlJc w:val="left"/>
      <w:lvlText w:val="(%1)"/>
      <w:numFmt w:val="lowerRoman"/>
      <w:start w:val="3"/>
    </w:lvl>
  </w:abstractNum>
  <w:abstractNum w:abstractNumId="335">
    <w:nsid w:val="52C77402"/>
    <w:multiLevelType w:val="hybridMultilevel"/>
    <w:lvl w:ilvl="0">
      <w:lvlJc w:val="left"/>
      <w:lvlText w:val="(%1)"/>
      <w:numFmt w:val="lowerLetter"/>
      <w:start w:val="2"/>
    </w:lvl>
  </w:abstractNum>
  <w:abstractNum w:abstractNumId="336">
    <w:nsid w:val="2BB5B1C6"/>
    <w:multiLevelType w:val="hybridMultilevel"/>
    <w:lvl w:ilvl="0">
      <w:lvlJc w:val="left"/>
      <w:lvlText w:val="(%1)"/>
      <w:numFmt w:val="lowerLetter"/>
      <w:start w:val="2"/>
    </w:lvl>
  </w:abstractNum>
  <w:abstractNum w:abstractNumId="337">
    <w:nsid w:val="66BE6B9"/>
    <w:multiLevelType w:val="hybridMultilevel"/>
    <w:lvl w:ilvl="0">
      <w:lvlJc w:val="left"/>
      <w:lvlText w:val="(%1)"/>
      <w:numFmt w:val="lowerLetter"/>
      <w:start w:val="2"/>
    </w:lvl>
  </w:abstractNum>
  <w:abstractNum w:abstractNumId="338">
    <w:nsid w:val="62234363"/>
    <w:multiLevelType w:val="hybridMultilevel"/>
    <w:lvl w:ilvl="0">
      <w:lvlJc w:val="left"/>
      <w:lvlText w:val="(%1)"/>
      <w:numFmt w:val="lowerRoman"/>
      <w:start w:val="1"/>
    </w:lvl>
  </w:abstractNum>
  <w:abstractNum w:abstractNumId="339">
    <w:nsid w:val="66D385C9"/>
    <w:multiLevelType w:val="hybridMultilevel"/>
    <w:lvl w:ilvl="0">
      <w:lvlJc w:val="left"/>
      <w:lvlText w:val="(%1)"/>
      <w:numFmt w:val="lowerRoman"/>
      <w:start w:val="3"/>
    </w:lvl>
  </w:abstractNum>
  <w:abstractNum w:abstractNumId="340">
    <w:nsid w:val="596F6D8A"/>
    <w:multiLevelType w:val="hybridMultilevel"/>
    <w:lvl w:ilvl="0">
      <w:lvlJc w:val="left"/>
      <w:lvlText w:val="(%1)"/>
      <w:numFmt w:val="lowerLetter"/>
      <w:start w:val="1"/>
    </w:lvl>
  </w:abstractNum>
  <w:abstractNum w:abstractNumId="341">
    <w:nsid w:val="5749361F"/>
    <w:multiLevelType w:val="hybridMultilevel"/>
    <w:lvl w:ilvl="0">
      <w:lvlJc w:val="left"/>
      <w:lvlText w:val="(%1)"/>
      <w:numFmt w:val="lowerRoman"/>
      <w:start w:val="1"/>
    </w:lvl>
  </w:abstractNum>
  <w:abstractNum w:abstractNumId="342">
    <w:nsid w:val="73BC67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43">
    <w:nsid w:val="280E689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44">
    <w:nsid w:val="605138D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45">
    <w:nsid w:val="2622AD0C"/>
    <w:multiLevelType w:val="hybridMultilevel"/>
    <w:lvl w:ilvl="0">
      <w:lvlJc w:val="left"/>
      <w:lvlText w:val="(%1)"/>
      <w:numFmt w:val="lowerRoman"/>
      <w:start w:val="5"/>
    </w:lvl>
  </w:abstractNum>
  <w:abstractNum w:abstractNumId="346">
    <w:nsid w:val="67997556"/>
    <w:multiLevelType w:val="hybridMultilevel"/>
    <w:lvl w:ilvl="0">
      <w:lvlJc w:val="left"/>
      <w:lvlText w:val="%1"/>
      <w:numFmt w:val="lowerLetter"/>
      <w:start w:val="1"/>
    </w:lvl>
    <w:lvl w:ilvl="1">
      <w:lvlJc w:val="left"/>
      <w:lvlText w:val="(%2)"/>
      <w:numFmt w:val="lowerLetter"/>
      <w:start w:val="2"/>
    </w:lvl>
  </w:abstractNum>
  <w:abstractNum w:abstractNumId="347">
    <w:nsid w:val="18333C89"/>
    <w:multiLevelType w:val="hybridMultilevel"/>
    <w:lvl w:ilvl="0">
      <w:lvlJc w:val="left"/>
      <w:lvlText w:val="(%1)"/>
      <w:numFmt w:val="lowerLetter"/>
      <w:start w:val="9"/>
    </w:lvl>
    <w:lvl w:ilvl="1">
      <w:lvlJc w:val="left"/>
      <w:lvlText w:val="%2"/>
      <w:numFmt w:val="lowerLetter"/>
      <w:start w:val="1"/>
    </w:lvl>
  </w:abstractNum>
  <w:abstractNum w:abstractNumId="348">
    <w:nsid w:val="4BA9831A"/>
    <w:multiLevelType w:val="hybridMultilevel"/>
    <w:lvl w:ilvl="0">
      <w:lvlJc w:val="left"/>
      <w:lvlText w:val="(%1)"/>
      <w:numFmt w:val="lowerLetter"/>
      <w:start w:val="2"/>
    </w:lvl>
  </w:abstractNum>
  <w:abstractNum w:abstractNumId="349">
    <w:nsid w:val="6D71A2B"/>
    <w:multiLevelType w:val="hybridMultilevel"/>
    <w:lvl w:ilvl="0">
      <w:lvlJc w:val="left"/>
      <w:lvlText w:val="(%1)"/>
      <w:numFmt w:val="lowerRoman"/>
      <w:start w:val="1"/>
    </w:lvl>
  </w:abstractNum>
  <w:abstractNum w:abstractNumId="350">
    <w:nsid w:val="CFC7321"/>
    <w:multiLevelType w:val="hybridMultilevel"/>
    <w:lvl w:ilvl="0">
      <w:lvlJc w:val="left"/>
      <w:lvlText w:val="%1)"/>
      <w:numFmt w:val="decimal"/>
      <w:start w:val="1"/>
    </w:lvl>
  </w:abstractNum>
  <w:abstractNum w:abstractNumId="351">
    <w:nsid w:val="1421971B"/>
    <w:multiLevelType w:val="hybridMultilevel"/>
    <w:lvl w:ilvl="0">
      <w:lvlJc w:val="left"/>
      <w:lvlText w:val="%1)"/>
      <w:numFmt w:val="decimal"/>
      <w:start w:val="9"/>
    </w:lvl>
  </w:abstractNum>
  <w:abstractNum w:abstractNumId="352">
    <w:nsid w:val="1F404301"/>
    <w:multiLevelType w:val="hybridMultilevel"/>
    <w:lvl w:ilvl="0">
      <w:lvlJc w:val="left"/>
      <w:lvlText w:val="(%1)"/>
      <w:numFmt w:val="lowerRoman"/>
      <w:start w:val="1"/>
    </w:lvl>
  </w:abstractNum>
  <w:abstractNum w:abstractNumId="353">
    <w:nsid w:val="116E090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4">
    <w:nsid w:val="4B683D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55">
    <w:nsid w:val="76E41D8"/>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56">
    <w:nsid w:val="71DCE0FD"/>
    <w:multiLevelType w:val="hybridMultilevel"/>
    <w:lvl w:ilvl="0">
      <w:lvlJc w:val="left"/>
      <w:lvlText w:val="%1."/>
      <w:numFmt w:val="decimal"/>
      <w:start w:val="1"/>
    </w:lvl>
  </w:abstractNum>
  <w:abstractNum w:abstractNumId="357">
    <w:nsid w:val="7906328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2019-12-07T03:25:39Z</dcterms:created>
  <dcterms:modified xsi:type="dcterms:W3CDTF">2019-12-07T03:25:39Z</dcterms:modified>
</cp:coreProperties>
</file>